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EFD0D" w14:textId="68C3AD01" w:rsidR="00123FD7" w:rsidRPr="00C67E6B" w:rsidRDefault="00243606" w:rsidP="00123FD7">
      <w:pPr>
        <w:pStyle w:val="Title"/>
      </w:pPr>
      <w:r w:rsidRPr="00123FD7">
        <w:rPr>
          <w:noProof/>
        </w:rPr>
        <mc:AlternateContent>
          <mc:Choice Requires="wps">
            <w:drawing>
              <wp:anchor distT="0" distB="0" distL="114300" distR="114300" simplePos="0" relativeHeight="251639808" behindDoc="1" locked="0" layoutInCell="1" allowOverlap="1" wp14:anchorId="0BAE8A5A" wp14:editId="41FE4881">
                <wp:simplePos x="0" y="0"/>
                <wp:positionH relativeFrom="column">
                  <wp:posOffset>-626745</wp:posOffset>
                </wp:positionH>
                <wp:positionV relativeFrom="page">
                  <wp:posOffset>12700</wp:posOffset>
                </wp:positionV>
                <wp:extent cx="3331845" cy="6851650"/>
                <wp:effectExtent l="0" t="0" r="1905" b="6350"/>
                <wp:wrapNone/>
                <wp:docPr id="2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1845" cy="6851650"/>
                        </a:xfrm>
                        <a:custGeom>
                          <a:avLst/>
                          <a:gdLst>
                            <a:gd name="T0" fmla="*/ 0 w 5630"/>
                            <a:gd name="T1" fmla="*/ 0 h 11575"/>
                            <a:gd name="T2" fmla="*/ 0 w 5630"/>
                            <a:gd name="T3" fmla="*/ 11575 h 11575"/>
                            <a:gd name="T4" fmla="*/ 5630 w 5630"/>
                            <a:gd name="T5" fmla="*/ 0 h 11575"/>
                            <a:gd name="T6" fmla="*/ 0 w 5630"/>
                            <a:gd name="T7" fmla="*/ 0 h 11575"/>
                          </a:gdLst>
                          <a:ahLst/>
                          <a:cxnLst>
                            <a:cxn ang="0">
                              <a:pos x="T0" y="T1"/>
                            </a:cxn>
                            <a:cxn ang="0">
                              <a:pos x="T2" y="T3"/>
                            </a:cxn>
                            <a:cxn ang="0">
                              <a:pos x="T4" y="T5"/>
                            </a:cxn>
                            <a:cxn ang="0">
                              <a:pos x="T6" y="T7"/>
                            </a:cxn>
                          </a:cxnLst>
                          <a:rect l="0" t="0" r="r" b="b"/>
                          <a:pathLst>
                            <a:path w="5630" h="11575">
                              <a:moveTo>
                                <a:pt x="0" y="0"/>
                              </a:moveTo>
                              <a:lnTo>
                                <a:pt x="0" y="11575"/>
                              </a:lnTo>
                              <a:lnTo>
                                <a:pt x="5630" y="0"/>
                              </a:lnTo>
                              <a:lnTo>
                                <a:pt x="0" y="0"/>
                              </a:lnTo>
                              <a:close/>
                            </a:path>
                          </a:pathLst>
                        </a:custGeom>
                        <a:solidFill>
                          <a:srgbClr val="00573F"/>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018979" id="Freeform 5" o:spid="_x0000_s1026" style="position:absolute;margin-left:-49.35pt;margin-top:1pt;width:262.35pt;height:5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5630,1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" path="m,l,11575,5630,,,xe" fillcolor="#00573f" stroked="f">
                <v:path arrowok="t" o:connecttype="custom" o:connectlocs="0,0;0,6851650;3331845,0;0,0" o:connectangles="0,0,0,0"/>
                <w10:wrap anchory="page"/>
              </v:shape>
            </w:pict>
          </mc:Fallback>
        </mc:AlternateContent>
      </w:r>
      <w:r w:rsidRPr="00123FD7">
        <w:rPr>
          <w:noProof/>
        </w:rPr>
        <mc:AlternateContent>
          <mc:Choice Requires="wps">
            <w:drawing>
              <wp:anchor distT="0" distB="0" distL="114300" distR="114300" simplePos="0" relativeHeight="251638784" behindDoc="1" locked="0" layoutInCell="1" allowOverlap="1" wp14:anchorId="53306457" wp14:editId="02863187">
                <wp:simplePos x="0" y="0"/>
                <wp:positionH relativeFrom="column">
                  <wp:posOffset>-643626</wp:posOffset>
                </wp:positionH>
                <wp:positionV relativeFrom="page">
                  <wp:posOffset>12700</wp:posOffset>
                </wp:positionV>
                <wp:extent cx="7543800" cy="10687685"/>
                <wp:effectExtent l="0" t="0" r="19050" b="18415"/>
                <wp:wrapNone/>
                <wp:docPr id="290" name="Rectangle 290"/>
                <wp:cNvGraphicFramePr/>
                <a:graphic xmlns:a="http://schemas.openxmlformats.org/drawingml/2006/main">
                  <a:graphicData uri="http://schemas.microsoft.com/office/word/2010/wordprocessingShape">
                    <wps:wsp>
                      <wps:cNvSpPr/>
                      <wps:spPr>
                        <a:xfrm>
                          <a:off x="0" y="0"/>
                          <a:ext cx="7543800" cy="10687685"/>
                        </a:xfrm>
                        <a:prstGeom prst="rect">
                          <a:avLst/>
                        </a:prstGeom>
                        <a:solidFill>
                          <a:srgbClr val="007B4B"/>
                        </a:solidFill>
                        <a:ln>
                          <a:solidFill>
                            <a:srgbClr val="007B4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7E4E4" id="Rectangle 290" o:spid="_x0000_s1026" style="position:absolute;margin-left:-50.7pt;margin-top:1pt;width:594pt;height:84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" fillcolor="#007b4b" strokecolor="#007b4b" strokeweight="2pt">
                <w10:wrap anchory="page"/>
              </v:rect>
            </w:pict>
          </mc:Fallback>
        </mc:AlternateContent>
      </w:r>
      <w:r w:rsidR="00123FD7" w:rsidRPr="00123FD7">
        <w:rPr>
          <w:noProof/>
        </w:rPr>
        <w:drawing>
          <wp:anchor distT="0" distB="0" distL="114300" distR="114300" simplePos="0" relativeHeight="251644928" behindDoc="0" locked="0" layoutInCell="1" allowOverlap="1" wp14:anchorId="7126CC4D" wp14:editId="78789205">
            <wp:simplePos x="0" y="0"/>
            <wp:positionH relativeFrom="column">
              <wp:posOffset>5460365</wp:posOffset>
            </wp:positionH>
            <wp:positionV relativeFrom="page">
              <wp:posOffset>9774555</wp:posOffset>
            </wp:positionV>
            <wp:extent cx="822960" cy="4660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 Gov Logo - White - 12 August 201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2960" cy="466090"/>
                    </a:xfrm>
                    <a:prstGeom prst="rect">
                      <a:avLst/>
                    </a:prstGeom>
                  </pic:spPr>
                </pic:pic>
              </a:graphicData>
            </a:graphic>
            <wp14:sizeRelV relativeFrom="margin">
              <wp14:pctHeight>0</wp14:pctHeight>
            </wp14:sizeRelV>
          </wp:anchor>
        </w:drawing>
      </w:r>
      <w:r w:rsidR="00123FD7" w:rsidRPr="00123FD7">
        <w:rPr>
          <w:noProof/>
        </w:rPr>
        <mc:AlternateContent>
          <mc:Choice Requires="wps">
            <w:drawing>
              <wp:anchor distT="0" distB="0" distL="114300" distR="114300" simplePos="0" relativeHeight="251640832" behindDoc="0" locked="0" layoutInCell="1" allowOverlap="1" wp14:anchorId="4486B7E3" wp14:editId="7F4952DB">
                <wp:simplePos x="0" y="0"/>
                <wp:positionH relativeFrom="column">
                  <wp:posOffset>5471795</wp:posOffset>
                </wp:positionH>
                <wp:positionV relativeFrom="page">
                  <wp:posOffset>7574915</wp:posOffset>
                </wp:positionV>
                <wp:extent cx="1480820" cy="3099435"/>
                <wp:effectExtent l="0" t="0" r="24130" b="24765"/>
                <wp:wrapNone/>
                <wp:docPr id="3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0820" cy="3099435"/>
                        </a:xfrm>
                        <a:custGeom>
                          <a:avLst/>
                          <a:gdLst>
                            <a:gd name="T0" fmla="*/ 0 w 2326"/>
                            <a:gd name="T1" fmla="*/ 4887 h 4887"/>
                            <a:gd name="T2" fmla="*/ 2326 w 2326"/>
                            <a:gd name="T3" fmla="*/ 4887 h 4887"/>
                            <a:gd name="T4" fmla="*/ 2326 w 2326"/>
                            <a:gd name="T5" fmla="*/ 0 h 4887"/>
                            <a:gd name="T6" fmla="*/ 0 w 2326"/>
                            <a:gd name="T7" fmla="*/ 4887 h 4887"/>
                          </a:gdLst>
                          <a:ahLst/>
                          <a:cxnLst>
                            <a:cxn ang="0">
                              <a:pos x="T0" y="T1"/>
                            </a:cxn>
                            <a:cxn ang="0">
                              <a:pos x="T2" y="T3"/>
                            </a:cxn>
                            <a:cxn ang="0">
                              <a:pos x="T4" y="T5"/>
                            </a:cxn>
                            <a:cxn ang="0">
                              <a:pos x="T6" y="T7"/>
                            </a:cxn>
                          </a:cxnLst>
                          <a:rect l="0" t="0" r="r" b="b"/>
                          <a:pathLst>
                            <a:path w="2326" h="4887">
                              <a:moveTo>
                                <a:pt x="0" y="4887"/>
                              </a:moveTo>
                              <a:lnTo>
                                <a:pt x="2326" y="4887"/>
                              </a:lnTo>
                              <a:lnTo>
                                <a:pt x="2326" y="0"/>
                              </a:lnTo>
                              <a:lnTo>
                                <a:pt x="0" y="4887"/>
                              </a:lnTo>
                              <a:close/>
                            </a:path>
                          </a:pathLst>
                        </a:custGeom>
                        <a:solidFill>
                          <a:srgbClr val="00573F"/>
                        </a:solidFill>
                        <a:ln>
                          <a:solidFill>
                            <a:srgbClr val="00573F"/>
                          </a:solid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A3109" id="Freeform 9" o:spid="_x0000_s1026" style="position:absolute;margin-left:430.85pt;margin-top:596.45pt;width:116.6pt;height:244.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2326,4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" path="m,4887r2326,l2326,,,4887xe" fillcolor="#00573f" strokecolor="#00573f">
                <v:path arrowok="t" o:connecttype="custom" o:connectlocs="0,3099435;1480820,3099435;1480820,0;0,3099435" o:connectangles="0,0,0,0"/>
                <w10:wrap anchory="page"/>
              </v:shape>
            </w:pict>
          </mc:Fallback>
        </mc:AlternateContent>
      </w:r>
      <w:r w:rsidR="00123FD7" w:rsidRPr="00C67E6B">
        <w:t>Instructions</w:t>
      </w:r>
    </w:p>
    <w:p w14:paraId="234EB03E" w14:textId="77777777" w:rsidR="00B37958" w:rsidRPr="00BE7BBE" w:rsidRDefault="00123FD7" w:rsidP="00123FD7">
      <w:pPr>
        <w:pStyle w:val="Subtitle"/>
      </w:pPr>
      <w:r w:rsidRPr="0051501B">
        <w:t xml:space="preserve">supporting the Standing Directions </w:t>
      </w:r>
      <w:r w:rsidR="00456AED" w:rsidRPr="0051501B">
        <w:t>201</w:t>
      </w:r>
      <w:r w:rsidR="00456AED">
        <w:t xml:space="preserve">8 </w:t>
      </w:r>
      <w:r w:rsidR="00B37958">
        <w:t xml:space="preserve">under the </w:t>
      </w:r>
      <w:r w:rsidR="00B37958" w:rsidRPr="000A6A01">
        <w:rPr>
          <w:i/>
        </w:rPr>
        <w:t>Financial Management Act 1994</w:t>
      </w:r>
    </w:p>
    <w:p w14:paraId="1CCC102B" w14:textId="77777777" w:rsidR="00B37958" w:rsidRDefault="00B37958" w:rsidP="000E0DBA">
      <w:pPr>
        <w:pStyle w:val="TertiaryTitle"/>
      </w:pPr>
    </w:p>
    <w:p w14:paraId="5B950CB3" w14:textId="77777777" w:rsidR="00123FD7" w:rsidRDefault="0073060B" w:rsidP="000E0DBA">
      <w:pPr>
        <w:pStyle w:val="TertiaryTitle"/>
      </w:pPr>
      <w:r>
        <w:t xml:space="preserve">Issued </w:t>
      </w:r>
      <w:r w:rsidR="00410F60">
        <w:t>June</w:t>
      </w:r>
      <w:r w:rsidR="00123FD7">
        <w:t xml:space="preserve"> 2016</w:t>
      </w:r>
    </w:p>
    <w:p w14:paraId="00150905" w14:textId="305DDC1C" w:rsidR="0073060B" w:rsidRDefault="004C3F56" w:rsidP="000E0DBA">
      <w:pPr>
        <w:pStyle w:val="TertiaryTitle"/>
      </w:pPr>
      <w:r>
        <w:t>Incorporating r</w:t>
      </w:r>
      <w:r w:rsidR="0073060B">
        <w:t>evis</w:t>
      </w:r>
      <w:r>
        <w:t xml:space="preserve">ions to </w:t>
      </w:r>
      <w:r w:rsidR="001A09EE">
        <w:t>24 May 2024</w:t>
      </w:r>
    </w:p>
    <w:p w14:paraId="4207BE10" w14:textId="77777777" w:rsidR="00123FD7" w:rsidRDefault="00123FD7">
      <w:pPr>
        <w:spacing w:before="0" w:after="200" w:line="276" w:lineRule="auto"/>
        <w:rPr>
          <w:b/>
          <w:color w:val="007B4B"/>
          <w:sz w:val="60"/>
        </w:rPr>
      </w:pPr>
      <w:r>
        <w:br w:type="page"/>
      </w:r>
    </w:p>
    <w:p w14:paraId="3E133CF6" w14:textId="77777777" w:rsidR="00523824" w:rsidRDefault="00523824" w:rsidP="000E0DBA">
      <w:pPr>
        <w:ind w:left="792"/>
      </w:pPr>
    </w:p>
    <w:p w14:paraId="031685FC" w14:textId="77777777" w:rsidR="00523824" w:rsidRDefault="00523824" w:rsidP="000E0DBA">
      <w:pPr>
        <w:spacing w:before="5200"/>
        <w:ind w:left="792"/>
      </w:pPr>
    </w:p>
    <w:p w14:paraId="121EB525" w14:textId="77777777" w:rsidR="00523824" w:rsidRPr="00E46801" w:rsidRDefault="00523824" w:rsidP="000E0DBA">
      <w:pPr>
        <w:pStyle w:val="NormalTight"/>
        <w:ind w:left="792" w:right="1970"/>
      </w:pPr>
      <w:r w:rsidRPr="00E46801">
        <w:t>The Secretary</w:t>
      </w:r>
    </w:p>
    <w:p w14:paraId="3F180072" w14:textId="77777777" w:rsidR="00523824" w:rsidRPr="00E46801" w:rsidRDefault="00523824" w:rsidP="000E0DBA">
      <w:pPr>
        <w:pStyle w:val="NormalTight"/>
        <w:ind w:left="792" w:right="1970"/>
      </w:pPr>
      <w:r w:rsidRPr="00E46801">
        <w:t>Department of Treasury and Finance</w:t>
      </w:r>
    </w:p>
    <w:p w14:paraId="16D5E225" w14:textId="77777777" w:rsidR="00523824" w:rsidRPr="00E46801" w:rsidRDefault="00523824" w:rsidP="00523824">
      <w:pPr>
        <w:pStyle w:val="NormalTight"/>
        <w:ind w:left="792" w:right="1970"/>
      </w:pPr>
      <w:r w:rsidRPr="00E46801">
        <w:t>1 Treasury Place</w:t>
      </w:r>
    </w:p>
    <w:p w14:paraId="265158EB" w14:textId="77777777" w:rsidR="00523824" w:rsidRPr="00E46801" w:rsidRDefault="00523824" w:rsidP="00523824">
      <w:pPr>
        <w:pStyle w:val="NormalTight"/>
        <w:ind w:left="792" w:right="1970"/>
      </w:pPr>
      <w:r w:rsidRPr="00E46801">
        <w:t>Melbourne Victoria 3002</w:t>
      </w:r>
    </w:p>
    <w:p w14:paraId="19CD010C" w14:textId="77777777" w:rsidR="00523824" w:rsidRPr="00E46801" w:rsidRDefault="00523824" w:rsidP="000E0DBA">
      <w:pPr>
        <w:pStyle w:val="NormalTight"/>
        <w:ind w:left="792" w:right="1970"/>
      </w:pPr>
      <w:r w:rsidRPr="00E46801">
        <w:t>Australia</w:t>
      </w:r>
    </w:p>
    <w:p w14:paraId="68ADDC62" w14:textId="77777777" w:rsidR="00523824" w:rsidRPr="00E46801" w:rsidRDefault="00523824" w:rsidP="00523824">
      <w:pPr>
        <w:pStyle w:val="NormalTight"/>
        <w:ind w:left="792" w:right="1970"/>
      </w:pPr>
      <w:r w:rsidRPr="00E46801">
        <w:t>Telephone: +61 3 9651 5111</w:t>
      </w:r>
    </w:p>
    <w:p w14:paraId="70EC9030" w14:textId="77777777" w:rsidR="00523824" w:rsidRPr="00E46801" w:rsidRDefault="00523824" w:rsidP="00523824">
      <w:pPr>
        <w:pStyle w:val="NormalTight"/>
        <w:ind w:left="792" w:right="1970"/>
      </w:pPr>
      <w:r w:rsidRPr="00E46801">
        <w:t xml:space="preserve">Facsimile: +61 3 9651 </w:t>
      </w:r>
      <w:r>
        <w:t>2062</w:t>
      </w:r>
    </w:p>
    <w:p w14:paraId="3E64738E" w14:textId="77777777" w:rsidR="00523824" w:rsidRPr="00E46801" w:rsidRDefault="00523824" w:rsidP="00523824">
      <w:pPr>
        <w:pStyle w:val="NormalTight"/>
        <w:ind w:left="792" w:right="1970"/>
      </w:pPr>
      <w:hyperlink r:id="rId13" w:history="1">
        <w:r w:rsidRPr="00E314E4">
          <w:rPr>
            <w:rStyle w:val="Hyperlink"/>
          </w:rPr>
          <w:t>dtf.vic.gov.au</w:t>
        </w:r>
      </w:hyperlink>
    </w:p>
    <w:p w14:paraId="2EB1DAA4" w14:textId="77777777" w:rsidR="00523824" w:rsidRPr="00E46801" w:rsidRDefault="00523824" w:rsidP="00523824">
      <w:pPr>
        <w:pStyle w:val="NormalTight"/>
        <w:ind w:left="792" w:right="1970"/>
      </w:pPr>
    </w:p>
    <w:p w14:paraId="781D8710" w14:textId="77777777" w:rsidR="00523824" w:rsidRPr="00E46801" w:rsidRDefault="00523824" w:rsidP="00523824">
      <w:pPr>
        <w:pStyle w:val="NormalTight"/>
        <w:ind w:left="792" w:right="1970"/>
      </w:pPr>
      <w:r w:rsidRPr="00E46801">
        <w:t>Authorised by the Victorian Government</w:t>
      </w:r>
    </w:p>
    <w:p w14:paraId="1FD36793" w14:textId="77777777" w:rsidR="00523824" w:rsidRPr="00E46801" w:rsidRDefault="00523824" w:rsidP="00523824">
      <w:pPr>
        <w:pStyle w:val="NormalTight"/>
        <w:ind w:left="792" w:right="1970"/>
      </w:pPr>
      <w:r w:rsidRPr="00E46801">
        <w:t>1 Treasury Place, Melbourne, 3002</w:t>
      </w:r>
    </w:p>
    <w:p w14:paraId="0C394880" w14:textId="77777777" w:rsidR="00523824" w:rsidRDefault="00523824" w:rsidP="00523824">
      <w:pPr>
        <w:pStyle w:val="NormalTight"/>
        <w:ind w:left="792" w:right="1970"/>
      </w:pPr>
    </w:p>
    <w:p w14:paraId="0C9EFEAA" w14:textId="3E10E639" w:rsidR="00523824" w:rsidRPr="00891D32" w:rsidRDefault="00B4166A" w:rsidP="00523824">
      <w:pPr>
        <w:ind w:left="792" w:right="1970"/>
        <w:rPr>
          <w:rFonts w:asciiTheme="minorHAnsi" w:hAnsiTheme="minorHAnsi" w:cstheme="minorHAnsi"/>
        </w:rPr>
      </w:pPr>
      <w:r>
        <w:rPr>
          <w:rFonts w:asciiTheme="minorHAnsi" w:hAnsiTheme="minorHAnsi" w:cstheme="minorHAnsi"/>
        </w:rPr>
        <w:t xml:space="preserve">© State of Victoria </w:t>
      </w:r>
      <w:r w:rsidR="004F242B">
        <w:rPr>
          <w:rFonts w:asciiTheme="minorHAnsi" w:hAnsiTheme="minorHAnsi" w:cstheme="minorHAnsi"/>
        </w:rPr>
        <w:t>20</w:t>
      </w:r>
      <w:r w:rsidR="00795042">
        <w:rPr>
          <w:rFonts w:asciiTheme="minorHAnsi" w:hAnsiTheme="minorHAnsi" w:cstheme="minorHAnsi"/>
        </w:rPr>
        <w:t>2</w:t>
      </w:r>
      <w:r w:rsidR="009742CC">
        <w:rPr>
          <w:rFonts w:asciiTheme="minorHAnsi" w:hAnsiTheme="minorHAnsi" w:cstheme="minorHAnsi"/>
        </w:rPr>
        <w:t>4</w:t>
      </w:r>
    </w:p>
    <w:p w14:paraId="4A9C8105" w14:textId="77777777" w:rsidR="00523824" w:rsidRPr="00891D32" w:rsidRDefault="00523824" w:rsidP="00523824">
      <w:pPr>
        <w:ind w:left="792" w:right="1970"/>
        <w:rPr>
          <w:rFonts w:asciiTheme="minorHAnsi" w:hAnsiTheme="minorHAnsi" w:cstheme="minorHAnsi"/>
        </w:rPr>
      </w:pPr>
      <w:r>
        <w:rPr>
          <w:rFonts w:asciiTheme="minorHAnsi" w:hAnsiTheme="minorHAnsi" w:cstheme="minorHAnsi"/>
          <w:noProof/>
        </w:rPr>
        <w:drawing>
          <wp:inline distT="0" distB="0" distL="0" distR="0" wp14:anchorId="3AFCA221" wp14:editId="42245EFD">
            <wp:extent cx="1117460" cy="390972"/>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91D32">
        <w:rPr>
          <w:rFonts w:asciiTheme="minorHAnsi" w:hAnsiTheme="minorHAnsi" w:cstheme="minorHAnsi"/>
        </w:rPr>
        <w:t xml:space="preserve"> </w:t>
      </w:r>
    </w:p>
    <w:p w14:paraId="710E7EAC" w14:textId="77777777" w:rsidR="00523824" w:rsidRPr="000E0DBA" w:rsidRDefault="00523824" w:rsidP="00523824">
      <w:pPr>
        <w:pStyle w:val="BodyText"/>
        <w:ind w:left="792" w:right="1970"/>
      </w:pPr>
      <w:r w:rsidRPr="000E0DBA">
        <w:t xml:space="preserve">You are free to re-use this work under a </w:t>
      </w:r>
      <w:hyperlink r:id="rId15" w:history="1">
        <w:r w:rsidRPr="000E0DBA">
          <w:rPr>
            <w:rStyle w:val="Hyperlink"/>
          </w:rPr>
          <w:t>Creative Commons Attribution 4.0 licence</w:t>
        </w:r>
      </w:hyperlink>
      <w:r w:rsidRPr="000E0DBA">
        <w:rPr>
          <w:rStyle w:val="Hyperlink"/>
        </w:rPr>
        <w:t>,</w:t>
      </w:r>
      <w:r w:rsidRPr="000E0DBA">
        <w:t xml:space="preserve"> provided you credit the State of Victoria (Department of Treasury and Finance) as author, indicate if changes were made and comply with the other licence terms. The licence does not apply to any branding, including Government logos.</w:t>
      </w:r>
    </w:p>
    <w:p w14:paraId="541E6EDD" w14:textId="51A028CE" w:rsidR="00523824" w:rsidRPr="00891D32" w:rsidRDefault="00523824" w:rsidP="00523824">
      <w:pPr>
        <w:ind w:left="792" w:right="1970"/>
        <w:rPr>
          <w:rFonts w:asciiTheme="minorHAnsi" w:hAnsiTheme="minorHAnsi" w:cstheme="minorHAnsi"/>
        </w:rPr>
      </w:pPr>
      <w:r w:rsidRPr="00891D32">
        <w:rPr>
          <w:rFonts w:asciiTheme="minorHAnsi" w:hAnsiTheme="minorHAnsi" w:cstheme="minorHAnsi"/>
        </w:rPr>
        <w:t xml:space="preserve">Copyright queries may be directed to </w:t>
      </w:r>
      <w:hyperlink r:id="rId16" w:history="1">
        <w:r w:rsidRPr="00217B24">
          <w:rPr>
            <w:rStyle w:val="Hyperlink"/>
            <w:rFonts w:asciiTheme="minorHAnsi" w:hAnsiTheme="minorHAnsi" w:cstheme="minorHAnsi"/>
          </w:rPr>
          <w:t>IPpolicy@dtf.vic.gov.au</w:t>
        </w:r>
      </w:hyperlink>
      <w:r w:rsidR="00B04C5C">
        <w:rPr>
          <w:rStyle w:val="Hyperlink"/>
          <w:rFonts w:asciiTheme="minorHAnsi" w:hAnsiTheme="minorHAnsi" w:cstheme="minorHAnsi"/>
        </w:rPr>
        <w:t>.</w:t>
      </w:r>
    </w:p>
    <w:p w14:paraId="2E900128" w14:textId="77777777" w:rsidR="00523824" w:rsidRDefault="00523824" w:rsidP="00523824">
      <w:pPr>
        <w:pStyle w:val="NormalTight"/>
        <w:ind w:left="792" w:right="1970"/>
      </w:pPr>
    </w:p>
    <w:p w14:paraId="65893272" w14:textId="77777777" w:rsidR="00523824" w:rsidRPr="00C90E50" w:rsidRDefault="00EE7FBB" w:rsidP="00523824">
      <w:pPr>
        <w:pStyle w:val="NormalTight"/>
        <w:ind w:left="792" w:right="1970"/>
      </w:pPr>
      <w:r w:rsidRPr="00C90E50">
        <w:t>ISBN 978-1-922222-74-9 (pdf/online)</w:t>
      </w:r>
    </w:p>
    <w:p w14:paraId="5B61343A" w14:textId="77777777" w:rsidR="00523824" w:rsidRPr="00E46801" w:rsidRDefault="00740AAD" w:rsidP="00523824">
      <w:pPr>
        <w:pStyle w:val="NormalTight"/>
        <w:ind w:left="792" w:right="1970"/>
      </w:pPr>
      <w:r>
        <w:t>First p</w:t>
      </w:r>
      <w:r w:rsidR="006A4B5E" w:rsidRPr="00C90E50">
        <w:t xml:space="preserve">ublished </w:t>
      </w:r>
      <w:r w:rsidR="00F01DC0">
        <w:t>August</w:t>
      </w:r>
      <w:r w:rsidR="006A4B5E" w:rsidRPr="00C90E50">
        <w:t xml:space="preserve"> 2016</w:t>
      </w:r>
    </w:p>
    <w:p w14:paraId="3B1D75BA" w14:textId="77777777" w:rsidR="00523824" w:rsidRDefault="00523824" w:rsidP="00523824">
      <w:pPr>
        <w:pStyle w:val="NormalTight"/>
        <w:ind w:left="792" w:right="1970"/>
      </w:pPr>
    </w:p>
    <w:p w14:paraId="743A468B" w14:textId="77777777" w:rsidR="00523824" w:rsidRPr="00B8202F" w:rsidRDefault="00523824" w:rsidP="00523824">
      <w:pPr>
        <w:pStyle w:val="NormalTight"/>
        <w:ind w:left="792" w:right="1970"/>
      </w:pPr>
      <w:r>
        <w:t xml:space="preserve">If you would like to receive this publication in an accessible </w:t>
      </w:r>
      <w:r w:rsidR="00E23688">
        <w:t>format,</w:t>
      </w:r>
      <w:r>
        <w:t xml:space="preserve"> please </w:t>
      </w:r>
      <w:r w:rsidRPr="00B8202F">
        <w:t xml:space="preserve">email </w:t>
      </w:r>
      <w:hyperlink r:id="rId17" w:history="1">
        <w:r w:rsidRPr="00B8202F">
          <w:t>information@dtf.vic.gov.au</w:t>
        </w:r>
      </w:hyperlink>
      <w:r>
        <w:t xml:space="preserve"> </w:t>
      </w:r>
    </w:p>
    <w:p w14:paraId="7AB14ADD" w14:textId="222E8F7B" w:rsidR="00523824" w:rsidRPr="000E0DBA" w:rsidRDefault="00523824" w:rsidP="00523824">
      <w:pPr>
        <w:pStyle w:val="NormalTight"/>
        <w:ind w:left="792" w:right="1970"/>
      </w:pPr>
      <w:r w:rsidRPr="00B8202F">
        <w:t xml:space="preserve">This document is also available in </w:t>
      </w:r>
      <w:r>
        <w:t xml:space="preserve">Word and </w:t>
      </w:r>
      <w:r w:rsidRPr="00B8202F">
        <w:t xml:space="preserve">PDF format at </w:t>
      </w:r>
      <w:hyperlink r:id="rId18" w:history="1">
        <w:r w:rsidRPr="00844722">
          <w:rPr>
            <w:rStyle w:val="Hyperlink"/>
          </w:rPr>
          <w:t>dtf.vic.gov.au</w:t>
        </w:r>
      </w:hyperlink>
      <w:r w:rsidR="00B04C5C">
        <w:rPr>
          <w:rStyle w:val="Hyperlink"/>
        </w:rPr>
        <w:t>.</w:t>
      </w:r>
    </w:p>
    <w:p w14:paraId="7E91F099" w14:textId="77777777" w:rsidR="00523824" w:rsidRDefault="00523824" w:rsidP="00A16B00">
      <w:pPr>
        <w:pStyle w:val="NormalTight"/>
        <w:spacing w:before="3000"/>
        <w:ind w:left="792" w:right="1970"/>
      </w:pPr>
    </w:p>
    <w:tbl>
      <w:tblPr>
        <w:tblStyle w:val="LightList-Accent1"/>
        <w:tblW w:w="9090" w:type="dxa"/>
        <w:tblInd w:w="360" w:type="dxa"/>
        <w:tblLayout w:type="fixed"/>
        <w:tblLook w:val="0420" w:firstRow="1" w:lastRow="0" w:firstColumn="0" w:lastColumn="0" w:noHBand="0" w:noVBand="1"/>
      </w:tblPr>
      <w:tblGrid>
        <w:gridCol w:w="2340"/>
        <w:gridCol w:w="2038"/>
        <w:gridCol w:w="4712"/>
      </w:tblGrid>
      <w:tr w:rsidR="00355C93" w:rsidRPr="008373F9" w14:paraId="7CC96724" w14:textId="77777777" w:rsidTr="000F6867">
        <w:trPr>
          <w:cnfStyle w:val="100000000000" w:firstRow="1" w:lastRow="0" w:firstColumn="0" w:lastColumn="0" w:oddVBand="0" w:evenVBand="0" w:oddHBand="0" w:evenHBand="0" w:firstRowFirstColumn="0" w:firstRowLastColumn="0" w:lastRowFirstColumn="0" w:lastRowLastColumn="0"/>
        </w:trPr>
        <w:tc>
          <w:tcPr>
            <w:tcW w:w="9090" w:type="dxa"/>
            <w:gridSpan w:val="3"/>
          </w:tcPr>
          <w:p w14:paraId="3FC82893" w14:textId="77777777" w:rsidR="00355C93" w:rsidRPr="008373F9" w:rsidRDefault="004E5048" w:rsidP="00E406E1">
            <w:pPr>
              <w:pStyle w:val="Tabletext"/>
              <w:rPr>
                <w:sz w:val="22"/>
                <w:szCs w:val="22"/>
              </w:rPr>
            </w:pPr>
            <w:r>
              <w:rPr>
                <w:sz w:val="22"/>
                <w:szCs w:val="22"/>
              </w:rPr>
              <w:t>Revisions/u</w:t>
            </w:r>
            <w:r w:rsidR="00355C93" w:rsidRPr="004224A9">
              <w:rPr>
                <w:sz w:val="22"/>
                <w:szCs w:val="22"/>
              </w:rPr>
              <w:t xml:space="preserve">pdates to </w:t>
            </w:r>
            <w:r w:rsidR="00355C93">
              <w:rPr>
                <w:sz w:val="22"/>
                <w:szCs w:val="22"/>
              </w:rPr>
              <w:t>Instructions</w:t>
            </w:r>
            <w:r w:rsidR="00355C93" w:rsidRPr="004224A9">
              <w:rPr>
                <w:sz w:val="22"/>
                <w:szCs w:val="22"/>
              </w:rPr>
              <w:t xml:space="preserve"> </w:t>
            </w:r>
            <w:r w:rsidR="00E406E1" w:rsidRPr="00E406E1">
              <w:rPr>
                <w:sz w:val="22"/>
                <w:szCs w:val="22"/>
              </w:rPr>
              <w:t>date effective 1 July 2018</w:t>
            </w:r>
          </w:p>
        </w:tc>
      </w:tr>
      <w:tr w:rsidR="00355C93" w:rsidRPr="004224A9" w14:paraId="43D071C4" w14:textId="77777777" w:rsidTr="002873A2">
        <w:trPr>
          <w:cnfStyle w:val="000000100000" w:firstRow="0" w:lastRow="0" w:firstColumn="0" w:lastColumn="0" w:oddVBand="0" w:evenVBand="0" w:oddHBand="1" w:evenHBand="0" w:firstRowFirstColumn="0" w:firstRowLastColumn="0" w:lastRowFirstColumn="0" w:lastRowLastColumn="0"/>
        </w:trPr>
        <w:tc>
          <w:tcPr>
            <w:tcW w:w="2340" w:type="dxa"/>
            <w:shd w:val="clear" w:color="auto" w:fill="D6E3BC" w:themeFill="accent3" w:themeFillTint="66"/>
            <w:vAlign w:val="bottom"/>
          </w:tcPr>
          <w:p w14:paraId="5586C4D1" w14:textId="77777777" w:rsidR="00355C93" w:rsidRPr="004224A9" w:rsidRDefault="00355C93" w:rsidP="00355C93">
            <w:pPr>
              <w:pStyle w:val="Tabletext"/>
              <w:rPr>
                <w:b/>
                <w:sz w:val="20"/>
              </w:rPr>
            </w:pPr>
            <w:r>
              <w:rPr>
                <w:b/>
                <w:sz w:val="20"/>
              </w:rPr>
              <w:t>Instruction</w:t>
            </w:r>
            <w:r w:rsidRPr="004224A9">
              <w:rPr>
                <w:b/>
                <w:sz w:val="20"/>
              </w:rPr>
              <w:t xml:space="preserve">(s) </w:t>
            </w:r>
            <w:r w:rsidRPr="004224A9">
              <w:rPr>
                <w:b/>
                <w:sz w:val="20"/>
              </w:rPr>
              <w:br/>
              <w:t>revised/updated</w:t>
            </w:r>
          </w:p>
        </w:tc>
        <w:tc>
          <w:tcPr>
            <w:tcW w:w="2038" w:type="dxa"/>
            <w:shd w:val="clear" w:color="auto" w:fill="D6E3BC" w:themeFill="accent3" w:themeFillTint="66"/>
            <w:vAlign w:val="bottom"/>
          </w:tcPr>
          <w:p w14:paraId="2E395FC4" w14:textId="77777777" w:rsidR="00355C93" w:rsidRPr="004224A9" w:rsidRDefault="00355C93" w:rsidP="00355C93">
            <w:pPr>
              <w:pStyle w:val="Tabletext"/>
              <w:rPr>
                <w:b/>
                <w:sz w:val="20"/>
              </w:rPr>
            </w:pPr>
            <w:r w:rsidRPr="004224A9">
              <w:rPr>
                <w:b/>
                <w:sz w:val="20"/>
              </w:rPr>
              <w:t>Date revision came into operation</w:t>
            </w:r>
          </w:p>
        </w:tc>
        <w:tc>
          <w:tcPr>
            <w:tcW w:w="4712" w:type="dxa"/>
            <w:shd w:val="clear" w:color="auto" w:fill="D6E3BC" w:themeFill="accent3" w:themeFillTint="66"/>
            <w:vAlign w:val="bottom"/>
          </w:tcPr>
          <w:p w14:paraId="6A1BB3DF" w14:textId="77777777" w:rsidR="00355C93" w:rsidRPr="004224A9" w:rsidRDefault="00355C93" w:rsidP="00355C93">
            <w:pPr>
              <w:pStyle w:val="Tabletext"/>
              <w:rPr>
                <w:b/>
                <w:sz w:val="20"/>
              </w:rPr>
            </w:pPr>
            <w:r w:rsidRPr="004224A9">
              <w:rPr>
                <w:b/>
                <w:sz w:val="20"/>
              </w:rPr>
              <w:t>Nature of revision/update</w:t>
            </w:r>
          </w:p>
        </w:tc>
      </w:tr>
      <w:tr w:rsidR="000E0DBA" w:rsidRPr="004224A9" w14:paraId="3E10A263" w14:textId="77777777" w:rsidTr="000F6867">
        <w:trPr>
          <w:cnfStyle w:val="000000010000" w:firstRow="0" w:lastRow="0" w:firstColumn="0" w:lastColumn="0" w:oddVBand="0" w:evenVBand="0" w:oddHBand="0" w:evenHBand="1" w:firstRowFirstColumn="0" w:firstRowLastColumn="0" w:lastRowFirstColumn="0" w:lastRowLastColumn="0"/>
        </w:trPr>
        <w:tc>
          <w:tcPr>
            <w:tcW w:w="2340" w:type="dxa"/>
          </w:tcPr>
          <w:p w14:paraId="2EA93A6E" w14:textId="77777777" w:rsidR="00355C93" w:rsidRPr="004224A9" w:rsidRDefault="00355C93" w:rsidP="00355C93">
            <w:pPr>
              <w:pStyle w:val="Tabletext"/>
              <w:rPr>
                <w:szCs w:val="18"/>
              </w:rPr>
            </w:pPr>
            <w:r w:rsidRPr="00355C93">
              <w:rPr>
                <w:szCs w:val="18"/>
              </w:rPr>
              <w:t>I</w:t>
            </w:r>
            <w:r>
              <w:rPr>
                <w:szCs w:val="18"/>
              </w:rPr>
              <w:t>nstruction</w:t>
            </w:r>
            <w:r w:rsidR="00C239BA">
              <w:rPr>
                <w:szCs w:val="18"/>
              </w:rPr>
              <w:t xml:space="preserve"> 5.1, new clause </w:t>
            </w:r>
            <w:r w:rsidRPr="00355C93">
              <w:rPr>
                <w:szCs w:val="18"/>
              </w:rPr>
              <w:t>2.5</w:t>
            </w:r>
          </w:p>
        </w:tc>
        <w:tc>
          <w:tcPr>
            <w:tcW w:w="2038" w:type="dxa"/>
          </w:tcPr>
          <w:p w14:paraId="2D3359B7" w14:textId="77777777" w:rsidR="00355C93" w:rsidRPr="004224A9" w:rsidRDefault="00000000" w:rsidP="00355C93">
            <w:pPr>
              <w:pStyle w:val="Tabletext"/>
              <w:rPr>
                <w:szCs w:val="18"/>
              </w:rPr>
            </w:pPr>
            <w:sdt>
              <w:sdtPr>
                <w:rPr>
                  <w:szCs w:val="18"/>
                </w:rPr>
                <w:id w:val="-1613584631"/>
                <w:placeholder>
                  <w:docPart w:val="0ACE8E699C57468BB0669DFC21A3E146"/>
                </w:placeholder>
                <w:date w:fullDate="2018-07-01T00:00:00Z">
                  <w:dateFormat w:val="d MMMM yyyy"/>
                  <w:lid w:val="en-AU"/>
                  <w:storeMappedDataAs w:val="dateTime"/>
                  <w:calendar w:val="gregorian"/>
                </w:date>
              </w:sdtPr>
              <w:sdtContent>
                <w:r w:rsidR="003F67E6">
                  <w:rPr>
                    <w:szCs w:val="18"/>
                  </w:rPr>
                  <w:t>1 July 2018</w:t>
                </w:r>
              </w:sdtContent>
            </w:sdt>
          </w:p>
        </w:tc>
        <w:tc>
          <w:tcPr>
            <w:tcW w:w="4712" w:type="dxa"/>
          </w:tcPr>
          <w:p w14:paraId="26058D76" w14:textId="77777777" w:rsidR="00355C93" w:rsidRPr="004224A9" w:rsidRDefault="00355C93" w:rsidP="00355C93">
            <w:pPr>
              <w:pStyle w:val="Tabletext"/>
              <w:rPr>
                <w:szCs w:val="18"/>
              </w:rPr>
            </w:pPr>
            <w:r w:rsidRPr="00355C93">
              <w:rPr>
                <w:szCs w:val="18"/>
              </w:rPr>
              <w:t>Transitional attestation provisions for 2018-19 in applying Ministerial Directions under the PD&amp;CM Act 1994</w:t>
            </w:r>
          </w:p>
        </w:tc>
      </w:tr>
      <w:tr w:rsidR="00355C93" w:rsidRPr="004224A9" w14:paraId="0832B66D" w14:textId="77777777" w:rsidTr="000F6867">
        <w:trPr>
          <w:cnfStyle w:val="000000100000" w:firstRow="0" w:lastRow="0" w:firstColumn="0" w:lastColumn="0" w:oddVBand="0" w:evenVBand="0" w:oddHBand="1" w:evenHBand="0" w:firstRowFirstColumn="0" w:firstRowLastColumn="0" w:lastRowFirstColumn="0" w:lastRowLastColumn="0"/>
        </w:trPr>
        <w:tc>
          <w:tcPr>
            <w:tcW w:w="2340" w:type="dxa"/>
          </w:tcPr>
          <w:p w14:paraId="1F32847C" w14:textId="4AD68A32" w:rsidR="00FF7060" w:rsidRDefault="003D51A1" w:rsidP="00355C93">
            <w:pPr>
              <w:pStyle w:val="Tabletext"/>
              <w:rPr>
                <w:szCs w:val="18"/>
              </w:rPr>
            </w:pPr>
            <w:r>
              <w:rPr>
                <w:szCs w:val="18"/>
              </w:rPr>
              <w:t>Instruction</w:t>
            </w:r>
            <w:r w:rsidR="007618A0">
              <w:rPr>
                <w:szCs w:val="18"/>
              </w:rPr>
              <w:t xml:space="preserve"> 3.4, new sub</w:t>
            </w:r>
            <w:r w:rsidR="00BC2C92">
              <w:rPr>
                <w:szCs w:val="18"/>
              </w:rPr>
              <w:noBreakHyphen/>
            </w:r>
            <w:r w:rsidR="007618A0">
              <w:rPr>
                <w:szCs w:val="18"/>
              </w:rPr>
              <w:t xml:space="preserve">clause </w:t>
            </w:r>
            <w:r w:rsidR="00FF7060">
              <w:rPr>
                <w:szCs w:val="18"/>
              </w:rPr>
              <w:t>5.1(b)</w:t>
            </w:r>
          </w:p>
          <w:p w14:paraId="70115EB0" w14:textId="34AAD14D" w:rsidR="00355C93" w:rsidRPr="004224A9" w:rsidRDefault="00FF7060" w:rsidP="00355C93">
            <w:pPr>
              <w:pStyle w:val="Tabletext"/>
              <w:rPr>
                <w:szCs w:val="18"/>
              </w:rPr>
            </w:pPr>
            <w:r>
              <w:rPr>
                <w:szCs w:val="18"/>
              </w:rPr>
              <w:t>Instruction</w:t>
            </w:r>
            <w:r w:rsidR="00080E6A">
              <w:rPr>
                <w:szCs w:val="18"/>
              </w:rPr>
              <w:t>s</w:t>
            </w:r>
            <w:r>
              <w:rPr>
                <w:szCs w:val="18"/>
              </w:rPr>
              <w:t xml:space="preserve"> </w:t>
            </w:r>
            <w:r w:rsidR="003D51A1">
              <w:rPr>
                <w:szCs w:val="18"/>
              </w:rPr>
              <w:t>3.7.2</w:t>
            </w:r>
            <w:r w:rsidR="00BC2C92">
              <w:rPr>
                <w:szCs w:val="18"/>
              </w:rPr>
              <w:t xml:space="preserve"> and </w:t>
            </w:r>
            <w:r w:rsidR="00D65359">
              <w:rPr>
                <w:szCs w:val="18"/>
              </w:rPr>
              <w:t>3.7.2.2</w:t>
            </w:r>
          </w:p>
        </w:tc>
        <w:tc>
          <w:tcPr>
            <w:tcW w:w="2038" w:type="dxa"/>
          </w:tcPr>
          <w:p w14:paraId="656A7761" w14:textId="77777777" w:rsidR="00355C93" w:rsidRPr="004224A9" w:rsidRDefault="00000000" w:rsidP="00355C93">
            <w:pPr>
              <w:pStyle w:val="Tabletext"/>
              <w:rPr>
                <w:szCs w:val="18"/>
              </w:rPr>
            </w:pPr>
            <w:sdt>
              <w:sdtPr>
                <w:rPr>
                  <w:szCs w:val="18"/>
                </w:rPr>
                <w:id w:val="-651207611"/>
                <w:placeholder>
                  <w:docPart w:val="69BEEFEE399E409EB1C961E2BCF886E4"/>
                </w:placeholder>
                <w:date w:fullDate="2018-12-07T00:00:00Z">
                  <w:dateFormat w:val="d MMMM yyyy"/>
                  <w:lid w:val="en-AU"/>
                  <w:storeMappedDataAs w:val="dateTime"/>
                  <w:calendar w:val="gregorian"/>
                </w:date>
              </w:sdtPr>
              <w:sdtContent>
                <w:r w:rsidR="003F67E6">
                  <w:rPr>
                    <w:szCs w:val="18"/>
                  </w:rPr>
                  <w:t>7 December 2018</w:t>
                </w:r>
              </w:sdtContent>
            </w:sdt>
          </w:p>
        </w:tc>
        <w:tc>
          <w:tcPr>
            <w:tcW w:w="4712" w:type="dxa"/>
          </w:tcPr>
          <w:p w14:paraId="40729E61" w14:textId="77777777" w:rsidR="00355C93" w:rsidRPr="004224A9" w:rsidRDefault="003D51A1" w:rsidP="00355C93">
            <w:pPr>
              <w:pStyle w:val="Tabletext"/>
              <w:rPr>
                <w:szCs w:val="18"/>
              </w:rPr>
            </w:pPr>
            <w:r>
              <w:rPr>
                <w:szCs w:val="18"/>
              </w:rPr>
              <w:t>Revised to reflect implementation of Central Banking System</w:t>
            </w:r>
          </w:p>
        </w:tc>
      </w:tr>
      <w:tr w:rsidR="00CC0DE6" w:rsidRPr="004224A9" w14:paraId="5AC00938" w14:textId="77777777" w:rsidTr="000F6867">
        <w:trPr>
          <w:cnfStyle w:val="000000010000" w:firstRow="0" w:lastRow="0" w:firstColumn="0" w:lastColumn="0" w:oddVBand="0" w:evenVBand="0" w:oddHBand="0" w:evenHBand="1" w:firstRowFirstColumn="0" w:firstRowLastColumn="0" w:lastRowFirstColumn="0" w:lastRowLastColumn="0"/>
        </w:trPr>
        <w:tc>
          <w:tcPr>
            <w:tcW w:w="2340" w:type="dxa"/>
          </w:tcPr>
          <w:p w14:paraId="1C8D1624" w14:textId="77777777" w:rsidR="00CC0DE6" w:rsidRDefault="00CC0DE6" w:rsidP="00CC0DE6">
            <w:pPr>
              <w:pStyle w:val="Tabletext"/>
              <w:rPr>
                <w:szCs w:val="18"/>
              </w:rPr>
            </w:pPr>
            <w:r>
              <w:rPr>
                <w:szCs w:val="18"/>
              </w:rPr>
              <w:t>Instruction 5.1</w:t>
            </w:r>
          </w:p>
        </w:tc>
        <w:tc>
          <w:tcPr>
            <w:tcW w:w="2038" w:type="dxa"/>
          </w:tcPr>
          <w:p w14:paraId="6B9732CD" w14:textId="77777777" w:rsidR="00CC0DE6" w:rsidRDefault="00000000" w:rsidP="00CC0DE6">
            <w:pPr>
              <w:pStyle w:val="Tabletext"/>
              <w:rPr>
                <w:szCs w:val="18"/>
              </w:rPr>
            </w:pPr>
            <w:sdt>
              <w:sdtPr>
                <w:rPr>
                  <w:szCs w:val="18"/>
                </w:rPr>
                <w:id w:val="-2129613145"/>
                <w:placeholder>
                  <w:docPart w:val="029FA114E019417CBDE8D400EF97F5F0"/>
                </w:placeholder>
                <w:date w:fullDate="2018-12-07T00:00:00Z">
                  <w:dateFormat w:val="d MMMM yyyy"/>
                  <w:lid w:val="en-AU"/>
                  <w:storeMappedDataAs w:val="dateTime"/>
                  <w:calendar w:val="gregorian"/>
                </w:date>
              </w:sdtPr>
              <w:sdtContent>
                <w:r w:rsidR="003F67E6">
                  <w:rPr>
                    <w:szCs w:val="18"/>
                  </w:rPr>
                  <w:t>7 December 2018</w:t>
                </w:r>
              </w:sdtContent>
            </w:sdt>
          </w:p>
        </w:tc>
        <w:tc>
          <w:tcPr>
            <w:tcW w:w="4712" w:type="dxa"/>
          </w:tcPr>
          <w:p w14:paraId="2284C681" w14:textId="77777777" w:rsidR="00CC0DE6" w:rsidRDefault="00CC0DE6" w:rsidP="00CC0DE6">
            <w:pPr>
              <w:pStyle w:val="Tabletext"/>
              <w:rPr>
                <w:szCs w:val="18"/>
              </w:rPr>
            </w:pPr>
            <w:r>
              <w:rPr>
                <w:szCs w:val="18"/>
              </w:rPr>
              <w:t>Spent transitional provisions relating to 2015-16 and 2016-17 financial years removed</w:t>
            </w:r>
          </w:p>
        </w:tc>
      </w:tr>
      <w:tr w:rsidR="00CC0DE6" w:rsidRPr="004224A9" w14:paraId="17DD6DB7" w14:textId="77777777" w:rsidTr="000F6867">
        <w:trPr>
          <w:cnfStyle w:val="000000100000" w:firstRow="0" w:lastRow="0" w:firstColumn="0" w:lastColumn="0" w:oddVBand="0" w:evenVBand="0" w:oddHBand="1" w:evenHBand="0" w:firstRowFirstColumn="0" w:firstRowLastColumn="0" w:lastRowFirstColumn="0" w:lastRowLastColumn="0"/>
        </w:trPr>
        <w:tc>
          <w:tcPr>
            <w:tcW w:w="2340" w:type="dxa"/>
          </w:tcPr>
          <w:p w14:paraId="142E98B1" w14:textId="77777777" w:rsidR="00CC0DE6" w:rsidRPr="004224A9" w:rsidRDefault="00CC0DE6" w:rsidP="00CC0DE6">
            <w:pPr>
              <w:pStyle w:val="Tabletext"/>
              <w:rPr>
                <w:szCs w:val="18"/>
              </w:rPr>
            </w:pPr>
            <w:r>
              <w:rPr>
                <w:szCs w:val="18"/>
              </w:rPr>
              <w:t>Various</w:t>
            </w:r>
          </w:p>
        </w:tc>
        <w:tc>
          <w:tcPr>
            <w:tcW w:w="2038" w:type="dxa"/>
          </w:tcPr>
          <w:p w14:paraId="5AA46EA1" w14:textId="77777777" w:rsidR="00CC0DE6" w:rsidRPr="004224A9" w:rsidRDefault="00000000" w:rsidP="00CC0DE6">
            <w:pPr>
              <w:pStyle w:val="Tabletext"/>
              <w:rPr>
                <w:szCs w:val="18"/>
              </w:rPr>
            </w:pPr>
            <w:sdt>
              <w:sdtPr>
                <w:rPr>
                  <w:szCs w:val="18"/>
                </w:rPr>
                <w:id w:val="2113242808"/>
                <w:placeholder>
                  <w:docPart w:val="7E3D572994084740B7C4BB22AB8A69E9"/>
                </w:placeholder>
                <w:date w:fullDate="2018-12-07T00:00:00Z">
                  <w:dateFormat w:val="d MMMM yyyy"/>
                  <w:lid w:val="en-AU"/>
                  <w:storeMappedDataAs w:val="dateTime"/>
                  <w:calendar w:val="gregorian"/>
                </w:date>
              </w:sdtPr>
              <w:sdtContent>
                <w:r w:rsidR="003F67E6">
                  <w:rPr>
                    <w:szCs w:val="18"/>
                  </w:rPr>
                  <w:t>7 December 2018</w:t>
                </w:r>
              </w:sdtContent>
            </w:sdt>
          </w:p>
        </w:tc>
        <w:tc>
          <w:tcPr>
            <w:tcW w:w="4712" w:type="dxa"/>
          </w:tcPr>
          <w:p w14:paraId="7134F665" w14:textId="77777777" w:rsidR="00CC0DE6" w:rsidRPr="004224A9" w:rsidRDefault="00CC0DE6" w:rsidP="00CC0DE6">
            <w:pPr>
              <w:pStyle w:val="Tabletext"/>
              <w:rPr>
                <w:szCs w:val="18"/>
              </w:rPr>
            </w:pPr>
            <w:r>
              <w:rPr>
                <w:szCs w:val="18"/>
              </w:rPr>
              <w:t>‘Minister for Finance’ revised to ‘Assistant Treasurer’ throughout, except where reference is historical</w:t>
            </w:r>
          </w:p>
        </w:tc>
      </w:tr>
      <w:tr w:rsidR="00CC0DE6" w:rsidRPr="004224A9" w14:paraId="249B9E79" w14:textId="77777777" w:rsidTr="000F6867">
        <w:trPr>
          <w:cnfStyle w:val="000000010000" w:firstRow="0" w:lastRow="0" w:firstColumn="0" w:lastColumn="0" w:oddVBand="0" w:evenVBand="0" w:oddHBand="0" w:evenHBand="1" w:firstRowFirstColumn="0" w:firstRowLastColumn="0" w:lastRowFirstColumn="0" w:lastRowLastColumn="0"/>
        </w:trPr>
        <w:tc>
          <w:tcPr>
            <w:tcW w:w="2340" w:type="dxa"/>
          </w:tcPr>
          <w:p w14:paraId="24C6C40C" w14:textId="77777777" w:rsidR="00CC0DE6" w:rsidRPr="004224A9" w:rsidRDefault="00CC0DE6" w:rsidP="00CC0DE6">
            <w:pPr>
              <w:pStyle w:val="Tabletext"/>
              <w:rPr>
                <w:szCs w:val="18"/>
              </w:rPr>
            </w:pPr>
            <w:r>
              <w:rPr>
                <w:szCs w:val="18"/>
              </w:rPr>
              <w:t>Various</w:t>
            </w:r>
          </w:p>
        </w:tc>
        <w:tc>
          <w:tcPr>
            <w:tcW w:w="2038" w:type="dxa"/>
          </w:tcPr>
          <w:p w14:paraId="785BCD88" w14:textId="77777777" w:rsidR="00CC0DE6" w:rsidRPr="004224A9" w:rsidRDefault="00000000" w:rsidP="00CC0DE6">
            <w:pPr>
              <w:pStyle w:val="Tabletext"/>
              <w:rPr>
                <w:szCs w:val="18"/>
              </w:rPr>
            </w:pPr>
            <w:sdt>
              <w:sdtPr>
                <w:rPr>
                  <w:szCs w:val="18"/>
                </w:rPr>
                <w:id w:val="1691565306"/>
                <w:placeholder>
                  <w:docPart w:val="59516978A8AF4CA8B887C0AF38B6B299"/>
                </w:placeholder>
                <w:date w:fullDate="2018-12-07T00:00:00Z">
                  <w:dateFormat w:val="d MMMM yyyy"/>
                  <w:lid w:val="en-AU"/>
                  <w:storeMappedDataAs w:val="dateTime"/>
                  <w:calendar w:val="gregorian"/>
                </w:date>
              </w:sdtPr>
              <w:sdtContent>
                <w:r w:rsidR="003F67E6">
                  <w:rPr>
                    <w:szCs w:val="18"/>
                  </w:rPr>
                  <w:t>7 December 2018</w:t>
                </w:r>
              </w:sdtContent>
            </w:sdt>
          </w:p>
        </w:tc>
        <w:tc>
          <w:tcPr>
            <w:tcW w:w="4712" w:type="dxa"/>
          </w:tcPr>
          <w:p w14:paraId="74E8DE0D" w14:textId="77777777" w:rsidR="00CC0DE6" w:rsidRPr="004224A9" w:rsidRDefault="00CC0DE6" w:rsidP="00CC0DE6">
            <w:pPr>
              <w:pStyle w:val="Tabletext"/>
              <w:rPr>
                <w:szCs w:val="18"/>
              </w:rPr>
            </w:pPr>
            <w:r>
              <w:rPr>
                <w:szCs w:val="18"/>
              </w:rPr>
              <w:t>References to departments revised to accommodate Machinery of Government changes effective 1 January 2019 (prior to this date existing departmental names are to be used)</w:t>
            </w:r>
          </w:p>
        </w:tc>
      </w:tr>
      <w:tr w:rsidR="00CC0DE6" w:rsidRPr="004224A9" w14:paraId="57CE2032" w14:textId="77777777" w:rsidTr="000F6867">
        <w:trPr>
          <w:cnfStyle w:val="000000100000" w:firstRow="0" w:lastRow="0" w:firstColumn="0" w:lastColumn="0" w:oddVBand="0" w:evenVBand="0" w:oddHBand="1" w:evenHBand="0" w:firstRowFirstColumn="0" w:firstRowLastColumn="0" w:lastRowFirstColumn="0" w:lastRowLastColumn="0"/>
        </w:trPr>
        <w:tc>
          <w:tcPr>
            <w:tcW w:w="2340" w:type="dxa"/>
          </w:tcPr>
          <w:p w14:paraId="011B4447" w14:textId="4A8242DA" w:rsidR="00CC0DE6" w:rsidRPr="004224A9" w:rsidRDefault="00063C4F" w:rsidP="00CC0DE6">
            <w:pPr>
              <w:pStyle w:val="Tabletext"/>
              <w:rPr>
                <w:szCs w:val="18"/>
              </w:rPr>
            </w:pPr>
            <w:r>
              <w:rPr>
                <w:szCs w:val="18"/>
              </w:rPr>
              <w:t xml:space="preserve">Revisions to Instructions </w:t>
            </w:r>
            <w:r w:rsidR="001F01B4">
              <w:rPr>
                <w:szCs w:val="18"/>
              </w:rPr>
              <w:t>3.6</w:t>
            </w:r>
            <w:r w:rsidR="00BC2C92">
              <w:rPr>
                <w:szCs w:val="18"/>
              </w:rPr>
              <w:t xml:space="preserve"> and </w:t>
            </w:r>
            <w:r w:rsidR="001F01B4">
              <w:rPr>
                <w:szCs w:val="18"/>
              </w:rPr>
              <w:t>5.1</w:t>
            </w:r>
          </w:p>
        </w:tc>
        <w:tc>
          <w:tcPr>
            <w:tcW w:w="2038" w:type="dxa"/>
          </w:tcPr>
          <w:p w14:paraId="0E1713BD" w14:textId="77777777" w:rsidR="00CC0DE6" w:rsidRPr="004224A9" w:rsidRDefault="00000000" w:rsidP="00CC0DE6">
            <w:pPr>
              <w:pStyle w:val="Tabletext"/>
              <w:rPr>
                <w:szCs w:val="18"/>
              </w:rPr>
            </w:pPr>
            <w:sdt>
              <w:sdtPr>
                <w:rPr>
                  <w:szCs w:val="18"/>
                </w:rPr>
                <w:id w:val="1100841093"/>
                <w:placeholder>
                  <w:docPart w:val="BBF4374143F74F8EAFC7077B62929F47"/>
                </w:placeholder>
                <w:date w:fullDate="2019-12-13T00:00:00Z">
                  <w:dateFormat w:val="d MMMM yyyy"/>
                  <w:lid w:val="en-AU"/>
                  <w:storeMappedDataAs w:val="dateTime"/>
                  <w:calendar w:val="gregorian"/>
                </w:date>
              </w:sdtPr>
              <w:sdtContent>
                <w:r w:rsidR="003F67E6">
                  <w:rPr>
                    <w:szCs w:val="18"/>
                  </w:rPr>
                  <w:t>13 December 2019</w:t>
                </w:r>
              </w:sdtContent>
            </w:sdt>
          </w:p>
        </w:tc>
        <w:tc>
          <w:tcPr>
            <w:tcW w:w="4712" w:type="dxa"/>
          </w:tcPr>
          <w:p w14:paraId="265CF921" w14:textId="77777777" w:rsidR="00CC0DE6" w:rsidRPr="004224A9" w:rsidRDefault="00063C4F" w:rsidP="00CC0DE6">
            <w:pPr>
              <w:pStyle w:val="Tabletext"/>
              <w:rPr>
                <w:szCs w:val="18"/>
              </w:rPr>
            </w:pPr>
            <w:r>
              <w:rPr>
                <w:szCs w:val="18"/>
              </w:rPr>
              <w:t>Revisions to update and clarify operational requirements</w:t>
            </w:r>
          </w:p>
        </w:tc>
      </w:tr>
      <w:tr w:rsidR="00B60C67" w:rsidRPr="004224A9" w14:paraId="1AB3DF7D" w14:textId="77777777" w:rsidTr="000F6867">
        <w:trPr>
          <w:cnfStyle w:val="000000010000" w:firstRow="0" w:lastRow="0" w:firstColumn="0" w:lastColumn="0" w:oddVBand="0" w:evenVBand="0" w:oddHBand="0" w:evenHBand="1" w:firstRowFirstColumn="0" w:firstRowLastColumn="0" w:lastRowFirstColumn="0" w:lastRowLastColumn="0"/>
        </w:trPr>
        <w:tc>
          <w:tcPr>
            <w:tcW w:w="2340" w:type="dxa"/>
          </w:tcPr>
          <w:p w14:paraId="19B5FF03" w14:textId="306C01DC" w:rsidR="00B60C67" w:rsidRPr="004224A9" w:rsidRDefault="00B60C67" w:rsidP="00B874A7">
            <w:pPr>
              <w:pStyle w:val="Tabletext"/>
              <w:rPr>
                <w:szCs w:val="18"/>
              </w:rPr>
            </w:pPr>
            <w:r>
              <w:rPr>
                <w:szCs w:val="18"/>
              </w:rPr>
              <w:t>Revisions to Instructions</w:t>
            </w:r>
            <w:r w:rsidR="00FE25CB">
              <w:rPr>
                <w:szCs w:val="18"/>
              </w:rPr>
              <w:t xml:space="preserve"> 3.4, 3.7.2</w:t>
            </w:r>
            <w:r w:rsidR="00BC2C92">
              <w:rPr>
                <w:szCs w:val="18"/>
              </w:rPr>
              <w:t xml:space="preserve"> and</w:t>
            </w:r>
            <w:r w:rsidR="000F6867">
              <w:rPr>
                <w:szCs w:val="18"/>
              </w:rPr>
              <w:t> </w:t>
            </w:r>
            <w:r w:rsidR="00FE25CB">
              <w:rPr>
                <w:szCs w:val="18"/>
              </w:rPr>
              <w:t>3.7.2.3</w:t>
            </w:r>
            <w:r>
              <w:rPr>
                <w:szCs w:val="18"/>
              </w:rPr>
              <w:t xml:space="preserve"> </w:t>
            </w:r>
          </w:p>
        </w:tc>
        <w:tc>
          <w:tcPr>
            <w:tcW w:w="2038" w:type="dxa"/>
          </w:tcPr>
          <w:p w14:paraId="7604D3FA" w14:textId="77777777" w:rsidR="00B60C67" w:rsidRPr="004224A9" w:rsidRDefault="00000000" w:rsidP="00B874A7">
            <w:pPr>
              <w:pStyle w:val="Tabletext"/>
              <w:rPr>
                <w:szCs w:val="18"/>
              </w:rPr>
            </w:pPr>
            <w:sdt>
              <w:sdtPr>
                <w:rPr>
                  <w:szCs w:val="18"/>
                </w:rPr>
                <w:id w:val="1292180878"/>
                <w:placeholder>
                  <w:docPart w:val="FC0BF60CF656409FBE118915F8BE1DF8"/>
                </w:placeholder>
                <w:date w:fullDate="2021-02-01T00:00:00Z">
                  <w:dateFormat w:val="d MMMM yyyy"/>
                  <w:lid w:val="en-AU"/>
                  <w:storeMappedDataAs w:val="dateTime"/>
                  <w:calendar w:val="gregorian"/>
                </w:date>
              </w:sdtPr>
              <w:sdtContent>
                <w:r w:rsidR="003F67E6">
                  <w:rPr>
                    <w:szCs w:val="18"/>
                  </w:rPr>
                  <w:t>1 February 2021</w:t>
                </w:r>
              </w:sdtContent>
            </w:sdt>
          </w:p>
        </w:tc>
        <w:tc>
          <w:tcPr>
            <w:tcW w:w="4712" w:type="dxa"/>
          </w:tcPr>
          <w:p w14:paraId="32451F5F" w14:textId="77777777" w:rsidR="00B60C67" w:rsidRDefault="00B60C67" w:rsidP="00B874A7">
            <w:pPr>
              <w:pStyle w:val="Tabletext"/>
              <w:rPr>
                <w:szCs w:val="18"/>
              </w:rPr>
            </w:pPr>
            <w:r>
              <w:rPr>
                <w:szCs w:val="18"/>
              </w:rPr>
              <w:t>Revisions to update references to Central Banking System</w:t>
            </w:r>
          </w:p>
          <w:p w14:paraId="20D15B9A" w14:textId="77777777" w:rsidR="00F740A7" w:rsidRPr="00F740A7" w:rsidRDefault="00F740A7" w:rsidP="00BF0DD9">
            <w:pPr>
              <w:pStyle w:val="Tabletext"/>
              <w:rPr>
                <w:szCs w:val="18"/>
              </w:rPr>
            </w:pPr>
            <w:r>
              <w:rPr>
                <w:szCs w:val="18"/>
              </w:rPr>
              <w:t xml:space="preserve">Transition from use of </w:t>
            </w:r>
            <w:r w:rsidRPr="00F740A7">
              <w:rPr>
                <w:i/>
                <w:iCs/>
                <w:szCs w:val="18"/>
              </w:rPr>
              <w:t xml:space="preserve">Cost Recovery Guidelines </w:t>
            </w:r>
            <w:r w:rsidRPr="00F740A7">
              <w:rPr>
                <w:szCs w:val="18"/>
              </w:rPr>
              <w:t>to</w:t>
            </w:r>
            <w:r w:rsidRPr="00F740A7">
              <w:rPr>
                <w:i/>
                <w:iCs/>
                <w:szCs w:val="18"/>
              </w:rPr>
              <w:t xml:space="preserve"> Pricing for Value Guide</w:t>
            </w:r>
          </w:p>
        </w:tc>
      </w:tr>
      <w:tr w:rsidR="002A255D" w:rsidRPr="004224A9" w14:paraId="6A0AEA38" w14:textId="77777777" w:rsidTr="000F6867">
        <w:trPr>
          <w:cnfStyle w:val="000000100000" w:firstRow="0" w:lastRow="0" w:firstColumn="0" w:lastColumn="0" w:oddVBand="0" w:evenVBand="0" w:oddHBand="1" w:evenHBand="0" w:firstRowFirstColumn="0" w:firstRowLastColumn="0" w:lastRowFirstColumn="0" w:lastRowLastColumn="0"/>
        </w:trPr>
        <w:tc>
          <w:tcPr>
            <w:tcW w:w="2340" w:type="dxa"/>
          </w:tcPr>
          <w:p w14:paraId="61A50E94" w14:textId="799994BB" w:rsidR="002A255D" w:rsidRDefault="002A255D" w:rsidP="002A255D">
            <w:pPr>
              <w:pStyle w:val="Tabletext"/>
              <w:rPr>
                <w:szCs w:val="18"/>
              </w:rPr>
            </w:pPr>
            <w:r w:rsidRPr="00355C93">
              <w:rPr>
                <w:szCs w:val="18"/>
              </w:rPr>
              <w:t>I</w:t>
            </w:r>
            <w:r>
              <w:rPr>
                <w:szCs w:val="18"/>
              </w:rPr>
              <w:t>nstruction 5.1, new clause </w:t>
            </w:r>
            <w:r w:rsidRPr="00355C93">
              <w:rPr>
                <w:szCs w:val="18"/>
              </w:rPr>
              <w:t>2.</w:t>
            </w:r>
            <w:r>
              <w:rPr>
                <w:szCs w:val="18"/>
              </w:rPr>
              <w:t>4</w:t>
            </w:r>
          </w:p>
        </w:tc>
        <w:tc>
          <w:tcPr>
            <w:tcW w:w="2038" w:type="dxa"/>
          </w:tcPr>
          <w:p w14:paraId="142D2FAA" w14:textId="4642F188" w:rsidR="002A255D" w:rsidRDefault="00000000" w:rsidP="002A255D">
            <w:pPr>
              <w:pStyle w:val="Tabletext"/>
              <w:rPr>
                <w:szCs w:val="18"/>
              </w:rPr>
            </w:pPr>
            <w:sdt>
              <w:sdtPr>
                <w:rPr>
                  <w:szCs w:val="18"/>
                </w:rPr>
                <w:id w:val="-643122416"/>
                <w:placeholder>
                  <w:docPart w:val="18396657D89242809DE4B906E782B439"/>
                </w:placeholder>
                <w:date w:fullDate="2021-12-23T00:00:00Z">
                  <w:dateFormat w:val="d MMMM yyyy"/>
                  <w:lid w:val="en-AU"/>
                  <w:storeMappedDataAs w:val="dateTime"/>
                  <w:calendar w:val="gregorian"/>
                </w:date>
              </w:sdtPr>
              <w:sdtContent>
                <w:r w:rsidR="002A255D">
                  <w:rPr>
                    <w:szCs w:val="18"/>
                  </w:rPr>
                  <w:t>23 December 2021</w:t>
                </w:r>
              </w:sdtContent>
            </w:sdt>
          </w:p>
        </w:tc>
        <w:tc>
          <w:tcPr>
            <w:tcW w:w="4712" w:type="dxa"/>
          </w:tcPr>
          <w:p w14:paraId="248A55D1" w14:textId="60A2AF15" w:rsidR="002A255D" w:rsidRDefault="002A255D" w:rsidP="002A255D">
            <w:pPr>
              <w:pStyle w:val="Tabletext"/>
              <w:rPr>
                <w:szCs w:val="18"/>
              </w:rPr>
            </w:pPr>
            <w:r w:rsidRPr="00355C93">
              <w:rPr>
                <w:szCs w:val="18"/>
              </w:rPr>
              <w:t xml:space="preserve">Transitional attestation provisions for </w:t>
            </w:r>
            <w:r>
              <w:rPr>
                <w:szCs w:val="18"/>
              </w:rPr>
              <w:t>2021-22</w:t>
            </w:r>
            <w:r w:rsidRPr="00355C93">
              <w:rPr>
                <w:szCs w:val="18"/>
              </w:rPr>
              <w:t xml:space="preserve"> in applying </w:t>
            </w:r>
            <w:r>
              <w:rPr>
                <w:szCs w:val="18"/>
              </w:rPr>
              <w:t>Direction 4.2.1.2</w:t>
            </w:r>
            <w:r w:rsidR="00E6285B">
              <w:rPr>
                <w:szCs w:val="18"/>
              </w:rPr>
              <w:t xml:space="preserve"> – Agencies subject to VGPB coverage</w:t>
            </w:r>
          </w:p>
        </w:tc>
      </w:tr>
      <w:tr w:rsidR="009A4A64" w:rsidRPr="004224A9" w14:paraId="6BAB3A83" w14:textId="77777777" w:rsidTr="000F6867">
        <w:trPr>
          <w:cnfStyle w:val="000000010000" w:firstRow="0" w:lastRow="0" w:firstColumn="0" w:lastColumn="0" w:oddVBand="0" w:evenVBand="0" w:oddHBand="0" w:evenHBand="1" w:firstRowFirstColumn="0" w:firstRowLastColumn="0" w:lastRowFirstColumn="0" w:lastRowLastColumn="0"/>
        </w:trPr>
        <w:tc>
          <w:tcPr>
            <w:tcW w:w="2340" w:type="dxa"/>
          </w:tcPr>
          <w:p w14:paraId="344AF264" w14:textId="5144C997" w:rsidR="009A4A64" w:rsidRPr="00355C93" w:rsidRDefault="009A4A64" w:rsidP="002A255D">
            <w:pPr>
              <w:pStyle w:val="Tabletext"/>
              <w:rPr>
                <w:szCs w:val="18"/>
              </w:rPr>
            </w:pPr>
            <w:r>
              <w:rPr>
                <w:szCs w:val="18"/>
              </w:rPr>
              <w:t>Instruction 3.6</w:t>
            </w:r>
          </w:p>
        </w:tc>
        <w:tc>
          <w:tcPr>
            <w:tcW w:w="2038" w:type="dxa"/>
          </w:tcPr>
          <w:p w14:paraId="3A41A844" w14:textId="66447C9A" w:rsidR="009A4A64" w:rsidRDefault="00857786" w:rsidP="002A255D">
            <w:pPr>
              <w:pStyle w:val="Tabletext"/>
              <w:rPr>
                <w:szCs w:val="18"/>
              </w:rPr>
            </w:pPr>
            <w:r>
              <w:rPr>
                <w:szCs w:val="18"/>
              </w:rPr>
              <w:t>28</w:t>
            </w:r>
            <w:r w:rsidR="009A4A64">
              <w:rPr>
                <w:szCs w:val="18"/>
              </w:rPr>
              <w:t xml:space="preserve"> December 2022</w:t>
            </w:r>
          </w:p>
        </w:tc>
        <w:tc>
          <w:tcPr>
            <w:tcW w:w="4712" w:type="dxa"/>
          </w:tcPr>
          <w:p w14:paraId="03E10C8D" w14:textId="3567F4E1" w:rsidR="009A4A64" w:rsidRPr="00355C93" w:rsidRDefault="009A4A64" w:rsidP="002A255D">
            <w:pPr>
              <w:pStyle w:val="Tabletext"/>
              <w:rPr>
                <w:szCs w:val="18"/>
              </w:rPr>
            </w:pPr>
            <w:r>
              <w:rPr>
                <w:szCs w:val="18"/>
              </w:rPr>
              <w:t>Revisions to clarify that employees of the relevant Agency for the purposes of Instruction 3.6 may include persons listed in Direction 2.5(d)</w:t>
            </w:r>
          </w:p>
        </w:tc>
      </w:tr>
      <w:tr w:rsidR="00C76642" w:rsidRPr="004224A9" w14:paraId="2C26E91C" w14:textId="77777777" w:rsidTr="000F6867">
        <w:trPr>
          <w:cnfStyle w:val="000000100000" w:firstRow="0" w:lastRow="0" w:firstColumn="0" w:lastColumn="0" w:oddVBand="0" w:evenVBand="0" w:oddHBand="1" w:evenHBand="0" w:firstRowFirstColumn="0" w:firstRowLastColumn="0" w:lastRowFirstColumn="0" w:lastRowLastColumn="0"/>
        </w:trPr>
        <w:tc>
          <w:tcPr>
            <w:tcW w:w="2340" w:type="dxa"/>
          </w:tcPr>
          <w:p w14:paraId="2F5167ED" w14:textId="7336F071" w:rsidR="00C76642" w:rsidRDefault="00C76642" w:rsidP="002A255D">
            <w:pPr>
              <w:pStyle w:val="Tabletext"/>
              <w:rPr>
                <w:szCs w:val="18"/>
              </w:rPr>
            </w:pPr>
            <w:r>
              <w:rPr>
                <w:szCs w:val="18"/>
              </w:rPr>
              <w:t>Instruction 5.1</w:t>
            </w:r>
          </w:p>
        </w:tc>
        <w:tc>
          <w:tcPr>
            <w:tcW w:w="2038" w:type="dxa"/>
          </w:tcPr>
          <w:p w14:paraId="610CBF4C" w14:textId="35C21C91" w:rsidR="00C76642" w:rsidRDefault="00AD4242" w:rsidP="002A255D">
            <w:pPr>
              <w:pStyle w:val="Tabletext"/>
              <w:rPr>
                <w:szCs w:val="18"/>
              </w:rPr>
            </w:pPr>
            <w:r>
              <w:rPr>
                <w:szCs w:val="18"/>
              </w:rPr>
              <w:t>4 September 2023</w:t>
            </w:r>
          </w:p>
        </w:tc>
        <w:tc>
          <w:tcPr>
            <w:tcW w:w="4712" w:type="dxa"/>
          </w:tcPr>
          <w:p w14:paraId="4113B581" w14:textId="2AC6C506" w:rsidR="00C76642" w:rsidRDefault="00980C60" w:rsidP="002A255D">
            <w:pPr>
              <w:pStyle w:val="Tabletext"/>
              <w:rPr>
                <w:szCs w:val="18"/>
              </w:rPr>
            </w:pPr>
            <w:r>
              <w:rPr>
                <w:szCs w:val="18"/>
              </w:rPr>
              <w:t>Revised</w:t>
            </w:r>
            <w:r w:rsidR="00C76642">
              <w:rPr>
                <w:szCs w:val="18"/>
              </w:rPr>
              <w:t xml:space="preserve"> the date </w:t>
            </w:r>
            <w:r>
              <w:rPr>
                <w:szCs w:val="18"/>
              </w:rPr>
              <w:t>by which</w:t>
            </w:r>
            <w:r w:rsidR="00C76642">
              <w:rPr>
                <w:szCs w:val="18"/>
              </w:rPr>
              <w:t xml:space="preserve"> DTF is required to report to the Assistant Treasurer on financial management compliance </w:t>
            </w:r>
          </w:p>
        </w:tc>
      </w:tr>
      <w:tr w:rsidR="00C76642" w:rsidRPr="004224A9" w14:paraId="3A5E9D8B" w14:textId="77777777" w:rsidTr="000F6867">
        <w:trPr>
          <w:cnfStyle w:val="000000010000" w:firstRow="0" w:lastRow="0" w:firstColumn="0" w:lastColumn="0" w:oddVBand="0" w:evenVBand="0" w:oddHBand="0" w:evenHBand="1" w:firstRowFirstColumn="0" w:firstRowLastColumn="0" w:lastRowFirstColumn="0" w:lastRowLastColumn="0"/>
        </w:trPr>
        <w:tc>
          <w:tcPr>
            <w:tcW w:w="2340" w:type="dxa"/>
          </w:tcPr>
          <w:p w14:paraId="49746613" w14:textId="1CD64B97" w:rsidR="00C76642" w:rsidRDefault="00C76642" w:rsidP="002A255D">
            <w:pPr>
              <w:pStyle w:val="Tabletext"/>
              <w:rPr>
                <w:szCs w:val="18"/>
              </w:rPr>
            </w:pPr>
            <w:r>
              <w:rPr>
                <w:szCs w:val="18"/>
              </w:rPr>
              <w:t>Instruction 7.1</w:t>
            </w:r>
          </w:p>
        </w:tc>
        <w:tc>
          <w:tcPr>
            <w:tcW w:w="2038" w:type="dxa"/>
          </w:tcPr>
          <w:p w14:paraId="117CCC0F" w14:textId="3481774A" w:rsidR="00C76642" w:rsidRDefault="00AD4242" w:rsidP="002A255D">
            <w:pPr>
              <w:pStyle w:val="Tabletext"/>
              <w:rPr>
                <w:szCs w:val="18"/>
              </w:rPr>
            </w:pPr>
            <w:r>
              <w:rPr>
                <w:szCs w:val="18"/>
              </w:rPr>
              <w:t>4 September 2023</w:t>
            </w:r>
          </w:p>
        </w:tc>
        <w:tc>
          <w:tcPr>
            <w:tcW w:w="4712" w:type="dxa"/>
          </w:tcPr>
          <w:p w14:paraId="7BAD172A" w14:textId="302DCBF9" w:rsidR="00C76642" w:rsidRDefault="00C76642" w:rsidP="002A255D">
            <w:pPr>
              <w:pStyle w:val="Tabletext"/>
              <w:rPr>
                <w:szCs w:val="18"/>
              </w:rPr>
            </w:pPr>
            <w:r>
              <w:rPr>
                <w:szCs w:val="18"/>
              </w:rPr>
              <w:t xml:space="preserve">Removed reference to </w:t>
            </w:r>
            <w:r w:rsidRPr="00371560">
              <w:rPr>
                <w:i/>
                <w:iCs/>
                <w:szCs w:val="18"/>
              </w:rPr>
              <w:t>Cost Recovery Guidelines</w:t>
            </w:r>
          </w:p>
        </w:tc>
      </w:tr>
      <w:tr w:rsidR="00615519" w:rsidRPr="004224A9" w14:paraId="131BA0A8" w14:textId="77777777" w:rsidTr="000F6867">
        <w:trPr>
          <w:cnfStyle w:val="000000100000" w:firstRow="0" w:lastRow="0" w:firstColumn="0" w:lastColumn="0" w:oddVBand="0" w:evenVBand="0" w:oddHBand="1" w:evenHBand="0" w:firstRowFirstColumn="0" w:firstRowLastColumn="0" w:lastRowFirstColumn="0" w:lastRowLastColumn="0"/>
        </w:trPr>
        <w:tc>
          <w:tcPr>
            <w:tcW w:w="2340" w:type="dxa"/>
          </w:tcPr>
          <w:p w14:paraId="12A8F63E" w14:textId="24197A54" w:rsidR="00615519" w:rsidRDefault="00615519" w:rsidP="002A255D">
            <w:pPr>
              <w:pStyle w:val="Tabletext"/>
              <w:rPr>
                <w:szCs w:val="18"/>
              </w:rPr>
            </w:pPr>
            <w:r>
              <w:rPr>
                <w:szCs w:val="18"/>
              </w:rPr>
              <w:t>Revisions to Instruction 3.6</w:t>
            </w:r>
          </w:p>
        </w:tc>
        <w:tc>
          <w:tcPr>
            <w:tcW w:w="2038" w:type="dxa"/>
          </w:tcPr>
          <w:p w14:paraId="76FB5F25" w14:textId="2CD61306" w:rsidR="00615519" w:rsidRDefault="001A09EE" w:rsidP="002A255D">
            <w:pPr>
              <w:pStyle w:val="Tabletext"/>
              <w:rPr>
                <w:szCs w:val="18"/>
              </w:rPr>
            </w:pPr>
            <w:r>
              <w:rPr>
                <w:szCs w:val="18"/>
              </w:rPr>
              <w:t>24 May 2024</w:t>
            </w:r>
          </w:p>
        </w:tc>
        <w:tc>
          <w:tcPr>
            <w:tcW w:w="4712" w:type="dxa"/>
          </w:tcPr>
          <w:p w14:paraId="247E0F3F" w14:textId="3A287D83" w:rsidR="00615519" w:rsidRDefault="00615519" w:rsidP="002A255D">
            <w:pPr>
              <w:pStyle w:val="Tabletext"/>
              <w:rPr>
                <w:szCs w:val="18"/>
              </w:rPr>
            </w:pPr>
            <w:r>
              <w:rPr>
                <w:szCs w:val="18"/>
              </w:rPr>
              <w:t>Revisions to update operational requirements</w:t>
            </w:r>
          </w:p>
        </w:tc>
      </w:tr>
    </w:tbl>
    <w:p w14:paraId="0AC632E3" w14:textId="77777777" w:rsidR="00355C93" w:rsidRDefault="00355C93" w:rsidP="006B7963">
      <w:pPr>
        <w:pStyle w:val="NormalTight"/>
        <w:ind w:left="792" w:right="1970"/>
      </w:pPr>
    </w:p>
    <w:p w14:paraId="709AD4C0" w14:textId="77777777" w:rsidR="006B7963" w:rsidRDefault="006B7963" w:rsidP="006B7963">
      <w:pPr>
        <w:pStyle w:val="NormalTight"/>
        <w:ind w:left="792" w:right="1970"/>
      </w:pPr>
    </w:p>
    <w:p w14:paraId="7EE0C2FB" w14:textId="77777777" w:rsidR="00523824" w:rsidRDefault="00523824" w:rsidP="000E0DBA"/>
    <w:p w14:paraId="0FA5137E" w14:textId="37ABDC52" w:rsidR="00731778" w:rsidRDefault="00731778" w:rsidP="00521496">
      <w:pPr>
        <w:sectPr w:rsidR="00731778" w:rsidSect="00CF2B85">
          <w:headerReference w:type="default" r:id="rId19"/>
          <w:pgSz w:w="11906" w:h="16838"/>
          <w:pgMar w:top="1440" w:right="1008" w:bottom="1440" w:left="1008" w:header="706" w:footer="395" w:gutter="0"/>
          <w:cols w:space="708"/>
          <w:titlePg/>
          <w:docGrid w:linePitch="360"/>
        </w:sectPr>
      </w:pPr>
    </w:p>
    <w:p w14:paraId="4AE98970" w14:textId="77777777" w:rsidR="00186412" w:rsidRDefault="00186412" w:rsidP="00123FD7">
      <w:pPr>
        <w:pStyle w:val="Instructionstitle"/>
      </w:pPr>
      <w:r>
        <w:lastRenderedPageBreak/>
        <w:t>Instructions</w:t>
      </w:r>
    </w:p>
    <w:p w14:paraId="7C4A5E28" w14:textId="77777777" w:rsidR="00186412" w:rsidRPr="00D14E07" w:rsidRDefault="00ED46CB" w:rsidP="00186412">
      <w:r>
        <w:t xml:space="preserve">The </w:t>
      </w:r>
      <w:r w:rsidR="00141670">
        <w:t xml:space="preserve">Instructions are </w:t>
      </w:r>
      <w:r w:rsidR="00D14E07">
        <w:t>issued</w:t>
      </w:r>
      <w:r w:rsidR="00141670">
        <w:t xml:space="preserve"> by the Department of Treasury and Finance under the </w:t>
      </w:r>
      <w:r w:rsidR="00546A49">
        <w:t xml:space="preserve">23 February 2016 </w:t>
      </w:r>
      <w:r w:rsidR="00141670">
        <w:t xml:space="preserve">delegation of the </w:t>
      </w:r>
      <w:r w:rsidR="003039BB">
        <w:t>Minister for Finance</w:t>
      </w:r>
      <w:r w:rsidR="00141670">
        <w:t xml:space="preserve"> under the </w:t>
      </w:r>
      <w:r w:rsidR="00141670" w:rsidRPr="002E09AD">
        <w:rPr>
          <w:i/>
        </w:rPr>
        <w:t>Financial Management Act 1994.</w:t>
      </w:r>
      <w:r w:rsidR="00D14E07">
        <w:rPr>
          <w:i/>
        </w:rPr>
        <w:t xml:space="preserve"> </w:t>
      </w:r>
    </w:p>
    <w:p w14:paraId="4C0B27E1" w14:textId="77777777" w:rsidR="00141670" w:rsidRDefault="00141670" w:rsidP="00186412">
      <w:r>
        <w:t xml:space="preserve">The Instructions </w:t>
      </w:r>
      <w:r w:rsidR="00D14E07">
        <w:t xml:space="preserve">supplement the Standing Directions </w:t>
      </w:r>
      <w:r w:rsidR="003039BB">
        <w:t xml:space="preserve">made under the </w:t>
      </w:r>
      <w:r w:rsidR="003039BB" w:rsidRPr="000A6A01">
        <w:rPr>
          <w:i/>
        </w:rPr>
        <w:t>Financial Management Act 1994</w:t>
      </w:r>
      <w:r w:rsidR="00D14E07">
        <w:t xml:space="preserve"> (Directions). They </w:t>
      </w:r>
      <w:r>
        <w:t xml:space="preserve">provide more detailed </w:t>
      </w:r>
      <w:r w:rsidRPr="00141670">
        <w:rPr>
          <w:b/>
        </w:rPr>
        <w:t>mandatory</w:t>
      </w:r>
      <w:r>
        <w:t xml:space="preserve"> requirements, </w:t>
      </w:r>
      <w:r w:rsidR="00D14E07">
        <w:t xml:space="preserve">processes and procedures </w:t>
      </w:r>
      <w:r>
        <w:t>designed for specific areas of risk</w:t>
      </w:r>
      <w:r w:rsidR="00D14E07">
        <w:t xml:space="preserve">. </w:t>
      </w:r>
    </w:p>
    <w:p w14:paraId="6305CC9C" w14:textId="77777777" w:rsidR="00827537" w:rsidRDefault="00D02AC3" w:rsidP="00186412">
      <w:r>
        <w:t>The numbering</w:t>
      </w:r>
      <w:r w:rsidR="00D14E07">
        <w:t xml:space="preserve"> of the Instructions</w:t>
      </w:r>
      <w:r w:rsidR="00827537">
        <w:t xml:space="preserve"> correspond</w:t>
      </w:r>
      <w:r>
        <w:t>s</w:t>
      </w:r>
      <w:r w:rsidR="00827537">
        <w:t xml:space="preserve"> with the associated Directions.</w:t>
      </w:r>
    </w:p>
    <w:p w14:paraId="70876FC2" w14:textId="77777777" w:rsidR="00186412" w:rsidRDefault="00D14E07" w:rsidP="00186412">
      <w:r>
        <w:t>T</w:t>
      </w:r>
      <w:r w:rsidR="00186412">
        <w:t xml:space="preserve">he </w:t>
      </w:r>
      <w:r w:rsidR="00141670">
        <w:t>Instructions</w:t>
      </w:r>
      <w:r>
        <w:t xml:space="preserve"> are as follows</w:t>
      </w:r>
      <w:r w:rsidR="00186412">
        <w:t>:</w:t>
      </w:r>
    </w:p>
    <w:tbl>
      <w:tblPr>
        <w:tblStyle w:val="LightShading"/>
        <w:tblW w:w="9923" w:type="dxa"/>
        <w:tblBorders>
          <w:top w:val="single" w:sz="6" w:space="0" w:color="00B050"/>
          <w:bottom w:val="single" w:sz="6" w:space="0" w:color="00B050"/>
          <w:insideH w:val="single" w:sz="6" w:space="0" w:color="00B050"/>
        </w:tblBorders>
        <w:shd w:val="clear" w:color="auto" w:fill="D9D9D9" w:themeFill="background1" w:themeFillShade="D9"/>
        <w:tblLook w:val="04A0" w:firstRow="1" w:lastRow="0" w:firstColumn="1" w:lastColumn="0" w:noHBand="0" w:noVBand="1"/>
      </w:tblPr>
      <w:tblGrid>
        <w:gridCol w:w="1843"/>
        <w:gridCol w:w="6662"/>
        <w:gridCol w:w="1418"/>
      </w:tblGrid>
      <w:tr w:rsidR="00145262" w14:paraId="748291E3" w14:textId="77777777" w:rsidTr="00521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B2E0CB"/>
          </w:tcPr>
          <w:p w14:paraId="16D765AF" w14:textId="77777777" w:rsidR="00145262" w:rsidRPr="000A6A01" w:rsidRDefault="00145262" w:rsidP="00827537">
            <w:pPr>
              <w:rPr>
                <w:color w:val="auto"/>
              </w:rPr>
            </w:pPr>
            <w:r w:rsidRPr="0030686B">
              <w:t>Guidance</w:t>
            </w:r>
          </w:p>
        </w:tc>
        <w:tc>
          <w:tcPr>
            <w:tcW w:w="6662" w:type="dxa"/>
            <w:shd w:val="clear" w:color="auto" w:fill="B2E0CB"/>
          </w:tcPr>
          <w:p w14:paraId="606495F5" w14:textId="77777777" w:rsidR="00145262" w:rsidRPr="00CF0831" w:rsidRDefault="00145262" w:rsidP="00186412">
            <w:pPr>
              <w:cnfStyle w:val="100000000000" w:firstRow="1" w:lastRow="0" w:firstColumn="0" w:lastColumn="0" w:oddVBand="0" w:evenVBand="0" w:oddHBand="0" w:evenHBand="0" w:firstRowFirstColumn="0" w:firstRowLastColumn="0" w:lastRowFirstColumn="0" w:lastRowLastColumn="0"/>
            </w:pPr>
            <w:r>
              <w:t xml:space="preserve">Title </w:t>
            </w:r>
          </w:p>
        </w:tc>
        <w:tc>
          <w:tcPr>
            <w:tcW w:w="1418" w:type="dxa"/>
            <w:shd w:val="clear" w:color="auto" w:fill="B2E0CB"/>
          </w:tcPr>
          <w:p w14:paraId="0DD9B85D" w14:textId="77777777" w:rsidR="00145262" w:rsidRPr="00CF0831" w:rsidRDefault="00145262" w:rsidP="000F6867">
            <w:pPr>
              <w:jc w:val="right"/>
              <w:cnfStyle w:val="100000000000" w:firstRow="1" w:lastRow="0" w:firstColumn="0" w:lastColumn="0" w:oddVBand="0" w:evenVBand="0" w:oddHBand="0" w:evenHBand="0" w:firstRowFirstColumn="0" w:firstRowLastColumn="0" w:lastRowFirstColumn="0" w:lastRowLastColumn="0"/>
            </w:pPr>
            <w:r>
              <w:t>Page</w:t>
            </w:r>
          </w:p>
        </w:tc>
      </w:tr>
      <w:tr w:rsidR="00BE0386" w14:paraId="6210F6D6" w14:textId="77777777" w:rsidTr="00521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bottom w:val="single" w:sz="6" w:space="0" w:color="00B050"/>
            </w:tcBorders>
            <w:shd w:val="clear" w:color="auto" w:fill="B2E0CB"/>
          </w:tcPr>
          <w:p w14:paraId="5023A3F4" w14:textId="49B4669A" w:rsidR="00BE0386" w:rsidRPr="000A6A01" w:rsidRDefault="000C74D1" w:rsidP="00186412">
            <w:pPr>
              <w:rPr>
                <w:b/>
                <w:color w:val="auto"/>
                <w:szCs w:val="20"/>
              </w:rPr>
            </w:pPr>
            <w:r w:rsidRPr="000A6A01">
              <w:rPr>
                <w:b/>
                <w:szCs w:val="20"/>
              </w:rPr>
              <w:fldChar w:fldCharType="begin"/>
            </w:r>
            <w:r w:rsidRPr="000A6A01">
              <w:rPr>
                <w:b/>
                <w:color w:val="auto"/>
                <w:szCs w:val="20"/>
              </w:rPr>
              <w:instrText xml:space="preserve"> REF Instruction_1_2</w:instrText>
            </w:r>
            <w:r w:rsidR="00BC2C92">
              <w:rPr>
                <w:b/>
                <w:color w:val="auto"/>
                <w:szCs w:val="20"/>
              </w:rPr>
              <w:instrText>b</w:instrText>
            </w:r>
            <w:r w:rsidRPr="000A6A01">
              <w:rPr>
                <w:b/>
                <w:color w:val="auto"/>
                <w:szCs w:val="20"/>
              </w:rPr>
              <w:instrText xml:space="preserve"> \h  \* MERGEFORMAT </w:instrText>
            </w:r>
            <w:r w:rsidRPr="000A6A01">
              <w:rPr>
                <w:b/>
                <w:szCs w:val="20"/>
              </w:rPr>
            </w:r>
            <w:r w:rsidRPr="000A6A01">
              <w:rPr>
                <w:b/>
                <w:szCs w:val="20"/>
              </w:rPr>
              <w:fldChar w:fldCharType="separate"/>
            </w:r>
            <w:r w:rsidR="00DA5177" w:rsidRPr="00DA5177">
              <w:rPr>
                <w:b/>
                <w:szCs w:val="20"/>
              </w:rPr>
              <w:t>Instruction 1.2.1</w:t>
            </w:r>
            <w:r w:rsidR="00DA5177" w:rsidRPr="00DA5177">
              <w:rPr>
                <w:b/>
                <w:bCs w:val="0"/>
              </w:rPr>
              <w:t>(b)</w:t>
            </w:r>
            <w:r w:rsidRPr="000A6A01">
              <w:rPr>
                <w:b/>
                <w:szCs w:val="20"/>
              </w:rPr>
              <w:fldChar w:fldCharType="end"/>
            </w:r>
          </w:p>
        </w:tc>
        <w:tc>
          <w:tcPr>
            <w:tcW w:w="6662" w:type="dxa"/>
            <w:shd w:val="clear" w:color="auto" w:fill="auto"/>
          </w:tcPr>
          <w:p w14:paraId="0255B677" w14:textId="77777777" w:rsidR="00BE0386" w:rsidRDefault="00BE0386" w:rsidP="00186412">
            <w:pPr>
              <w:cnfStyle w:val="000000100000" w:firstRow="0" w:lastRow="0" w:firstColumn="0" w:lastColumn="0" w:oddVBand="0" w:evenVBand="0" w:oddHBand="1" w:evenHBand="0" w:firstRowFirstColumn="0" w:firstRowLastColumn="0" w:lastRowFirstColumn="0" w:lastRowLastColumn="0"/>
            </w:pPr>
            <w:r>
              <w:t>Committees of Management subject to the Directions</w:t>
            </w:r>
          </w:p>
        </w:tc>
        <w:tc>
          <w:tcPr>
            <w:tcW w:w="1418" w:type="dxa"/>
          </w:tcPr>
          <w:p w14:paraId="2D459925" w14:textId="727AF528" w:rsidR="00BE0386" w:rsidRPr="00071FAC" w:rsidRDefault="008B09D8" w:rsidP="00E83D18">
            <w:pPr>
              <w:jc w:val="right"/>
              <w:cnfStyle w:val="000000100000" w:firstRow="0" w:lastRow="0" w:firstColumn="0" w:lastColumn="0" w:oddVBand="0" w:evenVBand="0" w:oddHBand="1" w:evenHBand="0" w:firstRowFirstColumn="0" w:firstRowLastColumn="0" w:lastRowFirstColumn="0" w:lastRowLastColumn="0"/>
            </w:pPr>
            <w:r>
              <w:fldChar w:fldCharType="begin"/>
            </w:r>
            <w:r>
              <w:instrText xml:space="preserve"> PAGEREF Instruction_1_2</w:instrText>
            </w:r>
            <w:r w:rsidR="002873A2">
              <w:instrText>b</w:instrText>
            </w:r>
            <w:r>
              <w:instrText xml:space="preserve"> \h </w:instrText>
            </w:r>
            <w:r>
              <w:fldChar w:fldCharType="separate"/>
            </w:r>
            <w:r w:rsidR="00DA5177">
              <w:rPr>
                <w:noProof/>
              </w:rPr>
              <w:t>2</w:t>
            </w:r>
            <w:r>
              <w:fldChar w:fldCharType="end"/>
            </w:r>
          </w:p>
        </w:tc>
      </w:tr>
      <w:tr w:rsidR="00145262" w14:paraId="758116C0" w14:textId="77777777" w:rsidTr="00521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bottom w:val="single" w:sz="6" w:space="0" w:color="00B050"/>
            </w:tcBorders>
            <w:shd w:val="clear" w:color="auto" w:fill="B2E0CB"/>
          </w:tcPr>
          <w:p w14:paraId="3FDA4AC8" w14:textId="47549161" w:rsidR="00145262" w:rsidRPr="000A6A01" w:rsidRDefault="000C74D1" w:rsidP="00186412">
            <w:pPr>
              <w:rPr>
                <w:b/>
                <w:color w:val="auto"/>
                <w:szCs w:val="20"/>
              </w:rPr>
            </w:pPr>
            <w:r w:rsidRPr="000A6A01">
              <w:rPr>
                <w:b/>
                <w:szCs w:val="20"/>
              </w:rPr>
              <w:fldChar w:fldCharType="begin"/>
            </w:r>
            <w:r w:rsidRPr="000A6A01">
              <w:rPr>
                <w:b/>
                <w:color w:val="auto"/>
                <w:szCs w:val="20"/>
              </w:rPr>
              <w:instrText xml:space="preserve"> REF Instruction_2_3_4 \h  \* MERGEFORMAT </w:instrText>
            </w:r>
            <w:r w:rsidRPr="000A6A01">
              <w:rPr>
                <w:b/>
                <w:szCs w:val="20"/>
              </w:rPr>
            </w:r>
            <w:r w:rsidRPr="000A6A01">
              <w:rPr>
                <w:b/>
                <w:szCs w:val="20"/>
              </w:rPr>
              <w:fldChar w:fldCharType="separate"/>
            </w:r>
            <w:r w:rsidR="00DA5177" w:rsidRPr="00DA5177">
              <w:rPr>
                <w:b/>
                <w:szCs w:val="20"/>
              </w:rPr>
              <w:t>Instruction 2.3.4</w:t>
            </w:r>
            <w:r w:rsidRPr="000A6A01">
              <w:rPr>
                <w:b/>
                <w:szCs w:val="20"/>
              </w:rPr>
              <w:fldChar w:fldCharType="end"/>
            </w:r>
          </w:p>
        </w:tc>
        <w:tc>
          <w:tcPr>
            <w:tcW w:w="6662" w:type="dxa"/>
            <w:shd w:val="clear" w:color="auto" w:fill="auto"/>
          </w:tcPr>
          <w:p w14:paraId="3473A8BC" w14:textId="77777777" w:rsidR="00145262" w:rsidRDefault="000757E3" w:rsidP="00186412">
            <w:pPr>
              <w:cnfStyle w:val="000000010000" w:firstRow="0" w:lastRow="0" w:firstColumn="0" w:lastColumn="0" w:oddVBand="0" w:evenVBand="0" w:oddHBand="0" w:evenHBand="1" w:firstRowFirstColumn="0" w:firstRowLastColumn="0" w:lastRowFirstColumn="0" w:lastRowLastColumn="0"/>
            </w:pPr>
            <w:r>
              <w:t>Portfolio relationship</w:t>
            </w:r>
            <w:r w:rsidR="00145262">
              <w:t xml:space="preserve"> </w:t>
            </w:r>
          </w:p>
        </w:tc>
        <w:tc>
          <w:tcPr>
            <w:tcW w:w="1418" w:type="dxa"/>
          </w:tcPr>
          <w:p w14:paraId="541CF21D" w14:textId="2410A1F9" w:rsidR="00145262" w:rsidRPr="00071FAC" w:rsidRDefault="008B09D8" w:rsidP="00E83D18">
            <w:pPr>
              <w:jc w:val="right"/>
              <w:cnfStyle w:val="000000010000" w:firstRow="0" w:lastRow="0" w:firstColumn="0" w:lastColumn="0" w:oddVBand="0" w:evenVBand="0" w:oddHBand="0" w:evenHBand="1" w:firstRowFirstColumn="0" w:firstRowLastColumn="0" w:lastRowFirstColumn="0" w:lastRowLastColumn="0"/>
            </w:pPr>
            <w:r>
              <w:fldChar w:fldCharType="begin"/>
            </w:r>
            <w:r>
              <w:instrText xml:space="preserve"> PAGEREF Instruction_2_3_4 \h </w:instrText>
            </w:r>
            <w:r>
              <w:fldChar w:fldCharType="separate"/>
            </w:r>
            <w:r w:rsidR="00DA5177">
              <w:rPr>
                <w:noProof/>
              </w:rPr>
              <w:t>3</w:t>
            </w:r>
            <w:r>
              <w:fldChar w:fldCharType="end"/>
            </w:r>
          </w:p>
        </w:tc>
      </w:tr>
      <w:tr w:rsidR="00145262" w14:paraId="3A514A29" w14:textId="77777777" w:rsidTr="00521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B2E0CB"/>
          </w:tcPr>
          <w:p w14:paraId="7452CA3E" w14:textId="3CF17045" w:rsidR="00145262" w:rsidRPr="000A6A01" w:rsidRDefault="000C74D1" w:rsidP="00186412">
            <w:pPr>
              <w:rPr>
                <w:b/>
                <w:color w:val="auto"/>
                <w:szCs w:val="20"/>
              </w:rPr>
            </w:pPr>
            <w:r w:rsidRPr="000A6A01">
              <w:rPr>
                <w:b/>
                <w:szCs w:val="20"/>
              </w:rPr>
              <w:fldChar w:fldCharType="begin"/>
            </w:r>
            <w:r w:rsidRPr="000A6A01">
              <w:rPr>
                <w:b/>
                <w:color w:val="auto"/>
                <w:szCs w:val="20"/>
              </w:rPr>
              <w:instrText xml:space="preserve"> REF Instruction_3_4 \h  \* MERGEFORMAT </w:instrText>
            </w:r>
            <w:r w:rsidRPr="000A6A01">
              <w:rPr>
                <w:b/>
                <w:szCs w:val="20"/>
              </w:rPr>
            </w:r>
            <w:r w:rsidRPr="000A6A01">
              <w:rPr>
                <w:b/>
                <w:szCs w:val="20"/>
              </w:rPr>
              <w:fldChar w:fldCharType="separate"/>
            </w:r>
            <w:r w:rsidR="00DA5177" w:rsidRPr="00DA5177">
              <w:rPr>
                <w:b/>
                <w:szCs w:val="20"/>
              </w:rPr>
              <w:t>Instruction 3.4</w:t>
            </w:r>
            <w:r w:rsidRPr="000A6A01">
              <w:rPr>
                <w:b/>
                <w:szCs w:val="20"/>
              </w:rPr>
              <w:fldChar w:fldCharType="end"/>
            </w:r>
          </w:p>
        </w:tc>
        <w:tc>
          <w:tcPr>
            <w:tcW w:w="6662" w:type="dxa"/>
            <w:shd w:val="clear" w:color="auto" w:fill="auto"/>
          </w:tcPr>
          <w:p w14:paraId="2725AE87" w14:textId="77777777" w:rsidR="00145262" w:rsidRDefault="00145262" w:rsidP="00186412">
            <w:pPr>
              <w:cnfStyle w:val="000000100000" w:firstRow="0" w:lastRow="0" w:firstColumn="0" w:lastColumn="0" w:oddVBand="0" w:evenVBand="0" w:oddHBand="1" w:evenHBand="0" w:firstRowFirstColumn="0" w:firstRowLastColumn="0" w:lastRowFirstColumn="0" w:lastRowLastColumn="0"/>
            </w:pPr>
            <w:r w:rsidRPr="00145262">
              <w:t>Internal control system</w:t>
            </w:r>
          </w:p>
        </w:tc>
        <w:tc>
          <w:tcPr>
            <w:tcW w:w="1418" w:type="dxa"/>
          </w:tcPr>
          <w:p w14:paraId="6BA52A36" w14:textId="0BCC43AA" w:rsidR="00145262" w:rsidRPr="00071FAC" w:rsidRDefault="008B09D8" w:rsidP="00E83D18">
            <w:pPr>
              <w:jc w:val="right"/>
              <w:cnfStyle w:val="000000100000" w:firstRow="0" w:lastRow="0" w:firstColumn="0" w:lastColumn="0" w:oddVBand="0" w:evenVBand="0" w:oddHBand="1" w:evenHBand="0" w:firstRowFirstColumn="0" w:firstRowLastColumn="0" w:lastRowFirstColumn="0" w:lastRowLastColumn="0"/>
            </w:pPr>
            <w:r>
              <w:fldChar w:fldCharType="begin"/>
            </w:r>
            <w:r>
              <w:instrText xml:space="preserve"> PAGEREF Instruction_3_4 \h </w:instrText>
            </w:r>
            <w:r>
              <w:fldChar w:fldCharType="separate"/>
            </w:r>
            <w:r w:rsidR="00DA5177">
              <w:rPr>
                <w:noProof/>
              </w:rPr>
              <w:t>4</w:t>
            </w:r>
            <w:r>
              <w:fldChar w:fldCharType="end"/>
            </w:r>
          </w:p>
        </w:tc>
      </w:tr>
      <w:tr w:rsidR="00145262" w14:paraId="686AED6D" w14:textId="77777777" w:rsidTr="00521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B2E0CB"/>
          </w:tcPr>
          <w:p w14:paraId="5B96DA23" w14:textId="73AAD7B3" w:rsidR="00145262" w:rsidRPr="000A6A01" w:rsidRDefault="000C74D1" w:rsidP="00186412">
            <w:pPr>
              <w:rPr>
                <w:b/>
                <w:color w:val="auto"/>
                <w:szCs w:val="20"/>
              </w:rPr>
            </w:pPr>
            <w:r w:rsidRPr="000A6A01">
              <w:rPr>
                <w:b/>
                <w:szCs w:val="20"/>
              </w:rPr>
              <w:fldChar w:fldCharType="begin"/>
            </w:r>
            <w:r w:rsidRPr="000A6A01">
              <w:rPr>
                <w:b/>
                <w:color w:val="auto"/>
                <w:szCs w:val="20"/>
              </w:rPr>
              <w:instrText xml:space="preserve"> REF Instruction_3_5 \h  \* MERGEFORMAT </w:instrText>
            </w:r>
            <w:r w:rsidRPr="000A6A01">
              <w:rPr>
                <w:b/>
                <w:szCs w:val="20"/>
              </w:rPr>
            </w:r>
            <w:r w:rsidRPr="000A6A01">
              <w:rPr>
                <w:b/>
                <w:szCs w:val="20"/>
              </w:rPr>
              <w:fldChar w:fldCharType="separate"/>
            </w:r>
            <w:r w:rsidR="00DA5177" w:rsidRPr="00DA5177">
              <w:rPr>
                <w:b/>
                <w:szCs w:val="20"/>
              </w:rPr>
              <w:t>Instruction 3.5</w:t>
            </w:r>
            <w:r w:rsidRPr="000A6A01">
              <w:rPr>
                <w:b/>
                <w:szCs w:val="20"/>
              </w:rPr>
              <w:fldChar w:fldCharType="end"/>
            </w:r>
          </w:p>
        </w:tc>
        <w:tc>
          <w:tcPr>
            <w:tcW w:w="6662" w:type="dxa"/>
            <w:shd w:val="clear" w:color="auto" w:fill="auto"/>
          </w:tcPr>
          <w:p w14:paraId="453B6959" w14:textId="77777777" w:rsidR="00145262" w:rsidRDefault="00A61A36" w:rsidP="00186412">
            <w:pPr>
              <w:cnfStyle w:val="000000010000" w:firstRow="0" w:lastRow="0" w:firstColumn="0" w:lastColumn="0" w:oddVBand="0" w:evenVBand="0" w:oddHBand="0" w:evenHBand="1" w:firstRowFirstColumn="0" w:firstRowLastColumn="0" w:lastRowFirstColumn="0" w:lastRowLastColumn="0"/>
            </w:pPr>
            <w:r>
              <w:t>Fraud, Corruption and Other L</w:t>
            </w:r>
            <w:r w:rsidR="00145262">
              <w:t>osses</w:t>
            </w:r>
          </w:p>
        </w:tc>
        <w:tc>
          <w:tcPr>
            <w:tcW w:w="1418" w:type="dxa"/>
          </w:tcPr>
          <w:p w14:paraId="1345661C" w14:textId="3CC89EAA" w:rsidR="00145262" w:rsidRPr="00071FAC" w:rsidRDefault="008B09D8" w:rsidP="00E83D18">
            <w:pPr>
              <w:jc w:val="right"/>
              <w:cnfStyle w:val="000000010000" w:firstRow="0" w:lastRow="0" w:firstColumn="0" w:lastColumn="0" w:oddVBand="0" w:evenVBand="0" w:oddHBand="0" w:evenHBand="1" w:firstRowFirstColumn="0" w:firstRowLastColumn="0" w:lastRowFirstColumn="0" w:lastRowLastColumn="0"/>
            </w:pPr>
            <w:r>
              <w:fldChar w:fldCharType="begin"/>
            </w:r>
            <w:r>
              <w:instrText xml:space="preserve"> PAGEREF Instruction_3_5 \h </w:instrText>
            </w:r>
            <w:r>
              <w:fldChar w:fldCharType="separate"/>
            </w:r>
            <w:r w:rsidR="00DA5177">
              <w:rPr>
                <w:noProof/>
              </w:rPr>
              <w:t>8</w:t>
            </w:r>
            <w:r>
              <w:fldChar w:fldCharType="end"/>
            </w:r>
          </w:p>
        </w:tc>
      </w:tr>
      <w:tr w:rsidR="00145262" w14:paraId="19472F99" w14:textId="77777777" w:rsidTr="00521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B2E0CB"/>
          </w:tcPr>
          <w:p w14:paraId="692363B5" w14:textId="465EC891" w:rsidR="00145262" w:rsidRPr="000A6A01" w:rsidRDefault="000C74D1" w:rsidP="00186412">
            <w:pPr>
              <w:rPr>
                <w:b/>
                <w:color w:val="auto"/>
                <w:szCs w:val="20"/>
              </w:rPr>
            </w:pPr>
            <w:r w:rsidRPr="000A6A01">
              <w:rPr>
                <w:b/>
                <w:szCs w:val="20"/>
              </w:rPr>
              <w:fldChar w:fldCharType="begin"/>
            </w:r>
            <w:r w:rsidRPr="000A6A01">
              <w:rPr>
                <w:b/>
                <w:color w:val="auto"/>
                <w:szCs w:val="20"/>
              </w:rPr>
              <w:instrText xml:space="preserve"> REF Instruction_3_6 \h  \* MERGEFORMAT </w:instrText>
            </w:r>
            <w:r w:rsidRPr="000A6A01">
              <w:rPr>
                <w:b/>
                <w:szCs w:val="20"/>
              </w:rPr>
            </w:r>
            <w:r w:rsidRPr="000A6A01">
              <w:rPr>
                <w:b/>
                <w:szCs w:val="20"/>
              </w:rPr>
              <w:fldChar w:fldCharType="separate"/>
            </w:r>
            <w:r w:rsidR="00DA5177" w:rsidRPr="00DA5177">
              <w:rPr>
                <w:b/>
                <w:szCs w:val="20"/>
              </w:rPr>
              <w:t>Instruction 3.6</w:t>
            </w:r>
            <w:r w:rsidRPr="000A6A01">
              <w:rPr>
                <w:b/>
                <w:szCs w:val="20"/>
              </w:rPr>
              <w:fldChar w:fldCharType="end"/>
            </w:r>
          </w:p>
        </w:tc>
        <w:tc>
          <w:tcPr>
            <w:tcW w:w="6662" w:type="dxa"/>
            <w:shd w:val="clear" w:color="auto" w:fill="auto"/>
          </w:tcPr>
          <w:p w14:paraId="0DB5134A" w14:textId="77777777" w:rsidR="00145262" w:rsidRDefault="00145262" w:rsidP="00186412">
            <w:pPr>
              <w:cnfStyle w:val="000000100000" w:firstRow="0" w:lastRow="0" w:firstColumn="0" w:lastColumn="0" w:oddVBand="0" w:evenVBand="0" w:oddHBand="1" w:evenHBand="0" w:firstRowFirstColumn="0" w:firstRowLastColumn="0" w:lastRowFirstColumn="0" w:lastRowLastColumn="0"/>
            </w:pPr>
            <w:r>
              <w:t xml:space="preserve">Purchasing card use and </w:t>
            </w:r>
            <w:r w:rsidRPr="00B43D5F">
              <w:t>administration</w:t>
            </w:r>
          </w:p>
        </w:tc>
        <w:tc>
          <w:tcPr>
            <w:tcW w:w="1418" w:type="dxa"/>
          </w:tcPr>
          <w:p w14:paraId="76B1AD02" w14:textId="080F4469" w:rsidR="00145262" w:rsidRPr="00071FAC" w:rsidRDefault="008B09D8" w:rsidP="00E83D18">
            <w:pPr>
              <w:jc w:val="right"/>
              <w:cnfStyle w:val="000000100000" w:firstRow="0" w:lastRow="0" w:firstColumn="0" w:lastColumn="0" w:oddVBand="0" w:evenVBand="0" w:oddHBand="1" w:evenHBand="0" w:firstRowFirstColumn="0" w:firstRowLastColumn="0" w:lastRowFirstColumn="0" w:lastRowLastColumn="0"/>
            </w:pPr>
            <w:r>
              <w:fldChar w:fldCharType="begin"/>
            </w:r>
            <w:r>
              <w:instrText xml:space="preserve"> PAGEREF Instruction_3_6 \h </w:instrText>
            </w:r>
            <w:r>
              <w:fldChar w:fldCharType="separate"/>
            </w:r>
            <w:r w:rsidR="00DA5177">
              <w:rPr>
                <w:noProof/>
              </w:rPr>
              <w:t>9</w:t>
            </w:r>
            <w:r>
              <w:fldChar w:fldCharType="end"/>
            </w:r>
          </w:p>
        </w:tc>
      </w:tr>
      <w:tr w:rsidR="00145262" w14:paraId="3F798E9A" w14:textId="77777777" w:rsidTr="00521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B2E0CB"/>
          </w:tcPr>
          <w:p w14:paraId="5AF9BC73" w14:textId="51D7B78D" w:rsidR="00145262" w:rsidRPr="000A6A01" w:rsidRDefault="000C74D1" w:rsidP="00186412">
            <w:pPr>
              <w:rPr>
                <w:b/>
                <w:color w:val="auto"/>
                <w:szCs w:val="20"/>
              </w:rPr>
            </w:pPr>
            <w:r w:rsidRPr="000A6A01">
              <w:rPr>
                <w:b/>
                <w:szCs w:val="20"/>
              </w:rPr>
              <w:fldChar w:fldCharType="begin"/>
            </w:r>
            <w:r w:rsidRPr="000A6A01">
              <w:rPr>
                <w:b/>
                <w:color w:val="auto"/>
                <w:szCs w:val="20"/>
              </w:rPr>
              <w:instrText xml:space="preserve"> REF Instruction_3_7 \h  \* MERGEFORMAT </w:instrText>
            </w:r>
            <w:r w:rsidRPr="000A6A01">
              <w:rPr>
                <w:b/>
                <w:szCs w:val="20"/>
              </w:rPr>
            </w:r>
            <w:r w:rsidRPr="000A6A01">
              <w:rPr>
                <w:b/>
                <w:szCs w:val="20"/>
              </w:rPr>
              <w:fldChar w:fldCharType="separate"/>
            </w:r>
            <w:r w:rsidR="00DA5177" w:rsidRPr="00DA5177">
              <w:rPr>
                <w:b/>
                <w:szCs w:val="20"/>
              </w:rPr>
              <w:t>Instruction 3.7</w:t>
            </w:r>
            <w:r w:rsidRPr="000A6A01">
              <w:rPr>
                <w:b/>
                <w:szCs w:val="20"/>
              </w:rPr>
              <w:fldChar w:fldCharType="end"/>
            </w:r>
          </w:p>
        </w:tc>
        <w:tc>
          <w:tcPr>
            <w:tcW w:w="6662" w:type="dxa"/>
            <w:shd w:val="clear" w:color="auto" w:fill="auto"/>
          </w:tcPr>
          <w:p w14:paraId="39BF66A3" w14:textId="77777777" w:rsidR="00145262" w:rsidRDefault="00145262" w:rsidP="00186412">
            <w:pPr>
              <w:cnfStyle w:val="000000010000" w:firstRow="0" w:lastRow="0" w:firstColumn="0" w:lastColumn="0" w:oddVBand="0" w:evenVBand="0" w:oddHBand="0" w:evenHBand="1" w:firstRowFirstColumn="0" w:firstRowLastColumn="0" w:lastRowFirstColumn="0" w:lastRowLastColumn="0"/>
            </w:pPr>
            <w:r>
              <w:t>Managing specific risks – Business continuity planning, indemnities and immunities</w:t>
            </w:r>
          </w:p>
        </w:tc>
        <w:tc>
          <w:tcPr>
            <w:tcW w:w="1418" w:type="dxa"/>
          </w:tcPr>
          <w:p w14:paraId="7ED15367" w14:textId="0DAD664D" w:rsidR="00145262" w:rsidRPr="00071FAC" w:rsidRDefault="008B09D8" w:rsidP="00E83D18">
            <w:pPr>
              <w:jc w:val="right"/>
              <w:cnfStyle w:val="000000010000" w:firstRow="0" w:lastRow="0" w:firstColumn="0" w:lastColumn="0" w:oddVBand="0" w:evenVBand="0" w:oddHBand="0" w:evenHBand="1" w:firstRowFirstColumn="0" w:firstRowLastColumn="0" w:lastRowFirstColumn="0" w:lastRowLastColumn="0"/>
            </w:pPr>
            <w:r>
              <w:fldChar w:fldCharType="begin"/>
            </w:r>
            <w:r>
              <w:instrText xml:space="preserve"> PAGEREF Instruction_3_7 \h </w:instrText>
            </w:r>
            <w:r>
              <w:fldChar w:fldCharType="separate"/>
            </w:r>
            <w:r w:rsidR="00DA5177">
              <w:rPr>
                <w:noProof/>
              </w:rPr>
              <w:t>14</w:t>
            </w:r>
            <w:r>
              <w:fldChar w:fldCharType="end"/>
            </w:r>
          </w:p>
        </w:tc>
      </w:tr>
      <w:tr w:rsidR="00145262" w14:paraId="24583B07" w14:textId="77777777" w:rsidTr="00521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B2E0CB"/>
          </w:tcPr>
          <w:p w14:paraId="35609146" w14:textId="36E407FB" w:rsidR="00145262" w:rsidRPr="00BC2C92" w:rsidRDefault="00BC2C92" w:rsidP="00186412">
            <w:pPr>
              <w:rPr>
                <w:b/>
                <w:color w:val="auto"/>
                <w:szCs w:val="20"/>
              </w:rPr>
            </w:pPr>
            <w:r w:rsidRPr="00BC2C92">
              <w:rPr>
                <w:b/>
                <w:szCs w:val="20"/>
              </w:rPr>
              <w:fldChar w:fldCharType="begin"/>
            </w:r>
            <w:r w:rsidRPr="00BC2C92">
              <w:rPr>
                <w:b/>
                <w:color w:val="auto"/>
                <w:szCs w:val="20"/>
              </w:rPr>
              <w:instrText xml:space="preserve"> REF Instruction_3_7_2 \h  \* MERGEFORMAT </w:instrText>
            </w:r>
            <w:r w:rsidRPr="00BC2C92">
              <w:rPr>
                <w:b/>
                <w:szCs w:val="20"/>
              </w:rPr>
            </w:r>
            <w:r w:rsidRPr="00BC2C92">
              <w:rPr>
                <w:b/>
                <w:szCs w:val="20"/>
              </w:rPr>
              <w:fldChar w:fldCharType="separate"/>
            </w:r>
            <w:r w:rsidR="00DA5177" w:rsidRPr="00DA5177">
              <w:rPr>
                <w:b/>
              </w:rPr>
              <w:t>Instruction 3.7.2</w:t>
            </w:r>
            <w:r w:rsidRPr="00BC2C92">
              <w:rPr>
                <w:b/>
                <w:szCs w:val="20"/>
              </w:rPr>
              <w:fldChar w:fldCharType="end"/>
            </w:r>
          </w:p>
        </w:tc>
        <w:tc>
          <w:tcPr>
            <w:tcW w:w="6662" w:type="dxa"/>
            <w:shd w:val="clear" w:color="auto" w:fill="auto"/>
          </w:tcPr>
          <w:p w14:paraId="54B1F069" w14:textId="5EB1D24A" w:rsidR="00145262" w:rsidRDefault="00A64FEE">
            <w:pPr>
              <w:cnfStyle w:val="000000100000" w:firstRow="0" w:lastRow="0" w:firstColumn="0" w:lastColumn="0" w:oddVBand="0" w:evenVBand="0" w:oddHBand="1" w:evenHBand="0" w:firstRowFirstColumn="0" w:firstRowLastColumn="0" w:lastRowFirstColumn="0" w:lastRowLastColumn="0"/>
            </w:pPr>
            <w:r>
              <w:t>Treasury management</w:t>
            </w:r>
            <w:r w:rsidR="00BF0DD9">
              <w:t>, including Central Banking System</w:t>
            </w:r>
          </w:p>
        </w:tc>
        <w:tc>
          <w:tcPr>
            <w:tcW w:w="1418" w:type="dxa"/>
          </w:tcPr>
          <w:p w14:paraId="4960DF02" w14:textId="244FFCB8" w:rsidR="00145262" w:rsidRPr="00071FAC" w:rsidRDefault="008B09D8" w:rsidP="00E83D18">
            <w:pPr>
              <w:jc w:val="right"/>
              <w:cnfStyle w:val="000000100000" w:firstRow="0" w:lastRow="0" w:firstColumn="0" w:lastColumn="0" w:oddVBand="0" w:evenVBand="0" w:oddHBand="1" w:evenHBand="0" w:firstRowFirstColumn="0" w:firstRowLastColumn="0" w:lastRowFirstColumn="0" w:lastRowLastColumn="0"/>
            </w:pPr>
            <w:r>
              <w:fldChar w:fldCharType="begin"/>
            </w:r>
            <w:r>
              <w:instrText xml:space="preserve"> PAGEREF Instruction_3_7_2_3 \h </w:instrText>
            </w:r>
            <w:r>
              <w:fldChar w:fldCharType="separate"/>
            </w:r>
            <w:r w:rsidR="00DA5177">
              <w:rPr>
                <w:noProof/>
              </w:rPr>
              <w:t>17</w:t>
            </w:r>
            <w:r>
              <w:fldChar w:fldCharType="end"/>
            </w:r>
          </w:p>
        </w:tc>
      </w:tr>
      <w:tr w:rsidR="00267B19" w14:paraId="600B9A0D" w14:textId="77777777" w:rsidTr="00521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B2E0CB"/>
          </w:tcPr>
          <w:p w14:paraId="67DD3336" w14:textId="09F7486C" w:rsidR="00267B19" w:rsidRPr="00BC2C92" w:rsidRDefault="00BC2C92" w:rsidP="00BC2C92">
            <w:pPr>
              <w:rPr>
                <w:b/>
                <w:bCs w:val="0"/>
                <w:color w:val="auto"/>
              </w:rPr>
            </w:pPr>
            <w:r w:rsidRPr="00BC2C92">
              <w:rPr>
                <w:b/>
                <w:szCs w:val="20"/>
              </w:rPr>
              <w:fldChar w:fldCharType="begin"/>
            </w:r>
            <w:r w:rsidRPr="00BC2C92">
              <w:rPr>
                <w:b/>
                <w:bCs w:val="0"/>
                <w:szCs w:val="20"/>
              </w:rPr>
              <w:instrText xml:space="preserve"> REF Instruction_3_7_2_3 \h  \* MERGEFORMAT </w:instrText>
            </w:r>
            <w:r w:rsidRPr="00BC2C92">
              <w:rPr>
                <w:b/>
                <w:szCs w:val="20"/>
              </w:rPr>
            </w:r>
            <w:r w:rsidRPr="00BC2C92">
              <w:rPr>
                <w:b/>
                <w:szCs w:val="20"/>
              </w:rPr>
              <w:fldChar w:fldCharType="separate"/>
            </w:r>
            <w:r w:rsidR="00DA5177" w:rsidRPr="00DA5177">
              <w:rPr>
                <w:b/>
                <w:bCs w:val="0"/>
              </w:rPr>
              <w:t>Instruction 3.7.2.3</w:t>
            </w:r>
            <w:r w:rsidRPr="00BC2C92">
              <w:rPr>
                <w:b/>
                <w:szCs w:val="20"/>
              </w:rPr>
              <w:fldChar w:fldCharType="end"/>
            </w:r>
          </w:p>
        </w:tc>
        <w:tc>
          <w:tcPr>
            <w:tcW w:w="6662" w:type="dxa"/>
            <w:shd w:val="clear" w:color="auto" w:fill="auto"/>
          </w:tcPr>
          <w:p w14:paraId="2C029D3F" w14:textId="52E89CEF" w:rsidR="00267B19" w:rsidRDefault="00267B19" w:rsidP="00186412">
            <w:pPr>
              <w:cnfStyle w:val="000000010000" w:firstRow="0" w:lastRow="0" w:firstColumn="0" w:lastColumn="0" w:oddVBand="0" w:evenVBand="0" w:oddHBand="0" w:evenHBand="1" w:firstRowFirstColumn="0" w:firstRowLastColumn="0" w:lastRowFirstColumn="0" w:lastRowLastColumn="0"/>
            </w:pPr>
            <w:r>
              <w:t xml:space="preserve">Treasury </w:t>
            </w:r>
            <w:r w:rsidR="0030686B">
              <w:t>M</w:t>
            </w:r>
            <w:r>
              <w:t xml:space="preserve">anagement </w:t>
            </w:r>
            <w:r w:rsidR="0030686B">
              <w:t>P</w:t>
            </w:r>
            <w:r>
              <w:t>olic</w:t>
            </w:r>
            <w:r w:rsidR="0030686B">
              <w:t>y</w:t>
            </w:r>
            <w:r>
              <w:t xml:space="preserve"> </w:t>
            </w:r>
          </w:p>
        </w:tc>
        <w:tc>
          <w:tcPr>
            <w:tcW w:w="1418" w:type="dxa"/>
          </w:tcPr>
          <w:p w14:paraId="7B5752AC" w14:textId="5A003419" w:rsidR="00267B19" w:rsidRDefault="00267B19" w:rsidP="00E83D18">
            <w:pPr>
              <w:jc w:val="right"/>
              <w:cnfStyle w:val="000000010000" w:firstRow="0" w:lastRow="0" w:firstColumn="0" w:lastColumn="0" w:oddVBand="0" w:evenVBand="0" w:oddHBand="0" w:evenHBand="1" w:firstRowFirstColumn="0" w:firstRowLastColumn="0" w:lastRowFirstColumn="0" w:lastRowLastColumn="0"/>
            </w:pPr>
            <w:r>
              <w:fldChar w:fldCharType="begin"/>
            </w:r>
            <w:r>
              <w:instrText xml:space="preserve"> PAGEREF Instruction_3_7_2_</w:instrText>
            </w:r>
            <w:r w:rsidR="002873A2">
              <w:instrText>3</w:instrText>
            </w:r>
            <w:r>
              <w:instrText xml:space="preserve"> \h </w:instrText>
            </w:r>
            <w:r>
              <w:fldChar w:fldCharType="separate"/>
            </w:r>
            <w:r w:rsidR="00DA5177">
              <w:rPr>
                <w:noProof/>
              </w:rPr>
              <w:t>17</w:t>
            </w:r>
            <w:r>
              <w:fldChar w:fldCharType="end"/>
            </w:r>
          </w:p>
        </w:tc>
      </w:tr>
      <w:tr w:rsidR="00145262" w14:paraId="5B856782" w14:textId="77777777" w:rsidTr="00521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B2E0CB"/>
          </w:tcPr>
          <w:p w14:paraId="3821D172" w14:textId="3F1DA7C9" w:rsidR="00145262" w:rsidRPr="000A6A01" w:rsidRDefault="000C74D1" w:rsidP="00186412">
            <w:pPr>
              <w:rPr>
                <w:b/>
                <w:color w:val="auto"/>
                <w:szCs w:val="20"/>
              </w:rPr>
            </w:pPr>
            <w:r w:rsidRPr="000A6A01">
              <w:rPr>
                <w:b/>
                <w:szCs w:val="20"/>
              </w:rPr>
              <w:fldChar w:fldCharType="begin"/>
            </w:r>
            <w:r w:rsidRPr="000A6A01">
              <w:rPr>
                <w:b/>
                <w:color w:val="auto"/>
                <w:szCs w:val="20"/>
              </w:rPr>
              <w:instrText xml:space="preserve"> REF Instruction_4_2_1 \h  \* MERGEFORMAT </w:instrText>
            </w:r>
            <w:r w:rsidRPr="000A6A01">
              <w:rPr>
                <w:b/>
                <w:szCs w:val="20"/>
              </w:rPr>
            </w:r>
            <w:r w:rsidRPr="000A6A01">
              <w:rPr>
                <w:b/>
                <w:szCs w:val="20"/>
              </w:rPr>
              <w:fldChar w:fldCharType="separate"/>
            </w:r>
            <w:r w:rsidR="00DA5177" w:rsidRPr="00DA5177">
              <w:rPr>
                <w:b/>
                <w:szCs w:val="20"/>
              </w:rPr>
              <w:t>Instruction 4.2.1</w:t>
            </w:r>
            <w:r w:rsidRPr="000A6A01">
              <w:rPr>
                <w:b/>
                <w:szCs w:val="20"/>
              </w:rPr>
              <w:fldChar w:fldCharType="end"/>
            </w:r>
          </w:p>
        </w:tc>
        <w:tc>
          <w:tcPr>
            <w:tcW w:w="6662" w:type="dxa"/>
            <w:shd w:val="clear" w:color="auto" w:fill="auto"/>
          </w:tcPr>
          <w:p w14:paraId="046CCB66" w14:textId="77777777" w:rsidR="00145262" w:rsidRDefault="00145262" w:rsidP="00186412">
            <w:pPr>
              <w:cnfStyle w:val="000000100000" w:firstRow="0" w:lastRow="0" w:firstColumn="0" w:lastColumn="0" w:oddVBand="0" w:evenVBand="0" w:oddHBand="1" w:evenHBand="0" w:firstRowFirstColumn="0" w:firstRowLastColumn="0" w:lastRowFirstColumn="0" w:lastRowLastColumn="0"/>
            </w:pPr>
            <w:r>
              <w:t>Acquisition of assets, goods and services</w:t>
            </w:r>
          </w:p>
        </w:tc>
        <w:tc>
          <w:tcPr>
            <w:tcW w:w="1418" w:type="dxa"/>
          </w:tcPr>
          <w:p w14:paraId="5CC3B862" w14:textId="670776C3" w:rsidR="00145262" w:rsidRPr="00071FAC" w:rsidRDefault="008B09D8" w:rsidP="00E83D18">
            <w:pPr>
              <w:jc w:val="right"/>
              <w:cnfStyle w:val="000000100000" w:firstRow="0" w:lastRow="0" w:firstColumn="0" w:lastColumn="0" w:oddVBand="0" w:evenVBand="0" w:oddHBand="1" w:evenHBand="0" w:firstRowFirstColumn="0" w:firstRowLastColumn="0" w:lastRowFirstColumn="0" w:lastRowLastColumn="0"/>
            </w:pPr>
            <w:r>
              <w:fldChar w:fldCharType="begin"/>
            </w:r>
            <w:r>
              <w:instrText xml:space="preserve"> PAGEREF Instruction_4_2_1 \h </w:instrText>
            </w:r>
            <w:r>
              <w:fldChar w:fldCharType="separate"/>
            </w:r>
            <w:r w:rsidR="00DA5177">
              <w:rPr>
                <w:noProof/>
              </w:rPr>
              <w:t>18</w:t>
            </w:r>
            <w:r>
              <w:fldChar w:fldCharType="end"/>
            </w:r>
          </w:p>
        </w:tc>
      </w:tr>
      <w:tr w:rsidR="00145262" w14:paraId="19F177EB" w14:textId="77777777" w:rsidTr="005214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B2E0CB"/>
          </w:tcPr>
          <w:p w14:paraId="27E0D340" w14:textId="1DF7B4F9" w:rsidR="00145262" w:rsidRPr="000A6A01" w:rsidRDefault="000C74D1" w:rsidP="00186412">
            <w:pPr>
              <w:rPr>
                <w:b/>
                <w:color w:val="auto"/>
                <w:szCs w:val="20"/>
              </w:rPr>
            </w:pPr>
            <w:r w:rsidRPr="000A6A01">
              <w:rPr>
                <w:b/>
                <w:szCs w:val="20"/>
              </w:rPr>
              <w:fldChar w:fldCharType="begin"/>
            </w:r>
            <w:r w:rsidRPr="000A6A01">
              <w:rPr>
                <w:b/>
                <w:color w:val="auto"/>
                <w:szCs w:val="20"/>
              </w:rPr>
              <w:instrText xml:space="preserve"> REF Instruction_5_1 \h  \* MERGEFORMAT </w:instrText>
            </w:r>
            <w:r w:rsidRPr="000A6A01">
              <w:rPr>
                <w:b/>
                <w:szCs w:val="20"/>
              </w:rPr>
            </w:r>
            <w:r w:rsidRPr="000A6A01">
              <w:rPr>
                <w:b/>
                <w:szCs w:val="20"/>
              </w:rPr>
              <w:fldChar w:fldCharType="separate"/>
            </w:r>
            <w:r w:rsidR="00DA5177" w:rsidRPr="00DA5177">
              <w:rPr>
                <w:b/>
                <w:szCs w:val="20"/>
              </w:rPr>
              <w:t>Instruction 5.1</w:t>
            </w:r>
            <w:r w:rsidRPr="000A6A01">
              <w:rPr>
                <w:b/>
                <w:szCs w:val="20"/>
              </w:rPr>
              <w:fldChar w:fldCharType="end"/>
            </w:r>
          </w:p>
        </w:tc>
        <w:tc>
          <w:tcPr>
            <w:tcW w:w="6662" w:type="dxa"/>
            <w:shd w:val="clear" w:color="auto" w:fill="auto"/>
          </w:tcPr>
          <w:p w14:paraId="7714FCBD" w14:textId="77777777" w:rsidR="00145262" w:rsidRDefault="00145262" w:rsidP="00186412">
            <w:pPr>
              <w:cnfStyle w:val="000000010000" w:firstRow="0" w:lastRow="0" w:firstColumn="0" w:lastColumn="0" w:oddVBand="0" w:evenVBand="0" w:oddHBand="0" w:evenHBand="1" w:firstRowFirstColumn="0" w:firstRowLastColumn="0" w:lastRowFirstColumn="0" w:lastRowLastColumn="0"/>
            </w:pPr>
            <w:r>
              <w:t>Financial management compliance</w:t>
            </w:r>
          </w:p>
        </w:tc>
        <w:tc>
          <w:tcPr>
            <w:tcW w:w="1418" w:type="dxa"/>
          </w:tcPr>
          <w:p w14:paraId="7B30CB3A" w14:textId="20445E6C" w:rsidR="00145262" w:rsidRPr="00071FAC" w:rsidRDefault="008B09D8" w:rsidP="00E83D18">
            <w:pPr>
              <w:jc w:val="right"/>
              <w:cnfStyle w:val="000000010000" w:firstRow="0" w:lastRow="0" w:firstColumn="0" w:lastColumn="0" w:oddVBand="0" w:evenVBand="0" w:oddHBand="0" w:evenHBand="1" w:firstRowFirstColumn="0" w:firstRowLastColumn="0" w:lastRowFirstColumn="0" w:lastRowLastColumn="0"/>
            </w:pPr>
            <w:r>
              <w:fldChar w:fldCharType="begin"/>
            </w:r>
            <w:r>
              <w:instrText xml:space="preserve"> PAGEREF Instruction_5_1 \h </w:instrText>
            </w:r>
            <w:r>
              <w:fldChar w:fldCharType="separate"/>
            </w:r>
            <w:r w:rsidR="00DA5177">
              <w:rPr>
                <w:noProof/>
              </w:rPr>
              <w:t>19</w:t>
            </w:r>
            <w:r>
              <w:fldChar w:fldCharType="end"/>
            </w:r>
          </w:p>
        </w:tc>
      </w:tr>
    </w:tbl>
    <w:p w14:paraId="5F9231FC" w14:textId="77777777" w:rsidR="00186412" w:rsidRPr="008C66E0" w:rsidRDefault="008C66E0" w:rsidP="00FA7D41">
      <w:pPr>
        <w:rPr>
          <w:color w:val="FFFFFF" w:themeColor="background1"/>
        </w:rPr>
      </w:pPr>
      <w:r w:rsidRPr="008C66E0">
        <w:rPr>
          <w:color w:val="FFFFFF" w:themeColor="background1"/>
        </w:rPr>
        <w:t>.</w:t>
      </w:r>
    </w:p>
    <w:p w14:paraId="0694728F" w14:textId="40F53C9F" w:rsidR="00731778" w:rsidRDefault="00731778" w:rsidP="00FA7D41"/>
    <w:p w14:paraId="1B237854" w14:textId="77777777" w:rsidR="002873A2" w:rsidRDefault="002873A2" w:rsidP="00FA7D41"/>
    <w:p w14:paraId="55BF41B0" w14:textId="66F20933" w:rsidR="00FA7D41" w:rsidRPr="000A6A01" w:rsidRDefault="00FA7D41" w:rsidP="000E0DBA">
      <w:pPr>
        <w:tabs>
          <w:tab w:val="center" w:pos="5917"/>
        </w:tabs>
        <w:rPr>
          <w:b/>
        </w:rPr>
        <w:sectPr w:rsidR="00FA7D41" w:rsidRPr="000A6A01" w:rsidSect="00CF2B85">
          <w:headerReference w:type="even" r:id="rId20"/>
          <w:headerReference w:type="default" r:id="rId21"/>
          <w:footerReference w:type="default" r:id="rId22"/>
          <w:headerReference w:type="first" r:id="rId23"/>
          <w:footerReference w:type="first" r:id="rId24"/>
          <w:type w:val="oddPage"/>
          <w:pgSz w:w="11906" w:h="16838" w:code="9"/>
          <w:pgMar w:top="1440" w:right="1008" w:bottom="1440" w:left="1008" w:header="706" w:footer="389" w:gutter="0"/>
          <w:pgNumType w:start="1"/>
          <w:cols w:space="708"/>
          <w:titlePg/>
          <w:docGrid w:linePitch="360"/>
        </w:sectPr>
      </w:pPr>
    </w:p>
    <w:p w14:paraId="2547CDA3" w14:textId="26180A72" w:rsidR="009F7DFC" w:rsidRPr="000E0DBA" w:rsidRDefault="009F7DFC" w:rsidP="00B32558">
      <w:pPr>
        <w:pStyle w:val="Instruction"/>
      </w:pPr>
      <w:bookmarkStart w:id="0" w:name="Instruction_1_2b"/>
      <w:r w:rsidRPr="000E0DBA">
        <w:lastRenderedPageBreak/>
        <w:t>Instruction 1.2</w:t>
      </w:r>
      <w:r w:rsidR="00EB3517">
        <w:t>.1</w:t>
      </w:r>
      <w:r w:rsidR="00296508" w:rsidRPr="000E0DBA">
        <w:t>(b)</w:t>
      </w:r>
      <w:bookmarkEnd w:id="0"/>
      <w:r w:rsidR="00296508" w:rsidRPr="000E0DBA">
        <w:t xml:space="preserve"> – </w:t>
      </w:r>
      <w:r w:rsidR="00853216" w:rsidRPr="000E0DBA">
        <w:t>Incorporated c</w:t>
      </w:r>
      <w:r w:rsidRPr="000E0DBA">
        <w:t xml:space="preserve">ommittees of </w:t>
      </w:r>
      <w:r w:rsidR="00853216" w:rsidRPr="000E0DBA">
        <w:t>m</w:t>
      </w:r>
      <w:r w:rsidRPr="000E0DBA">
        <w:t>anagement subject to the Directions</w:t>
      </w:r>
    </w:p>
    <w:tbl>
      <w:tblPr>
        <w:tblStyle w:val="Table22"/>
        <w:tblW w:w="9630" w:type="dxa"/>
        <w:tblLook w:val="0480" w:firstRow="0" w:lastRow="0" w:firstColumn="1" w:lastColumn="0" w:noHBand="0" w:noVBand="1"/>
      </w:tblPr>
      <w:tblGrid>
        <w:gridCol w:w="2700"/>
        <w:gridCol w:w="6930"/>
      </w:tblGrid>
      <w:tr w:rsidR="009F7DFC" w:rsidRPr="009324AC" w14:paraId="7806ACBF" w14:textId="77777777" w:rsidTr="00BE0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4EA8B1BE" w14:textId="77777777" w:rsidR="009F7DFC" w:rsidRPr="002F46D1" w:rsidRDefault="009F7DFC" w:rsidP="00BE0386">
            <w:pPr>
              <w:spacing w:before="60" w:after="60" w:line="252" w:lineRule="auto"/>
              <w:rPr>
                <w:rFonts w:cs="Times New Roman"/>
                <w:b/>
                <w:bCs w:val="0"/>
                <w:szCs w:val="20"/>
              </w:rPr>
            </w:pPr>
            <w:r w:rsidRPr="002F46D1">
              <w:rPr>
                <w:rFonts w:cs="Times New Roman"/>
                <w:b/>
                <w:sz w:val="18"/>
                <w:szCs w:val="20"/>
              </w:rPr>
              <w:t>Background</w:t>
            </w:r>
          </w:p>
        </w:tc>
        <w:tc>
          <w:tcPr>
            <w:tcW w:w="6930" w:type="dxa"/>
          </w:tcPr>
          <w:p w14:paraId="38B7A376" w14:textId="77777777" w:rsidR="009F7DFC" w:rsidRPr="009324AC" w:rsidRDefault="00EB2BAF" w:rsidP="00853216">
            <w:pPr>
              <w:spacing w:before="60" w:after="60" w:line="252" w:lineRule="auto"/>
              <w:cnfStyle w:val="000000100000" w:firstRow="0" w:lastRow="0" w:firstColumn="0" w:lastColumn="0" w:oddVBand="0" w:evenVBand="0" w:oddHBand="1" w:evenHBand="0" w:firstRowFirstColumn="0" w:firstRowLastColumn="0" w:lastRowFirstColumn="0" w:lastRowLastColumn="0"/>
              <w:rPr>
                <w:rFonts w:cs="Times New Roman"/>
                <w:bCs/>
                <w:sz w:val="18"/>
                <w:szCs w:val="18"/>
              </w:rPr>
            </w:pPr>
            <w:r>
              <w:rPr>
                <w:rFonts w:cs="Times New Roman"/>
                <w:bCs/>
                <w:sz w:val="18"/>
                <w:szCs w:val="18"/>
              </w:rPr>
              <w:t>I</w:t>
            </w:r>
            <w:r w:rsidRPr="00EB2BAF">
              <w:rPr>
                <w:rFonts w:cs="Times New Roman"/>
                <w:bCs/>
                <w:sz w:val="18"/>
                <w:szCs w:val="18"/>
              </w:rPr>
              <w:t>ncorporated committee</w:t>
            </w:r>
            <w:r>
              <w:rPr>
                <w:rFonts w:cs="Times New Roman"/>
                <w:bCs/>
                <w:sz w:val="18"/>
                <w:szCs w:val="18"/>
              </w:rPr>
              <w:t>s</w:t>
            </w:r>
            <w:r w:rsidR="00853216">
              <w:rPr>
                <w:rFonts w:cs="Times New Roman"/>
                <w:bCs/>
                <w:sz w:val="18"/>
                <w:szCs w:val="18"/>
              </w:rPr>
              <w:t xml:space="preserve"> </w:t>
            </w:r>
            <w:r w:rsidR="009F7DFC">
              <w:rPr>
                <w:rFonts w:cs="Times New Roman"/>
                <w:bCs/>
                <w:sz w:val="18"/>
                <w:szCs w:val="18"/>
              </w:rPr>
              <w:t xml:space="preserve">are excluded from the application of the Directions and Instructions, unless listed in this Instruction. </w:t>
            </w:r>
          </w:p>
        </w:tc>
      </w:tr>
      <w:tr w:rsidR="009F7DFC" w:rsidRPr="009324AC" w14:paraId="2FDAFEB5" w14:textId="77777777" w:rsidTr="00BE03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331E1525" w14:textId="77777777" w:rsidR="009F7DFC" w:rsidRPr="002F46D1" w:rsidRDefault="009F7DFC" w:rsidP="00BE0386">
            <w:pPr>
              <w:spacing w:before="60" w:after="60" w:line="252" w:lineRule="auto"/>
              <w:rPr>
                <w:rFonts w:cs="Times New Roman"/>
                <w:b/>
                <w:bCs w:val="0"/>
                <w:szCs w:val="20"/>
              </w:rPr>
            </w:pPr>
            <w:r w:rsidRPr="002F46D1">
              <w:rPr>
                <w:rFonts w:cs="Times New Roman"/>
                <w:b/>
                <w:sz w:val="18"/>
                <w:szCs w:val="20"/>
              </w:rPr>
              <w:t>Effective date</w:t>
            </w:r>
          </w:p>
        </w:tc>
        <w:tc>
          <w:tcPr>
            <w:tcW w:w="6930" w:type="dxa"/>
          </w:tcPr>
          <w:p w14:paraId="241E0CBA" w14:textId="77777777" w:rsidR="009F7DFC" w:rsidRPr="009324AC" w:rsidRDefault="009F7DFC" w:rsidP="00BE0386">
            <w:pPr>
              <w:spacing w:before="60" w:after="60" w:line="252" w:lineRule="auto"/>
              <w:cnfStyle w:val="000000010000" w:firstRow="0" w:lastRow="0" w:firstColumn="0" w:lastColumn="0" w:oddVBand="0" w:evenVBand="0" w:oddHBand="0" w:evenHBand="1" w:firstRowFirstColumn="0" w:firstRowLastColumn="0" w:lastRowFirstColumn="0" w:lastRowLastColumn="0"/>
              <w:rPr>
                <w:rFonts w:cs="Times New Roman"/>
                <w:bCs/>
                <w:szCs w:val="20"/>
              </w:rPr>
            </w:pPr>
            <w:r w:rsidRPr="009324AC">
              <w:rPr>
                <w:rFonts w:cs="Times New Roman"/>
                <w:bCs/>
                <w:sz w:val="18"/>
                <w:szCs w:val="20"/>
              </w:rPr>
              <w:t>1 July 2016</w:t>
            </w:r>
          </w:p>
        </w:tc>
      </w:tr>
      <w:tr w:rsidR="009F7DFC" w:rsidRPr="009324AC" w14:paraId="1866C15E" w14:textId="77777777" w:rsidTr="00BE0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7F6A3600" w14:textId="77777777" w:rsidR="009F7DFC" w:rsidRPr="002F46D1" w:rsidRDefault="009F7DFC" w:rsidP="0095107A">
            <w:pPr>
              <w:spacing w:before="60" w:after="60" w:line="252" w:lineRule="auto"/>
              <w:rPr>
                <w:rFonts w:cs="Times New Roman"/>
                <w:b/>
                <w:bCs w:val="0"/>
                <w:szCs w:val="20"/>
              </w:rPr>
            </w:pPr>
            <w:r w:rsidRPr="002F46D1">
              <w:rPr>
                <w:rFonts w:cs="Times New Roman"/>
                <w:b/>
                <w:sz w:val="18"/>
                <w:szCs w:val="20"/>
              </w:rPr>
              <w:t>Relevant Directions</w:t>
            </w:r>
          </w:p>
        </w:tc>
        <w:tc>
          <w:tcPr>
            <w:tcW w:w="6930" w:type="dxa"/>
          </w:tcPr>
          <w:p w14:paraId="28A68C72" w14:textId="2A11A7D9" w:rsidR="009F7DFC" w:rsidRPr="009324AC" w:rsidRDefault="00EB3517" w:rsidP="00BE0386">
            <w:pPr>
              <w:spacing w:before="60" w:after="60" w:line="252" w:lineRule="auto"/>
              <w:cnfStyle w:val="000000100000" w:firstRow="0" w:lastRow="0" w:firstColumn="0" w:lastColumn="0" w:oddVBand="0" w:evenVBand="0" w:oddHBand="1" w:evenHBand="0" w:firstRowFirstColumn="0" w:firstRowLastColumn="0" w:lastRowFirstColumn="0" w:lastRowLastColumn="0"/>
              <w:rPr>
                <w:rFonts w:cs="Times New Roman"/>
                <w:bCs/>
                <w:szCs w:val="20"/>
              </w:rPr>
            </w:pPr>
            <w:hyperlink r:id="rId25" w:anchor="Direction_1_2_1b" w:history="1">
              <w:r>
                <w:rPr>
                  <w:rStyle w:val="Hyperlink"/>
                  <w:rFonts w:cs="Times New Roman"/>
                  <w:bCs/>
                  <w:sz w:val="18"/>
                  <w:szCs w:val="20"/>
                </w:rPr>
                <w:t>1.2.1(b) Application</w:t>
              </w:r>
            </w:hyperlink>
          </w:p>
        </w:tc>
      </w:tr>
      <w:tr w:rsidR="009F7DFC" w:rsidRPr="009324AC" w14:paraId="1DB8590F" w14:textId="77777777" w:rsidTr="00BE03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3914DF5B" w14:textId="77777777" w:rsidR="009F7DFC" w:rsidRPr="002F46D1" w:rsidRDefault="009F7DFC" w:rsidP="00BE0386">
            <w:pPr>
              <w:spacing w:before="60" w:after="60" w:line="252" w:lineRule="auto"/>
              <w:rPr>
                <w:rFonts w:cs="Times New Roman"/>
                <w:b/>
                <w:sz w:val="18"/>
                <w:szCs w:val="20"/>
              </w:rPr>
            </w:pPr>
            <w:r w:rsidRPr="002F46D1">
              <w:rPr>
                <w:rFonts w:cs="Times New Roman"/>
                <w:b/>
                <w:sz w:val="18"/>
                <w:szCs w:val="20"/>
              </w:rPr>
              <w:t>History</w:t>
            </w:r>
          </w:p>
        </w:tc>
        <w:tc>
          <w:tcPr>
            <w:tcW w:w="6930" w:type="dxa"/>
          </w:tcPr>
          <w:p w14:paraId="70C98657" w14:textId="77777777" w:rsidR="009F7DFC" w:rsidRPr="009324AC" w:rsidRDefault="009F7DFC" w:rsidP="00BE0386">
            <w:pPr>
              <w:spacing w:before="60" w:after="60" w:line="252" w:lineRule="auto"/>
              <w:cnfStyle w:val="000000010000" w:firstRow="0" w:lastRow="0" w:firstColumn="0" w:lastColumn="0" w:oddVBand="0" w:evenVBand="0" w:oddHBand="0" w:evenHBand="1" w:firstRowFirstColumn="0" w:firstRowLastColumn="0" w:lastRowFirstColumn="0" w:lastRowLastColumn="0"/>
              <w:rPr>
                <w:rFonts w:cs="Times New Roman"/>
                <w:bCs/>
                <w:sz w:val="18"/>
                <w:szCs w:val="20"/>
              </w:rPr>
            </w:pPr>
            <w:r w:rsidRPr="009324AC">
              <w:rPr>
                <w:rFonts w:cs="Times New Roman"/>
                <w:bCs/>
                <w:sz w:val="18"/>
                <w:szCs w:val="20"/>
              </w:rPr>
              <w:t xml:space="preserve">Last </w:t>
            </w:r>
            <w:r>
              <w:rPr>
                <w:rFonts w:cs="Times New Roman"/>
                <w:bCs/>
                <w:sz w:val="18"/>
                <w:szCs w:val="20"/>
              </w:rPr>
              <w:t>updated</w:t>
            </w:r>
            <w:r w:rsidRPr="009324AC">
              <w:rPr>
                <w:rFonts w:cs="Times New Roman"/>
                <w:bCs/>
                <w:sz w:val="18"/>
                <w:szCs w:val="20"/>
              </w:rPr>
              <w:t xml:space="preserve">: </w:t>
            </w:r>
            <w:r w:rsidR="001E5F68">
              <w:rPr>
                <w:rFonts w:cs="Times New Roman"/>
                <w:bCs/>
                <w:sz w:val="18"/>
                <w:szCs w:val="20"/>
              </w:rPr>
              <w:t>1 February 2016</w:t>
            </w:r>
          </w:p>
          <w:p w14:paraId="7E33A11A" w14:textId="77777777" w:rsidR="009F7DFC" w:rsidRPr="009324AC" w:rsidRDefault="009F7DFC" w:rsidP="00BE0386">
            <w:pPr>
              <w:spacing w:before="60" w:after="60" w:line="252" w:lineRule="auto"/>
              <w:cnfStyle w:val="000000010000" w:firstRow="0" w:lastRow="0" w:firstColumn="0" w:lastColumn="0" w:oddVBand="0" w:evenVBand="0" w:oddHBand="0" w:evenHBand="1" w:firstRowFirstColumn="0" w:firstRowLastColumn="0" w:lastRowFirstColumn="0" w:lastRowLastColumn="0"/>
              <w:rPr>
                <w:rFonts w:cs="Times New Roman"/>
                <w:bCs/>
                <w:sz w:val="18"/>
                <w:szCs w:val="20"/>
              </w:rPr>
            </w:pPr>
            <w:r>
              <w:rPr>
                <w:rFonts w:cs="Times New Roman"/>
                <w:bCs/>
                <w:sz w:val="18"/>
                <w:szCs w:val="20"/>
              </w:rPr>
              <w:t>Issued</w:t>
            </w:r>
            <w:r w:rsidRPr="009324AC">
              <w:rPr>
                <w:rFonts w:cs="Times New Roman"/>
                <w:bCs/>
                <w:sz w:val="18"/>
                <w:szCs w:val="20"/>
              </w:rPr>
              <w:t xml:space="preserve">: </w:t>
            </w:r>
            <w:r>
              <w:rPr>
                <w:rFonts w:cs="Times New Roman"/>
                <w:bCs/>
                <w:sz w:val="18"/>
                <w:szCs w:val="20"/>
              </w:rPr>
              <w:t>1 July 2016</w:t>
            </w:r>
          </w:p>
        </w:tc>
      </w:tr>
    </w:tbl>
    <w:p w14:paraId="443D5C9B" w14:textId="77777777" w:rsidR="009F7DFC" w:rsidRPr="009324AC" w:rsidRDefault="009F7DFC" w:rsidP="009F7DFC">
      <w:pPr>
        <w:spacing w:before="0" w:after="0" w:line="120" w:lineRule="atLeast"/>
        <w:rPr>
          <w:sz w:val="12"/>
        </w:rPr>
      </w:pPr>
    </w:p>
    <w:p w14:paraId="01167D14" w14:textId="77777777" w:rsidR="009F7DFC" w:rsidRPr="00732422" w:rsidRDefault="00853216" w:rsidP="009848A6">
      <w:pPr>
        <w:pStyle w:val="Heading1"/>
      </w:pPr>
      <w:r>
        <w:t>Incorporated c</w:t>
      </w:r>
      <w:r w:rsidR="001C15E5" w:rsidRPr="00732422">
        <w:t xml:space="preserve">ommittees of </w:t>
      </w:r>
      <w:r>
        <w:t>m</w:t>
      </w:r>
      <w:r w:rsidR="001C15E5" w:rsidRPr="00732422">
        <w:t>anagement subject to the Directions and Instructions</w:t>
      </w:r>
    </w:p>
    <w:p w14:paraId="56C928C7" w14:textId="77777777" w:rsidR="009F7DFC" w:rsidRPr="009324AC" w:rsidRDefault="001C15E5" w:rsidP="00EB2BAF">
      <w:pPr>
        <w:pStyle w:val="Heading2"/>
      </w:pPr>
      <w:r>
        <w:t xml:space="preserve">The following </w:t>
      </w:r>
      <w:r w:rsidR="00EB2BAF">
        <w:t>i</w:t>
      </w:r>
      <w:r w:rsidR="00EB2BAF" w:rsidRPr="00EB2BAF">
        <w:t xml:space="preserve">ncorporated committees </w:t>
      </w:r>
      <w:r w:rsidR="00853216">
        <w:t xml:space="preserve">of management </w:t>
      </w:r>
      <w:r>
        <w:t>are subject to the Directions and Instructions:</w:t>
      </w:r>
    </w:p>
    <w:p w14:paraId="7E2E4331" w14:textId="40D9681F" w:rsidR="00F740A7" w:rsidRDefault="001C15E5" w:rsidP="00CE2BDD">
      <w:pPr>
        <w:numPr>
          <w:ilvl w:val="3"/>
          <w:numId w:val="56"/>
        </w:numPr>
        <w:ind w:left="864"/>
        <w:contextualSpacing/>
      </w:pPr>
      <w:r>
        <w:t>Phillip Island Nature Park Board of Management Inc.</w:t>
      </w:r>
    </w:p>
    <w:p w14:paraId="2AF785CF" w14:textId="77777777" w:rsidR="00F740A7" w:rsidRDefault="00F740A7" w:rsidP="003F67E6">
      <w:pPr>
        <w:contextualSpacing/>
      </w:pPr>
    </w:p>
    <w:p w14:paraId="74D5124A" w14:textId="77777777" w:rsidR="009848A6" w:rsidRDefault="009848A6" w:rsidP="004B6922"/>
    <w:p w14:paraId="2D2B94A6" w14:textId="77777777" w:rsidR="009F7DFC" w:rsidRDefault="009F7DFC" w:rsidP="001C15E5">
      <w:pPr>
        <w:spacing w:before="0" w:after="300" w:line="252" w:lineRule="auto"/>
        <w:rPr>
          <w:color w:val="007934"/>
          <w:sz w:val="40"/>
          <w:szCs w:val="40"/>
        </w:rPr>
        <w:sectPr w:rsidR="009F7DFC" w:rsidSect="00CF2B85">
          <w:pgSz w:w="11906" w:h="16838" w:code="9"/>
          <w:pgMar w:top="1440" w:right="1008" w:bottom="1440" w:left="1008" w:header="706" w:footer="389" w:gutter="0"/>
          <w:cols w:space="708"/>
          <w:titlePg/>
          <w:docGrid w:linePitch="360"/>
        </w:sectPr>
      </w:pPr>
    </w:p>
    <w:p w14:paraId="7BF27034" w14:textId="77777777" w:rsidR="009324AC" w:rsidRPr="000E0DBA" w:rsidRDefault="009324AC" w:rsidP="00B32558">
      <w:pPr>
        <w:pStyle w:val="Instruction"/>
      </w:pPr>
      <w:bookmarkStart w:id="1" w:name="Instruction_2_3_4"/>
      <w:r w:rsidRPr="000E0DBA">
        <w:lastRenderedPageBreak/>
        <w:t>Instruction 2.</w:t>
      </w:r>
      <w:r w:rsidR="000757E3" w:rsidRPr="000E0DBA">
        <w:t>3.4</w:t>
      </w:r>
      <w:bookmarkEnd w:id="1"/>
      <w:r w:rsidR="00296508" w:rsidRPr="000E0DBA">
        <w:t xml:space="preserve"> – Po</w:t>
      </w:r>
      <w:r w:rsidR="00C5696D" w:rsidRPr="000E0DBA">
        <w:t>rtfolio relationship</w:t>
      </w:r>
    </w:p>
    <w:tbl>
      <w:tblPr>
        <w:tblStyle w:val="Table22"/>
        <w:tblW w:w="9630" w:type="dxa"/>
        <w:tblLook w:val="0480" w:firstRow="0" w:lastRow="0" w:firstColumn="1" w:lastColumn="0" w:noHBand="0" w:noVBand="1"/>
      </w:tblPr>
      <w:tblGrid>
        <w:gridCol w:w="2700"/>
        <w:gridCol w:w="6930"/>
      </w:tblGrid>
      <w:tr w:rsidR="009324AC" w:rsidRPr="009324AC" w14:paraId="6051B345" w14:textId="77777777" w:rsidTr="003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1EC77B2C" w14:textId="77777777" w:rsidR="009324AC" w:rsidRPr="002F46D1" w:rsidRDefault="009324AC" w:rsidP="009324AC">
            <w:pPr>
              <w:spacing w:before="60" w:after="60" w:line="252" w:lineRule="auto"/>
              <w:rPr>
                <w:rFonts w:cs="Times New Roman"/>
                <w:b/>
                <w:bCs w:val="0"/>
                <w:szCs w:val="20"/>
              </w:rPr>
            </w:pPr>
            <w:r w:rsidRPr="002F46D1">
              <w:rPr>
                <w:rFonts w:cs="Times New Roman"/>
                <w:b/>
                <w:sz w:val="18"/>
                <w:szCs w:val="20"/>
              </w:rPr>
              <w:t>Background</w:t>
            </w:r>
          </w:p>
        </w:tc>
        <w:tc>
          <w:tcPr>
            <w:tcW w:w="6930" w:type="dxa"/>
          </w:tcPr>
          <w:p w14:paraId="65CCF942" w14:textId="77777777" w:rsidR="009324AC" w:rsidRPr="009324AC" w:rsidRDefault="009324AC" w:rsidP="009324AC">
            <w:pPr>
              <w:spacing w:before="60" w:after="60" w:line="252" w:lineRule="auto"/>
              <w:cnfStyle w:val="000000100000" w:firstRow="0" w:lastRow="0" w:firstColumn="0" w:lastColumn="0" w:oddVBand="0" w:evenVBand="0" w:oddHBand="1" w:evenHBand="0" w:firstRowFirstColumn="0" w:firstRowLastColumn="0" w:lastRowFirstColumn="0" w:lastRowLastColumn="0"/>
              <w:rPr>
                <w:rFonts w:cs="Times New Roman"/>
                <w:bCs/>
                <w:sz w:val="18"/>
                <w:szCs w:val="18"/>
              </w:rPr>
            </w:pPr>
            <w:r w:rsidRPr="009324AC">
              <w:rPr>
                <w:rFonts w:cs="Times New Roman"/>
                <w:bCs/>
                <w:sz w:val="18"/>
                <w:szCs w:val="18"/>
              </w:rPr>
              <w:t xml:space="preserve">The departmental Secretary (Accountable Officer) is the principal policy adviser to government on policy matters and assists Ministers to maintain an awareness of portfolio Agencies’ operations. </w:t>
            </w:r>
          </w:p>
          <w:p w14:paraId="0383549D" w14:textId="77777777" w:rsidR="009324AC" w:rsidRPr="009324AC" w:rsidRDefault="009324AC" w:rsidP="00587DDD">
            <w:pPr>
              <w:spacing w:before="60" w:after="60" w:line="252" w:lineRule="auto"/>
              <w:cnfStyle w:val="000000100000" w:firstRow="0" w:lastRow="0" w:firstColumn="0" w:lastColumn="0" w:oddVBand="0" w:evenVBand="0" w:oddHBand="1" w:evenHBand="0" w:firstRowFirstColumn="0" w:firstRowLastColumn="0" w:lastRowFirstColumn="0" w:lastRowLastColumn="0"/>
              <w:rPr>
                <w:rFonts w:cs="Times New Roman"/>
                <w:bCs/>
                <w:sz w:val="18"/>
                <w:szCs w:val="18"/>
              </w:rPr>
            </w:pPr>
            <w:r w:rsidRPr="009324AC">
              <w:rPr>
                <w:rFonts w:cs="Times New Roman"/>
                <w:bCs/>
                <w:sz w:val="18"/>
                <w:szCs w:val="18"/>
              </w:rPr>
              <w:t xml:space="preserve">The </w:t>
            </w:r>
            <w:r w:rsidR="00587DDD">
              <w:rPr>
                <w:rFonts w:cs="Times New Roman"/>
                <w:bCs/>
                <w:sz w:val="18"/>
                <w:szCs w:val="18"/>
              </w:rPr>
              <w:t>P</w:t>
            </w:r>
            <w:r w:rsidRPr="009324AC">
              <w:rPr>
                <w:rFonts w:cs="Times New Roman"/>
                <w:bCs/>
                <w:sz w:val="18"/>
                <w:szCs w:val="18"/>
              </w:rPr>
              <w:t>ortfolio Department plays a critical role in supporting DTF in managing the risks for the State by actively monitoring and advising on Agency/portfolio performance and facilitating information flows.</w:t>
            </w:r>
          </w:p>
        </w:tc>
      </w:tr>
      <w:tr w:rsidR="009324AC" w:rsidRPr="009324AC" w14:paraId="4FDE4DBE" w14:textId="77777777" w:rsidTr="003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39574CA9" w14:textId="77777777" w:rsidR="009324AC" w:rsidRPr="002F46D1" w:rsidRDefault="009324AC" w:rsidP="009324AC">
            <w:pPr>
              <w:spacing w:before="60" w:after="60" w:line="252" w:lineRule="auto"/>
              <w:rPr>
                <w:rFonts w:cs="Times New Roman"/>
                <w:b/>
                <w:bCs w:val="0"/>
                <w:szCs w:val="20"/>
              </w:rPr>
            </w:pPr>
            <w:r w:rsidRPr="002F46D1">
              <w:rPr>
                <w:rFonts w:cs="Times New Roman"/>
                <w:b/>
                <w:sz w:val="18"/>
                <w:szCs w:val="20"/>
              </w:rPr>
              <w:t>Effective date</w:t>
            </w:r>
          </w:p>
        </w:tc>
        <w:tc>
          <w:tcPr>
            <w:tcW w:w="6930" w:type="dxa"/>
          </w:tcPr>
          <w:p w14:paraId="6524CD21" w14:textId="77777777" w:rsidR="009324AC" w:rsidRPr="009324AC" w:rsidRDefault="009324AC" w:rsidP="009324AC">
            <w:pPr>
              <w:spacing w:before="60" w:after="60" w:line="252" w:lineRule="auto"/>
              <w:cnfStyle w:val="000000010000" w:firstRow="0" w:lastRow="0" w:firstColumn="0" w:lastColumn="0" w:oddVBand="0" w:evenVBand="0" w:oddHBand="0" w:evenHBand="1" w:firstRowFirstColumn="0" w:firstRowLastColumn="0" w:lastRowFirstColumn="0" w:lastRowLastColumn="0"/>
              <w:rPr>
                <w:rFonts w:cs="Times New Roman"/>
                <w:bCs/>
                <w:szCs w:val="20"/>
              </w:rPr>
            </w:pPr>
            <w:r w:rsidRPr="009324AC">
              <w:rPr>
                <w:rFonts w:cs="Times New Roman"/>
                <w:bCs/>
                <w:sz w:val="18"/>
                <w:szCs w:val="20"/>
              </w:rPr>
              <w:t>1 July 2016</w:t>
            </w:r>
          </w:p>
        </w:tc>
      </w:tr>
      <w:tr w:rsidR="009324AC" w:rsidRPr="009324AC" w14:paraId="793D5353" w14:textId="77777777" w:rsidTr="003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1E595B4D" w14:textId="77777777" w:rsidR="009324AC" w:rsidRPr="002F46D1" w:rsidRDefault="009324AC" w:rsidP="00E87225">
            <w:pPr>
              <w:spacing w:before="60" w:after="60" w:line="252" w:lineRule="auto"/>
              <w:rPr>
                <w:rFonts w:cs="Times New Roman"/>
                <w:b/>
                <w:bCs w:val="0"/>
                <w:szCs w:val="20"/>
              </w:rPr>
            </w:pPr>
            <w:r w:rsidRPr="002F46D1">
              <w:rPr>
                <w:rFonts w:cs="Times New Roman"/>
                <w:b/>
                <w:sz w:val="18"/>
                <w:szCs w:val="20"/>
              </w:rPr>
              <w:t>Relevant Directions</w:t>
            </w:r>
          </w:p>
        </w:tc>
        <w:tc>
          <w:tcPr>
            <w:tcW w:w="6930" w:type="dxa"/>
          </w:tcPr>
          <w:p w14:paraId="65105450" w14:textId="4FD12B23" w:rsidR="009324AC" w:rsidRPr="009324AC" w:rsidRDefault="000757E3" w:rsidP="009324AC">
            <w:pPr>
              <w:spacing w:before="60" w:after="60" w:line="252" w:lineRule="auto"/>
              <w:cnfStyle w:val="000000100000" w:firstRow="0" w:lastRow="0" w:firstColumn="0" w:lastColumn="0" w:oddVBand="0" w:evenVBand="0" w:oddHBand="1" w:evenHBand="0" w:firstRowFirstColumn="0" w:firstRowLastColumn="0" w:lastRowFirstColumn="0" w:lastRowLastColumn="0"/>
              <w:rPr>
                <w:rFonts w:cs="Times New Roman"/>
                <w:bCs/>
                <w:sz w:val="18"/>
                <w:szCs w:val="20"/>
              </w:rPr>
            </w:pPr>
            <w:hyperlink r:id="rId26" w:anchor="standing-directions-2018" w:history="1">
              <w:r w:rsidRPr="00C8381A">
                <w:rPr>
                  <w:rStyle w:val="Hyperlink"/>
                  <w:rFonts w:cs="Times New Roman"/>
                  <w:bCs/>
                  <w:sz w:val="18"/>
                  <w:szCs w:val="20"/>
                </w:rPr>
                <w:t>2.3</w:t>
              </w:r>
              <w:r w:rsidR="009324AC" w:rsidRPr="00C8381A">
                <w:rPr>
                  <w:rStyle w:val="Hyperlink"/>
                  <w:rFonts w:cs="Times New Roman"/>
                  <w:bCs/>
                  <w:sz w:val="18"/>
                  <w:szCs w:val="20"/>
                </w:rPr>
                <w:t xml:space="preserve"> Accountable Officer</w:t>
              </w:r>
            </w:hyperlink>
          </w:p>
          <w:p w14:paraId="3E7F7BDF" w14:textId="5A72317D" w:rsidR="009324AC" w:rsidRPr="009324AC" w:rsidRDefault="00BE1A88" w:rsidP="009324AC">
            <w:pPr>
              <w:spacing w:before="60" w:after="60" w:line="252" w:lineRule="auto"/>
              <w:cnfStyle w:val="000000100000" w:firstRow="0" w:lastRow="0" w:firstColumn="0" w:lastColumn="0" w:oddVBand="0" w:evenVBand="0" w:oddHBand="1" w:evenHBand="0" w:firstRowFirstColumn="0" w:firstRowLastColumn="0" w:lastRowFirstColumn="0" w:lastRowLastColumn="0"/>
              <w:rPr>
                <w:rFonts w:cs="Times New Roman"/>
                <w:bCs/>
                <w:sz w:val="18"/>
                <w:szCs w:val="20"/>
              </w:rPr>
            </w:pPr>
            <w:hyperlink r:id="rId27" w:anchor="standing-directions-2018" w:history="1">
              <w:r w:rsidRPr="00C8381A">
                <w:rPr>
                  <w:rStyle w:val="Hyperlink"/>
                  <w:rFonts w:cs="Times New Roman"/>
                  <w:bCs/>
                  <w:sz w:val="18"/>
                  <w:szCs w:val="20"/>
                </w:rPr>
                <w:t>2.4.4 Responsibilities of Portfolio Department CFO</w:t>
              </w:r>
            </w:hyperlink>
            <w:r>
              <w:rPr>
                <w:rFonts w:cs="Times New Roman"/>
                <w:bCs/>
                <w:sz w:val="18"/>
                <w:szCs w:val="20"/>
              </w:rPr>
              <w:t xml:space="preserve"> </w:t>
            </w:r>
          </w:p>
          <w:p w14:paraId="3BBFE8B0" w14:textId="505F93EE" w:rsidR="009324AC" w:rsidRPr="009324AC" w:rsidRDefault="00BE1A88" w:rsidP="009324AC">
            <w:pPr>
              <w:spacing w:before="60" w:after="60" w:line="252" w:lineRule="auto"/>
              <w:cnfStyle w:val="000000100000" w:firstRow="0" w:lastRow="0" w:firstColumn="0" w:lastColumn="0" w:oddVBand="0" w:evenVBand="0" w:oddHBand="1" w:evenHBand="0" w:firstRowFirstColumn="0" w:firstRowLastColumn="0" w:lastRowFirstColumn="0" w:lastRowLastColumn="0"/>
              <w:rPr>
                <w:rFonts w:cs="Times New Roman"/>
                <w:bCs/>
                <w:sz w:val="18"/>
                <w:szCs w:val="20"/>
              </w:rPr>
            </w:pPr>
            <w:hyperlink r:id="rId28" w:anchor="standing-directions-2018" w:history="1">
              <w:r w:rsidRPr="00CD6503">
                <w:rPr>
                  <w:rStyle w:val="Hyperlink"/>
                  <w:rFonts w:cs="Times New Roman"/>
                  <w:bCs/>
                  <w:sz w:val="18"/>
                  <w:szCs w:val="20"/>
                </w:rPr>
                <w:t>5.1.7 Portfolio Departments’ reporting to DTF</w:t>
              </w:r>
            </w:hyperlink>
          </w:p>
          <w:p w14:paraId="4C4E7723" w14:textId="4AC0AB5B" w:rsidR="009324AC" w:rsidRPr="009324AC" w:rsidRDefault="00BE1A88" w:rsidP="003123F0">
            <w:pPr>
              <w:spacing w:before="60" w:after="60" w:line="252" w:lineRule="auto"/>
              <w:cnfStyle w:val="000000100000" w:firstRow="0" w:lastRow="0" w:firstColumn="0" w:lastColumn="0" w:oddVBand="0" w:evenVBand="0" w:oddHBand="1" w:evenHBand="0" w:firstRowFirstColumn="0" w:firstRowLastColumn="0" w:lastRowFirstColumn="0" w:lastRowLastColumn="0"/>
              <w:rPr>
                <w:rFonts w:cs="Times New Roman"/>
                <w:bCs/>
                <w:szCs w:val="20"/>
              </w:rPr>
            </w:pPr>
            <w:hyperlink r:id="rId29" w:anchor="standing-directions-2018" w:history="1">
              <w:r w:rsidRPr="00C3519F">
                <w:rPr>
                  <w:rStyle w:val="Hyperlink"/>
                  <w:rFonts w:cs="Times New Roman"/>
                  <w:bCs/>
                  <w:sz w:val="18"/>
                  <w:szCs w:val="20"/>
                </w:rPr>
                <w:t>5.</w:t>
              </w:r>
              <w:r w:rsidR="003123F0" w:rsidRPr="00C3519F">
                <w:rPr>
                  <w:rStyle w:val="Hyperlink"/>
                  <w:rFonts w:cs="Times New Roman"/>
                  <w:bCs/>
                  <w:sz w:val="18"/>
                  <w:szCs w:val="20"/>
                </w:rPr>
                <w:t>3</w:t>
              </w:r>
              <w:r w:rsidR="009324AC" w:rsidRPr="00C3519F">
                <w:rPr>
                  <w:rStyle w:val="Hyperlink"/>
                  <w:rFonts w:cs="Times New Roman"/>
                  <w:bCs/>
                  <w:sz w:val="18"/>
                  <w:szCs w:val="20"/>
                </w:rPr>
                <w:t xml:space="preserve"> External reporting and information provision</w:t>
              </w:r>
            </w:hyperlink>
          </w:p>
        </w:tc>
      </w:tr>
      <w:tr w:rsidR="009F7DFC" w:rsidRPr="009324AC" w14:paraId="2B278B6A" w14:textId="77777777" w:rsidTr="003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40B2A0A5" w14:textId="77777777" w:rsidR="009F7DFC" w:rsidRPr="002F46D1" w:rsidRDefault="009F7DFC" w:rsidP="009324AC">
            <w:pPr>
              <w:spacing w:before="60" w:after="60" w:line="252" w:lineRule="auto"/>
              <w:rPr>
                <w:rFonts w:cs="Times New Roman"/>
                <w:b/>
                <w:sz w:val="18"/>
                <w:szCs w:val="20"/>
              </w:rPr>
            </w:pPr>
            <w:r w:rsidRPr="002F46D1">
              <w:rPr>
                <w:rFonts w:cs="Times New Roman"/>
                <w:b/>
                <w:sz w:val="18"/>
                <w:szCs w:val="20"/>
              </w:rPr>
              <w:t>History</w:t>
            </w:r>
          </w:p>
        </w:tc>
        <w:tc>
          <w:tcPr>
            <w:tcW w:w="6930" w:type="dxa"/>
          </w:tcPr>
          <w:p w14:paraId="1FC9BFC5" w14:textId="77777777" w:rsidR="009F7DFC" w:rsidRPr="009324AC" w:rsidRDefault="009F7DFC" w:rsidP="00BE0386">
            <w:pPr>
              <w:spacing w:before="60" w:after="60" w:line="252" w:lineRule="auto"/>
              <w:cnfStyle w:val="000000010000" w:firstRow="0" w:lastRow="0" w:firstColumn="0" w:lastColumn="0" w:oddVBand="0" w:evenVBand="0" w:oddHBand="0" w:evenHBand="1" w:firstRowFirstColumn="0" w:firstRowLastColumn="0" w:lastRowFirstColumn="0" w:lastRowLastColumn="0"/>
              <w:rPr>
                <w:rFonts w:cs="Times New Roman"/>
                <w:bCs/>
                <w:sz w:val="18"/>
                <w:szCs w:val="20"/>
              </w:rPr>
            </w:pPr>
            <w:r w:rsidRPr="009324AC">
              <w:rPr>
                <w:rFonts w:cs="Times New Roman"/>
                <w:bCs/>
                <w:sz w:val="18"/>
                <w:szCs w:val="20"/>
              </w:rPr>
              <w:t xml:space="preserve">Last </w:t>
            </w:r>
            <w:r>
              <w:rPr>
                <w:rFonts w:cs="Times New Roman"/>
                <w:bCs/>
                <w:sz w:val="18"/>
                <w:szCs w:val="20"/>
              </w:rPr>
              <w:t>updated</w:t>
            </w:r>
            <w:r w:rsidRPr="009324AC">
              <w:rPr>
                <w:rFonts w:cs="Times New Roman"/>
                <w:bCs/>
                <w:sz w:val="18"/>
                <w:szCs w:val="20"/>
              </w:rPr>
              <w:t xml:space="preserve">: </w:t>
            </w:r>
            <w:r w:rsidR="001E5F68">
              <w:rPr>
                <w:rFonts w:cs="Times New Roman"/>
                <w:bCs/>
                <w:sz w:val="18"/>
                <w:szCs w:val="20"/>
              </w:rPr>
              <w:t>1 February 2016</w:t>
            </w:r>
          </w:p>
          <w:p w14:paraId="19CEBCA3" w14:textId="77777777" w:rsidR="009F7DFC" w:rsidRPr="009324AC" w:rsidRDefault="009F7DFC" w:rsidP="00BE0386">
            <w:pPr>
              <w:spacing w:before="60" w:after="60" w:line="252" w:lineRule="auto"/>
              <w:cnfStyle w:val="000000010000" w:firstRow="0" w:lastRow="0" w:firstColumn="0" w:lastColumn="0" w:oddVBand="0" w:evenVBand="0" w:oddHBand="0" w:evenHBand="1" w:firstRowFirstColumn="0" w:firstRowLastColumn="0" w:lastRowFirstColumn="0" w:lastRowLastColumn="0"/>
              <w:rPr>
                <w:rFonts w:cs="Times New Roman"/>
                <w:bCs/>
                <w:sz w:val="18"/>
                <w:szCs w:val="20"/>
              </w:rPr>
            </w:pPr>
            <w:r>
              <w:rPr>
                <w:rFonts w:cs="Times New Roman"/>
                <w:bCs/>
                <w:sz w:val="18"/>
                <w:szCs w:val="20"/>
              </w:rPr>
              <w:t>Issued</w:t>
            </w:r>
            <w:r w:rsidRPr="009324AC">
              <w:rPr>
                <w:rFonts w:cs="Times New Roman"/>
                <w:bCs/>
                <w:sz w:val="18"/>
                <w:szCs w:val="20"/>
              </w:rPr>
              <w:t xml:space="preserve">: </w:t>
            </w:r>
            <w:r>
              <w:rPr>
                <w:rFonts w:cs="Times New Roman"/>
                <w:bCs/>
                <w:sz w:val="18"/>
                <w:szCs w:val="20"/>
              </w:rPr>
              <w:t>1 July 2016</w:t>
            </w:r>
          </w:p>
        </w:tc>
      </w:tr>
    </w:tbl>
    <w:p w14:paraId="271C1EF3" w14:textId="77777777" w:rsidR="009324AC" w:rsidRPr="009324AC" w:rsidRDefault="009324AC" w:rsidP="009324AC">
      <w:pPr>
        <w:spacing w:before="0" w:after="0" w:line="120" w:lineRule="atLeast"/>
        <w:rPr>
          <w:sz w:val="12"/>
        </w:rPr>
      </w:pPr>
    </w:p>
    <w:p w14:paraId="7CDC2804" w14:textId="77777777" w:rsidR="009324AC" w:rsidRPr="00732422" w:rsidRDefault="009324AC" w:rsidP="0006001E">
      <w:pPr>
        <w:pStyle w:val="Heading1"/>
        <w:numPr>
          <w:ilvl w:val="0"/>
          <w:numId w:val="8"/>
        </w:numPr>
      </w:pPr>
      <w:r w:rsidRPr="0006001E">
        <w:t>Portfolio</w:t>
      </w:r>
      <w:r w:rsidRPr="00732422">
        <w:t xml:space="preserve"> Department </w:t>
      </w:r>
      <w:r w:rsidR="002573FD" w:rsidRPr="00732422">
        <w:t>responsibilities</w:t>
      </w:r>
      <w:r w:rsidR="00C5696D" w:rsidRPr="00732422">
        <w:t xml:space="preserve"> </w:t>
      </w:r>
    </w:p>
    <w:p w14:paraId="24F81632" w14:textId="77777777" w:rsidR="009324AC" w:rsidRPr="009324AC" w:rsidRDefault="009324AC" w:rsidP="009848A6">
      <w:pPr>
        <w:pStyle w:val="Heading2"/>
      </w:pPr>
      <w:r w:rsidRPr="009324AC">
        <w:t>The Portfolio Department Accountable Officer must</w:t>
      </w:r>
      <w:r w:rsidR="00C63272">
        <w:t xml:space="preserve"> establish and maintain an effective portfolio relationship framework for</w:t>
      </w:r>
      <w:r w:rsidRPr="009324AC">
        <w:t>:</w:t>
      </w:r>
    </w:p>
    <w:p w14:paraId="5C782FA3" w14:textId="77777777" w:rsidR="009324AC" w:rsidRPr="009324AC" w:rsidRDefault="009324AC" w:rsidP="009848A6">
      <w:pPr>
        <w:pStyle w:val="Num1"/>
      </w:pPr>
      <w:r w:rsidRPr="002573FD">
        <w:t>supporting the Responsible Minister’s oversight</w:t>
      </w:r>
      <w:r w:rsidRPr="009324AC">
        <w:t xml:space="preserve"> of the financial management performance of </w:t>
      </w:r>
      <w:r w:rsidR="002573FD">
        <w:t>P</w:t>
      </w:r>
      <w:r w:rsidRPr="009324AC">
        <w:t>ortfolio Agencies;</w:t>
      </w:r>
      <w:r w:rsidR="00C63272">
        <w:t xml:space="preserve"> and</w:t>
      </w:r>
    </w:p>
    <w:p w14:paraId="09C87841" w14:textId="77777777" w:rsidR="009324AC" w:rsidRDefault="009324AC" w:rsidP="009848A6">
      <w:pPr>
        <w:pStyle w:val="Num1"/>
      </w:pPr>
      <w:r w:rsidRPr="009324AC">
        <w:t>assist</w:t>
      </w:r>
      <w:r w:rsidR="00C63272">
        <w:t>ing</w:t>
      </w:r>
      <w:r w:rsidRPr="009324AC">
        <w:t xml:space="preserve"> the Department of Treasury and Finance (DTF) to manage its whole of government responsibilities.</w:t>
      </w:r>
    </w:p>
    <w:p w14:paraId="6ABA08A3" w14:textId="77777777" w:rsidR="009324AC" w:rsidRPr="009324AC" w:rsidRDefault="009324AC" w:rsidP="009848A6">
      <w:pPr>
        <w:pStyle w:val="Heading2"/>
      </w:pPr>
      <w:r w:rsidRPr="009324AC">
        <w:t xml:space="preserve">In establishing the </w:t>
      </w:r>
      <w:r w:rsidR="009A13C7">
        <w:t>portfolio relationship</w:t>
      </w:r>
      <w:r w:rsidR="009A13C7" w:rsidRPr="002573FD">
        <w:t xml:space="preserve"> </w:t>
      </w:r>
      <w:r w:rsidRPr="009324AC">
        <w:t>framework</w:t>
      </w:r>
      <w:r w:rsidR="002573FD">
        <w:t xml:space="preserve"> under clause 1.1 of this Instruction</w:t>
      </w:r>
      <w:r w:rsidRPr="009324AC">
        <w:t>, the portfolio Department Accountable Officer must:</w:t>
      </w:r>
    </w:p>
    <w:p w14:paraId="7DEA49CD" w14:textId="77777777" w:rsidR="009324AC" w:rsidRPr="009324AC" w:rsidRDefault="00C63272" w:rsidP="009848A6">
      <w:pPr>
        <w:pStyle w:val="Num1"/>
      </w:pPr>
      <w:r>
        <w:t xml:space="preserve">consider </w:t>
      </w:r>
      <w:r w:rsidR="009324AC" w:rsidRPr="009324AC">
        <w:t xml:space="preserve">any </w:t>
      </w:r>
      <w:r w:rsidR="008C28EB">
        <w:t>functions</w:t>
      </w:r>
      <w:r w:rsidR="008C28EB" w:rsidRPr="009324AC">
        <w:t xml:space="preserve"> </w:t>
      </w:r>
      <w:r w:rsidR="009324AC" w:rsidRPr="009324AC">
        <w:t xml:space="preserve">of the </w:t>
      </w:r>
      <w:r w:rsidR="00BE3A19">
        <w:t xml:space="preserve">Portfolio Department </w:t>
      </w:r>
      <w:r w:rsidR="009324AC" w:rsidRPr="009324AC">
        <w:t>Accoun</w:t>
      </w:r>
      <w:r w:rsidR="002573FD">
        <w:t>table Officer and/or Minister</w:t>
      </w:r>
      <w:r w:rsidR="009324AC" w:rsidRPr="009324AC">
        <w:t xml:space="preserve"> in </w:t>
      </w:r>
      <w:r w:rsidR="002573FD">
        <w:t>their P</w:t>
      </w:r>
      <w:r w:rsidR="009324AC" w:rsidRPr="009324AC">
        <w:t>ortfolio Agencies’ establishing legislation</w:t>
      </w:r>
      <w:r w:rsidR="008C28EB">
        <w:t xml:space="preserve">, including the nature and extent of such </w:t>
      </w:r>
      <w:proofErr w:type="gramStart"/>
      <w:r w:rsidR="008C28EB">
        <w:t>functions</w:t>
      </w:r>
      <w:r w:rsidR="009324AC" w:rsidRPr="009324AC">
        <w:t>;</w:t>
      </w:r>
      <w:proofErr w:type="gramEnd"/>
    </w:p>
    <w:p w14:paraId="201E2F97" w14:textId="77777777" w:rsidR="009324AC" w:rsidRPr="009324AC" w:rsidRDefault="00C63272" w:rsidP="009848A6">
      <w:pPr>
        <w:pStyle w:val="Num1"/>
      </w:pPr>
      <w:r>
        <w:t xml:space="preserve">consider </w:t>
      </w:r>
      <w:r w:rsidR="009324AC" w:rsidRPr="009324AC">
        <w:t xml:space="preserve">the risk profile and performance of </w:t>
      </w:r>
      <w:r w:rsidR="002573FD">
        <w:t>Portfolio</w:t>
      </w:r>
      <w:r w:rsidR="009324AC" w:rsidRPr="009324AC">
        <w:t xml:space="preserve"> Agencies and/or </w:t>
      </w:r>
      <w:proofErr w:type="gramStart"/>
      <w:r w:rsidR="009324AC" w:rsidRPr="009324AC">
        <w:t>sectors;</w:t>
      </w:r>
      <w:proofErr w:type="gramEnd"/>
    </w:p>
    <w:p w14:paraId="41147FE8" w14:textId="77777777" w:rsidR="009324AC" w:rsidRPr="009324AC" w:rsidRDefault="007C584C" w:rsidP="009848A6">
      <w:pPr>
        <w:pStyle w:val="Num1"/>
      </w:pPr>
      <w:r>
        <w:t xml:space="preserve">include </w:t>
      </w:r>
      <w:r w:rsidR="00C63272">
        <w:t>any</w:t>
      </w:r>
      <w:r w:rsidR="002573FD">
        <w:t xml:space="preserve"> </w:t>
      </w:r>
      <w:r w:rsidR="008C1DB5">
        <w:t>systems</w:t>
      </w:r>
      <w:r w:rsidR="002573FD">
        <w:t>,</w:t>
      </w:r>
      <w:r w:rsidR="008C1DB5">
        <w:t xml:space="preserve"> processes, </w:t>
      </w:r>
      <w:r w:rsidR="009324AC" w:rsidRPr="009324AC">
        <w:t xml:space="preserve">policies and procedures </w:t>
      </w:r>
      <w:r w:rsidR="00C63272">
        <w:t xml:space="preserve">as necessary </w:t>
      </w:r>
      <w:r w:rsidR="00E23688">
        <w:t>to</w:t>
      </w:r>
      <w:r w:rsidR="009324AC" w:rsidRPr="009324AC">
        <w:t xml:space="preserve"> enable key</w:t>
      </w:r>
      <w:r w:rsidR="002573FD">
        <w:t xml:space="preserve"> portfolio relationship</w:t>
      </w:r>
      <w:r w:rsidR="009324AC" w:rsidRPr="009324AC">
        <w:t xml:space="preserve"> functions to be undertaken by the </w:t>
      </w:r>
      <w:r w:rsidR="002573FD">
        <w:t>P</w:t>
      </w:r>
      <w:r w:rsidR="009324AC" w:rsidRPr="009324AC">
        <w:t xml:space="preserve">ortfolio </w:t>
      </w:r>
      <w:proofErr w:type="gramStart"/>
      <w:r w:rsidR="009324AC" w:rsidRPr="009324AC">
        <w:t>Department;</w:t>
      </w:r>
      <w:proofErr w:type="gramEnd"/>
    </w:p>
    <w:p w14:paraId="4A7BCF22" w14:textId="77777777" w:rsidR="009324AC" w:rsidRPr="009324AC" w:rsidRDefault="00C63272" w:rsidP="009848A6">
      <w:pPr>
        <w:pStyle w:val="Num1"/>
      </w:pPr>
      <w:r>
        <w:t xml:space="preserve">consider </w:t>
      </w:r>
      <w:r w:rsidR="009324AC" w:rsidRPr="009324AC">
        <w:t>the roles, responsibilities and relationships</w:t>
      </w:r>
      <w:r w:rsidR="002573FD">
        <w:t xml:space="preserve"> between the Portfolio Department and Portfolio Agencies</w:t>
      </w:r>
      <w:r w:rsidR="009324AC" w:rsidRPr="009324AC">
        <w:t xml:space="preserve">; </w:t>
      </w:r>
      <w:r w:rsidR="002573FD" w:rsidRPr="009324AC">
        <w:t>and</w:t>
      </w:r>
    </w:p>
    <w:p w14:paraId="0AC61BC1" w14:textId="77777777" w:rsidR="009324AC" w:rsidRDefault="007C584C" w:rsidP="009848A6">
      <w:pPr>
        <w:pStyle w:val="Num1"/>
      </w:pPr>
      <w:r>
        <w:t xml:space="preserve">include </w:t>
      </w:r>
      <w:r w:rsidR="009324AC" w:rsidRPr="009324AC">
        <w:t>monitor</w:t>
      </w:r>
      <w:r w:rsidR="002573FD">
        <w:t xml:space="preserve">ing </w:t>
      </w:r>
      <w:r w:rsidR="009324AC" w:rsidRPr="009324AC">
        <w:t>and evaluat</w:t>
      </w:r>
      <w:r w:rsidR="002573FD">
        <w:t>ion</w:t>
      </w:r>
      <w:r w:rsidR="009324AC" w:rsidRPr="009324AC">
        <w:t xml:space="preserve"> </w:t>
      </w:r>
      <w:r w:rsidR="002573FD">
        <w:t xml:space="preserve">of </w:t>
      </w:r>
      <w:r w:rsidR="009324AC" w:rsidRPr="009324AC">
        <w:t xml:space="preserve">the effectiveness of the portfolio </w:t>
      </w:r>
      <w:r w:rsidR="002573FD">
        <w:t>relationship</w:t>
      </w:r>
      <w:r w:rsidR="009324AC" w:rsidRPr="009324AC">
        <w:t xml:space="preserve"> function.</w:t>
      </w:r>
    </w:p>
    <w:p w14:paraId="6D236AC4" w14:textId="77777777" w:rsidR="009324AC" w:rsidRPr="009324AC" w:rsidRDefault="009324AC" w:rsidP="009848A6">
      <w:pPr>
        <w:pStyle w:val="Heading1"/>
        <w:numPr>
          <w:ilvl w:val="0"/>
          <w:numId w:val="8"/>
        </w:numPr>
      </w:pPr>
      <w:r w:rsidRPr="009324AC">
        <w:t xml:space="preserve">DTF </w:t>
      </w:r>
      <w:r w:rsidR="009A13C7">
        <w:t>responsibility</w:t>
      </w:r>
    </w:p>
    <w:p w14:paraId="02C3CF21" w14:textId="77777777" w:rsidR="009324AC" w:rsidRPr="009324AC" w:rsidRDefault="009A13C7" w:rsidP="009848A6">
      <w:pPr>
        <w:pStyle w:val="Heading2"/>
      </w:pPr>
      <w:r>
        <w:t xml:space="preserve">DTF’s Accountable Officer must provide support and advice to Portfolio Departments in relation to their portfolio </w:t>
      </w:r>
      <w:r w:rsidRPr="009848A6">
        <w:t>relationship</w:t>
      </w:r>
      <w:r>
        <w:t xml:space="preserve"> function, including by monitoring the effectiveness of the</w:t>
      </w:r>
      <w:r w:rsidR="00C63272">
        <w:t>se</w:t>
      </w:r>
      <w:r>
        <w:t xml:space="preserve"> function</w:t>
      </w:r>
      <w:r w:rsidR="00C63272">
        <w:t>s</w:t>
      </w:r>
      <w:r>
        <w:t xml:space="preserve">. </w:t>
      </w:r>
    </w:p>
    <w:p w14:paraId="2CEDC416" w14:textId="77777777" w:rsidR="009324AC" w:rsidRPr="00E32A5E" w:rsidRDefault="009324AC" w:rsidP="009324AC">
      <w:pPr>
        <w:rPr>
          <w:rFonts w:cs="Times New Roman"/>
          <w:szCs w:val="20"/>
        </w:rPr>
      </w:pPr>
    </w:p>
    <w:p w14:paraId="38884215" w14:textId="77777777" w:rsidR="00E95724" w:rsidRDefault="00E95724">
      <w:pPr>
        <w:spacing w:before="0" w:after="200" w:line="276" w:lineRule="auto"/>
        <w:sectPr w:rsidR="00E95724" w:rsidSect="00CF2B85">
          <w:pgSz w:w="11906" w:h="16838" w:code="9"/>
          <w:pgMar w:top="1440" w:right="1008" w:bottom="1440" w:left="1008" w:header="706" w:footer="389" w:gutter="0"/>
          <w:cols w:space="708"/>
          <w:titlePg/>
          <w:docGrid w:linePitch="360"/>
        </w:sectPr>
      </w:pPr>
    </w:p>
    <w:p w14:paraId="5E5BF20C" w14:textId="77777777" w:rsidR="006D2117" w:rsidRPr="006D2117" w:rsidRDefault="00BA055E" w:rsidP="00B32558">
      <w:pPr>
        <w:pStyle w:val="Instruction"/>
      </w:pPr>
      <w:bookmarkStart w:id="2" w:name="Instruction_3_4"/>
      <w:r>
        <w:lastRenderedPageBreak/>
        <w:t>Instruction 3.4</w:t>
      </w:r>
      <w:bookmarkEnd w:id="2"/>
      <w:r>
        <w:t xml:space="preserve"> </w:t>
      </w:r>
      <w:r w:rsidR="00296508">
        <w:t>– I</w:t>
      </w:r>
      <w:r w:rsidR="006D2117" w:rsidRPr="006D2117">
        <w:t>nternal control system</w:t>
      </w:r>
    </w:p>
    <w:tbl>
      <w:tblPr>
        <w:tblStyle w:val="Table23"/>
        <w:tblW w:w="9630" w:type="dxa"/>
        <w:tblLook w:val="0480" w:firstRow="0" w:lastRow="0" w:firstColumn="1" w:lastColumn="0" w:noHBand="0" w:noVBand="1"/>
      </w:tblPr>
      <w:tblGrid>
        <w:gridCol w:w="2700"/>
        <w:gridCol w:w="6930"/>
      </w:tblGrid>
      <w:tr w:rsidR="006D2117" w:rsidRPr="006D2117" w14:paraId="0043D6E0" w14:textId="77777777" w:rsidTr="003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0861AF13" w14:textId="77777777" w:rsidR="006D2117" w:rsidRPr="006D2117" w:rsidRDefault="006D2117" w:rsidP="006D2117">
            <w:pPr>
              <w:spacing w:before="40" w:after="40" w:line="283" w:lineRule="auto"/>
              <w:rPr>
                <w:b/>
                <w:sz w:val="18"/>
              </w:rPr>
            </w:pPr>
            <w:r w:rsidRPr="006D2117">
              <w:rPr>
                <w:b/>
                <w:sz w:val="18"/>
              </w:rPr>
              <w:t>Background</w:t>
            </w:r>
          </w:p>
        </w:tc>
        <w:tc>
          <w:tcPr>
            <w:tcW w:w="6930" w:type="dxa"/>
          </w:tcPr>
          <w:p w14:paraId="268610EB" w14:textId="77777777" w:rsidR="006D2117" w:rsidRPr="006D2117" w:rsidRDefault="006D2117" w:rsidP="006D2117">
            <w:pPr>
              <w:spacing w:before="40" w:after="40" w:line="283"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D2117">
              <w:rPr>
                <w:rFonts w:cstheme="minorHAnsi"/>
                <w:sz w:val="18"/>
                <w:szCs w:val="18"/>
              </w:rPr>
              <w:t>An Agency’s internal control system is designed to support the effectiveness and efficiency of operations, deliver reliable internal and external reporting, and achieve compliance with laws and regulations.</w:t>
            </w:r>
          </w:p>
        </w:tc>
      </w:tr>
      <w:tr w:rsidR="006D2117" w:rsidRPr="006D2117" w14:paraId="3FD1A40F" w14:textId="77777777" w:rsidTr="003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4596F823" w14:textId="77777777" w:rsidR="006D2117" w:rsidRPr="006D2117" w:rsidRDefault="006D2117" w:rsidP="006D2117">
            <w:pPr>
              <w:spacing w:before="40" w:after="40" w:line="283" w:lineRule="auto"/>
              <w:rPr>
                <w:b/>
                <w:sz w:val="18"/>
              </w:rPr>
            </w:pPr>
            <w:r w:rsidRPr="006D2117">
              <w:rPr>
                <w:b/>
                <w:sz w:val="18"/>
              </w:rPr>
              <w:t>Effective date</w:t>
            </w:r>
          </w:p>
        </w:tc>
        <w:tc>
          <w:tcPr>
            <w:tcW w:w="6930" w:type="dxa"/>
          </w:tcPr>
          <w:p w14:paraId="4BBA295D" w14:textId="77777777" w:rsidR="006D2117" w:rsidRPr="006D2117" w:rsidRDefault="006D2117" w:rsidP="006D2117">
            <w:pPr>
              <w:spacing w:before="40" w:after="40" w:line="283" w:lineRule="auto"/>
              <w:cnfStyle w:val="000000010000" w:firstRow="0" w:lastRow="0" w:firstColumn="0" w:lastColumn="0" w:oddVBand="0" w:evenVBand="0" w:oddHBand="0" w:evenHBand="1" w:firstRowFirstColumn="0" w:firstRowLastColumn="0" w:lastRowFirstColumn="0" w:lastRowLastColumn="0"/>
              <w:rPr>
                <w:sz w:val="18"/>
              </w:rPr>
            </w:pPr>
            <w:r w:rsidRPr="006D2117">
              <w:rPr>
                <w:sz w:val="18"/>
              </w:rPr>
              <w:t>1 July 2016</w:t>
            </w:r>
          </w:p>
        </w:tc>
      </w:tr>
      <w:tr w:rsidR="006D2117" w:rsidRPr="006D2117" w14:paraId="50C0AFE3" w14:textId="77777777" w:rsidTr="003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688FB408" w14:textId="77777777" w:rsidR="006D2117" w:rsidRPr="006D2117" w:rsidRDefault="006D2117" w:rsidP="00E87225">
            <w:pPr>
              <w:spacing w:before="40" w:after="40" w:line="283" w:lineRule="auto"/>
              <w:rPr>
                <w:b/>
                <w:sz w:val="18"/>
              </w:rPr>
            </w:pPr>
            <w:r w:rsidRPr="006D2117">
              <w:rPr>
                <w:b/>
                <w:sz w:val="18"/>
              </w:rPr>
              <w:t>Relevant Directions</w:t>
            </w:r>
          </w:p>
        </w:tc>
        <w:tc>
          <w:tcPr>
            <w:tcW w:w="6930" w:type="dxa"/>
          </w:tcPr>
          <w:p w14:paraId="6BFA75EA" w14:textId="34DBD3A5" w:rsidR="006D2117" w:rsidRPr="006D2117" w:rsidRDefault="006D2117" w:rsidP="000F6867">
            <w:pPr>
              <w:spacing w:before="30" w:after="30" w:line="283" w:lineRule="auto"/>
              <w:cnfStyle w:val="000000100000" w:firstRow="0" w:lastRow="0" w:firstColumn="0" w:lastColumn="0" w:oddVBand="0" w:evenVBand="0" w:oddHBand="1" w:evenHBand="0" w:firstRowFirstColumn="0" w:firstRowLastColumn="0" w:lastRowFirstColumn="0" w:lastRowLastColumn="0"/>
              <w:rPr>
                <w:sz w:val="18"/>
              </w:rPr>
            </w:pPr>
            <w:hyperlink r:id="rId30" w:anchor="standing-directions-2018" w:history="1">
              <w:r w:rsidRPr="00B300CD">
                <w:rPr>
                  <w:rStyle w:val="Hyperlink"/>
                  <w:sz w:val="18"/>
                </w:rPr>
                <w:t>3.4 Internal control system</w:t>
              </w:r>
            </w:hyperlink>
          </w:p>
          <w:p w14:paraId="028A7824" w14:textId="056D9F1C" w:rsidR="006D2117" w:rsidRPr="006D2117" w:rsidRDefault="006D2117" w:rsidP="000F6867">
            <w:pPr>
              <w:spacing w:before="30" w:after="30" w:line="283" w:lineRule="auto"/>
              <w:cnfStyle w:val="000000100000" w:firstRow="0" w:lastRow="0" w:firstColumn="0" w:lastColumn="0" w:oddVBand="0" w:evenVBand="0" w:oddHBand="1" w:evenHBand="0" w:firstRowFirstColumn="0" w:firstRowLastColumn="0" w:lastRowFirstColumn="0" w:lastRowLastColumn="0"/>
              <w:rPr>
                <w:sz w:val="18"/>
              </w:rPr>
            </w:pPr>
            <w:hyperlink r:id="rId31" w:anchor="standing-directions-2018" w:history="1">
              <w:r w:rsidRPr="00CD6503">
                <w:rPr>
                  <w:rStyle w:val="Hyperlink"/>
                  <w:sz w:val="18"/>
                </w:rPr>
                <w:t xml:space="preserve">3.5 </w:t>
              </w:r>
              <w:r w:rsidR="00F668A5" w:rsidRPr="00CD6503">
                <w:rPr>
                  <w:rStyle w:val="Hyperlink"/>
                  <w:sz w:val="18"/>
                </w:rPr>
                <w:t>Fraud, Corruption and Other L</w:t>
              </w:r>
              <w:r w:rsidRPr="00CD6503">
                <w:rPr>
                  <w:rStyle w:val="Hyperlink"/>
                  <w:sz w:val="18"/>
                </w:rPr>
                <w:t>osses</w:t>
              </w:r>
            </w:hyperlink>
          </w:p>
          <w:p w14:paraId="152FA05F" w14:textId="22B97994" w:rsidR="006D2117" w:rsidRPr="006D2117" w:rsidRDefault="006D2117" w:rsidP="000F6867">
            <w:pPr>
              <w:spacing w:before="30" w:after="30" w:line="283" w:lineRule="auto"/>
              <w:cnfStyle w:val="000000100000" w:firstRow="0" w:lastRow="0" w:firstColumn="0" w:lastColumn="0" w:oddVBand="0" w:evenVBand="0" w:oddHBand="1" w:evenHBand="0" w:firstRowFirstColumn="0" w:firstRowLastColumn="0" w:lastRowFirstColumn="0" w:lastRowLastColumn="0"/>
              <w:rPr>
                <w:sz w:val="18"/>
              </w:rPr>
            </w:pPr>
            <w:hyperlink r:id="rId32" w:anchor="standing-directions-2018" w:history="1">
              <w:r w:rsidRPr="00C3519F">
                <w:rPr>
                  <w:rStyle w:val="Hyperlink"/>
                  <w:sz w:val="18"/>
                </w:rPr>
                <w:t>3.6 Purcha</w:t>
              </w:r>
              <w:r w:rsidR="00CF6CC0" w:rsidRPr="00C3519F">
                <w:rPr>
                  <w:rStyle w:val="Hyperlink"/>
                  <w:sz w:val="18"/>
                </w:rPr>
                <w:t>sing cards</w:t>
              </w:r>
            </w:hyperlink>
          </w:p>
          <w:p w14:paraId="5F282531" w14:textId="0C3457A2" w:rsidR="006D2117" w:rsidRDefault="006D2117" w:rsidP="000F6867">
            <w:pPr>
              <w:spacing w:before="30" w:after="30" w:line="283" w:lineRule="auto"/>
              <w:cnfStyle w:val="000000100000" w:firstRow="0" w:lastRow="0" w:firstColumn="0" w:lastColumn="0" w:oddVBand="0" w:evenVBand="0" w:oddHBand="1" w:evenHBand="0" w:firstRowFirstColumn="0" w:firstRowLastColumn="0" w:lastRowFirstColumn="0" w:lastRowLastColumn="0"/>
              <w:rPr>
                <w:sz w:val="18"/>
              </w:rPr>
            </w:pPr>
            <w:hyperlink r:id="rId33" w:anchor="standing-directions-2018" w:history="1">
              <w:r w:rsidRPr="00CD6503">
                <w:rPr>
                  <w:rStyle w:val="Hyperlink"/>
                  <w:sz w:val="18"/>
                </w:rPr>
                <w:t>3.7 Managing risks</w:t>
              </w:r>
            </w:hyperlink>
          </w:p>
          <w:p w14:paraId="2227C0FD" w14:textId="65092C9A" w:rsidR="00CF6CC0" w:rsidRPr="006D2117" w:rsidRDefault="00CF6CC0" w:rsidP="000F6867">
            <w:pPr>
              <w:spacing w:before="30" w:after="30" w:line="283" w:lineRule="auto"/>
              <w:cnfStyle w:val="000000100000" w:firstRow="0" w:lastRow="0" w:firstColumn="0" w:lastColumn="0" w:oddVBand="0" w:evenVBand="0" w:oddHBand="1" w:evenHBand="0" w:firstRowFirstColumn="0" w:firstRowLastColumn="0" w:lastRowFirstColumn="0" w:lastRowLastColumn="0"/>
              <w:rPr>
                <w:sz w:val="18"/>
              </w:rPr>
            </w:pPr>
            <w:hyperlink r:id="rId34" w:anchor="standing-directions-2018" w:history="1">
              <w:r w:rsidRPr="00CD6503">
                <w:rPr>
                  <w:rStyle w:val="Hyperlink"/>
                  <w:sz w:val="18"/>
                </w:rPr>
                <w:t>3.8 Pricing</w:t>
              </w:r>
            </w:hyperlink>
          </w:p>
          <w:p w14:paraId="6A236ADF" w14:textId="49A91A03" w:rsidR="006D2117" w:rsidRPr="006D2117" w:rsidRDefault="006D2117" w:rsidP="000F6867">
            <w:pPr>
              <w:spacing w:before="30" w:after="30" w:line="283" w:lineRule="auto"/>
              <w:cnfStyle w:val="000000100000" w:firstRow="0" w:lastRow="0" w:firstColumn="0" w:lastColumn="0" w:oddVBand="0" w:evenVBand="0" w:oddHBand="1" w:evenHBand="0" w:firstRowFirstColumn="0" w:firstRowLastColumn="0" w:lastRowFirstColumn="0" w:lastRowLastColumn="0"/>
              <w:rPr>
                <w:sz w:val="18"/>
              </w:rPr>
            </w:pPr>
            <w:hyperlink r:id="rId35" w:anchor="standing-directions-2018" w:history="1">
              <w:r w:rsidRPr="00CD6503">
                <w:rPr>
                  <w:rStyle w:val="Hyperlink"/>
                  <w:sz w:val="18"/>
                </w:rPr>
                <w:t>3.</w:t>
              </w:r>
              <w:r w:rsidR="00CF6CC0" w:rsidRPr="00CD6503">
                <w:rPr>
                  <w:rStyle w:val="Hyperlink"/>
                  <w:sz w:val="18"/>
                </w:rPr>
                <w:t>9 Managing financial information</w:t>
              </w:r>
            </w:hyperlink>
          </w:p>
          <w:p w14:paraId="6BC7D95B" w14:textId="4C40DBD0" w:rsidR="006D2117" w:rsidRPr="006D2117" w:rsidRDefault="006D2117" w:rsidP="000F6867">
            <w:pPr>
              <w:spacing w:before="30" w:after="30" w:line="283" w:lineRule="auto"/>
              <w:cnfStyle w:val="000000100000" w:firstRow="0" w:lastRow="0" w:firstColumn="0" w:lastColumn="0" w:oddVBand="0" w:evenVBand="0" w:oddHBand="1" w:evenHBand="0" w:firstRowFirstColumn="0" w:firstRowLastColumn="0" w:lastRowFirstColumn="0" w:lastRowLastColumn="0"/>
              <w:rPr>
                <w:sz w:val="18"/>
              </w:rPr>
            </w:pPr>
            <w:hyperlink r:id="rId36" w:anchor="standing-directions-2018" w:history="1">
              <w:r w:rsidRPr="00CD6503">
                <w:rPr>
                  <w:rStyle w:val="Hyperlink"/>
                  <w:sz w:val="18"/>
                </w:rPr>
                <w:t>4.2 Using and managing public resources</w:t>
              </w:r>
            </w:hyperlink>
          </w:p>
          <w:p w14:paraId="6CEA6AEC" w14:textId="12608D44" w:rsidR="006D2117" w:rsidRPr="006D2117" w:rsidRDefault="006D2117" w:rsidP="000F6867">
            <w:pPr>
              <w:spacing w:before="30" w:after="30" w:line="283" w:lineRule="auto"/>
              <w:cnfStyle w:val="000000100000" w:firstRow="0" w:lastRow="0" w:firstColumn="0" w:lastColumn="0" w:oddVBand="0" w:evenVBand="0" w:oddHBand="1" w:evenHBand="0" w:firstRowFirstColumn="0" w:firstRowLastColumn="0" w:lastRowFirstColumn="0" w:lastRowLastColumn="0"/>
              <w:rPr>
                <w:sz w:val="18"/>
              </w:rPr>
            </w:pPr>
            <w:hyperlink r:id="rId37" w:anchor="standing-directions-2018" w:history="1">
              <w:r w:rsidRPr="00CD6503">
                <w:rPr>
                  <w:rStyle w:val="Hyperlink"/>
                  <w:sz w:val="18"/>
                </w:rPr>
                <w:t>4.2.3 Assets management and accountability</w:t>
              </w:r>
            </w:hyperlink>
          </w:p>
          <w:p w14:paraId="7814CB1B" w14:textId="20E30827" w:rsidR="006D2117" w:rsidRPr="006D2117" w:rsidRDefault="006D2117" w:rsidP="000F6867">
            <w:pPr>
              <w:spacing w:before="30" w:after="30" w:line="283" w:lineRule="auto"/>
              <w:cnfStyle w:val="000000100000" w:firstRow="0" w:lastRow="0" w:firstColumn="0" w:lastColumn="0" w:oddVBand="0" w:evenVBand="0" w:oddHBand="1" w:evenHBand="0" w:firstRowFirstColumn="0" w:firstRowLastColumn="0" w:lastRowFirstColumn="0" w:lastRowLastColumn="0"/>
              <w:rPr>
                <w:sz w:val="18"/>
              </w:rPr>
            </w:pPr>
            <w:hyperlink r:id="rId38" w:anchor="standing-directions-2018" w:history="1">
              <w:r w:rsidRPr="00C3519F">
                <w:rPr>
                  <w:rStyle w:val="Hyperlink"/>
                  <w:sz w:val="18"/>
                </w:rPr>
                <w:t>5.3 External reporting and information provision</w:t>
              </w:r>
            </w:hyperlink>
          </w:p>
        </w:tc>
      </w:tr>
      <w:tr w:rsidR="006D2117" w:rsidRPr="006D2117" w14:paraId="6D2405C5" w14:textId="77777777" w:rsidTr="003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0B2872A8" w14:textId="77777777" w:rsidR="006D2117" w:rsidRPr="006D2117" w:rsidRDefault="006D2117" w:rsidP="006D2117">
            <w:pPr>
              <w:spacing w:before="40" w:after="40" w:line="283" w:lineRule="auto"/>
              <w:rPr>
                <w:b/>
                <w:sz w:val="18"/>
              </w:rPr>
            </w:pPr>
            <w:r w:rsidRPr="006D2117">
              <w:rPr>
                <w:b/>
                <w:sz w:val="18"/>
              </w:rPr>
              <w:t>History</w:t>
            </w:r>
          </w:p>
        </w:tc>
        <w:tc>
          <w:tcPr>
            <w:tcW w:w="6930" w:type="dxa"/>
          </w:tcPr>
          <w:p w14:paraId="29C34CAE" w14:textId="6F7C4B4B" w:rsidR="009F7DFC" w:rsidRPr="009F7DFC" w:rsidRDefault="009F7DFC" w:rsidP="009F7DFC">
            <w:pPr>
              <w:spacing w:before="40" w:after="40" w:line="240" w:lineRule="atLeast"/>
              <w:cnfStyle w:val="000000010000" w:firstRow="0" w:lastRow="0" w:firstColumn="0" w:lastColumn="0" w:oddVBand="0" w:evenVBand="0" w:oddHBand="0" w:evenHBand="1" w:firstRowFirstColumn="0" w:firstRowLastColumn="0" w:lastRowFirstColumn="0" w:lastRowLastColumn="0"/>
              <w:rPr>
                <w:sz w:val="18"/>
              </w:rPr>
            </w:pPr>
            <w:r w:rsidRPr="009F7DFC">
              <w:rPr>
                <w:sz w:val="18"/>
              </w:rPr>
              <w:t xml:space="preserve">Last updated: </w:t>
            </w:r>
            <w:r w:rsidR="001E5F68">
              <w:rPr>
                <w:rFonts w:cs="Times New Roman"/>
                <w:bCs/>
                <w:sz w:val="18"/>
                <w:szCs w:val="20"/>
              </w:rPr>
              <w:t>1 February 20</w:t>
            </w:r>
            <w:r w:rsidR="00A665F6">
              <w:rPr>
                <w:rFonts w:cs="Times New Roman"/>
                <w:bCs/>
                <w:sz w:val="18"/>
                <w:szCs w:val="20"/>
              </w:rPr>
              <w:t>21</w:t>
            </w:r>
          </w:p>
          <w:p w14:paraId="44618B26" w14:textId="77777777" w:rsidR="006D2117" w:rsidRPr="006D2117" w:rsidRDefault="009F7DFC" w:rsidP="009F7DFC">
            <w:pPr>
              <w:spacing w:before="40" w:after="40" w:line="283" w:lineRule="auto"/>
              <w:cnfStyle w:val="000000010000" w:firstRow="0" w:lastRow="0" w:firstColumn="0" w:lastColumn="0" w:oddVBand="0" w:evenVBand="0" w:oddHBand="0" w:evenHBand="1" w:firstRowFirstColumn="0" w:firstRowLastColumn="0" w:lastRowFirstColumn="0" w:lastRowLastColumn="0"/>
              <w:rPr>
                <w:sz w:val="18"/>
              </w:rPr>
            </w:pPr>
            <w:r w:rsidRPr="009F7DFC">
              <w:rPr>
                <w:sz w:val="18"/>
              </w:rPr>
              <w:t>Issued: 1 July 2016</w:t>
            </w:r>
          </w:p>
        </w:tc>
      </w:tr>
    </w:tbl>
    <w:p w14:paraId="19FE5606" w14:textId="77777777" w:rsidR="006D2117" w:rsidRPr="006D2117" w:rsidRDefault="006D2117" w:rsidP="006D2117">
      <w:pPr>
        <w:spacing w:before="0" w:after="0" w:line="120" w:lineRule="atLeast"/>
        <w:rPr>
          <w:sz w:val="12"/>
        </w:rPr>
      </w:pPr>
    </w:p>
    <w:p w14:paraId="4D36D69B" w14:textId="77777777" w:rsidR="006D2117" w:rsidRPr="006D2117" w:rsidRDefault="006D2117" w:rsidP="009848A6">
      <w:pPr>
        <w:pStyle w:val="Heading1"/>
        <w:numPr>
          <w:ilvl w:val="0"/>
          <w:numId w:val="9"/>
        </w:numPr>
      </w:pPr>
      <w:r w:rsidRPr="006D2117">
        <w:t>Internal control system</w:t>
      </w:r>
    </w:p>
    <w:p w14:paraId="4BD3DB83" w14:textId="263009F4" w:rsidR="006D2117" w:rsidRPr="006D2117" w:rsidRDefault="006D2117" w:rsidP="0006001E">
      <w:pPr>
        <w:pStyle w:val="Heading2"/>
      </w:pPr>
      <w:r w:rsidRPr="006D2117">
        <w:t xml:space="preserve">The Accountable Officer must ensure that the Agency’s internal </w:t>
      </w:r>
      <w:r w:rsidRPr="0006001E">
        <w:t>control</w:t>
      </w:r>
      <w:r w:rsidRPr="006D2117">
        <w:t xml:space="preserve"> system</w:t>
      </w:r>
      <w:r w:rsidR="00D60187">
        <w:t xml:space="preserve"> </w:t>
      </w:r>
      <w:r w:rsidR="007D43C6">
        <w:t xml:space="preserve">under </w:t>
      </w:r>
      <w:hyperlink r:id="rId39" w:anchor="standing-directions-2018" w:history="1">
        <w:r w:rsidR="007D43C6" w:rsidRPr="00DD1BED">
          <w:rPr>
            <w:rStyle w:val="Hyperlink"/>
          </w:rPr>
          <w:t>Direction 3.4</w:t>
        </w:r>
      </w:hyperlink>
      <w:r w:rsidR="007D43C6">
        <w:t xml:space="preserve"> includes</w:t>
      </w:r>
      <w:r w:rsidRPr="006D2117">
        <w:t>:</w:t>
      </w:r>
    </w:p>
    <w:p w14:paraId="19991D50" w14:textId="77777777" w:rsidR="006D2117" w:rsidRPr="006D2117" w:rsidRDefault="00C6020D" w:rsidP="009848A6">
      <w:pPr>
        <w:pStyle w:val="Num1"/>
        <w:contextualSpacing/>
      </w:pPr>
      <w:r>
        <w:t xml:space="preserve">a </w:t>
      </w:r>
      <w:r w:rsidR="006D2117" w:rsidRPr="006D2117">
        <w:t xml:space="preserve">control </w:t>
      </w:r>
      <w:proofErr w:type="gramStart"/>
      <w:r w:rsidR="006D2117" w:rsidRPr="006D2117">
        <w:t>environment;</w:t>
      </w:r>
      <w:proofErr w:type="gramEnd"/>
    </w:p>
    <w:p w14:paraId="22064F0B" w14:textId="77777777" w:rsidR="006D2117" w:rsidRPr="006D2117" w:rsidRDefault="006D2117" w:rsidP="009848A6">
      <w:pPr>
        <w:pStyle w:val="Num1"/>
        <w:contextualSpacing/>
      </w:pPr>
      <w:r w:rsidRPr="006D2117">
        <w:t xml:space="preserve">risk </w:t>
      </w:r>
      <w:proofErr w:type="gramStart"/>
      <w:r w:rsidRPr="006D2117">
        <w:t>assessment;</w:t>
      </w:r>
      <w:proofErr w:type="gramEnd"/>
    </w:p>
    <w:p w14:paraId="67132FB0" w14:textId="77777777" w:rsidR="006D2117" w:rsidRPr="006D2117" w:rsidRDefault="006D2117" w:rsidP="009848A6">
      <w:pPr>
        <w:pStyle w:val="Num1"/>
        <w:contextualSpacing/>
      </w:pPr>
      <w:r w:rsidRPr="006D2117">
        <w:t>control activities, particular</w:t>
      </w:r>
      <w:r w:rsidR="00E23688">
        <w:t>ly</w:t>
      </w:r>
      <w:r w:rsidRPr="006D2117">
        <w:t xml:space="preserve"> separation of roles (segregation of duties), financial </w:t>
      </w:r>
      <w:r w:rsidR="00960B76">
        <w:t>authorisations</w:t>
      </w:r>
      <w:r w:rsidRPr="006D2117">
        <w:t xml:space="preserve"> and </w:t>
      </w:r>
      <w:proofErr w:type="gramStart"/>
      <w:r w:rsidRPr="006D2117">
        <w:t>reconciliations;</w:t>
      </w:r>
      <w:proofErr w:type="gramEnd"/>
    </w:p>
    <w:p w14:paraId="661952D8" w14:textId="77777777" w:rsidR="006D2117" w:rsidRPr="006D2117" w:rsidRDefault="006D2117" w:rsidP="009848A6">
      <w:pPr>
        <w:pStyle w:val="Num1"/>
        <w:contextualSpacing/>
      </w:pPr>
      <w:r w:rsidRPr="006D2117">
        <w:t>information and communication; and</w:t>
      </w:r>
    </w:p>
    <w:p w14:paraId="748C157D" w14:textId="77777777" w:rsidR="006D2117" w:rsidRPr="006D2117" w:rsidRDefault="006D2117" w:rsidP="009848A6">
      <w:pPr>
        <w:pStyle w:val="Num1"/>
        <w:contextualSpacing/>
      </w:pPr>
      <w:r w:rsidRPr="006D2117">
        <w:t>monitoring activities.</w:t>
      </w:r>
    </w:p>
    <w:p w14:paraId="3D214144" w14:textId="77777777" w:rsidR="006D2117" w:rsidRPr="006D2117" w:rsidRDefault="006D2117" w:rsidP="009848A6">
      <w:pPr>
        <w:pStyle w:val="Heading1"/>
        <w:numPr>
          <w:ilvl w:val="0"/>
          <w:numId w:val="9"/>
        </w:numPr>
      </w:pPr>
      <w:r w:rsidRPr="009848A6">
        <w:t>Policies</w:t>
      </w:r>
      <w:r w:rsidRPr="006D2117">
        <w:t xml:space="preserve"> and procedures</w:t>
      </w:r>
      <w:r w:rsidR="007D43C6" w:rsidRPr="00CE2BDD">
        <w:rPr>
          <w:rStyle w:val="FootnoteReference"/>
          <w:color w:val="auto"/>
          <w:sz w:val="20"/>
          <w:szCs w:val="22"/>
        </w:rPr>
        <w:footnoteReference w:id="2"/>
      </w:r>
    </w:p>
    <w:p w14:paraId="3FD19410" w14:textId="3C5E8585" w:rsidR="006D2117" w:rsidRPr="006D2117" w:rsidRDefault="007D43C6" w:rsidP="0006001E">
      <w:pPr>
        <w:pStyle w:val="Heading2"/>
      </w:pPr>
      <w:r>
        <w:t>The p</w:t>
      </w:r>
      <w:r w:rsidR="006D2117" w:rsidRPr="006D2117">
        <w:t xml:space="preserve">olicies and procedures </w:t>
      </w:r>
      <w:r w:rsidR="00A21F60">
        <w:t xml:space="preserve">required </w:t>
      </w:r>
      <w:r>
        <w:t xml:space="preserve">under </w:t>
      </w:r>
      <w:hyperlink r:id="rId40" w:anchor="standing-directions-2018" w:history="1">
        <w:r w:rsidRPr="00DD1BED">
          <w:rPr>
            <w:rStyle w:val="Hyperlink"/>
          </w:rPr>
          <w:t>Direction 3.4</w:t>
        </w:r>
        <w:r w:rsidRPr="00E043C9">
          <w:rPr>
            <w:rStyle w:val="Hyperlink"/>
          </w:rPr>
          <w:t>(e)</w:t>
        </w:r>
      </w:hyperlink>
      <w:r>
        <w:t xml:space="preserve"> </w:t>
      </w:r>
      <w:r w:rsidR="006D2117" w:rsidRPr="006D2117">
        <w:t xml:space="preserve">must </w:t>
      </w:r>
      <w:r>
        <w:t>include the following topics</w:t>
      </w:r>
      <w:r w:rsidR="006D2117" w:rsidRPr="006D2117">
        <w:t>:</w:t>
      </w:r>
    </w:p>
    <w:p w14:paraId="6629F2CA" w14:textId="77777777" w:rsidR="006D2117" w:rsidRPr="006D2117" w:rsidRDefault="006D2117" w:rsidP="009848A6">
      <w:pPr>
        <w:pStyle w:val="Num1"/>
        <w:contextualSpacing/>
      </w:pPr>
      <w:r w:rsidRPr="006D2117">
        <w:t>revenue;</w:t>
      </w:r>
      <w:r w:rsidR="007D43C6">
        <w:rPr>
          <w:rStyle w:val="FootnoteReference"/>
        </w:rPr>
        <w:footnoteReference w:id="3"/>
      </w:r>
    </w:p>
    <w:p w14:paraId="72542C6F" w14:textId="753135CF" w:rsidR="006D2117" w:rsidRPr="006D2117" w:rsidRDefault="00BA68A9" w:rsidP="009848A6">
      <w:pPr>
        <w:pStyle w:val="Num1"/>
        <w:contextualSpacing/>
      </w:pPr>
      <w:r>
        <w:t>financial assets</w:t>
      </w:r>
      <w:r w:rsidR="006D2117" w:rsidRPr="006D2117">
        <w:t>;</w:t>
      </w:r>
      <w:r w:rsidR="007D43C6">
        <w:rPr>
          <w:rStyle w:val="FootnoteReference"/>
        </w:rPr>
        <w:footnoteReference w:id="4"/>
      </w:r>
    </w:p>
    <w:p w14:paraId="2239A499" w14:textId="77777777" w:rsidR="006D2117" w:rsidRPr="006D2117" w:rsidRDefault="006D2117" w:rsidP="009848A6">
      <w:pPr>
        <w:pStyle w:val="Num1"/>
        <w:contextualSpacing/>
      </w:pPr>
      <w:r w:rsidRPr="006D2117">
        <w:t>bank accounts;</w:t>
      </w:r>
      <w:r w:rsidR="007D43C6" w:rsidRPr="00CE2BDD">
        <w:rPr>
          <w:rStyle w:val="FootnoteReference"/>
        </w:rPr>
        <w:footnoteReference w:id="5"/>
      </w:r>
    </w:p>
    <w:p w14:paraId="186C483E" w14:textId="77777777" w:rsidR="006D2117" w:rsidRPr="006D2117" w:rsidRDefault="006D2117" w:rsidP="009848A6">
      <w:pPr>
        <w:pStyle w:val="Num1"/>
        <w:contextualSpacing/>
      </w:pPr>
      <w:r w:rsidRPr="006D2117">
        <w:t>expenditure;</w:t>
      </w:r>
      <w:r w:rsidR="007D43C6">
        <w:rPr>
          <w:rStyle w:val="FootnoteReference"/>
        </w:rPr>
        <w:footnoteReference w:id="6"/>
      </w:r>
    </w:p>
    <w:p w14:paraId="0D1C3104" w14:textId="77777777" w:rsidR="006D2117" w:rsidRPr="006D2117" w:rsidRDefault="006D2117" w:rsidP="009848A6">
      <w:pPr>
        <w:pStyle w:val="Num1"/>
        <w:contextualSpacing/>
      </w:pPr>
      <w:r w:rsidRPr="006D2117">
        <w:t>payroll;</w:t>
      </w:r>
      <w:r w:rsidR="007D43C6">
        <w:rPr>
          <w:rStyle w:val="FootnoteReference"/>
        </w:rPr>
        <w:footnoteReference w:id="7"/>
      </w:r>
    </w:p>
    <w:p w14:paraId="156B30CE" w14:textId="77777777" w:rsidR="006D2117" w:rsidRPr="006D2117" w:rsidRDefault="006D2117" w:rsidP="000F6867">
      <w:pPr>
        <w:pStyle w:val="Num1"/>
        <w:contextualSpacing/>
      </w:pPr>
      <w:r w:rsidRPr="006D2117">
        <w:t>liabilities;</w:t>
      </w:r>
      <w:r w:rsidR="007D43C6">
        <w:rPr>
          <w:rStyle w:val="FootnoteReference"/>
        </w:rPr>
        <w:footnoteReference w:id="8"/>
      </w:r>
      <w:r w:rsidRPr="006D2117">
        <w:t xml:space="preserve"> </w:t>
      </w:r>
    </w:p>
    <w:p w14:paraId="4C3C0768" w14:textId="77777777" w:rsidR="006D2117" w:rsidRDefault="006D2117" w:rsidP="000F6867">
      <w:pPr>
        <w:pStyle w:val="Num1"/>
        <w:contextualSpacing/>
      </w:pPr>
      <w:r w:rsidRPr="006D2117">
        <w:t>taxes</w:t>
      </w:r>
      <w:r w:rsidR="007D43C6">
        <w:t>;</w:t>
      </w:r>
      <w:r w:rsidR="007D43C6">
        <w:rPr>
          <w:rStyle w:val="FootnoteReference"/>
        </w:rPr>
        <w:footnoteReference w:id="9"/>
      </w:r>
      <w:r w:rsidR="007D43C6">
        <w:t xml:space="preserve"> </w:t>
      </w:r>
    </w:p>
    <w:p w14:paraId="35F4FFF1" w14:textId="77777777" w:rsidR="00C5696D" w:rsidRDefault="00C5696D" w:rsidP="000F6867">
      <w:pPr>
        <w:pStyle w:val="Num1"/>
        <w:contextualSpacing/>
      </w:pPr>
      <w:r>
        <w:t>shared or outsourced services</w:t>
      </w:r>
      <w:r w:rsidR="00551D57">
        <w:t>;</w:t>
      </w:r>
      <w:r w:rsidR="007D43C6">
        <w:rPr>
          <w:rStyle w:val="FootnoteReference"/>
        </w:rPr>
        <w:footnoteReference w:id="10"/>
      </w:r>
    </w:p>
    <w:p w14:paraId="130B8E41" w14:textId="77777777" w:rsidR="00551D57" w:rsidRPr="006D2117" w:rsidRDefault="00551D57" w:rsidP="000F6867">
      <w:pPr>
        <w:pStyle w:val="Num1"/>
        <w:contextualSpacing/>
      </w:pPr>
      <w:r>
        <w:t>gifts, benefits and hospitality.</w:t>
      </w:r>
      <w:r>
        <w:rPr>
          <w:rStyle w:val="FootnoteReference"/>
        </w:rPr>
        <w:footnoteReference w:id="11"/>
      </w:r>
    </w:p>
    <w:p w14:paraId="3D5D14F4" w14:textId="68A3A0FE" w:rsidR="006D2117" w:rsidRPr="008216F2" w:rsidRDefault="006D2117" w:rsidP="009848A6">
      <w:pPr>
        <w:pStyle w:val="Heading1"/>
        <w:numPr>
          <w:ilvl w:val="0"/>
          <w:numId w:val="9"/>
        </w:numPr>
      </w:pPr>
      <w:r w:rsidRPr="009848A6">
        <w:lastRenderedPageBreak/>
        <w:t>Managing</w:t>
      </w:r>
      <w:r w:rsidRPr="006D2117">
        <w:t xml:space="preserve"> revenue</w:t>
      </w:r>
      <w:r w:rsidR="00CD5F6C" w:rsidRPr="008216F2">
        <w:rPr>
          <w:rStyle w:val="FootnoteReference"/>
          <w:color w:val="auto"/>
          <w:sz w:val="20"/>
          <w:szCs w:val="22"/>
        </w:rPr>
        <w:footnoteReference w:id="12"/>
      </w:r>
    </w:p>
    <w:p w14:paraId="36F9971A" w14:textId="77777777" w:rsidR="006D2117" w:rsidRPr="006D2117" w:rsidRDefault="006D2117" w:rsidP="0006001E">
      <w:pPr>
        <w:pStyle w:val="Heading2"/>
      </w:pPr>
      <w:r w:rsidRPr="006D2117">
        <w:t xml:space="preserve">The </w:t>
      </w:r>
      <w:r w:rsidR="00334FFF">
        <w:t>Accountable Officer</w:t>
      </w:r>
      <w:r w:rsidR="00334FFF" w:rsidRPr="006D2117">
        <w:t xml:space="preserve"> </w:t>
      </w:r>
      <w:r w:rsidRPr="006D2117">
        <w:t xml:space="preserve">must </w:t>
      </w:r>
      <w:r w:rsidR="00041426">
        <w:t>ensure</w:t>
      </w:r>
      <w:r w:rsidR="00041426" w:rsidRPr="006D2117">
        <w:t xml:space="preserve"> </w:t>
      </w:r>
      <w:r w:rsidR="007D43C6">
        <w:t xml:space="preserve">that </w:t>
      </w:r>
      <w:r w:rsidRPr="006D2117">
        <w:t xml:space="preserve">the Agency’s revenue </w:t>
      </w:r>
      <w:r w:rsidR="00041426">
        <w:t xml:space="preserve">is managed </w:t>
      </w:r>
      <w:r w:rsidRPr="006D2117">
        <w:t xml:space="preserve">in accordance with the Agency’s </w:t>
      </w:r>
      <w:r w:rsidR="007D43C6">
        <w:t xml:space="preserve">revenue policies and procedures, which </w:t>
      </w:r>
      <w:r w:rsidRPr="006D2117">
        <w:t>must provide for:</w:t>
      </w:r>
    </w:p>
    <w:p w14:paraId="20269EB5" w14:textId="77777777" w:rsidR="006D2117" w:rsidRPr="006D2117" w:rsidRDefault="006D2117" w:rsidP="009848A6">
      <w:pPr>
        <w:pStyle w:val="Num1"/>
        <w:contextualSpacing/>
      </w:pPr>
      <w:r w:rsidRPr="006D2117">
        <w:t xml:space="preserve">promptly, completely and accurately identifying, managing, recording and reporting of </w:t>
      </w:r>
      <w:proofErr w:type="gramStart"/>
      <w:r w:rsidRPr="006D2117">
        <w:t>revenue;</w:t>
      </w:r>
      <w:proofErr w:type="gramEnd"/>
      <w:r w:rsidRPr="006D2117">
        <w:t xml:space="preserve"> </w:t>
      </w:r>
    </w:p>
    <w:p w14:paraId="04A34C91" w14:textId="77777777" w:rsidR="006D2117" w:rsidRPr="006D2117" w:rsidRDefault="006D2117" w:rsidP="009848A6">
      <w:pPr>
        <w:pStyle w:val="Num1"/>
        <w:contextualSpacing/>
      </w:pPr>
      <w:r w:rsidRPr="006D2117">
        <w:t>the timely and appropriate writing off of revenue;</w:t>
      </w:r>
      <w:r w:rsidR="007D43C6">
        <w:t xml:space="preserve"> and</w:t>
      </w:r>
    </w:p>
    <w:p w14:paraId="07BCFCBE" w14:textId="77777777" w:rsidR="006D2117" w:rsidRPr="006D2117" w:rsidRDefault="006D2117" w:rsidP="009848A6">
      <w:pPr>
        <w:pStyle w:val="Num1"/>
        <w:contextualSpacing/>
      </w:pPr>
      <w:r w:rsidRPr="006D2117">
        <w:t>collecting and securing revenue.</w:t>
      </w:r>
    </w:p>
    <w:p w14:paraId="7838C2FC" w14:textId="7D6C99D4" w:rsidR="006D2117" w:rsidRPr="00D66E2B" w:rsidRDefault="006D2117" w:rsidP="00CE2BDD">
      <w:pPr>
        <w:pStyle w:val="Heading1"/>
        <w:numPr>
          <w:ilvl w:val="0"/>
          <w:numId w:val="9"/>
        </w:numPr>
      </w:pPr>
      <w:r w:rsidRPr="006D2117">
        <w:t xml:space="preserve">Managing </w:t>
      </w:r>
      <w:r w:rsidR="00334F00">
        <w:t>financial assets</w:t>
      </w:r>
      <w:r w:rsidR="00A21F60" w:rsidRPr="00F3290F">
        <w:rPr>
          <w:rStyle w:val="FootnoteReference"/>
          <w:color w:val="auto"/>
          <w:sz w:val="20"/>
          <w:szCs w:val="22"/>
        </w:rPr>
        <w:footnoteReference w:id="13"/>
      </w:r>
    </w:p>
    <w:p w14:paraId="349D4611" w14:textId="5E8CF02E" w:rsidR="006D2117" w:rsidRPr="006D2117" w:rsidRDefault="006D2117" w:rsidP="0006001E">
      <w:pPr>
        <w:pStyle w:val="Heading2"/>
      </w:pPr>
      <w:r w:rsidRPr="006D2117">
        <w:t xml:space="preserve">The </w:t>
      </w:r>
      <w:r w:rsidR="00334FFF">
        <w:t xml:space="preserve">Accountable Officer </w:t>
      </w:r>
      <w:r w:rsidRPr="006D2117">
        <w:t xml:space="preserve">must </w:t>
      </w:r>
      <w:r w:rsidR="00857187">
        <w:t>ensur</w:t>
      </w:r>
      <w:r w:rsidR="00857187" w:rsidRPr="006D2117">
        <w:t xml:space="preserve">e </w:t>
      </w:r>
      <w:r w:rsidR="00A21F60">
        <w:t xml:space="preserve">that </w:t>
      </w:r>
      <w:r w:rsidRPr="006D2117">
        <w:t>the Agency</w:t>
      </w:r>
      <w:r w:rsidR="00857187">
        <w:t>’s</w:t>
      </w:r>
      <w:r w:rsidRPr="006D2117">
        <w:t xml:space="preserve"> </w:t>
      </w:r>
      <w:r w:rsidR="00334F00">
        <w:t>financial assets are</w:t>
      </w:r>
      <w:r w:rsidR="00857187">
        <w:t xml:space="preserve"> managed</w:t>
      </w:r>
      <w:r w:rsidRPr="006D2117">
        <w:t xml:space="preserve"> in accordance with the Agency’</w:t>
      </w:r>
      <w:r w:rsidR="00A21F60">
        <w:t xml:space="preserve">s </w:t>
      </w:r>
      <w:r w:rsidR="00334F00">
        <w:t>financial management</w:t>
      </w:r>
      <w:r w:rsidR="00A21F60">
        <w:t xml:space="preserve"> policies and procedures, which </w:t>
      </w:r>
      <w:r w:rsidRPr="006D2117">
        <w:t>must provide for:</w:t>
      </w:r>
    </w:p>
    <w:p w14:paraId="1095D238" w14:textId="5FE707E0" w:rsidR="006D2117" w:rsidRPr="006D2117" w:rsidRDefault="006D2117" w:rsidP="009848A6">
      <w:pPr>
        <w:pStyle w:val="Num1"/>
      </w:pPr>
      <w:r w:rsidRPr="006D2117">
        <w:t xml:space="preserve">promptly, completely and accurately identifying, collecting, securing, investing, banking and forecasting </w:t>
      </w:r>
      <w:r w:rsidR="00334F00">
        <w:t>financial assets</w:t>
      </w:r>
      <w:r w:rsidRPr="006D2117">
        <w:t>;</w:t>
      </w:r>
      <w:r w:rsidR="00821BC3">
        <w:t xml:space="preserve"> </w:t>
      </w:r>
      <w:r w:rsidR="00DE5E85">
        <w:t>and</w:t>
      </w:r>
    </w:p>
    <w:p w14:paraId="5EAE723A" w14:textId="3D25FD2F" w:rsidR="006D2117" w:rsidRPr="006D2117" w:rsidRDefault="006D2117" w:rsidP="00B64D93">
      <w:pPr>
        <w:pStyle w:val="Num1"/>
      </w:pPr>
      <w:r w:rsidRPr="006D2117">
        <w:t xml:space="preserve">accurately recording transactions involving </w:t>
      </w:r>
      <w:r w:rsidR="00334F00">
        <w:t>financial assets</w:t>
      </w:r>
      <w:r w:rsidR="00821BC3">
        <w:t>.</w:t>
      </w:r>
    </w:p>
    <w:p w14:paraId="65610AA3" w14:textId="756EC19F" w:rsidR="006D2117" w:rsidRPr="006D2117" w:rsidRDefault="006D2117" w:rsidP="0006001E">
      <w:pPr>
        <w:pStyle w:val="Heading2"/>
      </w:pPr>
      <w:r w:rsidRPr="006D2117">
        <w:t xml:space="preserve">For Portfolio Departments and Agencies </w:t>
      </w:r>
      <w:r w:rsidR="00DE5E85">
        <w:t>which use the Central Banking System</w:t>
      </w:r>
      <w:r w:rsidRPr="006D2117">
        <w:t xml:space="preserve">, the Agency’s </w:t>
      </w:r>
      <w:r w:rsidR="00334F00">
        <w:t>financial</w:t>
      </w:r>
      <w:r w:rsidRPr="006D2117">
        <w:t xml:space="preserve"> management policies and procedures must also provide for transmitting timely and reliable cash flow forecasts to DTF.</w:t>
      </w:r>
      <w:r w:rsidR="00A21F60">
        <w:rPr>
          <w:rStyle w:val="FootnoteReference"/>
        </w:rPr>
        <w:footnoteReference w:id="14"/>
      </w:r>
    </w:p>
    <w:p w14:paraId="56E1FAD0" w14:textId="77777777" w:rsidR="006D2117" w:rsidRPr="006D2117" w:rsidRDefault="006D2117" w:rsidP="00CE2BDD">
      <w:pPr>
        <w:pStyle w:val="Heading1"/>
        <w:numPr>
          <w:ilvl w:val="0"/>
          <w:numId w:val="9"/>
        </w:numPr>
      </w:pPr>
      <w:r w:rsidRPr="006D2117">
        <w:t>Managing bank accounts</w:t>
      </w:r>
      <w:r w:rsidR="00A21F60" w:rsidRPr="00F3290F">
        <w:rPr>
          <w:rStyle w:val="FootnoteReference"/>
          <w:color w:val="auto"/>
          <w:sz w:val="20"/>
          <w:szCs w:val="22"/>
        </w:rPr>
        <w:footnoteReference w:id="15"/>
      </w:r>
      <w:r w:rsidRPr="00CE2BDD">
        <w:rPr>
          <w:rStyle w:val="FootnoteReference"/>
          <w:color w:val="auto"/>
          <w:sz w:val="20"/>
          <w:szCs w:val="22"/>
        </w:rPr>
        <w:t xml:space="preserve"> </w:t>
      </w:r>
    </w:p>
    <w:p w14:paraId="365FD11C" w14:textId="77777777" w:rsidR="006D2117" w:rsidRPr="006D2117" w:rsidRDefault="006D2117" w:rsidP="0006001E">
      <w:pPr>
        <w:pStyle w:val="Heading2"/>
      </w:pPr>
      <w:r w:rsidRPr="006D2117">
        <w:t xml:space="preserve">The </w:t>
      </w:r>
      <w:r w:rsidR="00334FFF">
        <w:t>Accountable Officer</w:t>
      </w:r>
      <w:r w:rsidR="00334FFF" w:rsidRPr="006D2117">
        <w:t xml:space="preserve"> </w:t>
      </w:r>
      <w:r w:rsidRPr="006D2117">
        <w:t xml:space="preserve">must </w:t>
      </w:r>
      <w:r w:rsidR="00857187">
        <w:t xml:space="preserve">ensure </w:t>
      </w:r>
      <w:r w:rsidR="00A21F60">
        <w:t xml:space="preserve">that </w:t>
      </w:r>
      <w:r w:rsidR="00857187">
        <w:t xml:space="preserve">the </w:t>
      </w:r>
      <w:r w:rsidRPr="006D2117">
        <w:t>Agency</w:t>
      </w:r>
      <w:r w:rsidR="00857187">
        <w:t>’s</w:t>
      </w:r>
      <w:r w:rsidRPr="006D2117">
        <w:t xml:space="preserve"> bank accounts </w:t>
      </w:r>
      <w:r w:rsidR="00857187">
        <w:t xml:space="preserve">are managed </w:t>
      </w:r>
      <w:r w:rsidRPr="006D2117">
        <w:t xml:space="preserve">in accordance with the Agency’s bank </w:t>
      </w:r>
      <w:r w:rsidR="00EF5417">
        <w:t>account</w:t>
      </w:r>
      <w:r w:rsidR="00EF5417" w:rsidRPr="006D2117">
        <w:t xml:space="preserve"> </w:t>
      </w:r>
      <w:r w:rsidR="00A21F60">
        <w:t xml:space="preserve">policies and procedures, which </w:t>
      </w:r>
      <w:r w:rsidRPr="006D2117">
        <w:t>must provide for:</w:t>
      </w:r>
    </w:p>
    <w:p w14:paraId="14E5E6F5" w14:textId="77777777" w:rsidR="006D2117" w:rsidRDefault="006D2117" w:rsidP="009848A6">
      <w:pPr>
        <w:pStyle w:val="Num1"/>
      </w:pPr>
      <w:r w:rsidRPr="006D2117">
        <w:t xml:space="preserve">the approval of all opening and closing of bank accounts by the Responsible </w:t>
      </w:r>
      <w:proofErr w:type="gramStart"/>
      <w:r w:rsidRPr="006D2117">
        <w:t>Body;</w:t>
      </w:r>
      <w:proofErr w:type="gramEnd"/>
    </w:p>
    <w:p w14:paraId="0F2F9795" w14:textId="3DA095B4" w:rsidR="006D2117" w:rsidRPr="006D2117" w:rsidRDefault="006D2117" w:rsidP="009848A6">
      <w:pPr>
        <w:pStyle w:val="Num1"/>
      </w:pPr>
      <w:r w:rsidRPr="006D2117">
        <w:t xml:space="preserve">opening </w:t>
      </w:r>
      <w:r w:rsidR="003F2B2A">
        <w:t xml:space="preserve">and operation </w:t>
      </w:r>
      <w:r w:rsidRPr="006D2117">
        <w:t xml:space="preserve">of bank </w:t>
      </w:r>
      <w:r w:rsidR="00F71DE1">
        <w:t>accounts with an Authorised Deposit-Taking I</w:t>
      </w:r>
      <w:r w:rsidRPr="006D2117">
        <w:t>nstitution(s)</w:t>
      </w:r>
      <w:r w:rsidR="00373B81">
        <w:t xml:space="preserve"> </w:t>
      </w:r>
      <w:r w:rsidR="003F2B2A">
        <w:t>under</w:t>
      </w:r>
      <w:r w:rsidR="00373B81">
        <w:t xml:space="preserve"> the Banking and Financial Services State Purchase Contract (otherwise known as a Central Banking System account</w:t>
      </w:r>
      <w:proofErr w:type="gramStart"/>
      <w:r w:rsidR="00373B81">
        <w:t>)</w:t>
      </w:r>
      <w:r w:rsidRPr="006D2117">
        <w:t>;</w:t>
      </w:r>
      <w:proofErr w:type="gramEnd"/>
      <w:r w:rsidRPr="006D2117">
        <w:t xml:space="preserve"> </w:t>
      </w:r>
    </w:p>
    <w:p w14:paraId="2FD6EFCB" w14:textId="77777777" w:rsidR="006D2117" w:rsidRPr="006D2117" w:rsidRDefault="006D2117" w:rsidP="009848A6">
      <w:pPr>
        <w:pStyle w:val="Num1"/>
      </w:pPr>
      <w:r w:rsidRPr="006D2117">
        <w:t>effective and efficient operations of bank accounts; and</w:t>
      </w:r>
    </w:p>
    <w:p w14:paraId="63BA0F38" w14:textId="77777777" w:rsidR="006D2117" w:rsidRDefault="006D2117" w:rsidP="009848A6">
      <w:pPr>
        <w:pStyle w:val="Num1"/>
      </w:pPr>
      <w:r w:rsidRPr="006D2117">
        <w:t>at least monthly reconciliation of bank accounts.</w:t>
      </w:r>
    </w:p>
    <w:p w14:paraId="73E6B454" w14:textId="77777777" w:rsidR="006D2117" w:rsidRPr="006D2117" w:rsidRDefault="006D2117" w:rsidP="00CE2BDD">
      <w:pPr>
        <w:pStyle w:val="Heading1"/>
        <w:numPr>
          <w:ilvl w:val="0"/>
          <w:numId w:val="9"/>
        </w:numPr>
      </w:pPr>
      <w:r w:rsidRPr="006D2117">
        <w:t>Managing expenditure</w:t>
      </w:r>
    </w:p>
    <w:p w14:paraId="74A0E450" w14:textId="77777777" w:rsidR="006D2117" w:rsidRPr="006D2117" w:rsidRDefault="006D2117" w:rsidP="0006001E">
      <w:pPr>
        <w:pStyle w:val="Heading2"/>
      </w:pPr>
      <w:r w:rsidRPr="006D2117">
        <w:t xml:space="preserve">The </w:t>
      </w:r>
      <w:r w:rsidR="00334FFF">
        <w:t>Accountable Officer</w:t>
      </w:r>
      <w:r w:rsidR="00334FFF" w:rsidRPr="006D2117">
        <w:t xml:space="preserve"> </w:t>
      </w:r>
      <w:r w:rsidRPr="006D2117">
        <w:t xml:space="preserve">must </w:t>
      </w:r>
      <w:r w:rsidR="00B9604F">
        <w:t>ensure</w:t>
      </w:r>
      <w:r w:rsidR="00A21F60">
        <w:t xml:space="preserve"> that</w:t>
      </w:r>
      <w:r w:rsidR="00B9604F">
        <w:t xml:space="preserve"> </w:t>
      </w:r>
      <w:r w:rsidRPr="006D2117">
        <w:t>the Agency’s expenditure</w:t>
      </w:r>
      <w:r w:rsidR="00B9604F">
        <w:t xml:space="preserve"> is managed</w:t>
      </w:r>
      <w:r w:rsidRPr="006D2117">
        <w:t xml:space="preserve"> in accordance with the Agency’s expenditur</w:t>
      </w:r>
      <w:r w:rsidR="00A21F60">
        <w:t xml:space="preserve">e policies and procedures, which </w:t>
      </w:r>
      <w:r w:rsidRPr="006D2117">
        <w:t>must provide for:</w:t>
      </w:r>
    </w:p>
    <w:p w14:paraId="5B63BD2F" w14:textId="77777777" w:rsidR="006D2117" w:rsidRPr="006D2117" w:rsidRDefault="006D2117" w:rsidP="009848A6">
      <w:pPr>
        <w:pStyle w:val="Num1"/>
        <w:contextualSpacing/>
      </w:pPr>
      <w:r w:rsidRPr="006D2117">
        <w:t>promptly, completely and accurately identifying, managing, recording and reporting of expenses; and</w:t>
      </w:r>
    </w:p>
    <w:p w14:paraId="1C5D921D" w14:textId="77777777" w:rsidR="006D2117" w:rsidRPr="006D2117" w:rsidRDefault="006D2117" w:rsidP="009848A6">
      <w:pPr>
        <w:pStyle w:val="Num1"/>
        <w:contextualSpacing/>
      </w:pPr>
      <w:r w:rsidRPr="006D2117">
        <w:t>the timely and appropriate payment of expenses.</w:t>
      </w:r>
    </w:p>
    <w:p w14:paraId="400BE57A" w14:textId="77777777" w:rsidR="006D2117" w:rsidRPr="006D2117" w:rsidRDefault="006D2117" w:rsidP="0006001E">
      <w:pPr>
        <w:pStyle w:val="Heading2"/>
      </w:pPr>
      <w:r w:rsidRPr="006D2117">
        <w:t xml:space="preserve">The Accountable Officer must </w:t>
      </w:r>
      <w:r w:rsidR="00B9604F">
        <w:t>ensure</w:t>
      </w:r>
      <w:r w:rsidR="00A21F60">
        <w:t xml:space="preserve"> that</w:t>
      </w:r>
      <w:r w:rsidR="00B9604F">
        <w:t xml:space="preserve"> the Agency </w:t>
      </w:r>
      <w:r w:rsidRPr="006D2117">
        <w:t>develop</w:t>
      </w:r>
      <w:r w:rsidR="00B9604F">
        <w:t>s</w:t>
      </w:r>
      <w:r w:rsidRPr="006D2117">
        <w:t xml:space="preserve"> policies and procedures to address the following expenditure types</w:t>
      </w:r>
      <w:r w:rsidR="00A21F60">
        <w:t>:</w:t>
      </w:r>
    </w:p>
    <w:p w14:paraId="236F5C87" w14:textId="77777777" w:rsidR="006D2117" w:rsidRPr="006D2117" w:rsidRDefault="006D2117" w:rsidP="007961CA">
      <w:pPr>
        <w:pStyle w:val="Num1"/>
        <w:contextualSpacing/>
      </w:pPr>
      <w:proofErr w:type="gramStart"/>
      <w:r w:rsidRPr="006D2117">
        <w:t>travel;</w:t>
      </w:r>
      <w:proofErr w:type="gramEnd"/>
    </w:p>
    <w:p w14:paraId="023D6D68" w14:textId="77777777" w:rsidR="006D2117" w:rsidRPr="006D2117" w:rsidRDefault="006D2117" w:rsidP="007961CA">
      <w:pPr>
        <w:pStyle w:val="Num1"/>
        <w:contextualSpacing/>
      </w:pPr>
      <w:r w:rsidRPr="006D2117">
        <w:t xml:space="preserve">advertising and </w:t>
      </w:r>
      <w:proofErr w:type="gramStart"/>
      <w:r w:rsidRPr="006D2117">
        <w:t>communications;</w:t>
      </w:r>
      <w:proofErr w:type="gramEnd"/>
    </w:p>
    <w:p w14:paraId="099AD167" w14:textId="77777777" w:rsidR="006D2117" w:rsidRPr="006D2117" w:rsidRDefault="006D2117" w:rsidP="007961CA">
      <w:pPr>
        <w:pStyle w:val="Num1"/>
        <w:contextualSpacing/>
      </w:pPr>
      <w:r w:rsidRPr="006D2117">
        <w:t xml:space="preserve">employee </w:t>
      </w:r>
      <w:proofErr w:type="gramStart"/>
      <w:r w:rsidRPr="006D2117">
        <w:t>advances;</w:t>
      </w:r>
      <w:proofErr w:type="gramEnd"/>
    </w:p>
    <w:p w14:paraId="13600CC1" w14:textId="77777777" w:rsidR="006D2117" w:rsidRPr="006D2117" w:rsidRDefault="006D2117" w:rsidP="007961CA">
      <w:pPr>
        <w:pStyle w:val="Num1"/>
        <w:contextualSpacing/>
      </w:pPr>
      <w:r w:rsidRPr="006D2117">
        <w:t xml:space="preserve">personal expense </w:t>
      </w:r>
      <w:proofErr w:type="gramStart"/>
      <w:r w:rsidRPr="006D2117">
        <w:t>reimbursement;</w:t>
      </w:r>
      <w:proofErr w:type="gramEnd"/>
    </w:p>
    <w:p w14:paraId="66D5F249" w14:textId="77777777" w:rsidR="006D2117" w:rsidRPr="006D2117" w:rsidRDefault="006D2117" w:rsidP="007961CA">
      <w:pPr>
        <w:pStyle w:val="Num1"/>
        <w:contextualSpacing/>
      </w:pPr>
      <w:r w:rsidRPr="006D2117">
        <w:t xml:space="preserve">capital </w:t>
      </w:r>
      <w:proofErr w:type="gramStart"/>
      <w:r w:rsidRPr="006D2117">
        <w:t>expenditure;</w:t>
      </w:r>
      <w:proofErr w:type="gramEnd"/>
    </w:p>
    <w:p w14:paraId="38BCD597" w14:textId="77777777" w:rsidR="006D2117" w:rsidRPr="006D2117" w:rsidRDefault="00B9604F" w:rsidP="007961CA">
      <w:pPr>
        <w:pStyle w:val="Num1"/>
        <w:contextualSpacing/>
      </w:pPr>
      <w:r>
        <w:t xml:space="preserve">where applicable, </w:t>
      </w:r>
      <w:r w:rsidR="006D2117" w:rsidRPr="006D2117">
        <w:t>remuneration of boards, statutory bodies and advisory committees; and</w:t>
      </w:r>
    </w:p>
    <w:p w14:paraId="3F5AD5C7" w14:textId="77777777" w:rsidR="003A4DEE" w:rsidRPr="006D2117" w:rsidRDefault="006D2117" w:rsidP="007961CA">
      <w:pPr>
        <w:pStyle w:val="Num1"/>
        <w:contextualSpacing/>
      </w:pPr>
      <w:r w:rsidRPr="006D2117">
        <w:t>ex-gratia payments.</w:t>
      </w:r>
    </w:p>
    <w:p w14:paraId="1AC7F78E" w14:textId="77777777" w:rsidR="006D2117" w:rsidRPr="006D2117" w:rsidRDefault="006D2117" w:rsidP="000F6867">
      <w:pPr>
        <w:pStyle w:val="Heading1"/>
        <w:pageBreakBefore/>
        <w:numPr>
          <w:ilvl w:val="0"/>
          <w:numId w:val="9"/>
        </w:numPr>
      </w:pPr>
      <w:r w:rsidRPr="006D2117">
        <w:lastRenderedPageBreak/>
        <w:t xml:space="preserve">Managing payroll </w:t>
      </w:r>
    </w:p>
    <w:p w14:paraId="0470C846" w14:textId="77777777" w:rsidR="006D2117" w:rsidRPr="006D2117" w:rsidRDefault="006D2117" w:rsidP="0006001E">
      <w:pPr>
        <w:pStyle w:val="Heading2"/>
      </w:pPr>
      <w:r w:rsidRPr="006D2117">
        <w:t xml:space="preserve">The </w:t>
      </w:r>
      <w:r w:rsidR="00334FFF">
        <w:t>Accountable Officer</w:t>
      </w:r>
      <w:r w:rsidR="00334FFF" w:rsidRPr="006D2117">
        <w:t xml:space="preserve"> </w:t>
      </w:r>
      <w:r w:rsidRPr="006D2117">
        <w:t xml:space="preserve">must ensure </w:t>
      </w:r>
      <w:r w:rsidR="00A21F60">
        <w:t xml:space="preserve">that </w:t>
      </w:r>
      <w:r w:rsidRPr="006D2117">
        <w:t>the Agency</w:t>
      </w:r>
      <w:r w:rsidR="00A21F60">
        <w:t xml:space="preserve">’s </w:t>
      </w:r>
      <w:r w:rsidRPr="006D2117">
        <w:t xml:space="preserve">payroll is managed in accordance with the Agency’s </w:t>
      </w:r>
      <w:r w:rsidR="00A21F60">
        <w:t xml:space="preserve">payroll policies and procedures, which </w:t>
      </w:r>
      <w:r w:rsidRPr="006D2117">
        <w:t>must provide for:</w:t>
      </w:r>
    </w:p>
    <w:p w14:paraId="75BFD60E" w14:textId="77777777" w:rsidR="006D2117" w:rsidRPr="006D2117" w:rsidRDefault="006D2117" w:rsidP="009848A6">
      <w:pPr>
        <w:pStyle w:val="Num1"/>
      </w:pPr>
      <w:r w:rsidRPr="006D2117">
        <w:t>bona fide payment to employees</w:t>
      </w:r>
      <w:r w:rsidR="00EE1B81">
        <w:t xml:space="preserve">, including </w:t>
      </w:r>
      <w:r w:rsidR="00EE1B81" w:rsidRPr="00587F38">
        <w:rPr>
          <w:szCs w:val="20"/>
        </w:rPr>
        <w:t>recoup</w:t>
      </w:r>
      <w:r w:rsidR="00EE1B81">
        <w:rPr>
          <w:szCs w:val="20"/>
        </w:rPr>
        <w:t xml:space="preserve">ment of </w:t>
      </w:r>
      <w:r w:rsidR="00EE1B81" w:rsidRPr="00587F38">
        <w:rPr>
          <w:szCs w:val="20"/>
        </w:rPr>
        <w:t xml:space="preserve">over payment of </w:t>
      </w:r>
      <w:proofErr w:type="gramStart"/>
      <w:r w:rsidR="00EE1B81" w:rsidRPr="00587F38">
        <w:rPr>
          <w:szCs w:val="20"/>
        </w:rPr>
        <w:t>salaries</w:t>
      </w:r>
      <w:r w:rsidRPr="006D2117">
        <w:t>;</w:t>
      </w:r>
      <w:proofErr w:type="gramEnd"/>
    </w:p>
    <w:p w14:paraId="5B83D2DE" w14:textId="77777777" w:rsidR="006D2117" w:rsidRPr="006D2117" w:rsidRDefault="006D2117" w:rsidP="009848A6">
      <w:pPr>
        <w:pStyle w:val="Num1"/>
      </w:pPr>
      <w:r w:rsidRPr="006D2117">
        <w:t xml:space="preserve">correct payment made based on the rate in accordance with any written law, industrial award or industrial agreement, and for hours </w:t>
      </w:r>
      <w:proofErr w:type="gramStart"/>
      <w:r w:rsidRPr="006D2117">
        <w:t>worked;</w:t>
      </w:r>
      <w:proofErr w:type="gramEnd"/>
    </w:p>
    <w:p w14:paraId="6B3D6B2F" w14:textId="77777777" w:rsidR="006D2117" w:rsidRPr="006D2117" w:rsidRDefault="006D2117" w:rsidP="009848A6">
      <w:pPr>
        <w:pStyle w:val="Num1"/>
      </w:pPr>
      <w:r w:rsidRPr="006D2117">
        <w:t xml:space="preserve">prompt authorisation and disbursement of all </w:t>
      </w:r>
      <w:proofErr w:type="gramStart"/>
      <w:r w:rsidRPr="006D2117">
        <w:t>deductions;</w:t>
      </w:r>
      <w:proofErr w:type="gramEnd"/>
      <w:r w:rsidRPr="006D2117">
        <w:t xml:space="preserve"> </w:t>
      </w:r>
    </w:p>
    <w:p w14:paraId="2E45D06D" w14:textId="77777777" w:rsidR="006D2117" w:rsidRDefault="006D2117" w:rsidP="009848A6">
      <w:pPr>
        <w:pStyle w:val="Num1"/>
      </w:pPr>
      <w:r w:rsidRPr="006D2117">
        <w:t>an appropriate level of security for payroll distribution (including independent review prior to processing)</w:t>
      </w:r>
      <w:r w:rsidR="00D60187">
        <w:t>;</w:t>
      </w:r>
      <w:r w:rsidR="00967ADA">
        <w:t xml:space="preserve"> and</w:t>
      </w:r>
    </w:p>
    <w:p w14:paraId="4759C43B" w14:textId="5061D5E6" w:rsidR="00967ADA" w:rsidRPr="006D2117" w:rsidRDefault="00DC5A6F" w:rsidP="009848A6">
      <w:pPr>
        <w:pStyle w:val="Num1"/>
      </w:pPr>
      <w:r>
        <w:t xml:space="preserve">applying </w:t>
      </w:r>
      <w:r w:rsidR="00E26FD5">
        <w:rPr>
          <w:lang w:eastAsia="en-US"/>
        </w:rPr>
        <w:t xml:space="preserve">the </w:t>
      </w:r>
      <w:r w:rsidR="00E26FD5" w:rsidRPr="00E26FD5">
        <w:rPr>
          <w:i/>
          <w:iCs/>
          <w:lang w:eastAsia="en-US"/>
        </w:rPr>
        <w:t>Pricing for Value Guide</w:t>
      </w:r>
      <w:r w:rsidR="00E26FD5">
        <w:rPr>
          <w:lang w:eastAsia="en-US"/>
        </w:rPr>
        <w:t xml:space="preserve"> in accordance with Direction 3.8 </w:t>
      </w:r>
      <w:r>
        <w:rPr>
          <w:lang w:eastAsia="en-US"/>
        </w:rPr>
        <w:t>to the costs associated with voluntary payroll deductions from gross pay</w:t>
      </w:r>
      <w:r w:rsidR="00967ADA">
        <w:rPr>
          <w:lang w:eastAsia="en-US"/>
        </w:rPr>
        <w:t xml:space="preserve">. </w:t>
      </w:r>
    </w:p>
    <w:p w14:paraId="59C9F515" w14:textId="77777777" w:rsidR="006D2117" w:rsidRPr="006D2117" w:rsidRDefault="006D2117" w:rsidP="00CE2BDD">
      <w:pPr>
        <w:pStyle w:val="Heading1"/>
        <w:numPr>
          <w:ilvl w:val="0"/>
          <w:numId w:val="9"/>
        </w:numPr>
      </w:pPr>
      <w:r w:rsidRPr="006D2117">
        <w:t>Managing liabilities</w:t>
      </w:r>
    </w:p>
    <w:p w14:paraId="33CC04D1" w14:textId="77777777" w:rsidR="003A4DEE" w:rsidRDefault="006D2117" w:rsidP="0006001E">
      <w:pPr>
        <w:pStyle w:val="Heading2"/>
      </w:pPr>
      <w:r w:rsidRPr="006D2117">
        <w:t xml:space="preserve">The </w:t>
      </w:r>
      <w:r w:rsidR="00334FFF">
        <w:t>Accountable Officer</w:t>
      </w:r>
      <w:r w:rsidR="00334FFF" w:rsidRPr="006D2117">
        <w:t xml:space="preserve"> </w:t>
      </w:r>
      <w:r w:rsidRPr="006D2117">
        <w:t xml:space="preserve">must </w:t>
      </w:r>
      <w:r w:rsidR="00B9604F">
        <w:t>ensure</w:t>
      </w:r>
      <w:r w:rsidR="00B9604F" w:rsidRPr="006D2117">
        <w:t xml:space="preserve"> </w:t>
      </w:r>
      <w:r w:rsidR="009E13CF">
        <w:t xml:space="preserve">that </w:t>
      </w:r>
      <w:r w:rsidRPr="006D2117">
        <w:t xml:space="preserve">the Agency’s liabilities </w:t>
      </w:r>
      <w:r w:rsidR="00B9604F">
        <w:t xml:space="preserve">are managed </w:t>
      </w:r>
      <w:r w:rsidRPr="006D2117">
        <w:t>in accordance with the Agency’s li</w:t>
      </w:r>
      <w:r w:rsidR="009E13CF">
        <w:t xml:space="preserve">ability policies and procedures, which </w:t>
      </w:r>
      <w:r w:rsidRPr="006D2117">
        <w:t>must provide for identifying, managing, recording and reporting of liabilities and commitments for capital expenditure, in a prompt, complete and accurate manner.</w:t>
      </w:r>
    </w:p>
    <w:p w14:paraId="34E185C4" w14:textId="77777777" w:rsidR="006D2117" w:rsidRPr="006D2117" w:rsidRDefault="006D2117" w:rsidP="00CE2BDD">
      <w:pPr>
        <w:pStyle w:val="Heading1"/>
        <w:numPr>
          <w:ilvl w:val="0"/>
          <w:numId w:val="9"/>
        </w:numPr>
      </w:pPr>
      <w:r w:rsidRPr="006D2117">
        <w:t>Managing taxes</w:t>
      </w:r>
    </w:p>
    <w:p w14:paraId="4AD580C0" w14:textId="77777777" w:rsidR="006D2117" w:rsidRPr="006D2117" w:rsidRDefault="006D2117" w:rsidP="0006001E">
      <w:pPr>
        <w:pStyle w:val="Heading2"/>
      </w:pPr>
      <w:r w:rsidRPr="006D2117">
        <w:t xml:space="preserve">The </w:t>
      </w:r>
      <w:r w:rsidR="00334FFF">
        <w:t>Accountable Officer</w:t>
      </w:r>
      <w:r w:rsidR="00C5696D">
        <w:t xml:space="preserve"> </w:t>
      </w:r>
      <w:r w:rsidRPr="006D2117">
        <w:t xml:space="preserve">must </w:t>
      </w:r>
      <w:r w:rsidR="00B9604F">
        <w:t>ensure</w:t>
      </w:r>
      <w:r w:rsidR="00B9604F" w:rsidRPr="006D2117">
        <w:t xml:space="preserve"> </w:t>
      </w:r>
      <w:r w:rsidR="00EB1ADE">
        <w:t xml:space="preserve">that </w:t>
      </w:r>
      <w:r w:rsidRPr="006D2117">
        <w:t xml:space="preserve">the Agency’s taxation obligations </w:t>
      </w:r>
      <w:r w:rsidR="00B9604F">
        <w:t xml:space="preserve">are managed </w:t>
      </w:r>
      <w:r w:rsidRPr="006D2117">
        <w:t>in accordance with taxation law and the Agency’s t</w:t>
      </w:r>
      <w:r w:rsidR="00EB1ADE">
        <w:t xml:space="preserve">axation policies and procedures, which </w:t>
      </w:r>
      <w:r w:rsidRPr="006D2117">
        <w:t>must provide for:</w:t>
      </w:r>
    </w:p>
    <w:p w14:paraId="7BB929B3" w14:textId="77777777" w:rsidR="006D2117" w:rsidRPr="006D2117" w:rsidRDefault="006D2117" w:rsidP="009848A6">
      <w:pPr>
        <w:pStyle w:val="Num1"/>
      </w:pPr>
      <w:r w:rsidRPr="006D2117">
        <w:t>the prompt preparation and submission of taxation returns/</w:t>
      </w:r>
      <w:proofErr w:type="gramStart"/>
      <w:r w:rsidRPr="006D2117">
        <w:t>statements;</w:t>
      </w:r>
      <w:proofErr w:type="gramEnd"/>
    </w:p>
    <w:p w14:paraId="0981C412" w14:textId="77777777" w:rsidR="006D2117" w:rsidRPr="006D2117" w:rsidRDefault="006D2117" w:rsidP="009848A6">
      <w:pPr>
        <w:pStyle w:val="Num1"/>
      </w:pPr>
      <w:r w:rsidRPr="006D2117">
        <w:t>maximising of cash flows from tax entitlements</w:t>
      </w:r>
      <w:r w:rsidR="00EB1ADE">
        <w:t>;</w:t>
      </w:r>
      <w:r w:rsidR="00EB1ADE">
        <w:rPr>
          <w:rStyle w:val="FootnoteReference"/>
        </w:rPr>
        <w:footnoteReference w:id="16"/>
      </w:r>
      <w:r w:rsidRPr="006D2117">
        <w:t xml:space="preserve"> and</w:t>
      </w:r>
    </w:p>
    <w:p w14:paraId="524BACBF" w14:textId="77777777" w:rsidR="006D2117" w:rsidRPr="006D2117" w:rsidRDefault="006D2117" w:rsidP="009848A6">
      <w:pPr>
        <w:pStyle w:val="Num1"/>
      </w:pPr>
      <w:r w:rsidRPr="006D2117">
        <w:t xml:space="preserve">informing the Portfolio Department of </w:t>
      </w:r>
      <w:r w:rsidRPr="00C00962">
        <w:t>issues and risks</w:t>
      </w:r>
      <w:r w:rsidRPr="006D2117">
        <w:t xml:space="preserve"> relating to Commonwealth taxation obligations and concessions that are not unique to their own Agencies and which have potential portfolio-wide implications. </w:t>
      </w:r>
    </w:p>
    <w:p w14:paraId="3C2EFCCB" w14:textId="77777777" w:rsidR="006D2117" w:rsidRPr="006D2117" w:rsidRDefault="006D2117" w:rsidP="009848A6">
      <w:pPr>
        <w:pStyle w:val="Heading2"/>
      </w:pPr>
      <w:r w:rsidRPr="006D2117">
        <w:t xml:space="preserve">In addition, Portfolio Departments must </w:t>
      </w:r>
      <w:r w:rsidR="00EB1ADE">
        <w:t>inform DTF of</w:t>
      </w:r>
      <w:r w:rsidRPr="006D2117">
        <w:t>:</w:t>
      </w:r>
    </w:p>
    <w:p w14:paraId="71A4D6AD" w14:textId="77777777" w:rsidR="006D2117" w:rsidRPr="006D2117" w:rsidRDefault="006D2117" w:rsidP="009848A6">
      <w:pPr>
        <w:pStyle w:val="Num1"/>
        <w:contextualSpacing/>
      </w:pPr>
      <w:r w:rsidRPr="006D2117">
        <w:t>issues that have potential whole of government risks or opportunities; and</w:t>
      </w:r>
    </w:p>
    <w:p w14:paraId="5BCCB05E" w14:textId="77777777" w:rsidR="006D2117" w:rsidRDefault="006D2117" w:rsidP="009848A6">
      <w:pPr>
        <w:pStyle w:val="Num1"/>
        <w:contextualSpacing/>
      </w:pPr>
      <w:r w:rsidRPr="006D2117">
        <w:t xml:space="preserve">all </w:t>
      </w:r>
      <w:r w:rsidR="00C00962">
        <w:t xml:space="preserve">significant </w:t>
      </w:r>
      <w:r w:rsidRPr="006D2117">
        <w:t>ATO ruling requests with whole of government implications.</w:t>
      </w:r>
    </w:p>
    <w:p w14:paraId="790F910E" w14:textId="77777777" w:rsidR="00510D0E" w:rsidRDefault="00B9604F" w:rsidP="00CE2BDD">
      <w:pPr>
        <w:pStyle w:val="Heading1"/>
        <w:numPr>
          <w:ilvl w:val="0"/>
          <w:numId w:val="9"/>
        </w:numPr>
      </w:pPr>
      <w:r w:rsidRPr="006D2117">
        <w:t xml:space="preserve">Managing </w:t>
      </w:r>
      <w:r w:rsidR="00510D0E">
        <w:t>shared</w:t>
      </w:r>
      <w:r>
        <w:t xml:space="preserve"> services</w:t>
      </w:r>
      <w:r w:rsidR="00510D0E">
        <w:t xml:space="preserve"> and outsourcing</w:t>
      </w:r>
      <w:r w:rsidR="00FD6B7A">
        <w:t xml:space="preserve"> arrangements</w:t>
      </w:r>
    </w:p>
    <w:p w14:paraId="653CCD08" w14:textId="77777777" w:rsidR="00510D0E" w:rsidRPr="006D2117" w:rsidRDefault="00510D0E" w:rsidP="0006001E">
      <w:pPr>
        <w:pStyle w:val="Heading2"/>
      </w:pPr>
      <w:r w:rsidRPr="006D2117">
        <w:t xml:space="preserve">The </w:t>
      </w:r>
      <w:r w:rsidR="00671A1A">
        <w:t>Accountable O</w:t>
      </w:r>
      <w:r w:rsidR="00334FFF">
        <w:t xml:space="preserve">fficer </w:t>
      </w:r>
      <w:r w:rsidRPr="006D2117">
        <w:t xml:space="preserve">must </w:t>
      </w:r>
      <w:r>
        <w:t>ensure</w:t>
      </w:r>
      <w:r w:rsidR="00EB1ADE">
        <w:t xml:space="preserve"> that</w:t>
      </w:r>
      <w:r w:rsidRPr="006D2117">
        <w:t xml:space="preserve"> the Agency’s </w:t>
      </w:r>
      <w:r>
        <w:t>shared services</w:t>
      </w:r>
      <w:r w:rsidRPr="006D2117">
        <w:t xml:space="preserve"> </w:t>
      </w:r>
      <w:r>
        <w:t>and outsourcing</w:t>
      </w:r>
      <w:r w:rsidR="00101A6D">
        <w:t xml:space="preserve"> arrangements</w:t>
      </w:r>
      <w:r w:rsidR="00C63CA8">
        <w:t>,</w:t>
      </w:r>
      <w:r>
        <w:t xml:space="preserve"> related to financial management</w:t>
      </w:r>
      <w:r w:rsidR="00C63CA8">
        <w:t>,</w:t>
      </w:r>
      <w:r>
        <w:t xml:space="preserve"> are </w:t>
      </w:r>
      <w:r w:rsidR="00FC5FF0">
        <w:t xml:space="preserve">effectively </w:t>
      </w:r>
      <w:r>
        <w:t>managed</w:t>
      </w:r>
      <w:r w:rsidR="00EB1ADE">
        <w:t>, including by</w:t>
      </w:r>
      <w:r w:rsidR="00FC5FF0">
        <w:t>:</w:t>
      </w:r>
    </w:p>
    <w:p w14:paraId="68928AFD" w14:textId="77777777" w:rsidR="00FC5FF0" w:rsidRPr="00C63CA8" w:rsidRDefault="00FC5FF0" w:rsidP="009848A6">
      <w:pPr>
        <w:pStyle w:val="Num1"/>
      </w:pPr>
      <w:r>
        <w:t>p</w:t>
      </w:r>
      <w:r w:rsidRPr="00FC5FF0">
        <w:t xml:space="preserve">rior to </w:t>
      </w:r>
      <w:r w:rsidR="00B96156">
        <w:t xml:space="preserve">sharing or </w:t>
      </w:r>
      <w:r w:rsidR="00E52320">
        <w:t>outsourcing</w:t>
      </w:r>
      <w:r w:rsidRPr="00FC5FF0">
        <w:t xml:space="preserve"> functions either in full or part, the costs and benefits </w:t>
      </w:r>
      <w:r w:rsidR="00C63CA8">
        <w:t>are</w:t>
      </w:r>
      <w:r w:rsidRPr="00FC5FF0">
        <w:t xml:space="preserve"> </w:t>
      </w:r>
      <w:r w:rsidR="00E23688" w:rsidRPr="00FC5FF0">
        <w:t>analysed,</w:t>
      </w:r>
      <w:r w:rsidRPr="00FC5FF0">
        <w:t xml:space="preserve"> and the decision </w:t>
      </w:r>
      <w:r w:rsidR="00C63CA8">
        <w:t xml:space="preserve">is </w:t>
      </w:r>
      <w:r w:rsidRPr="00FC5FF0">
        <w:t>a</w:t>
      </w:r>
      <w:r w:rsidR="00B96156">
        <w:t>pproved by the Responsible Body</w:t>
      </w:r>
      <w:r w:rsidR="00373B81">
        <w:rPr>
          <w:rStyle w:val="FootnoteReference"/>
        </w:rPr>
        <w:footnoteReference w:id="17"/>
      </w:r>
      <w:r w:rsidR="00B96156">
        <w:t>;</w:t>
      </w:r>
    </w:p>
    <w:p w14:paraId="58EAF901" w14:textId="77777777" w:rsidR="00FC5FF0" w:rsidRPr="00C63CA8" w:rsidRDefault="00FC5FF0" w:rsidP="009848A6">
      <w:pPr>
        <w:pStyle w:val="Num1"/>
      </w:pPr>
      <w:r>
        <w:t>t</w:t>
      </w:r>
      <w:r w:rsidRPr="00FC5FF0">
        <w:t xml:space="preserve">he </w:t>
      </w:r>
      <w:r w:rsidR="00C63CA8">
        <w:t>services to be provided are</w:t>
      </w:r>
      <w:r w:rsidRPr="00FC5FF0">
        <w:t xml:space="preserve"> detailed in a </w:t>
      </w:r>
      <w:r w:rsidRPr="00C63CA8">
        <w:t>contract, service level agreement or equivalent, together with perf</w:t>
      </w:r>
      <w:r w:rsidR="00B96156">
        <w:t xml:space="preserve">ormance indicators and </w:t>
      </w:r>
      <w:proofErr w:type="gramStart"/>
      <w:r w:rsidR="00B96156">
        <w:t>measures;</w:t>
      </w:r>
      <w:proofErr w:type="gramEnd"/>
    </w:p>
    <w:p w14:paraId="495F872F" w14:textId="77777777" w:rsidR="00FC5FF0" w:rsidRPr="00FC5FF0" w:rsidRDefault="00FC5FF0" w:rsidP="009848A6">
      <w:pPr>
        <w:pStyle w:val="Num1"/>
      </w:pPr>
      <w:r>
        <w:t>p</w:t>
      </w:r>
      <w:r w:rsidRPr="00FC5FF0">
        <w:t xml:space="preserve">erformance </w:t>
      </w:r>
      <w:r w:rsidR="00101A6D">
        <w:t>is</w:t>
      </w:r>
      <w:r w:rsidRPr="00FC5FF0">
        <w:t xml:space="preserve"> regularly monitored and reviewed, </w:t>
      </w:r>
      <w:r w:rsidRPr="00101A6D">
        <w:t xml:space="preserve">including a review (at least annually) </w:t>
      </w:r>
      <w:r w:rsidR="00C63CA8" w:rsidRPr="00EB1ADE">
        <w:t>by the</w:t>
      </w:r>
      <w:r w:rsidR="00E52320">
        <w:t xml:space="preserve"> Accountable Officer or</w:t>
      </w:r>
      <w:r w:rsidR="00E52320" w:rsidRPr="00E52320">
        <w:t xml:space="preserve"> </w:t>
      </w:r>
      <w:r w:rsidR="00334FFF">
        <w:t>delegate</w:t>
      </w:r>
      <w:r w:rsidRPr="00101A6D">
        <w:t xml:space="preserve">, </w:t>
      </w:r>
      <w:r w:rsidR="00C63CA8" w:rsidRPr="00EB1ADE">
        <w:t xml:space="preserve">with </w:t>
      </w:r>
      <w:r w:rsidRPr="00101A6D">
        <w:t xml:space="preserve">the results of the review reported to the Responsible </w:t>
      </w:r>
      <w:proofErr w:type="gramStart"/>
      <w:r w:rsidRPr="00101A6D">
        <w:t>Body</w:t>
      </w:r>
      <w:r w:rsidR="00E52320">
        <w:t>;</w:t>
      </w:r>
      <w:proofErr w:type="gramEnd"/>
    </w:p>
    <w:p w14:paraId="70D1FE86" w14:textId="77777777" w:rsidR="00A84208" w:rsidRDefault="007F1C65" w:rsidP="009848A6">
      <w:pPr>
        <w:pStyle w:val="Num1"/>
      </w:pPr>
      <w:r>
        <w:t xml:space="preserve">appropriate assurance is obtained, and </w:t>
      </w:r>
      <w:r w:rsidR="00FD6B7A" w:rsidRPr="00EB1ADE">
        <w:t xml:space="preserve">the </w:t>
      </w:r>
      <w:r w:rsidR="00E52320" w:rsidRPr="00FD6B7A">
        <w:t>level of</w:t>
      </w:r>
      <w:r w:rsidR="00E52320">
        <w:t xml:space="preserve"> </w:t>
      </w:r>
      <w:r w:rsidR="00A84208">
        <w:t>assurance</w:t>
      </w:r>
      <w:r w:rsidR="00101A6D">
        <w:t xml:space="preserve"> is </w:t>
      </w:r>
      <w:r w:rsidR="00FD6B7A">
        <w:t>documented</w:t>
      </w:r>
      <w:r>
        <w:t>,</w:t>
      </w:r>
      <w:r w:rsidR="00FD6B7A">
        <w:t xml:space="preserve"> </w:t>
      </w:r>
      <w:r w:rsidR="00101A6D">
        <w:t xml:space="preserve">annually; and </w:t>
      </w:r>
    </w:p>
    <w:p w14:paraId="431E3C76" w14:textId="77777777" w:rsidR="00FC5FF0" w:rsidRDefault="00A84208" w:rsidP="009848A6">
      <w:pPr>
        <w:pStyle w:val="Num1"/>
      </w:pPr>
      <w:r>
        <w:t xml:space="preserve">the </w:t>
      </w:r>
      <w:r w:rsidR="00FD6B7A">
        <w:t>arrangements</w:t>
      </w:r>
      <w:r w:rsidRPr="00FC5FF0">
        <w:t xml:space="preserve"> </w:t>
      </w:r>
      <w:r w:rsidR="00C63CA8">
        <w:t>are</w:t>
      </w:r>
      <w:r w:rsidR="00FC5FF0" w:rsidRPr="00FC5FF0">
        <w:t xml:space="preserve"> subject to internal and external audit scrutiny</w:t>
      </w:r>
      <w:r w:rsidR="00E52320">
        <w:t>.</w:t>
      </w:r>
      <w:r>
        <w:t xml:space="preserve"> </w:t>
      </w:r>
    </w:p>
    <w:p w14:paraId="7A02565A" w14:textId="77777777" w:rsidR="00551D57" w:rsidRDefault="00551D57" w:rsidP="000F6867">
      <w:pPr>
        <w:pStyle w:val="Heading1"/>
        <w:pageBreakBefore/>
        <w:numPr>
          <w:ilvl w:val="0"/>
          <w:numId w:val="9"/>
        </w:numPr>
      </w:pPr>
      <w:r w:rsidRPr="006D2117">
        <w:lastRenderedPageBreak/>
        <w:t xml:space="preserve">Managing </w:t>
      </w:r>
      <w:r>
        <w:t>gifts, benefits and hospitality</w:t>
      </w:r>
    </w:p>
    <w:p w14:paraId="46B7B295" w14:textId="77777777" w:rsidR="00551D57" w:rsidRDefault="00551D57" w:rsidP="00551D57">
      <w:pPr>
        <w:pStyle w:val="Heading2"/>
      </w:pPr>
      <w:r w:rsidRPr="00551D57">
        <w:t xml:space="preserve">The Accountable Officer must ensure that the Agency develops policies and procedures that apply the minimum accountabilities </w:t>
      </w:r>
      <w:r>
        <w:t>set out</w:t>
      </w:r>
      <w:r w:rsidRPr="00551D57">
        <w:t xml:space="preserve"> in the Victorian Public Sector Commission’s </w:t>
      </w:r>
      <w:r w:rsidRPr="00551D57">
        <w:rPr>
          <w:i/>
        </w:rPr>
        <w:t>Gifts, Benefits and Hospitality Policy Framework</w:t>
      </w:r>
      <w:r w:rsidRPr="00551D57">
        <w:t>.</w:t>
      </w:r>
      <w:r w:rsidR="006C69DD">
        <w:t xml:space="preserve"> </w:t>
      </w:r>
    </w:p>
    <w:p w14:paraId="104AC996" w14:textId="207093F8" w:rsidR="00E245B5" w:rsidRDefault="00551D57" w:rsidP="009F1753">
      <w:pPr>
        <w:pStyle w:val="NormalIndent"/>
        <w:ind w:left="504"/>
        <w:rPr>
          <w:rStyle w:val="Hyperlink"/>
          <w:b/>
          <w:i/>
          <w:shd w:val="clear" w:color="auto" w:fill="BFBFBF" w:themeFill="background1" w:themeFillShade="BF"/>
        </w:rPr>
      </w:pPr>
      <w:hyperlink r:id="rId41" w:history="1">
        <w:r w:rsidRPr="00C221C4">
          <w:rPr>
            <w:rStyle w:val="Hyperlink"/>
            <w:b/>
            <w:i/>
            <w:shd w:val="clear" w:color="auto" w:fill="BFBFBF" w:themeFill="background1" w:themeFillShade="BF"/>
          </w:rPr>
          <w:t xml:space="preserve">Gifts, Benefits and Hospitality Policy </w:t>
        </w:r>
        <w:r w:rsidR="008836BB">
          <w:rPr>
            <w:rStyle w:val="Hyperlink"/>
            <w:b/>
            <w:i/>
            <w:shd w:val="clear" w:color="auto" w:fill="BFBFBF" w:themeFill="background1" w:themeFillShade="BF"/>
          </w:rPr>
          <w:t>Guide</w:t>
        </w:r>
      </w:hyperlink>
      <w:r w:rsidR="009F1753">
        <w:rPr>
          <w:rStyle w:val="FootnoteReference"/>
        </w:rPr>
        <w:footnoteReference w:id="18"/>
      </w:r>
    </w:p>
    <w:p w14:paraId="20242F99" w14:textId="77777777" w:rsidR="009F1753" w:rsidRDefault="009F1753" w:rsidP="009F1753">
      <w:pPr>
        <w:pStyle w:val="NormalIndent"/>
        <w:ind w:left="504"/>
        <w:rPr>
          <w:shd w:val="clear" w:color="auto" w:fill="BFBFBF" w:themeFill="background1" w:themeFillShade="BF"/>
        </w:rPr>
      </w:pPr>
    </w:p>
    <w:p w14:paraId="2742CB96" w14:textId="77777777" w:rsidR="00E245B5" w:rsidRDefault="00E245B5" w:rsidP="00E245B5">
      <w:pPr>
        <w:rPr>
          <w:shd w:val="clear" w:color="auto" w:fill="BFBFBF" w:themeFill="background1" w:themeFillShade="BF"/>
        </w:rPr>
      </w:pPr>
    </w:p>
    <w:p w14:paraId="48890C83" w14:textId="77777777" w:rsidR="00E245B5" w:rsidRDefault="00E245B5" w:rsidP="00551D57">
      <w:pPr>
        <w:pStyle w:val="Heading2"/>
        <w:numPr>
          <w:ilvl w:val="0"/>
          <w:numId w:val="0"/>
        </w:numPr>
        <w:ind w:left="504"/>
        <w:rPr>
          <w:b/>
          <w:i/>
          <w:shd w:val="clear" w:color="auto" w:fill="BFBFBF" w:themeFill="background1" w:themeFillShade="BF"/>
        </w:rPr>
        <w:sectPr w:rsidR="00E245B5" w:rsidSect="00CF2B85">
          <w:pgSz w:w="11906" w:h="16838"/>
          <w:pgMar w:top="1440" w:right="1008" w:bottom="1440" w:left="1008" w:header="706" w:footer="395" w:gutter="0"/>
          <w:cols w:space="708"/>
          <w:titlePg/>
          <w:docGrid w:linePitch="360"/>
        </w:sectPr>
      </w:pPr>
    </w:p>
    <w:p w14:paraId="4CB1E152" w14:textId="77777777" w:rsidR="006D2117" w:rsidRPr="006D2117" w:rsidRDefault="00BA055E" w:rsidP="00B32558">
      <w:pPr>
        <w:pStyle w:val="Instruction"/>
      </w:pPr>
      <w:bookmarkStart w:id="3" w:name="Instruction_3_5"/>
      <w:r>
        <w:lastRenderedPageBreak/>
        <w:t>Instruction 3.5</w:t>
      </w:r>
      <w:bookmarkEnd w:id="3"/>
      <w:r>
        <w:t xml:space="preserve"> </w:t>
      </w:r>
      <w:r w:rsidR="00296508">
        <w:t xml:space="preserve">– </w:t>
      </w:r>
      <w:r w:rsidR="00A61A36">
        <w:t>Fraud, C</w:t>
      </w:r>
      <w:r w:rsidR="006D2117" w:rsidRPr="006D2117">
        <w:t xml:space="preserve">orruption and </w:t>
      </w:r>
      <w:r w:rsidR="00A61A36">
        <w:t>O</w:t>
      </w:r>
      <w:r w:rsidR="001C15E5">
        <w:t xml:space="preserve">ther </w:t>
      </w:r>
      <w:r w:rsidR="00A61A36">
        <w:t>L</w:t>
      </w:r>
      <w:r w:rsidR="006D2117" w:rsidRPr="006D2117">
        <w:t>osses</w:t>
      </w:r>
    </w:p>
    <w:tbl>
      <w:tblPr>
        <w:tblStyle w:val="Table24"/>
        <w:tblW w:w="9630" w:type="dxa"/>
        <w:tblLook w:val="0480" w:firstRow="0" w:lastRow="0" w:firstColumn="1" w:lastColumn="0" w:noHBand="0" w:noVBand="1"/>
      </w:tblPr>
      <w:tblGrid>
        <w:gridCol w:w="2700"/>
        <w:gridCol w:w="6930"/>
      </w:tblGrid>
      <w:tr w:rsidR="006D2117" w:rsidRPr="006D2117" w14:paraId="30F7BB84" w14:textId="77777777" w:rsidTr="003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5F1DD78F" w14:textId="77777777" w:rsidR="006D2117" w:rsidRPr="006D2117" w:rsidRDefault="006D2117" w:rsidP="006D2117">
            <w:pPr>
              <w:suppressAutoHyphens/>
              <w:autoSpaceDN w:val="0"/>
              <w:spacing w:before="40" w:after="40" w:line="240" w:lineRule="atLeast"/>
              <w:textAlignment w:val="baseline"/>
              <w:rPr>
                <w:b/>
              </w:rPr>
            </w:pPr>
            <w:r w:rsidRPr="006D2117">
              <w:rPr>
                <w:b/>
                <w:sz w:val="18"/>
                <w:szCs w:val="20"/>
              </w:rPr>
              <w:t>Background</w:t>
            </w:r>
          </w:p>
        </w:tc>
        <w:tc>
          <w:tcPr>
            <w:tcW w:w="6930" w:type="dxa"/>
          </w:tcPr>
          <w:p w14:paraId="16E381D0" w14:textId="77777777" w:rsidR="006D2117" w:rsidRPr="006D2117" w:rsidRDefault="006D2117" w:rsidP="006D2117">
            <w:pPr>
              <w:suppressAutoHyphens/>
              <w:autoSpaceDN w:val="0"/>
              <w:spacing w:before="40" w:after="40" w:line="240" w:lineRule="atLeast"/>
              <w:textAlignment w:val="baseline"/>
              <w:cnfStyle w:val="000000100000" w:firstRow="0" w:lastRow="0" w:firstColumn="0" w:lastColumn="0" w:oddVBand="0" w:evenVBand="0" w:oddHBand="1" w:evenHBand="0" w:firstRowFirstColumn="0" w:firstRowLastColumn="0" w:lastRowFirstColumn="0" w:lastRowLastColumn="0"/>
              <w:rPr>
                <w:sz w:val="18"/>
                <w:szCs w:val="20"/>
              </w:rPr>
            </w:pPr>
            <w:r w:rsidRPr="006D2117">
              <w:rPr>
                <w:sz w:val="18"/>
                <w:szCs w:val="20"/>
              </w:rPr>
              <w:t>The prevention, investigation</w:t>
            </w:r>
            <w:r w:rsidR="00587DDD">
              <w:rPr>
                <w:sz w:val="18"/>
                <w:szCs w:val="20"/>
              </w:rPr>
              <w:t xml:space="preserve"> and reporting of instances of Fraud, Corruption and Other L</w:t>
            </w:r>
            <w:r w:rsidRPr="006D2117">
              <w:rPr>
                <w:sz w:val="18"/>
                <w:szCs w:val="20"/>
              </w:rPr>
              <w:t>osses by Agencies will assist in managing risks of future occurrences. An inadequate control environment carries the risk of an adverse impact on the State’s financial position.</w:t>
            </w:r>
          </w:p>
        </w:tc>
      </w:tr>
      <w:tr w:rsidR="006D2117" w:rsidRPr="006D2117" w14:paraId="33138661" w14:textId="77777777" w:rsidTr="003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2AE17E36" w14:textId="77777777" w:rsidR="006D2117" w:rsidRPr="006D2117" w:rsidRDefault="006D2117" w:rsidP="006D2117">
            <w:pPr>
              <w:spacing w:before="40" w:after="40" w:line="283" w:lineRule="auto"/>
              <w:rPr>
                <w:b/>
              </w:rPr>
            </w:pPr>
            <w:r w:rsidRPr="006D2117">
              <w:rPr>
                <w:b/>
                <w:sz w:val="18"/>
              </w:rPr>
              <w:t>Effective date</w:t>
            </w:r>
          </w:p>
        </w:tc>
        <w:tc>
          <w:tcPr>
            <w:tcW w:w="6930" w:type="dxa"/>
          </w:tcPr>
          <w:p w14:paraId="27B3AD7E" w14:textId="77777777" w:rsidR="006D2117" w:rsidRPr="006D2117" w:rsidRDefault="006D2117" w:rsidP="006D2117">
            <w:pPr>
              <w:suppressAutoHyphens/>
              <w:autoSpaceDN w:val="0"/>
              <w:spacing w:before="40" w:after="40" w:line="240" w:lineRule="atLeast"/>
              <w:textAlignment w:val="baseline"/>
              <w:cnfStyle w:val="000000010000" w:firstRow="0" w:lastRow="0" w:firstColumn="0" w:lastColumn="0" w:oddVBand="0" w:evenVBand="0" w:oddHBand="0" w:evenHBand="1" w:firstRowFirstColumn="0" w:firstRowLastColumn="0" w:lastRowFirstColumn="0" w:lastRowLastColumn="0"/>
            </w:pPr>
            <w:r w:rsidRPr="006D2117">
              <w:rPr>
                <w:sz w:val="18"/>
                <w:szCs w:val="20"/>
              </w:rPr>
              <w:t>1 July 2016</w:t>
            </w:r>
          </w:p>
        </w:tc>
      </w:tr>
      <w:tr w:rsidR="006D2117" w:rsidRPr="006D2117" w14:paraId="59DE1A4D" w14:textId="77777777" w:rsidTr="003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0F16F548" w14:textId="77777777" w:rsidR="006D2117" w:rsidRPr="00484733" w:rsidRDefault="006D2117" w:rsidP="006A0812">
            <w:pPr>
              <w:spacing w:before="40" w:after="40" w:line="283" w:lineRule="auto"/>
              <w:rPr>
                <w:b/>
                <w:lang w:val="en-US"/>
              </w:rPr>
            </w:pPr>
            <w:r w:rsidRPr="006D2117">
              <w:rPr>
                <w:b/>
                <w:sz w:val="18"/>
              </w:rPr>
              <w:t>Relevant Directions</w:t>
            </w:r>
          </w:p>
        </w:tc>
        <w:tc>
          <w:tcPr>
            <w:tcW w:w="6930" w:type="dxa"/>
          </w:tcPr>
          <w:p w14:paraId="7ECC8DEA" w14:textId="406CF524" w:rsidR="006D2117" w:rsidRPr="006D2117" w:rsidRDefault="006D2117" w:rsidP="006D2117">
            <w:pPr>
              <w:suppressAutoHyphens/>
              <w:autoSpaceDN w:val="0"/>
              <w:spacing w:before="40" w:after="40" w:line="240" w:lineRule="atLeast"/>
              <w:textAlignment w:val="baseline"/>
              <w:cnfStyle w:val="000000100000" w:firstRow="0" w:lastRow="0" w:firstColumn="0" w:lastColumn="0" w:oddVBand="0" w:evenVBand="0" w:oddHBand="1" w:evenHBand="0" w:firstRowFirstColumn="0" w:firstRowLastColumn="0" w:lastRowFirstColumn="0" w:lastRowLastColumn="0"/>
              <w:rPr>
                <w:sz w:val="18"/>
                <w:szCs w:val="20"/>
              </w:rPr>
            </w:pPr>
            <w:hyperlink r:id="rId42" w:anchor="standing-directions-2018" w:history="1">
              <w:r w:rsidRPr="004426B0">
                <w:rPr>
                  <w:rStyle w:val="Hyperlink"/>
                  <w:sz w:val="18"/>
                  <w:szCs w:val="20"/>
                </w:rPr>
                <w:t>3.2.1 Audit Committee</w:t>
              </w:r>
            </w:hyperlink>
          </w:p>
          <w:p w14:paraId="086D4425" w14:textId="0096EC92" w:rsidR="006D2117" w:rsidRPr="006D2117" w:rsidRDefault="006D2117" w:rsidP="006D2117">
            <w:pPr>
              <w:suppressAutoHyphens/>
              <w:autoSpaceDN w:val="0"/>
              <w:spacing w:before="40" w:after="40" w:line="240" w:lineRule="atLeast"/>
              <w:textAlignment w:val="baseline"/>
              <w:cnfStyle w:val="000000100000" w:firstRow="0" w:lastRow="0" w:firstColumn="0" w:lastColumn="0" w:oddVBand="0" w:evenVBand="0" w:oddHBand="1" w:evenHBand="0" w:firstRowFirstColumn="0" w:firstRowLastColumn="0" w:lastRowFirstColumn="0" w:lastRowLastColumn="0"/>
              <w:rPr>
                <w:sz w:val="18"/>
                <w:szCs w:val="20"/>
              </w:rPr>
            </w:pPr>
            <w:hyperlink r:id="rId43" w:anchor="standing-directions-2018" w:history="1">
              <w:r w:rsidRPr="000A3C57">
                <w:rPr>
                  <w:rStyle w:val="Hyperlink"/>
                  <w:sz w:val="18"/>
                  <w:szCs w:val="20"/>
                </w:rPr>
                <w:t>3.4 Internal control system</w:t>
              </w:r>
            </w:hyperlink>
          </w:p>
          <w:p w14:paraId="62DBF5EA" w14:textId="2BB8239B" w:rsidR="006D2117" w:rsidRPr="006D2117" w:rsidRDefault="006D2117" w:rsidP="006D2117">
            <w:pPr>
              <w:suppressAutoHyphens/>
              <w:autoSpaceDN w:val="0"/>
              <w:spacing w:before="40" w:after="40" w:line="240" w:lineRule="atLeast"/>
              <w:textAlignment w:val="baseline"/>
              <w:cnfStyle w:val="000000100000" w:firstRow="0" w:lastRow="0" w:firstColumn="0" w:lastColumn="0" w:oddVBand="0" w:evenVBand="0" w:oddHBand="1" w:evenHBand="0" w:firstRowFirstColumn="0" w:firstRowLastColumn="0" w:lastRowFirstColumn="0" w:lastRowLastColumn="0"/>
              <w:rPr>
                <w:sz w:val="18"/>
                <w:szCs w:val="20"/>
              </w:rPr>
            </w:pPr>
            <w:hyperlink r:id="rId44" w:anchor="standing-directions-2018" w:history="1">
              <w:r w:rsidRPr="000A3C57">
                <w:rPr>
                  <w:rStyle w:val="Hyperlink"/>
                  <w:sz w:val="18"/>
                  <w:szCs w:val="20"/>
                </w:rPr>
                <w:t xml:space="preserve">3.5 </w:t>
              </w:r>
              <w:r w:rsidR="00A61A36" w:rsidRPr="000A3C57">
                <w:rPr>
                  <w:rStyle w:val="Hyperlink"/>
                  <w:sz w:val="18"/>
                  <w:szCs w:val="20"/>
                </w:rPr>
                <w:t>Fraud, C</w:t>
              </w:r>
              <w:r w:rsidRPr="000A3C57">
                <w:rPr>
                  <w:rStyle w:val="Hyperlink"/>
                  <w:sz w:val="18"/>
                  <w:szCs w:val="20"/>
                </w:rPr>
                <w:t xml:space="preserve">orruption and </w:t>
              </w:r>
              <w:r w:rsidR="00A61A36" w:rsidRPr="000A3C57">
                <w:rPr>
                  <w:rStyle w:val="Hyperlink"/>
                  <w:sz w:val="18"/>
                  <w:szCs w:val="20"/>
                </w:rPr>
                <w:t>Other L</w:t>
              </w:r>
              <w:r w:rsidRPr="000A3C57">
                <w:rPr>
                  <w:rStyle w:val="Hyperlink"/>
                  <w:sz w:val="18"/>
                  <w:szCs w:val="20"/>
                </w:rPr>
                <w:t>osses</w:t>
              </w:r>
            </w:hyperlink>
          </w:p>
          <w:p w14:paraId="2B75EDDF" w14:textId="199309A3" w:rsidR="006D2117" w:rsidRDefault="006D2117" w:rsidP="00A61A36">
            <w:pPr>
              <w:suppressAutoHyphens/>
              <w:autoSpaceDN w:val="0"/>
              <w:spacing w:before="40" w:after="40" w:line="240" w:lineRule="atLeast"/>
              <w:textAlignment w:val="baseline"/>
              <w:cnfStyle w:val="000000100000" w:firstRow="0" w:lastRow="0" w:firstColumn="0" w:lastColumn="0" w:oddVBand="0" w:evenVBand="0" w:oddHBand="1" w:evenHBand="0" w:firstRowFirstColumn="0" w:firstRowLastColumn="0" w:lastRowFirstColumn="0" w:lastRowLastColumn="0"/>
              <w:rPr>
                <w:sz w:val="18"/>
                <w:szCs w:val="20"/>
              </w:rPr>
            </w:pPr>
            <w:hyperlink r:id="rId45" w:anchor="standing-directions-2018" w:history="1">
              <w:r w:rsidRPr="000A3C57">
                <w:rPr>
                  <w:rStyle w:val="Hyperlink"/>
                  <w:sz w:val="18"/>
                  <w:szCs w:val="20"/>
                </w:rPr>
                <w:t>5.1.</w:t>
              </w:r>
              <w:r w:rsidR="00A61A36" w:rsidRPr="000A3C57">
                <w:rPr>
                  <w:rStyle w:val="Hyperlink"/>
                  <w:sz w:val="18"/>
                  <w:szCs w:val="20"/>
                </w:rPr>
                <w:t>5</w:t>
              </w:r>
              <w:r w:rsidRPr="000A3C57">
                <w:rPr>
                  <w:rStyle w:val="Hyperlink"/>
                  <w:sz w:val="18"/>
                  <w:szCs w:val="20"/>
                </w:rPr>
                <w:t xml:space="preserve"> Dealing with </w:t>
              </w:r>
              <w:r w:rsidR="0037321C" w:rsidRPr="000A3C57">
                <w:rPr>
                  <w:rStyle w:val="Hyperlink"/>
                  <w:sz w:val="18"/>
                  <w:szCs w:val="20"/>
                </w:rPr>
                <w:t>C</w:t>
              </w:r>
              <w:r w:rsidR="00A61A36" w:rsidRPr="000A3C57">
                <w:rPr>
                  <w:rStyle w:val="Hyperlink"/>
                  <w:sz w:val="18"/>
                  <w:szCs w:val="20"/>
                </w:rPr>
                <w:t xml:space="preserve">ompliance </w:t>
              </w:r>
              <w:r w:rsidR="0037321C" w:rsidRPr="000A3C57">
                <w:rPr>
                  <w:rStyle w:val="Hyperlink"/>
                  <w:sz w:val="18"/>
                  <w:szCs w:val="20"/>
                </w:rPr>
                <w:t>D</w:t>
              </w:r>
              <w:r w:rsidR="00A61A36" w:rsidRPr="000A3C57">
                <w:rPr>
                  <w:rStyle w:val="Hyperlink"/>
                  <w:sz w:val="18"/>
                  <w:szCs w:val="20"/>
                </w:rPr>
                <w:t>eficiencies</w:t>
              </w:r>
            </w:hyperlink>
          </w:p>
          <w:p w14:paraId="66335203" w14:textId="4448BCD6" w:rsidR="00A61A36" w:rsidRPr="006D2117" w:rsidRDefault="00A61A36" w:rsidP="0037321C">
            <w:pPr>
              <w:suppressAutoHyphens/>
              <w:autoSpaceDN w:val="0"/>
              <w:spacing w:before="40" w:after="40" w:line="240" w:lineRule="atLeast"/>
              <w:textAlignment w:val="baseline"/>
              <w:cnfStyle w:val="000000100000" w:firstRow="0" w:lastRow="0" w:firstColumn="0" w:lastColumn="0" w:oddVBand="0" w:evenVBand="0" w:oddHBand="1" w:evenHBand="0" w:firstRowFirstColumn="0" w:firstRowLastColumn="0" w:lastRowFirstColumn="0" w:lastRowLastColumn="0"/>
            </w:pPr>
            <w:hyperlink r:id="rId46" w:anchor="standing-directions-2018" w:history="1">
              <w:r w:rsidRPr="000A3C57">
                <w:rPr>
                  <w:rStyle w:val="Hyperlink"/>
                  <w:sz w:val="18"/>
                  <w:szCs w:val="20"/>
                </w:rPr>
                <w:t xml:space="preserve">5.1.6 Reporting </w:t>
              </w:r>
              <w:r w:rsidR="0037321C" w:rsidRPr="000A3C57">
                <w:rPr>
                  <w:rStyle w:val="Hyperlink"/>
                  <w:sz w:val="18"/>
                  <w:szCs w:val="20"/>
                </w:rPr>
                <w:t>Material C</w:t>
              </w:r>
              <w:r w:rsidRPr="000A3C57">
                <w:rPr>
                  <w:rStyle w:val="Hyperlink"/>
                  <w:sz w:val="18"/>
                  <w:szCs w:val="20"/>
                </w:rPr>
                <w:t xml:space="preserve">ompliance </w:t>
              </w:r>
              <w:r w:rsidR="0037321C" w:rsidRPr="000A3C57">
                <w:rPr>
                  <w:rStyle w:val="Hyperlink"/>
                  <w:sz w:val="18"/>
                  <w:szCs w:val="20"/>
                </w:rPr>
                <w:t>D</w:t>
              </w:r>
              <w:r w:rsidRPr="000A3C57">
                <w:rPr>
                  <w:rStyle w:val="Hyperlink"/>
                  <w:sz w:val="18"/>
                  <w:szCs w:val="20"/>
                </w:rPr>
                <w:t>eficiencies</w:t>
              </w:r>
            </w:hyperlink>
          </w:p>
        </w:tc>
      </w:tr>
      <w:tr w:rsidR="006D2117" w:rsidRPr="006D2117" w14:paraId="28E4A49C" w14:textId="77777777" w:rsidTr="003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38A3D450" w14:textId="77777777" w:rsidR="006D2117" w:rsidRPr="006D2117" w:rsidRDefault="006D2117" w:rsidP="006D2117">
            <w:pPr>
              <w:suppressAutoHyphens/>
              <w:autoSpaceDN w:val="0"/>
              <w:spacing w:before="40" w:after="40" w:line="240" w:lineRule="atLeast"/>
              <w:textAlignment w:val="baseline"/>
              <w:rPr>
                <w:b/>
              </w:rPr>
            </w:pPr>
            <w:r w:rsidRPr="006D2117">
              <w:rPr>
                <w:b/>
                <w:sz w:val="18"/>
                <w:szCs w:val="20"/>
              </w:rPr>
              <w:t>History</w:t>
            </w:r>
          </w:p>
        </w:tc>
        <w:tc>
          <w:tcPr>
            <w:tcW w:w="6930" w:type="dxa"/>
          </w:tcPr>
          <w:p w14:paraId="0014E0D3" w14:textId="77777777" w:rsidR="009F7DFC" w:rsidRPr="009F7DFC" w:rsidRDefault="009F7DFC" w:rsidP="009F7DFC">
            <w:pPr>
              <w:suppressAutoHyphens/>
              <w:autoSpaceDN w:val="0"/>
              <w:spacing w:before="40" w:after="40" w:line="240" w:lineRule="atLeast"/>
              <w:textAlignment w:val="baseline"/>
              <w:cnfStyle w:val="000000010000" w:firstRow="0" w:lastRow="0" w:firstColumn="0" w:lastColumn="0" w:oddVBand="0" w:evenVBand="0" w:oddHBand="0" w:evenHBand="1" w:firstRowFirstColumn="0" w:firstRowLastColumn="0" w:lastRowFirstColumn="0" w:lastRowLastColumn="0"/>
              <w:rPr>
                <w:sz w:val="18"/>
                <w:szCs w:val="20"/>
              </w:rPr>
            </w:pPr>
            <w:r w:rsidRPr="009F7DFC">
              <w:rPr>
                <w:sz w:val="18"/>
                <w:szCs w:val="20"/>
              </w:rPr>
              <w:t xml:space="preserve">Last updated: </w:t>
            </w:r>
            <w:r w:rsidR="001E5F68">
              <w:rPr>
                <w:rFonts w:cs="Times New Roman"/>
                <w:bCs/>
                <w:sz w:val="18"/>
                <w:szCs w:val="20"/>
              </w:rPr>
              <w:t>1 February 2016</w:t>
            </w:r>
          </w:p>
          <w:p w14:paraId="3C01B760" w14:textId="77777777" w:rsidR="006D2117" w:rsidRPr="006D2117" w:rsidRDefault="009F7DFC" w:rsidP="009F7DFC">
            <w:pPr>
              <w:suppressAutoHyphens/>
              <w:autoSpaceDN w:val="0"/>
              <w:spacing w:before="40" w:after="40" w:line="240" w:lineRule="atLeast"/>
              <w:textAlignment w:val="baseline"/>
              <w:cnfStyle w:val="000000010000" w:firstRow="0" w:lastRow="0" w:firstColumn="0" w:lastColumn="0" w:oddVBand="0" w:evenVBand="0" w:oddHBand="0" w:evenHBand="1" w:firstRowFirstColumn="0" w:firstRowLastColumn="0" w:lastRowFirstColumn="0" w:lastRowLastColumn="0"/>
              <w:rPr>
                <w:sz w:val="18"/>
                <w:szCs w:val="20"/>
              </w:rPr>
            </w:pPr>
            <w:r w:rsidRPr="009F7DFC">
              <w:rPr>
                <w:sz w:val="18"/>
                <w:szCs w:val="20"/>
              </w:rPr>
              <w:t>Issued: 1 July 2016</w:t>
            </w:r>
          </w:p>
        </w:tc>
      </w:tr>
    </w:tbl>
    <w:p w14:paraId="668BC7C4" w14:textId="77777777" w:rsidR="007961CA" w:rsidRPr="00391F57" w:rsidRDefault="007961CA" w:rsidP="007961CA">
      <w:pPr>
        <w:spacing w:before="0" w:after="0" w:line="120" w:lineRule="atLeast"/>
        <w:rPr>
          <w:sz w:val="12"/>
        </w:rPr>
      </w:pPr>
    </w:p>
    <w:p w14:paraId="1B7B94E7" w14:textId="77777777" w:rsidR="006D2117" w:rsidRPr="006D2117" w:rsidRDefault="006D2117" w:rsidP="00BC0D2B">
      <w:pPr>
        <w:pStyle w:val="Heading1"/>
        <w:numPr>
          <w:ilvl w:val="0"/>
          <w:numId w:val="10"/>
        </w:numPr>
      </w:pPr>
      <w:r w:rsidRPr="006D2117">
        <w:t>Fraud</w:t>
      </w:r>
      <w:r w:rsidR="00952900">
        <w:t xml:space="preserve">, </w:t>
      </w:r>
      <w:r w:rsidR="00820DCB">
        <w:t>C</w:t>
      </w:r>
      <w:r w:rsidRPr="006D2117">
        <w:t xml:space="preserve">orruption </w:t>
      </w:r>
      <w:r w:rsidR="00952900">
        <w:t xml:space="preserve">and </w:t>
      </w:r>
      <w:r w:rsidR="00820DCB">
        <w:t>O</w:t>
      </w:r>
      <w:r w:rsidR="00952900">
        <w:t xml:space="preserve">ther </w:t>
      </w:r>
      <w:r w:rsidR="00820DCB">
        <w:t>L</w:t>
      </w:r>
      <w:r w:rsidR="00952900">
        <w:t xml:space="preserve">osses </w:t>
      </w:r>
      <w:r w:rsidR="00686970">
        <w:t xml:space="preserve">prevention and management </w:t>
      </w:r>
      <w:r w:rsidRPr="006D2117">
        <w:t>policy</w:t>
      </w:r>
    </w:p>
    <w:p w14:paraId="6F0C2E91" w14:textId="7C87AFE7" w:rsidR="00820DCB" w:rsidRDefault="00820DCB" w:rsidP="0006001E">
      <w:pPr>
        <w:pStyle w:val="Heading2"/>
      </w:pPr>
      <w:r>
        <w:t xml:space="preserve">The Fraud, Corruption and Other Losses </w:t>
      </w:r>
      <w:r w:rsidR="00686970">
        <w:t xml:space="preserve">prevention and management </w:t>
      </w:r>
      <w:r>
        <w:t xml:space="preserve">policy under </w:t>
      </w:r>
      <w:hyperlink r:id="rId47" w:anchor="standing-directions-2018" w:history="1">
        <w:r w:rsidRPr="00842BF8">
          <w:rPr>
            <w:rStyle w:val="Hyperlink"/>
          </w:rPr>
          <w:t xml:space="preserve">Direction </w:t>
        </w:r>
        <w:r w:rsidR="00807932" w:rsidRPr="00842BF8">
          <w:rPr>
            <w:rStyle w:val="Hyperlink"/>
          </w:rPr>
          <w:t>3.5.1</w:t>
        </w:r>
        <w:r w:rsidR="00807932" w:rsidRPr="00E2331C">
          <w:rPr>
            <w:rStyle w:val="Hyperlink"/>
          </w:rPr>
          <w:t>(b)</w:t>
        </w:r>
      </w:hyperlink>
      <w:r w:rsidR="00807932">
        <w:t xml:space="preserve"> </w:t>
      </w:r>
      <w:r>
        <w:t>must:</w:t>
      </w:r>
    </w:p>
    <w:p w14:paraId="416369E9" w14:textId="77777777" w:rsidR="00807932" w:rsidRPr="006D2117" w:rsidRDefault="006D2117" w:rsidP="009848A6">
      <w:pPr>
        <w:pStyle w:val="Num1"/>
      </w:pPr>
      <w:r w:rsidRPr="006D2117">
        <w:t xml:space="preserve">outline the Agency’s </w:t>
      </w:r>
      <w:r w:rsidR="00807932">
        <w:t xml:space="preserve">systems for the </w:t>
      </w:r>
      <w:r w:rsidRPr="006D2117">
        <w:t xml:space="preserve">prevention, management and tolerance of </w:t>
      </w:r>
      <w:r w:rsidR="00807932">
        <w:t>F</w:t>
      </w:r>
      <w:r w:rsidRPr="006D2117">
        <w:t>raud</w:t>
      </w:r>
      <w:r w:rsidR="00952900">
        <w:t>,</w:t>
      </w:r>
      <w:r w:rsidRPr="006D2117">
        <w:t xml:space="preserve"> </w:t>
      </w:r>
      <w:r w:rsidR="00807932">
        <w:t>C</w:t>
      </w:r>
      <w:r w:rsidRPr="006D2117">
        <w:t>orruption</w:t>
      </w:r>
      <w:r w:rsidR="00952900">
        <w:t xml:space="preserve"> and </w:t>
      </w:r>
      <w:r w:rsidR="00807932">
        <w:t>O</w:t>
      </w:r>
      <w:r w:rsidR="00952900">
        <w:t xml:space="preserve">ther </w:t>
      </w:r>
      <w:proofErr w:type="gramStart"/>
      <w:r w:rsidR="00807932">
        <w:t>L</w:t>
      </w:r>
      <w:r w:rsidR="00952900">
        <w:t>osses</w:t>
      </w:r>
      <w:r w:rsidR="00807932">
        <w:t>;</w:t>
      </w:r>
      <w:proofErr w:type="gramEnd"/>
      <w:r w:rsidR="00807932">
        <w:t xml:space="preserve"> </w:t>
      </w:r>
    </w:p>
    <w:p w14:paraId="1DE2E597" w14:textId="77777777" w:rsidR="00807932" w:rsidRDefault="00820DCB" w:rsidP="009848A6">
      <w:pPr>
        <w:pStyle w:val="Num1"/>
      </w:pPr>
      <w:r>
        <w:t xml:space="preserve">provide for a control environment to mitigate the risk of </w:t>
      </w:r>
      <w:r w:rsidR="00807932">
        <w:t>F</w:t>
      </w:r>
      <w:r w:rsidR="00807932" w:rsidRPr="006D2117">
        <w:t>raud</w:t>
      </w:r>
      <w:r w:rsidR="00807932">
        <w:t>,</w:t>
      </w:r>
      <w:r w:rsidR="00807932" w:rsidRPr="006D2117">
        <w:t xml:space="preserve"> </w:t>
      </w:r>
      <w:r w:rsidR="00807932">
        <w:t>C</w:t>
      </w:r>
      <w:r w:rsidR="00807932" w:rsidRPr="006D2117">
        <w:t>orruption</w:t>
      </w:r>
      <w:r w:rsidR="00807932">
        <w:t xml:space="preserve"> and Other </w:t>
      </w:r>
      <w:proofErr w:type="gramStart"/>
      <w:r w:rsidR="00807932">
        <w:t>Losses;</w:t>
      </w:r>
      <w:proofErr w:type="gramEnd"/>
      <w:r>
        <w:t xml:space="preserve"> </w:t>
      </w:r>
    </w:p>
    <w:p w14:paraId="248E9272" w14:textId="77777777" w:rsidR="00807932" w:rsidRPr="006D2117" w:rsidRDefault="00807932" w:rsidP="009848A6">
      <w:pPr>
        <w:pStyle w:val="Num1"/>
      </w:pPr>
      <w:r>
        <w:t xml:space="preserve">provide for a control environment to </w:t>
      </w:r>
      <w:r w:rsidR="00820DCB">
        <w:t xml:space="preserve">identify and manage </w:t>
      </w:r>
      <w:r>
        <w:t>incidents of F</w:t>
      </w:r>
      <w:r w:rsidRPr="006D2117">
        <w:t>raud</w:t>
      </w:r>
      <w:r>
        <w:t>,</w:t>
      </w:r>
      <w:r w:rsidRPr="006D2117">
        <w:t xml:space="preserve"> </w:t>
      </w:r>
      <w:r>
        <w:t>C</w:t>
      </w:r>
      <w:r w:rsidRPr="006D2117">
        <w:t>orruption</w:t>
      </w:r>
      <w:r>
        <w:t xml:space="preserve"> and Other </w:t>
      </w:r>
      <w:proofErr w:type="gramStart"/>
      <w:r>
        <w:t>Losses</w:t>
      </w:r>
      <w:r w:rsidR="00820DCB">
        <w:t>;</w:t>
      </w:r>
      <w:proofErr w:type="gramEnd"/>
      <w:r w:rsidR="00820DCB">
        <w:t xml:space="preserve"> </w:t>
      </w:r>
    </w:p>
    <w:p w14:paraId="0C94E8EC" w14:textId="77777777" w:rsidR="00807932" w:rsidRDefault="00820DCB" w:rsidP="009848A6">
      <w:pPr>
        <w:pStyle w:val="Num1"/>
      </w:pPr>
      <w:r>
        <w:t xml:space="preserve">include processes for the investigation of </w:t>
      </w:r>
      <w:r w:rsidR="00807932">
        <w:t>actual and suspected incidents of F</w:t>
      </w:r>
      <w:r w:rsidR="00807932" w:rsidRPr="006D2117">
        <w:t>raud</w:t>
      </w:r>
      <w:r w:rsidR="00807932">
        <w:t>,</w:t>
      </w:r>
      <w:r w:rsidR="00807932" w:rsidRPr="006D2117">
        <w:t xml:space="preserve"> </w:t>
      </w:r>
      <w:r w:rsidR="00807932">
        <w:t>C</w:t>
      </w:r>
      <w:r w:rsidR="00807932" w:rsidRPr="006D2117">
        <w:t>orruption</w:t>
      </w:r>
      <w:r w:rsidR="00807932">
        <w:t xml:space="preserve"> and Other Losses</w:t>
      </w:r>
      <w:r w:rsidR="00D9594B">
        <w:t>; and</w:t>
      </w:r>
    </w:p>
    <w:p w14:paraId="47B8607A" w14:textId="77777777" w:rsidR="00D9594B" w:rsidRDefault="00D9594B" w:rsidP="009848A6">
      <w:pPr>
        <w:pStyle w:val="Num1"/>
      </w:pPr>
      <w:r w:rsidRPr="006D2117">
        <w:t xml:space="preserve">include a requirement and process for recording </w:t>
      </w:r>
      <w:r w:rsidRPr="00D9594B">
        <w:t>all</w:t>
      </w:r>
      <w:r w:rsidRPr="006D2117">
        <w:t xml:space="preserve"> </w:t>
      </w:r>
      <w:r>
        <w:t>actual and suspected incidents of F</w:t>
      </w:r>
      <w:r w:rsidRPr="006D2117">
        <w:t xml:space="preserve">raud, </w:t>
      </w:r>
      <w:r>
        <w:t>C</w:t>
      </w:r>
      <w:r w:rsidRPr="006D2117">
        <w:t xml:space="preserve">orruption and </w:t>
      </w:r>
      <w:r>
        <w:t>O</w:t>
      </w:r>
      <w:r w:rsidRPr="006D2117">
        <w:t xml:space="preserve">ther </w:t>
      </w:r>
      <w:r>
        <w:t>L</w:t>
      </w:r>
      <w:r w:rsidRPr="006D2117">
        <w:t>osses</w:t>
      </w:r>
      <w:r>
        <w:t>.</w:t>
      </w:r>
    </w:p>
    <w:p w14:paraId="075A11C0" w14:textId="646C69B8" w:rsidR="006D2117" w:rsidRDefault="00807932" w:rsidP="0006001E">
      <w:pPr>
        <w:pStyle w:val="Heading2"/>
      </w:pPr>
      <w:r>
        <w:t xml:space="preserve">The Fraud, Corruption and Other Losses </w:t>
      </w:r>
      <w:r w:rsidR="00097BB3">
        <w:t xml:space="preserve">prevention and management </w:t>
      </w:r>
      <w:r>
        <w:t xml:space="preserve">policy under </w:t>
      </w:r>
      <w:hyperlink r:id="rId48" w:anchor="standing-directions-2018" w:history="1">
        <w:r w:rsidRPr="00842BF8">
          <w:rPr>
            <w:rStyle w:val="Hyperlink"/>
          </w:rPr>
          <w:t>Direction 3.5.1</w:t>
        </w:r>
        <w:r w:rsidRPr="00E2331C">
          <w:rPr>
            <w:rStyle w:val="Hyperlink"/>
          </w:rPr>
          <w:t>(b)</w:t>
        </w:r>
      </w:hyperlink>
      <w:r>
        <w:t xml:space="preserve"> must include a defined value threshold</w:t>
      </w:r>
      <w:r w:rsidR="00D9594B">
        <w:t>, above which</w:t>
      </w:r>
      <w:r>
        <w:t xml:space="preserve"> an actual or suspected Fraud, Corruptio</w:t>
      </w:r>
      <w:r w:rsidR="00884B57">
        <w:t>n or Other Loss is considered ‘S</w:t>
      </w:r>
      <w:r>
        <w:t xml:space="preserve">ignificant’ for the purpose of </w:t>
      </w:r>
      <w:r w:rsidR="00027215">
        <w:t xml:space="preserve">reporting under </w:t>
      </w:r>
      <w:hyperlink r:id="rId49" w:anchor="standing-directions-2018" w:history="1">
        <w:r w:rsidRPr="00842BF8">
          <w:rPr>
            <w:rStyle w:val="Hyperlink"/>
          </w:rPr>
          <w:t>Direction 3.5.3</w:t>
        </w:r>
      </w:hyperlink>
      <w:r>
        <w:t>.</w:t>
      </w:r>
      <w:r w:rsidR="00EB2A5B">
        <w:rPr>
          <w:rStyle w:val="FootnoteReference"/>
        </w:rPr>
        <w:footnoteReference w:id="19"/>
      </w:r>
      <w:r w:rsidR="00D9594B">
        <w:t xml:space="preserve"> The threshold </w:t>
      </w:r>
      <w:r w:rsidR="006D2117" w:rsidRPr="006D2117">
        <w:t xml:space="preserve">must not </w:t>
      </w:r>
      <w:r w:rsidR="00D9594B">
        <w:t xml:space="preserve">exceed </w:t>
      </w:r>
      <w:r w:rsidR="006D2117" w:rsidRPr="006D2117">
        <w:t xml:space="preserve">$5 000 in money </w:t>
      </w:r>
      <w:r w:rsidR="00D9594B">
        <w:t>or</w:t>
      </w:r>
      <w:r w:rsidR="006D2117" w:rsidRPr="006D2117">
        <w:t xml:space="preserve"> $50 000 in other property. </w:t>
      </w:r>
    </w:p>
    <w:p w14:paraId="256795AB" w14:textId="77777777" w:rsidR="00E245B5" w:rsidRPr="006D2117" w:rsidRDefault="00E245B5" w:rsidP="00E245B5"/>
    <w:p w14:paraId="11E58D54" w14:textId="77777777" w:rsidR="006D2117" w:rsidRDefault="006D2117">
      <w:pPr>
        <w:spacing w:before="0" w:after="200" w:line="276" w:lineRule="auto"/>
        <w:sectPr w:rsidR="006D2117" w:rsidSect="00CF2B85">
          <w:pgSz w:w="11906" w:h="16838"/>
          <w:pgMar w:top="1440" w:right="1008" w:bottom="1440" w:left="1008" w:header="706" w:footer="389" w:gutter="0"/>
          <w:cols w:space="708"/>
          <w:titlePg/>
          <w:docGrid w:linePitch="360"/>
        </w:sectPr>
      </w:pPr>
    </w:p>
    <w:p w14:paraId="2E6B7894" w14:textId="77777777" w:rsidR="006D2117" w:rsidRPr="006D2117" w:rsidRDefault="00BA055E" w:rsidP="00B32558">
      <w:pPr>
        <w:pStyle w:val="Instruction"/>
      </w:pPr>
      <w:bookmarkStart w:id="4" w:name="Instruction_3_6"/>
      <w:r>
        <w:lastRenderedPageBreak/>
        <w:t>Instruction 3.6</w:t>
      </w:r>
      <w:bookmarkEnd w:id="4"/>
      <w:r>
        <w:t xml:space="preserve"> </w:t>
      </w:r>
      <w:r w:rsidR="00296508">
        <w:t>– P</w:t>
      </w:r>
      <w:r w:rsidR="006D2117" w:rsidRPr="006D2117">
        <w:t>u</w:t>
      </w:r>
      <w:r w:rsidR="001C15E5">
        <w:t>rchasing cards</w:t>
      </w:r>
    </w:p>
    <w:tbl>
      <w:tblPr>
        <w:tblStyle w:val="Table25"/>
        <w:tblW w:w="9630" w:type="dxa"/>
        <w:tblLook w:val="0480" w:firstRow="0" w:lastRow="0" w:firstColumn="1" w:lastColumn="0" w:noHBand="0" w:noVBand="1"/>
      </w:tblPr>
      <w:tblGrid>
        <w:gridCol w:w="2700"/>
        <w:gridCol w:w="6930"/>
      </w:tblGrid>
      <w:tr w:rsidR="006D2117" w:rsidRPr="006D2117" w14:paraId="5D3F4197" w14:textId="77777777" w:rsidTr="003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6BFD8DEB" w14:textId="77777777" w:rsidR="006D2117" w:rsidRPr="006D2117" w:rsidRDefault="006D2117" w:rsidP="006D2117">
            <w:pPr>
              <w:spacing w:before="40" w:after="40" w:line="240" w:lineRule="atLeast"/>
              <w:rPr>
                <w:b/>
                <w:bCs w:val="0"/>
                <w:sz w:val="18"/>
                <w:szCs w:val="20"/>
              </w:rPr>
            </w:pPr>
            <w:r w:rsidRPr="006D2117">
              <w:rPr>
                <w:b/>
                <w:sz w:val="18"/>
                <w:szCs w:val="20"/>
              </w:rPr>
              <w:t>Background</w:t>
            </w:r>
          </w:p>
        </w:tc>
        <w:tc>
          <w:tcPr>
            <w:tcW w:w="6930" w:type="dxa"/>
          </w:tcPr>
          <w:p w14:paraId="793A6D80" w14:textId="77777777" w:rsidR="006D2117" w:rsidRPr="006D2117" w:rsidRDefault="006D2117" w:rsidP="006D2117">
            <w:pPr>
              <w:spacing w:before="40" w:after="40" w:line="240" w:lineRule="atLeast"/>
              <w:cnfStyle w:val="000000100000" w:firstRow="0" w:lastRow="0" w:firstColumn="0" w:lastColumn="0" w:oddVBand="0" w:evenVBand="0" w:oddHBand="1" w:evenHBand="0" w:firstRowFirstColumn="0" w:firstRowLastColumn="0" w:lastRowFirstColumn="0" w:lastRowLastColumn="0"/>
              <w:rPr>
                <w:bCs/>
                <w:sz w:val="18"/>
                <w:szCs w:val="18"/>
              </w:rPr>
            </w:pPr>
            <w:r w:rsidRPr="006D2117">
              <w:rPr>
                <w:bCs/>
                <w:sz w:val="18"/>
                <w:szCs w:val="18"/>
              </w:rPr>
              <w:t xml:space="preserve">The use of purchasing cards can result in significant benefits through a reduction in paperwork and streamlined purchase and reimbursement activities. </w:t>
            </w:r>
          </w:p>
          <w:p w14:paraId="5187AE87" w14:textId="77777777" w:rsidR="006D2117" w:rsidRPr="006D2117" w:rsidRDefault="006D2117" w:rsidP="006D2117">
            <w:pPr>
              <w:spacing w:before="40" w:after="40" w:line="240" w:lineRule="atLeast"/>
              <w:cnfStyle w:val="000000100000" w:firstRow="0" w:lastRow="0" w:firstColumn="0" w:lastColumn="0" w:oddVBand="0" w:evenVBand="0" w:oddHBand="1" w:evenHBand="0" w:firstRowFirstColumn="0" w:firstRowLastColumn="0" w:lastRowFirstColumn="0" w:lastRowLastColumn="0"/>
              <w:rPr>
                <w:sz w:val="18"/>
                <w:szCs w:val="18"/>
              </w:rPr>
            </w:pPr>
            <w:r w:rsidRPr="006D2117">
              <w:rPr>
                <w:bCs/>
                <w:sz w:val="18"/>
                <w:szCs w:val="18"/>
              </w:rPr>
              <w:t>Unauthorised use of these cards places the public sector’s reputation at risk and may lead to financial loss for the State.</w:t>
            </w:r>
          </w:p>
        </w:tc>
      </w:tr>
      <w:tr w:rsidR="006D2117" w:rsidRPr="006D2117" w14:paraId="523968DF" w14:textId="77777777" w:rsidTr="003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5EC421CF" w14:textId="77777777" w:rsidR="006D2117" w:rsidRPr="006D2117" w:rsidRDefault="006D2117" w:rsidP="006D2117">
            <w:pPr>
              <w:spacing w:before="40" w:after="40" w:line="240" w:lineRule="atLeast"/>
              <w:rPr>
                <w:szCs w:val="20"/>
              </w:rPr>
            </w:pPr>
            <w:r w:rsidRPr="006D2117">
              <w:rPr>
                <w:b/>
                <w:sz w:val="18"/>
                <w:szCs w:val="20"/>
              </w:rPr>
              <w:t>Effective date</w:t>
            </w:r>
          </w:p>
        </w:tc>
        <w:tc>
          <w:tcPr>
            <w:tcW w:w="6930" w:type="dxa"/>
          </w:tcPr>
          <w:p w14:paraId="2551E7E1" w14:textId="77777777" w:rsidR="006D2117" w:rsidRPr="006D2117" w:rsidRDefault="006D2117" w:rsidP="006D2117">
            <w:pPr>
              <w:spacing w:before="40" w:after="40" w:line="240" w:lineRule="atLeast"/>
              <w:cnfStyle w:val="000000010000" w:firstRow="0" w:lastRow="0" w:firstColumn="0" w:lastColumn="0" w:oddVBand="0" w:evenVBand="0" w:oddHBand="0" w:evenHBand="1" w:firstRowFirstColumn="0" w:firstRowLastColumn="0" w:lastRowFirstColumn="0" w:lastRowLastColumn="0"/>
              <w:rPr>
                <w:szCs w:val="20"/>
              </w:rPr>
            </w:pPr>
            <w:r w:rsidRPr="006D2117">
              <w:rPr>
                <w:sz w:val="18"/>
                <w:szCs w:val="20"/>
              </w:rPr>
              <w:t>1 July 2016</w:t>
            </w:r>
          </w:p>
        </w:tc>
      </w:tr>
      <w:tr w:rsidR="006D2117" w:rsidRPr="006D2117" w14:paraId="70271168" w14:textId="77777777" w:rsidTr="003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7F790D72" w14:textId="77777777" w:rsidR="006D2117" w:rsidRPr="006D2117" w:rsidRDefault="006D2117" w:rsidP="006A0812">
            <w:pPr>
              <w:spacing w:before="40" w:after="40" w:line="240" w:lineRule="atLeast"/>
              <w:rPr>
                <w:b/>
                <w:bCs w:val="0"/>
                <w:sz w:val="18"/>
                <w:szCs w:val="20"/>
              </w:rPr>
            </w:pPr>
            <w:r w:rsidRPr="006D2117">
              <w:rPr>
                <w:b/>
                <w:sz w:val="18"/>
                <w:szCs w:val="20"/>
              </w:rPr>
              <w:t>Relevant Direction</w:t>
            </w:r>
          </w:p>
        </w:tc>
        <w:tc>
          <w:tcPr>
            <w:tcW w:w="6930" w:type="dxa"/>
          </w:tcPr>
          <w:p w14:paraId="6205D7D5" w14:textId="45614B06" w:rsidR="006D2117" w:rsidRPr="006D2117" w:rsidRDefault="005074C0" w:rsidP="006D2117">
            <w:pPr>
              <w:spacing w:before="40" w:after="40" w:line="240" w:lineRule="atLeast"/>
              <w:cnfStyle w:val="000000100000" w:firstRow="0" w:lastRow="0" w:firstColumn="0" w:lastColumn="0" w:oddVBand="0" w:evenVBand="0" w:oddHBand="1" w:evenHBand="0" w:firstRowFirstColumn="0" w:firstRowLastColumn="0" w:lastRowFirstColumn="0" w:lastRowLastColumn="0"/>
              <w:rPr>
                <w:sz w:val="18"/>
                <w:szCs w:val="20"/>
              </w:rPr>
            </w:pPr>
            <w:hyperlink r:id="rId50" w:anchor="standing-directions-2018" w:history="1">
              <w:r w:rsidRPr="00C543D3">
                <w:rPr>
                  <w:rStyle w:val="Hyperlink"/>
                  <w:sz w:val="18"/>
                  <w:szCs w:val="20"/>
                </w:rPr>
                <w:t>2.5 Delegations of responsibilities under these Directions</w:t>
              </w:r>
            </w:hyperlink>
          </w:p>
          <w:p w14:paraId="1535E551" w14:textId="7A994187" w:rsidR="006D2117" w:rsidRPr="006D2117" w:rsidRDefault="006D2117" w:rsidP="006D2117">
            <w:pPr>
              <w:spacing w:before="40" w:after="40" w:line="240" w:lineRule="atLeast"/>
              <w:cnfStyle w:val="000000100000" w:firstRow="0" w:lastRow="0" w:firstColumn="0" w:lastColumn="0" w:oddVBand="0" w:evenVBand="0" w:oddHBand="1" w:evenHBand="0" w:firstRowFirstColumn="0" w:firstRowLastColumn="0" w:lastRowFirstColumn="0" w:lastRowLastColumn="0"/>
              <w:rPr>
                <w:sz w:val="18"/>
                <w:szCs w:val="20"/>
              </w:rPr>
            </w:pPr>
            <w:hyperlink r:id="rId51" w:anchor="standing-directions-2018" w:history="1">
              <w:r w:rsidRPr="00C543D3">
                <w:rPr>
                  <w:rStyle w:val="Hyperlink"/>
                  <w:sz w:val="18"/>
                  <w:szCs w:val="20"/>
                </w:rPr>
                <w:t xml:space="preserve">3.5 </w:t>
              </w:r>
              <w:r w:rsidR="005074C0" w:rsidRPr="00C543D3">
                <w:rPr>
                  <w:rStyle w:val="Hyperlink"/>
                  <w:sz w:val="18"/>
                  <w:szCs w:val="20"/>
                </w:rPr>
                <w:t>Fraud, C</w:t>
              </w:r>
              <w:r w:rsidRPr="00C543D3">
                <w:rPr>
                  <w:rStyle w:val="Hyperlink"/>
                  <w:sz w:val="18"/>
                  <w:szCs w:val="20"/>
                </w:rPr>
                <w:t>o</w:t>
              </w:r>
              <w:r w:rsidR="005074C0" w:rsidRPr="00C543D3">
                <w:rPr>
                  <w:rStyle w:val="Hyperlink"/>
                  <w:sz w:val="18"/>
                  <w:szCs w:val="20"/>
                </w:rPr>
                <w:t>rruption and Other Loss</w:t>
              </w:r>
            </w:hyperlink>
            <w:r w:rsidR="005074C0">
              <w:rPr>
                <w:sz w:val="18"/>
                <w:szCs w:val="20"/>
              </w:rPr>
              <w:t>es</w:t>
            </w:r>
          </w:p>
          <w:p w14:paraId="4FAB0D39" w14:textId="0F653F12" w:rsidR="006D2117" w:rsidRPr="006D2117" w:rsidRDefault="006D2117" w:rsidP="006D2117">
            <w:pPr>
              <w:spacing w:before="40" w:after="40" w:line="240" w:lineRule="atLeast"/>
              <w:cnfStyle w:val="000000100000" w:firstRow="0" w:lastRow="0" w:firstColumn="0" w:lastColumn="0" w:oddVBand="0" w:evenVBand="0" w:oddHBand="1" w:evenHBand="0" w:firstRowFirstColumn="0" w:firstRowLastColumn="0" w:lastRowFirstColumn="0" w:lastRowLastColumn="0"/>
              <w:rPr>
                <w:sz w:val="18"/>
                <w:szCs w:val="20"/>
              </w:rPr>
            </w:pPr>
            <w:hyperlink r:id="rId52" w:anchor="standing-directions-2018" w:history="1">
              <w:r w:rsidRPr="00C543D3">
                <w:rPr>
                  <w:rStyle w:val="Hyperlink"/>
                  <w:sz w:val="18"/>
                  <w:szCs w:val="20"/>
                </w:rPr>
                <w:t>5.1 Financial Management Compliance</w:t>
              </w:r>
            </w:hyperlink>
          </w:p>
        </w:tc>
      </w:tr>
      <w:tr w:rsidR="006D2117" w:rsidRPr="006D2117" w14:paraId="52DE7837" w14:textId="77777777" w:rsidTr="003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25D3AA7C" w14:textId="77777777" w:rsidR="006D2117" w:rsidRPr="006D2117" w:rsidRDefault="006D2117" w:rsidP="006D2117">
            <w:pPr>
              <w:spacing w:before="40" w:after="40" w:line="240" w:lineRule="atLeast"/>
              <w:rPr>
                <w:b/>
                <w:bCs w:val="0"/>
                <w:sz w:val="18"/>
                <w:szCs w:val="20"/>
              </w:rPr>
            </w:pPr>
            <w:r w:rsidRPr="006D2117">
              <w:rPr>
                <w:b/>
                <w:sz w:val="18"/>
                <w:szCs w:val="20"/>
              </w:rPr>
              <w:t>History</w:t>
            </w:r>
          </w:p>
        </w:tc>
        <w:tc>
          <w:tcPr>
            <w:tcW w:w="6930" w:type="dxa"/>
          </w:tcPr>
          <w:p w14:paraId="44401982" w14:textId="7682F03C" w:rsidR="009F7DFC" w:rsidRPr="009F7DFC" w:rsidRDefault="009F7DFC" w:rsidP="009F7DFC">
            <w:pPr>
              <w:spacing w:before="40" w:after="40" w:line="240" w:lineRule="atLeast"/>
              <w:cnfStyle w:val="000000010000" w:firstRow="0" w:lastRow="0" w:firstColumn="0" w:lastColumn="0" w:oddVBand="0" w:evenVBand="0" w:oddHBand="0" w:evenHBand="1" w:firstRowFirstColumn="0" w:firstRowLastColumn="0" w:lastRowFirstColumn="0" w:lastRowLastColumn="0"/>
              <w:rPr>
                <w:sz w:val="18"/>
                <w:szCs w:val="20"/>
              </w:rPr>
            </w:pPr>
            <w:r w:rsidRPr="009F7DFC">
              <w:rPr>
                <w:sz w:val="18"/>
                <w:szCs w:val="20"/>
              </w:rPr>
              <w:t xml:space="preserve">Last updated: </w:t>
            </w:r>
            <w:r w:rsidR="001A09EE">
              <w:rPr>
                <w:rFonts w:cs="Times New Roman"/>
                <w:bCs/>
                <w:sz w:val="18"/>
                <w:szCs w:val="20"/>
              </w:rPr>
              <w:t>24</w:t>
            </w:r>
            <w:r w:rsidR="0004512F">
              <w:rPr>
                <w:rFonts w:cs="Times New Roman"/>
                <w:bCs/>
                <w:sz w:val="18"/>
                <w:szCs w:val="20"/>
              </w:rPr>
              <w:t xml:space="preserve"> </w:t>
            </w:r>
            <w:r w:rsidR="001A09EE">
              <w:rPr>
                <w:rFonts w:cs="Times New Roman"/>
                <w:bCs/>
                <w:sz w:val="18"/>
                <w:szCs w:val="20"/>
              </w:rPr>
              <w:t>May</w:t>
            </w:r>
            <w:r w:rsidR="001E5F68">
              <w:rPr>
                <w:rFonts w:cs="Times New Roman"/>
                <w:bCs/>
                <w:sz w:val="18"/>
                <w:szCs w:val="20"/>
              </w:rPr>
              <w:t xml:space="preserve"> 20</w:t>
            </w:r>
            <w:r w:rsidR="007F51B6">
              <w:rPr>
                <w:rFonts w:cs="Times New Roman"/>
                <w:bCs/>
                <w:sz w:val="18"/>
                <w:szCs w:val="20"/>
              </w:rPr>
              <w:t>24</w:t>
            </w:r>
          </w:p>
          <w:p w14:paraId="6A1F6E7C" w14:textId="77777777" w:rsidR="006D2117" w:rsidRPr="006D2117" w:rsidRDefault="009F7DFC" w:rsidP="009F7DFC">
            <w:pPr>
              <w:spacing w:before="40" w:after="40" w:line="240" w:lineRule="atLeast"/>
              <w:cnfStyle w:val="000000010000" w:firstRow="0" w:lastRow="0" w:firstColumn="0" w:lastColumn="0" w:oddVBand="0" w:evenVBand="0" w:oddHBand="0" w:evenHBand="1" w:firstRowFirstColumn="0" w:firstRowLastColumn="0" w:lastRowFirstColumn="0" w:lastRowLastColumn="0"/>
              <w:rPr>
                <w:sz w:val="18"/>
                <w:szCs w:val="20"/>
              </w:rPr>
            </w:pPr>
            <w:r w:rsidRPr="009F7DFC">
              <w:rPr>
                <w:sz w:val="18"/>
                <w:szCs w:val="20"/>
              </w:rPr>
              <w:t>Issued: 1 July 2016</w:t>
            </w:r>
          </w:p>
        </w:tc>
      </w:tr>
    </w:tbl>
    <w:p w14:paraId="3BB6C8C5" w14:textId="77777777" w:rsidR="006D2117" w:rsidRPr="006D2117" w:rsidRDefault="006D2117" w:rsidP="006D2117">
      <w:pPr>
        <w:spacing w:before="0" w:after="0" w:line="120" w:lineRule="atLeast"/>
        <w:rPr>
          <w:sz w:val="12"/>
        </w:rPr>
      </w:pPr>
    </w:p>
    <w:p w14:paraId="6E4111E5" w14:textId="77777777" w:rsidR="008A58A7" w:rsidRPr="00ED7E47" w:rsidRDefault="008A58A7" w:rsidP="00BC0D2B">
      <w:pPr>
        <w:pStyle w:val="Heading1"/>
        <w:numPr>
          <w:ilvl w:val="0"/>
          <w:numId w:val="11"/>
        </w:numPr>
      </w:pPr>
      <w:r w:rsidRPr="00ED7E47">
        <w:t>Application</w:t>
      </w:r>
    </w:p>
    <w:p w14:paraId="51586059" w14:textId="464F2F53" w:rsidR="008A58A7" w:rsidRDefault="008A58A7" w:rsidP="005B73D3">
      <w:pPr>
        <w:pStyle w:val="NormalIndent2"/>
      </w:pPr>
      <w:r>
        <w:t>In this Instruction, clauses 2-3 and 7 apply to all purchasing cards. Clauses 4-</w:t>
      </w:r>
      <w:r w:rsidR="00F81911">
        <w:t>6</w:t>
      </w:r>
      <w:r w:rsidR="00612621">
        <w:t xml:space="preserve"> </w:t>
      </w:r>
      <w:r>
        <w:t xml:space="preserve">apply to </w:t>
      </w:r>
      <w:r w:rsidR="00254D2A">
        <w:t>each</w:t>
      </w:r>
      <w:r w:rsidR="00B9798D">
        <w:t xml:space="preserve"> </w:t>
      </w:r>
      <w:r>
        <w:t>purchasin</w:t>
      </w:r>
      <w:r w:rsidR="004B0A85">
        <w:t xml:space="preserve">g card </w:t>
      </w:r>
      <w:r w:rsidR="00254D2A">
        <w:t xml:space="preserve">for which the cardholder is an </w:t>
      </w:r>
      <w:r w:rsidRPr="00725C77">
        <w:t xml:space="preserve">employee of </w:t>
      </w:r>
      <w:r w:rsidR="00254D2A" w:rsidRPr="00725C77">
        <w:t xml:space="preserve">the relevant </w:t>
      </w:r>
      <w:r w:rsidRPr="00725C77">
        <w:t>Agenc</w:t>
      </w:r>
      <w:r w:rsidR="00254D2A" w:rsidRPr="00725C77">
        <w:t>y</w:t>
      </w:r>
      <w:r w:rsidR="008C7E91">
        <w:rPr>
          <w:rStyle w:val="FootnoteReference"/>
        </w:rPr>
        <w:footnoteReference w:id="20"/>
      </w:r>
      <w:r>
        <w:t xml:space="preserve"> (internal to VPS). Clause </w:t>
      </w:r>
      <w:r w:rsidR="00714838">
        <w:t>8</w:t>
      </w:r>
      <w:r>
        <w:t xml:space="preserve"> appli</w:t>
      </w:r>
      <w:r w:rsidR="004B0A85">
        <w:t>es to prepaid debit cards issued</w:t>
      </w:r>
      <w:r>
        <w:t xml:space="preserve"> to the public. </w:t>
      </w:r>
    </w:p>
    <w:p w14:paraId="46750E5F" w14:textId="77777777" w:rsidR="00254D2A" w:rsidRPr="008A58A7" w:rsidRDefault="00254D2A" w:rsidP="005B73D3">
      <w:pPr>
        <w:pStyle w:val="NormalIndent2"/>
      </w:pPr>
      <w:r>
        <w:t>For the purposes of this Instruction, a</w:t>
      </w:r>
      <w:r w:rsidRPr="006D2117">
        <w:t xml:space="preserve"> cardholder is </w:t>
      </w:r>
      <w:r>
        <w:t>a</w:t>
      </w:r>
      <w:r w:rsidRPr="006D2117">
        <w:t xml:space="preserve"> person </w:t>
      </w:r>
      <w:r>
        <w:t>authoris</w:t>
      </w:r>
      <w:r w:rsidRPr="006D2117">
        <w:t xml:space="preserve">ed </w:t>
      </w:r>
      <w:r>
        <w:t>to use</w:t>
      </w:r>
      <w:r w:rsidRPr="006D2117">
        <w:t xml:space="preserve"> a purchasing card</w:t>
      </w:r>
      <w:r>
        <w:t>.</w:t>
      </w:r>
    </w:p>
    <w:p w14:paraId="13B53CC3" w14:textId="77777777" w:rsidR="006D2117" w:rsidRPr="006D2117" w:rsidRDefault="006D2117" w:rsidP="00CE2BDD">
      <w:pPr>
        <w:pStyle w:val="Heading1"/>
        <w:numPr>
          <w:ilvl w:val="0"/>
          <w:numId w:val="11"/>
        </w:numPr>
      </w:pPr>
      <w:r w:rsidRPr="006D2117">
        <w:t>Purchasing cards – roles and responsibilities for the Accountable Officer</w:t>
      </w:r>
    </w:p>
    <w:p w14:paraId="2AE8CE0C" w14:textId="77777777" w:rsidR="006D2117" w:rsidRPr="006D2117" w:rsidRDefault="006D2117" w:rsidP="0006001E">
      <w:pPr>
        <w:pStyle w:val="Heading2"/>
      </w:pPr>
      <w:r w:rsidRPr="006D2117">
        <w:t>The Accountable Officer must:</w:t>
      </w:r>
    </w:p>
    <w:p w14:paraId="40356798" w14:textId="77777777" w:rsidR="006D2117" w:rsidRPr="006D2117" w:rsidRDefault="006D2117" w:rsidP="009848A6">
      <w:pPr>
        <w:pStyle w:val="Num1"/>
      </w:pPr>
      <w:r w:rsidRPr="006D2117">
        <w:t xml:space="preserve">ensure that </w:t>
      </w:r>
      <w:r w:rsidR="00CF4E13">
        <w:t>card</w:t>
      </w:r>
      <w:r w:rsidR="00254D2A">
        <w:t>holder</w:t>
      </w:r>
      <w:r w:rsidR="00CF4E13">
        <w:t xml:space="preserve">s </w:t>
      </w:r>
      <w:r w:rsidR="00676D30">
        <w:t xml:space="preserve">are </w:t>
      </w:r>
      <w:r w:rsidR="00CF4E13">
        <w:t>aware that these cards are to be used</w:t>
      </w:r>
      <w:r w:rsidRPr="006D2117">
        <w:t xml:space="preserve"> for official business only, that is, purchasing goods and services for government </w:t>
      </w:r>
      <w:proofErr w:type="gramStart"/>
      <w:r w:rsidRPr="006D2117">
        <w:t>purposes</w:t>
      </w:r>
      <w:r w:rsidR="009478EF">
        <w:t>;</w:t>
      </w:r>
      <w:proofErr w:type="gramEnd"/>
      <w:r w:rsidRPr="006D2117">
        <w:t xml:space="preserve"> </w:t>
      </w:r>
    </w:p>
    <w:p w14:paraId="5BD405C3" w14:textId="77777777" w:rsidR="006D2117" w:rsidRPr="006D2117" w:rsidRDefault="00165AF5" w:rsidP="009848A6">
      <w:pPr>
        <w:pStyle w:val="Num1"/>
      </w:pPr>
      <w:r>
        <w:t xml:space="preserve">consistent with the </w:t>
      </w:r>
      <w:r w:rsidR="00857C3B">
        <w:t>Directions</w:t>
      </w:r>
      <w:r>
        <w:t xml:space="preserve">, </w:t>
      </w:r>
      <w:r w:rsidR="006D2117" w:rsidRPr="006D2117">
        <w:t xml:space="preserve">authorise the opening of </w:t>
      </w:r>
      <w:r w:rsidR="00E306FE">
        <w:t>a</w:t>
      </w:r>
      <w:r w:rsidR="00E306FE" w:rsidRPr="006D2117">
        <w:t xml:space="preserve"> </w:t>
      </w:r>
      <w:r w:rsidR="006D2117" w:rsidRPr="006D2117">
        <w:t>facility account on behalf of the Agency;</w:t>
      </w:r>
      <w:r w:rsidR="009478EF">
        <w:rPr>
          <w:rStyle w:val="FootnoteReference"/>
        </w:rPr>
        <w:footnoteReference w:id="21"/>
      </w:r>
    </w:p>
    <w:p w14:paraId="6FEDF7FB" w14:textId="77777777" w:rsidR="006D2117" w:rsidRPr="006D2117" w:rsidRDefault="00676D30" w:rsidP="009848A6">
      <w:pPr>
        <w:pStyle w:val="Num1"/>
      </w:pPr>
      <w:r>
        <w:t>assign</w:t>
      </w:r>
      <w:r w:rsidRPr="006D2117">
        <w:t xml:space="preserve"> </w:t>
      </w:r>
      <w:r w:rsidR="006D2117" w:rsidRPr="006D2117">
        <w:t xml:space="preserve">a program administrator to manage purchasing card </w:t>
      </w:r>
      <w:proofErr w:type="gramStart"/>
      <w:r w:rsidR="006D2117" w:rsidRPr="006D2117">
        <w:t>programs;</w:t>
      </w:r>
      <w:proofErr w:type="gramEnd"/>
    </w:p>
    <w:p w14:paraId="174F58D7" w14:textId="77777777" w:rsidR="006D2117" w:rsidRPr="006D2117" w:rsidRDefault="00676D30" w:rsidP="009848A6">
      <w:pPr>
        <w:pStyle w:val="Num1"/>
      </w:pPr>
      <w:r>
        <w:t>assign</w:t>
      </w:r>
      <w:r w:rsidRPr="006D2117">
        <w:t xml:space="preserve"> </w:t>
      </w:r>
      <w:r w:rsidR="006D2117" w:rsidRPr="006D2117">
        <w:t xml:space="preserve">authorised signatories to review and approve transactions and </w:t>
      </w:r>
      <w:proofErr w:type="gramStart"/>
      <w:r w:rsidR="006D2117" w:rsidRPr="006D2117">
        <w:t>payments;</w:t>
      </w:r>
      <w:proofErr w:type="gramEnd"/>
    </w:p>
    <w:p w14:paraId="5A0FDEEF" w14:textId="77777777" w:rsidR="006D2117" w:rsidRPr="006D2117" w:rsidRDefault="006D2117" w:rsidP="009848A6">
      <w:pPr>
        <w:pStyle w:val="Num1"/>
      </w:pPr>
      <w:r w:rsidRPr="006D2117">
        <w:t xml:space="preserve">ensure the effective, efficient and appropriate use of </w:t>
      </w:r>
      <w:r w:rsidR="00CF4E13">
        <w:t>each</w:t>
      </w:r>
      <w:r w:rsidRPr="006D2117">
        <w:t xml:space="preserve"> card facility by the Agency; and</w:t>
      </w:r>
    </w:p>
    <w:p w14:paraId="2DE864D2" w14:textId="77777777" w:rsidR="006D2117" w:rsidRPr="006D2117" w:rsidRDefault="006D2117" w:rsidP="009848A6">
      <w:pPr>
        <w:pStyle w:val="Num1"/>
      </w:pPr>
      <w:r w:rsidRPr="006D2117">
        <w:t>ensure effective internal controls are maintained for the issue, use and acquittal of the purchasing card to prevent unauthorised use and non-compliance.</w:t>
      </w:r>
    </w:p>
    <w:p w14:paraId="477098A4" w14:textId="77777777" w:rsidR="006D2117" w:rsidRPr="006D2117" w:rsidRDefault="006D2117" w:rsidP="00CE2BDD">
      <w:pPr>
        <w:pStyle w:val="Heading1"/>
        <w:numPr>
          <w:ilvl w:val="0"/>
          <w:numId w:val="11"/>
        </w:numPr>
      </w:pPr>
      <w:r w:rsidRPr="006D2117">
        <w:t>Purchasing cards – roles and responsibilities for officials</w:t>
      </w:r>
    </w:p>
    <w:p w14:paraId="459CA8F0" w14:textId="77777777" w:rsidR="006D2117" w:rsidRPr="006D2117" w:rsidRDefault="00B67DFC" w:rsidP="0006001E">
      <w:pPr>
        <w:pStyle w:val="Heading2"/>
      </w:pPr>
      <w:r>
        <w:t>For the purposes of this Instruction, t</w:t>
      </w:r>
      <w:r w:rsidR="006D2117" w:rsidRPr="006D2117">
        <w:t xml:space="preserve">he program administrator is the person </w:t>
      </w:r>
      <w:r>
        <w:t>assigned</w:t>
      </w:r>
      <w:r w:rsidR="006D2117" w:rsidRPr="006D2117">
        <w:t xml:space="preserve"> by the Accountable Officer </w:t>
      </w:r>
      <w:r>
        <w:t xml:space="preserve">under </w:t>
      </w:r>
      <w:r w:rsidR="003F5E78">
        <w:t>clause</w:t>
      </w:r>
      <w:r w:rsidR="008A58A7">
        <w:t xml:space="preserve"> 2</w:t>
      </w:r>
      <w:r>
        <w:t>.1(</w:t>
      </w:r>
      <w:r w:rsidR="003F5E78">
        <w:t>c</w:t>
      </w:r>
      <w:r>
        <w:t xml:space="preserve">) and the authorised signatory is the person assigned by the Accountable Officer under </w:t>
      </w:r>
      <w:r w:rsidRPr="00416559">
        <w:t>In</w:t>
      </w:r>
      <w:r w:rsidR="008A58A7" w:rsidRPr="00416559">
        <w:t>struction 2</w:t>
      </w:r>
      <w:r w:rsidR="003F5E78" w:rsidRPr="00416559">
        <w:t>.1(d</w:t>
      </w:r>
      <w:r w:rsidRPr="00416559">
        <w:t>)</w:t>
      </w:r>
      <w:r w:rsidR="006D2117" w:rsidRPr="006D2117">
        <w:t>.</w:t>
      </w:r>
    </w:p>
    <w:p w14:paraId="2609E577" w14:textId="77777777" w:rsidR="003F5E78" w:rsidRDefault="006D2117" w:rsidP="0006001E">
      <w:pPr>
        <w:pStyle w:val="Heading2"/>
      </w:pPr>
      <w:r w:rsidRPr="006D2117">
        <w:t xml:space="preserve">The authorised signatory is responsible for reviewing and approving transactions and payments appearing on </w:t>
      </w:r>
      <w:r w:rsidR="00B67DFC">
        <w:t>a</w:t>
      </w:r>
      <w:r w:rsidRPr="006D2117">
        <w:t xml:space="preserve"> cardholder’s statements in accordance with this Instruction. </w:t>
      </w:r>
    </w:p>
    <w:p w14:paraId="64B4DDBF" w14:textId="77777777" w:rsidR="003F5E78" w:rsidRDefault="006D2117" w:rsidP="000D1194">
      <w:pPr>
        <w:pStyle w:val="Heading2"/>
      </w:pPr>
      <w:r w:rsidRPr="006D2117">
        <w:t xml:space="preserve">The authorised signatory must </w:t>
      </w:r>
      <w:r w:rsidR="0046579E">
        <w:t>hold</w:t>
      </w:r>
      <w:r w:rsidR="0046579E" w:rsidRPr="006D2117">
        <w:t xml:space="preserve"> </w:t>
      </w:r>
      <w:r w:rsidR="00134F3B">
        <w:t xml:space="preserve">a </w:t>
      </w:r>
      <w:r w:rsidRPr="006D2117">
        <w:t xml:space="preserve">financial </w:t>
      </w:r>
      <w:r w:rsidR="00684BDE">
        <w:t>authorisation</w:t>
      </w:r>
      <w:r w:rsidR="00134F3B">
        <w:t>.</w:t>
      </w:r>
    </w:p>
    <w:p w14:paraId="09ABC839" w14:textId="77777777" w:rsidR="006D2117" w:rsidRPr="003F5E78" w:rsidRDefault="00B67DFC" w:rsidP="0006001E">
      <w:pPr>
        <w:pStyle w:val="Heading2"/>
        <w:rPr>
          <w:color w:val="404040"/>
          <w:sz w:val="28"/>
          <w:szCs w:val="28"/>
        </w:rPr>
      </w:pPr>
      <w:r>
        <w:t>Car</w:t>
      </w:r>
      <w:r w:rsidR="001E1F21">
        <w:t>d</w:t>
      </w:r>
      <w:r>
        <w:t>holders are</w:t>
      </w:r>
      <w:r w:rsidR="006D2117" w:rsidRPr="006D2117">
        <w:t xml:space="preserve"> responsible for using card</w:t>
      </w:r>
      <w:r>
        <w:t>s</w:t>
      </w:r>
      <w:r w:rsidR="006D2117" w:rsidRPr="006D2117">
        <w:t xml:space="preserve"> in accordance with this Instruction. </w:t>
      </w:r>
    </w:p>
    <w:p w14:paraId="1E2CF266" w14:textId="77777777" w:rsidR="00E245B5" w:rsidRDefault="00E245B5">
      <w:pPr>
        <w:spacing w:before="0" w:after="200" w:line="276" w:lineRule="auto"/>
        <w:rPr>
          <w:color w:val="404040"/>
          <w:sz w:val="28"/>
          <w:szCs w:val="28"/>
        </w:rPr>
      </w:pPr>
      <w:r>
        <w:br w:type="page"/>
      </w:r>
    </w:p>
    <w:p w14:paraId="3D5BF5AB" w14:textId="77777777" w:rsidR="006D2117" w:rsidRPr="006D2117" w:rsidRDefault="006D2117" w:rsidP="00CE2BDD">
      <w:pPr>
        <w:pStyle w:val="Heading1"/>
        <w:numPr>
          <w:ilvl w:val="0"/>
          <w:numId w:val="11"/>
        </w:numPr>
      </w:pPr>
      <w:r w:rsidRPr="006D2117">
        <w:lastRenderedPageBreak/>
        <w:t>Internal purchasing cards – Issue and withdrawal</w:t>
      </w:r>
    </w:p>
    <w:p w14:paraId="0BEC66F5" w14:textId="77777777" w:rsidR="006D2117" w:rsidRPr="006D2117" w:rsidRDefault="006D2117" w:rsidP="009848A6">
      <w:pPr>
        <w:pStyle w:val="Heading2"/>
      </w:pPr>
      <w:r w:rsidRPr="006D2117">
        <w:t>The program administrator must ensure that:</w:t>
      </w:r>
    </w:p>
    <w:p w14:paraId="07368393" w14:textId="2EE3EA0C" w:rsidR="006D2117" w:rsidRPr="006D2117" w:rsidRDefault="006D2117" w:rsidP="009848A6">
      <w:pPr>
        <w:pStyle w:val="Num1"/>
      </w:pPr>
      <w:r w:rsidRPr="00725C77">
        <w:t>only Agency employee</w:t>
      </w:r>
      <w:r w:rsidRPr="006D2117">
        <w:t>s</w:t>
      </w:r>
      <w:r w:rsidR="00DE2350">
        <w:rPr>
          <w:rStyle w:val="FootnoteReference"/>
        </w:rPr>
        <w:footnoteReference w:id="22"/>
      </w:r>
      <w:r w:rsidRPr="006D2117">
        <w:t xml:space="preserve"> are </w:t>
      </w:r>
      <w:proofErr w:type="gramStart"/>
      <w:r w:rsidRPr="006D2117">
        <w:t>cardholders;</w:t>
      </w:r>
      <w:proofErr w:type="gramEnd"/>
    </w:p>
    <w:p w14:paraId="51624537" w14:textId="77777777" w:rsidR="006D2117" w:rsidRPr="006D2117" w:rsidRDefault="00E04A72" w:rsidP="009848A6">
      <w:pPr>
        <w:pStyle w:val="Num1"/>
      </w:pPr>
      <w:r>
        <w:t xml:space="preserve">each cardholder is authorised to use </w:t>
      </w:r>
      <w:r w:rsidR="00B15CCF">
        <w:t>no more than</w:t>
      </w:r>
      <w:r w:rsidR="00B15CCF" w:rsidRPr="006D2117">
        <w:t xml:space="preserve"> </w:t>
      </w:r>
      <w:r w:rsidR="006D2117" w:rsidRPr="006D2117">
        <w:t xml:space="preserve">one </w:t>
      </w:r>
      <w:r>
        <w:t xml:space="preserve">card </w:t>
      </w:r>
      <w:r w:rsidR="006D2117" w:rsidRPr="006D2117">
        <w:t xml:space="preserve">of each card facility </w:t>
      </w:r>
      <w:proofErr w:type="gramStart"/>
      <w:r w:rsidR="006D2117" w:rsidRPr="006D2117">
        <w:t>type;</w:t>
      </w:r>
      <w:proofErr w:type="gramEnd"/>
    </w:p>
    <w:p w14:paraId="42062C44" w14:textId="77777777" w:rsidR="006D2117" w:rsidRPr="006D2117" w:rsidRDefault="006D2117" w:rsidP="009848A6">
      <w:pPr>
        <w:pStyle w:val="Num1"/>
      </w:pPr>
      <w:r w:rsidRPr="006D2117">
        <w:t>for purchasing cards</w:t>
      </w:r>
      <w:r w:rsidR="00AA53C0">
        <w:t xml:space="preserve"> other than prepaid debit cards</w:t>
      </w:r>
      <w:r w:rsidRPr="006D2117">
        <w:t>:</w:t>
      </w:r>
    </w:p>
    <w:p w14:paraId="01DD0C04" w14:textId="77777777" w:rsidR="000B7C55" w:rsidRDefault="000B7C55" w:rsidP="000E0DBA">
      <w:pPr>
        <w:pStyle w:val="Num2"/>
      </w:pPr>
      <w:r>
        <w:t xml:space="preserve">a maximum purchasing card limit has been set for each cardholder. Purchasing card limits above $50 000 must be approved by the Accountable </w:t>
      </w:r>
      <w:proofErr w:type="gramStart"/>
      <w:r>
        <w:t>Officer;</w:t>
      </w:r>
      <w:proofErr w:type="gramEnd"/>
      <w:r>
        <w:t xml:space="preserve"> </w:t>
      </w:r>
    </w:p>
    <w:p w14:paraId="1822AABB" w14:textId="77777777" w:rsidR="000B7C55" w:rsidRDefault="000B7C55" w:rsidP="000E0DBA">
      <w:pPr>
        <w:pStyle w:val="Num2"/>
      </w:pPr>
      <w:r>
        <w:t xml:space="preserve">a maximum monthly limit and individual transaction limit has been set for each </w:t>
      </w:r>
      <w:proofErr w:type="gramStart"/>
      <w:r>
        <w:t>cardholder;</w:t>
      </w:r>
      <w:proofErr w:type="gramEnd"/>
    </w:p>
    <w:p w14:paraId="04FC8109" w14:textId="77777777" w:rsidR="006D2117" w:rsidRDefault="006D2117" w:rsidP="000E0DBA">
      <w:pPr>
        <w:pStyle w:val="Num2"/>
      </w:pPr>
      <w:r w:rsidRPr="006D2117">
        <w:t>the individual transaction limit must not exceed the cardholder’s financial</w:t>
      </w:r>
      <w:r w:rsidR="00C00962">
        <w:t xml:space="preserve"> </w:t>
      </w:r>
      <w:r w:rsidR="00E306FE">
        <w:t>authorisation</w:t>
      </w:r>
      <w:r w:rsidRPr="006D2117">
        <w:t>;</w:t>
      </w:r>
      <w:r w:rsidR="000B7C55">
        <w:t xml:space="preserve"> and</w:t>
      </w:r>
    </w:p>
    <w:p w14:paraId="65EEEA1E" w14:textId="77777777" w:rsidR="000B7C55" w:rsidRPr="006D2117" w:rsidRDefault="000B7C55" w:rsidP="000E0DBA">
      <w:pPr>
        <w:pStyle w:val="Num2"/>
      </w:pPr>
      <w:r>
        <w:t>where applicable, restrictions on the types of goods or services for which t</w:t>
      </w:r>
      <w:r w:rsidR="00684BDE">
        <w:t>hey cardholder may use the card</w:t>
      </w:r>
      <w:r w:rsidR="00C85E4D">
        <w:t xml:space="preserve"> have been imposed</w:t>
      </w:r>
      <w:r w:rsidR="00684BDE">
        <w:t>, for example, restrictions on domestic and overseas travel, hospitality and entertainment.</w:t>
      </w:r>
    </w:p>
    <w:p w14:paraId="1998756A" w14:textId="77777777" w:rsidR="006D2117" w:rsidRPr="006D2117" w:rsidRDefault="006D2117" w:rsidP="009848A6">
      <w:pPr>
        <w:pStyle w:val="Num1"/>
      </w:pPr>
      <w:r w:rsidRPr="006D2117">
        <w:t>for prepaid debit cards:</w:t>
      </w:r>
    </w:p>
    <w:p w14:paraId="08DD284C" w14:textId="77777777" w:rsidR="003F5E78" w:rsidRPr="006D2117" w:rsidRDefault="006D2117" w:rsidP="000E0DBA">
      <w:pPr>
        <w:pStyle w:val="Num2"/>
      </w:pPr>
      <w:r w:rsidRPr="006D2117">
        <w:t xml:space="preserve">cards must not be loaded with a value greater than </w:t>
      </w:r>
      <w:proofErr w:type="gramStart"/>
      <w:r w:rsidRPr="006D2117">
        <w:t>$5 000;</w:t>
      </w:r>
      <w:proofErr w:type="gramEnd"/>
      <w:r w:rsidR="003F5E78" w:rsidRPr="003F5E78">
        <w:t xml:space="preserve"> </w:t>
      </w:r>
    </w:p>
    <w:p w14:paraId="275F9559" w14:textId="77777777" w:rsidR="003F5E78" w:rsidRPr="006D2117" w:rsidRDefault="006D2117" w:rsidP="000E0DBA">
      <w:pPr>
        <w:pStyle w:val="Num2"/>
      </w:pPr>
      <w:r w:rsidRPr="006D2117">
        <w:t>cards must not be pre-loaded and stored unless there are sound security controls around the inventory storage, activation and issue of the cards; and</w:t>
      </w:r>
    </w:p>
    <w:p w14:paraId="18F1317B" w14:textId="77777777" w:rsidR="003F5E78" w:rsidRPr="006D2117" w:rsidRDefault="006D2117" w:rsidP="000E0DBA">
      <w:pPr>
        <w:pStyle w:val="Num2"/>
      </w:pPr>
      <w:r w:rsidRPr="006D2117">
        <w:t xml:space="preserve">individual transaction limits must not exceed the cardholder’s financial </w:t>
      </w:r>
      <w:r w:rsidR="00E306FE">
        <w:t>authorisation</w:t>
      </w:r>
      <w:r w:rsidRPr="006D2117">
        <w:t xml:space="preserve">. When the cardholder does not have a financial </w:t>
      </w:r>
      <w:r w:rsidR="00684BDE">
        <w:t>authorisation</w:t>
      </w:r>
      <w:r w:rsidRPr="006D2117">
        <w:t>, the authorised signatory is responsible for the use of the card and all expenditure incurred; and</w:t>
      </w:r>
    </w:p>
    <w:p w14:paraId="7803ED5C" w14:textId="2F17A82B" w:rsidR="006D2117" w:rsidRPr="006D2117" w:rsidRDefault="006D2117" w:rsidP="009848A6">
      <w:pPr>
        <w:pStyle w:val="Num1"/>
      </w:pPr>
      <w:r w:rsidRPr="006D2117">
        <w:t xml:space="preserve">debit cards other than prepaid debit cards </w:t>
      </w:r>
      <w:r w:rsidR="00B558C5">
        <w:t xml:space="preserve">are </w:t>
      </w:r>
      <w:r w:rsidRPr="006D2117">
        <w:t>not issued.</w:t>
      </w:r>
      <w:r w:rsidR="00512760">
        <w:t xml:space="preserve"> Cards linked directly to a bank account are covered by </w:t>
      </w:r>
      <w:hyperlink r:id="rId53" w:anchor="standing-directions-2018" w:history="1">
        <w:r w:rsidR="00801C8F" w:rsidRPr="00DD1BED">
          <w:rPr>
            <w:rStyle w:val="Hyperlink"/>
          </w:rPr>
          <w:t>Direction 3.4</w:t>
        </w:r>
      </w:hyperlink>
      <w:r w:rsidR="00801C8F">
        <w:t xml:space="preserve"> </w:t>
      </w:r>
      <w:r w:rsidR="00512760">
        <w:t xml:space="preserve">and </w:t>
      </w:r>
      <w:r w:rsidR="00801C8F">
        <w:fldChar w:fldCharType="begin"/>
      </w:r>
      <w:r w:rsidR="00801C8F">
        <w:instrText xml:space="preserve"> REF Instruction_3_4 \h </w:instrText>
      </w:r>
      <w:r w:rsidR="00801C8F">
        <w:fldChar w:fldCharType="separate"/>
      </w:r>
      <w:r w:rsidR="00DA5177">
        <w:t>Instruction 3.4</w:t>
      </w:r>
      <w:r w:rsidR="00801C8F">
        <w:fldChar w:fldCharType="end"/>
      </w:r>
      <w:r w:rsidR="00512760">
        <w:t xml:space="preserve"> and not by this Instruction.  </w:t>
      </w:r>
    </w:p>
    <w:p w14:paraId="49B5CCAC" w14:textId="77777777" w:rsidR="006D2117" w:rsidRPr="006D2117" w:rsidRDefault="006D2117" w:rsidP="009848A6">
      <w:pPr>
        <w:pStyle w:val="Heading2"/>
      </w:pPr>
      <w:r w:rsidRPr="006D2117">
        <w:t>A cardholder must report immediately to the program administrator and the card provider:</w:t>
      </w:r>
    </w:p>
    <w:p w14:paraId="5E79ABD6" w14:textId="77777777" w:rsidR="006D2117" w:rsidRPr="006D2117" w:rsidRDefault="006D2117" w:rsidP="009848A6">
      <w:pPr>
        <w:pStyle w:val="Num1"/>
      </w:pPr>
      <w:r w:rsidRPr="006D2117">
        <w:t>the loss or theft of the cardholder’s purch</w:t>
      </w:r>
      <w:r w:rsidR="003F5E78">
        <w:t>asing card; and</w:t>
      </w:r>
    </w:p>
    <w:p w14:paraId="7CC22A46" w14:textId="77777777" w:rsidR="006D2117" w:rsidRPr="006D2117" w:rsidRDefault="006D2117" w:rsidP="009848A6">
      <w:pPr>
        <w:pStyle w:val="Num1"/>
      </w:pPr>
      <w:r w:rsidRPr="006D2117">
        <w:t>if the cardholder knows or suspects unauthorised transactions have been made by a third party</w:t>
      </w:r>
      <w:r w:rsidR="00B558C5">
        <w:t>, this fact, along with the reasons for such knowledge or suspicion</w:t>
      </w:r>
      <w:r w:rsidRPr="006D2117">
        <w:t>.</w:t>
      </w:r>
    </w:p>
    <w:p w14:paraId="3FDCB119" w14:textId="77777777" w:rsidR="006D2117" w:rsidRPr="006D2117" w:rsidRDefault="006D2117" w:rsidP="006D2117">
      <w:pPr>
        <w:ind w:left="504"/>
      </w:pPr>
      <w:r w:rsidRPr="006D2117">
        <w:t>In both cases the program administrator must</w:t>
      </w:r>
      <w:r w:rsidR="00EF5417">
        <w:t xml:space="preserve"> take action to</w:t>
      </w:r>
      <w:r w:rsidRPr="006D2117">
        <w:t xml:space="preserve"> cancel the card.</w:t>
      </w:r>
    </w:p>
    <w:p w14:paraId="1082D4B1" w14:textId="77777777" w:rsidR="00CA3055" w:rsidRDefault="006D2117" w:rsidP="009848A6">
      <w:pPr>
        <w:pStyle w:val="Heading2"/>
      </w:pPr>
      <w:r w:rsidRPr="006D2117">
        <w:t xml:space="preserve">The program administrator must ensure that </w:t>
      </w:r>
      <w:r w:rsidR="00E306FE">
        <w:t xml:space="preserve">a framework, approved by the Agency Accountable Officer, is in place for dealing with unauthorised use or non-compliance by a cardholder. </w:t>
      </w:r>
      <w:r w:rsidR="003F5E78">
        <w:t>T</w:t>
      </w:r>
      <w:r w:rsidRPr="006D2117">
        <w:t xml:space="preserve">he </w:t>
      </w:r>
      <w:r w:rsidR="005A734A">
        <w:t xml:space="preserve">framework must state that a </w:t>
      </w:r>
      <w:r w:rsidRPr="006D2117">
        <w:t>purchasing card is</w:t>
      </w:r>
      <w:r w:rsidR="005A734A">
        <w:t xml:space="preserve"> to be</w:t>
      </w:r>
      <w:r w:rsidRPr="006D2117">
        <w:t xml:space="preserve"> withdrawn when the cardholder incurs</w:t>
      </w:r>
      <w:r w:rsidR="00CA3055">
        <w:t>:</w:t>
      </w:r>
    </w:p>
    <w:p w14:paraId="06263E28" w14:textId="77777777" w:rsidR="006D2117" w:rsidRDefault="006D2117" w:rsidP="00CE2BDD">
      <w:pPr>
        <w:pStyle w:val="NormalIndent2"/>
        <w:numPr>
          <w:ilvl w:val="0"/>
          <w:numId w:val="48"/>
        </w:numPr>
      </w:pPr>
      <w:r w:rsidRPr="006D2117">
        <w:t xml:space="preserve"> an unauthorised transaction exceeding the amount deemed appropriate by the Agency Accountable Officer. The amount deemed appropriate must not exceed $</w:t>
      </w:r>
      <w:r w:rsidR="00EF5417">
        <w:t>1 000</w:t>
      </w:r>
      <w:r w:rsidRPr="006D2117">
        <w:t>.</w:t>
      </w:r>
    </w:p>
    <w:p w14:paraId="042B2C52" w14:textId="77777777" w:rsidR="00CA3055" w:rsidRPr="006D2117" w:rsidRDefault="00CA3055" w:rsidP="00CE2BDD">
      <w:pPr>
        <w:pStyle w:val="NormalIndent2"/>
        <w:numPr>
          <w:ilvl w:val="0"/>
          <w:numId w:val="48"/>
        </w:numPr>
      </w:pPr>
      <w:r>
        <w:t>a pattern of unauthorised use</w:t>
      </w:r>
      <w:r w:rsidR="00937F81">
        <w:t xml:space="preserve"> or non-compliance</w:t>
      </w:r>
      <w:r>
        <w:t xml:space="preserve">. </w:t>
      </w:r>
      <w:r w:rsidR="001E1F21">
        <w:t>The pattern must</w:t>
      </w:r>
      <w:r>
        <w:t xml:space="preserve"> not exceed </w:t>
      </w:r>
      <w:r w:rsidR="0043750B">
        <w:t>three</w:t>
      </w:r>
      <w:r>
        <w:t xml:space="preserve"> separate instances. </w:t>
      </w:r>
    </w:p>
    <w:p w14:paraId="07500A94" w14:textId="6C686DEA" w:rsidR="003F5E78" w:rsidRDefault="00615519" w:rsidP="009848A6">
      <w:pPr>
        <w:pStyle w:val="Heading2"/>
      </w:pPr>
      <w:bookmarkStart w:id="5" w:name="_Hlk166488255"/>
      <w:r w:rsidRPr="00615519">
        <w:t>The program administrator must ensure the purchasing card is cancelled with the card provider at the end of the period for which the card was issued or when changes to the cardholder’s employment status or other business requirements result in the use of the card being no longer required. For physical purchasing cards, the cardholder must, as soon as practicable, either return the cancelled card or provide a documented attestation or other relevant documented evidence of its destruction, to the program administrator, under the circumstances outlined in this clause.</w:t>
      </w:r>
    </w:p>
    <w:p w14:paraId="24B27981" w14:textId="4E58AA68" w:rsidR="003F5E78" w:rsidRDefault="006D2117" w:rsidP="009848A6">
      <w:pPr>
        <w:pStyle w:val="Heading2"/>
      </w:pPr>
      <w:bookmarkStart w:id="6" w:name="_Hlk166488281"/>
      <w:bookmarkEnd w:id="5"/>
      <w:r w:rsidRPr="006D2117">
        <w:t xml:space="preserve">The program administrator must </w:t>
      </w:r>
      <w:r w:rsidR="00615519">
        <w:t xml:space="preserve">destroy a </w:t>
      </w:r>
      <w:r w:rsidRPr="006D2117">
        <w:t>cancel</w:t>
      </w:r>
      <w:r w:rsidR="00615519">
        <w:t>led</w:t>
      </w:r>
      <w:r w:rsidR="003F5E78">
        <w:t xml:space="preserve"> </w:t>
      </w:r>
      <w:r w:rsidRPr="006D2117">
        <w:t xml:space="preserve">purchasing card </w:t>
      </w:r>
      <w:r w:rsidR="003F5E78">
        <w:t xml:space="preserve">returned under clause </w:t>
      </w:r>
      <w:r w:rsidR="00C6020D">
        <w:t>4</w:t>
      </w:r>
      <w:r w:rsidR="003F5E78">
        <w:t xml:space="preserve">.4 of this Instruction </w:t>
      </w:r>
      <w:r w:rsidR="00615519">
        <w:t>as soon as practicable</w:t>
      </w:r>
      <w:r w:rsidRPr="006D2117">
        <w:t xml:space="preserve">. </w:t>
      </w:r>
    </w:p>
    <w:bookmarkEnd w:id="6"/>
    <w:p w14:paraId="6DEC0401" w14:textId="77777777" w:rsidR="00E977E9" w:rsidRDefault="006D2117" w:rsidP="009848A6">
      <w:pPr>
        <w:pStyle w:val="Heading2"/>
      </w:pPr>
      <w:r w:rsidRPr="006D2117">
        <w:t>For prepaid debit cards</w:t>
      </w:r>
      <w:r w:rsidR="003F5E78">
        <w:t xml:space="preserve"> returned under clause </w:t>
      </w:r>
      <w:r w:rsidR="00C6020D">
        <w:t>4</w:t>
      </w:r>
      <w:r w:rsidR="003F5E78">
        <w:t>.4 of this Instruction</w:t>
      </w:r>
      <w:r w:rsidRPr="006D2117">
        <w:t>, the Agency must establish appropriate procedures to manage the cancellation (including the return of any remaining prepaid amount to the Agency) or reuse of prepaid debit cards.</w:t>
      </w:r>
    </w:p>
    <w:p w14:paraId="126298C5" w14:textId="77777777" w:rsidR="00E977E9" w:rsidRDefault="00E977E9" w:rsidP="009848A6">
      <w:pPr>
        <w:pStyle w:val="Heading2"/>
      </w:pPr>
      <w:r>
        <w:br w:type="page"/>
      </w:r>
    </w:p>
    <w:p w14:paraId="6B8B8186" w14:textId="77777777" w:rsidR="006D2117" w:rsidRPr="006D2117" w:rsidRDefault="006D2117" w:rsidP="00CE2BDD">
      <w:pPr>
        <w:pStyle w:val="Heading1"/>
        <w:numPr>
          <w:ilvl w:val="0"/>
          <w:numId w:val="11"/>
        </w:numPr>
      </w:pPr>
      <w:r w:rsidRPr="006D2117">
        <w:lastRenderedPageBreak/>
        <w:t>Internal purchasing cards – use</w:t>
      </w:r>
    </w:p>
    <w:p w14:paraId="61F4E837" w14:textId="77777777" w:rsidR="006D2117" w:rsidRPr="006D2117" w:rsidRDefault="006D2117" w:rsidP="009848A6">
      <w:pPr>
        <w:pStyle w:val="Heading2"/>
      </w:pPr>
      <w:r w:rsidRPr="006D2117">
        <w:t>A cardholder must only use the purchasing card for official business</w:t>
      </w:r>
      <w:r w:rsidR="00A51D3D">
        <w:t>, and consistently</w:t>
      </w:r>
      <w:r w:rsidRPr="006D2117">
        <w:t xml:space="preserve"> </w:t>
      </w:r>
      <w:r w:rsidR="00A51D3D">
        <w:t xml:space="preserve">with </w:t>
      </w:r>
      <w:r w:rsidRPr="006D2117">
        <w:t xml:space="preserve">all </w:t>
      </w:r>
      <w:r w:rsidR="00A51D3D">
        <w:t>applicable legislation, standards and policies of the Government and the Agency</w:t>
      </w:r>
      <w:r w:rsidRPr="006D2117">
        <w:t>.</w:t>
      </w:r>
    </w:p>
    <w:p w14:paraId="0B7D6D9C" w14:textId="77777777" w:rsidR="006D2117" w:rsidRPr="006D2117" w:rsidRDefault="006D2117" w:rsidP="009848A6">
      <w:pPr>
        <w:pStyle w:val="Heading2"/>
      </w:pPr>
      <w:r w:rsidRPr="006D2117">
        <w:t>In using and administering a purchasing card, a cardholder must:</w:t>
      </w:r>
    </w:p>
    <w:p w14:paraId="65E2B52A" w14:textId="77777777" w:rsidR="006D2117" w:rsidRPr="006D2117" w:rsidRDefault="006D2117" w:rsidP="009848A6">
      <w:pPr>
        <w:pStyle w:val="Num1"/>
        <w:contextualSpacing/>
      </w:pPr>
      <w:r w:rsidRPr="006D2117">
        <w:t xml:space="preserve">always act in the interests of the State, as opposed to personal interests or convenience; and </w:t>
      </w:r>
    </w:p>
    <w:p w14:paraId="454CEEA3" w14:textId="77777777" w:rsidR="006D2117" w:rsidRPr="006D2117" w:rsidRDefault="006D2117" w:rsidP="009848A6">
      <w:pPr>
        <w:pStyle w:val="Num1"/>
        <w:contextualSpacing/>
      </w:pPr>
      <w:r w:rsidRPr="006D2117">
        <w:t>perform their duties honestly and with skill and care.</w:t>
      </w:r>
    </w:p>
    <w:p w14:paraId="336BD003" w14:textId="77777777" w:rsidR="006D2117" w:rsidRPr="006D2117" w:rsidRDefault="006D2117" w:rsidP="00E977E9">
      <w:pPr>
        <w:pStyle w:val="Heading2"/>
      </w:pPr>
      <w:r w:rsidRPr="006D2117">
        <w:t xml:space="preserve">A cardholder must not use </w:t>
      </w:r>
      <w:r w:rsidR="000D1194">
        <w:t>a</w:t>
      </w:r>
      <w:r w:rsidR="000D1194" w:rsidRPr="006D2117">
        <w:t xml:space="preserve"> </w:t>
      </w:r>
      <w:r w:rsidRPr="006D2117">
        <w:t>purchasing card:</w:t>
      </w:r>
    </w:p>
    <w:p w14:paraId="4A17D30A" w14:textId="77777777" w:rsidR="006D2117" w:rsidRPr="006D2117" w:rsidRDefault="006D2117" w:rsidP="009848A6">
      <w:pPr>
        <w:pStyle w:val="Num1"/>
      </w:pPr>
      <w:r w:rsidRPr="006D2117">
        <w:t>to obtain cash</w:t>
      </w:r>
      <w:r w:rsidR="00A51D3D">
        <w:t>, except</w:t>
      </w:r>
      <w:r w:rsidRPr="006D2117">
        <w:t xml:space="preserve"> for prepaid debit cards,</w:t>
      </w:r>
      <w:r w:rsidR="00A51D3D">
        <w:t xml:space="preserve"> where</w:t>
      </w:r>
      <w:r w:rsidRPr="006D2117">
        <w:t xml:space="preserve"> cash </w:t>
      </w:r>
      <w:r w:rsidR="00A51D3D">
        <w:t xml:space="preserve">may </w:t>
      </w:r>
      <w:r w:rsidRPr="006D2117">
        <w:t xml:space="preserve">only be obtained </w:t>
      </w:r>
      <w:r w:rsidR="00A51D3D">
        <w:t>if</w:t>
      </w:r>
      <w:r w:rsidR="00A51D3D" w:rsidRPr="006D2117">
        <w:t xml:space="preserve"> </w:t>
      </w:r>
      <w:r w:rsidRPr="006D2117">
        <w:t xml:space="preserve">the Accountable Officer has authorised the use of the card for this </w:t>
      </w:r>
      <w:proofErr w:type="gramStart"/>
      <w:r w:rsidRPr="006D2117">
        <w:t>purpose;</w:t>
      </w:r>
      <w:proofErr w:type="gramEnd"/>
    </w:p>
    <w:p w14:paraId="0F07F935" w14:textId="77777777" w:rsidR="006D2117" w:rsidRPr="006D2117" w:rsidRDefault="006D2117" w:rsidP="009848A6">
      <w:pPr>
        <w:pStyle w:val="Num1"/>
      </w:pPr>
      <w:r w:rsidRPr="006D2117">
        <w:t xml:space="preserve">for purchases </w:t>
      </w:r>
      <w:r w:rsidR="000D1194">
        <w:t xml:space="preserve">for which payment is to be </w:t>
      </w:r>
      <w:r w:rsidRPr="006D2117">
        <w:t xml:space="preserve">covered by </w:t>
      </w:r>
      <w:r w:rsidR="000D1194">
        <w:t>another arrangement or facility</w:t>
      </w:r>
      <w:r w:rsidR="000D1194" w:rsidRPr="000D1194">
        <w:t xml:space="preserve"> </w:t>
      </w:r>
      <w:r w:rsidR="000D1194">
        <w:t>applicable to the Agency, including another type of purchasing card (e.g. where the cardholder is authorised to use a fuel card, fuel is not to be purchased using any other type of purchasing card</w:t>
      </w:r>
      <w:proofErr w:type="gramStart"/>
      <w:r w:rsidR="000D1194">
        <w:t>)</w:t>
      </w:r>
      <w:r w:rsidRPr="006D2117">
        <w:t>;</w:t>
      </w:r>
      <w:proofErr w:type="gramEnd"/>
    </w:p>
    <w:p w14:paraId="3FF0202C" w14:textId="77777777" w:rsidR="006D2117" w:rsidRPr="006D2117" w:rsidRDefault="006D2117" w:rsidP="009848A6">
      <w:pPr>
        <w:pStyle w:val="Num1"/>
      </w:pPr>
      <w:r w:rsidRPr="006D2117">
        <w:t>to pay for an expense when reimbursement has been made (or will be made) to the ca</w:t>
      </w:r>
      <w:r w:rsidR="00A51D3D">
        <w:t>rdholder for that same expense</w:t>
      </w:r>
      <w:r w:rsidR="000D1194">
        <w:t xml:space="preserve"> (for example, travel expenses)</w:t>
      </w:r>
      <w:r w:rsidRPr="006D2117">
        <w:t>;</w:t>
      </w:r>
      <w:r w:rsidR="00A51D3D">
        <w:rPr>
          <w:rStyle w:val="FootnoteReference"/>
        </w:rPr>
        <w:footnoteReference w:id="23"/>
      </w:r>
    </w:p>
    <w:p w14:paraId="7A0F217B" w14:textId="77777777" w:rsidR="006D2117" w:rsidRPr="006D2117" w:rsidRDefault="006D2117" w:rsidP="009848A6">
      <w:pPr>
        <w:pStyle w:val="Num1"/>
      </w:pPr>
      <w:r w:rsidRPr="006D2117">
        <w:t xml:space="preserve">to pay </w:t>
      </w:r>
      <w:proofErr w:type="gramStart"/>
      <w:r w:rsidRPr="006D2117">
        <w:t>fines;</w:t>
      </w:r>
      <w:proofErr w:type="gramEnd"/>
    </w:p>
    <w:p w14:paraId="3184624C" w14:textId="77777777" w:rsidR="006D2117" w:rsidRPr="006D2117" w:rsidRDefault="006D2117" w:rsidP="009848A6">
      <w:pPr>
        <w:pStyle w:val="Num1"/>
      </w:pPr>
      <w:r w:rsidRPr="006D2117">
        <w:t xml:space="preserve">for gifts and hospitality purposes other than in accordance with the Agency’s gifts, benefits and hospitality policies and processes and the </w:t>
      </w:r>
      <w:hyperlink r:id="rId54" w:history="1">
        <w:r w:rsidR="00897B8F">
          <w:t>Gifts, Benefits and Hospitality Policy Guide</w:t>
        </w:r>
      </w:hyperlink>
      <w:r w:rsidRPr="006D2117">
        <w:t xml:space="preserve"> issued by the Victorian Public Sector Commission and approved by the authorised signatory;</w:t>
      </w:r>
    </w:p>
    <w:p w14:paraId="3EBBC5C4" w14:textId="77777777" w:rsidR="006D2117" w:rsidRPr="006D2117" w:rsidRDefault="006D2117" w:rsidP="009848A6">
      <w:pPr>
        <w:pStyle w:val="Num1"/>
      </w:pPr>
      <w:r w:rsidRPr="006D2117">
        <w:t>for the payment of tips or gratuities</w:t>
      </w:r>
      <w:r w:rsidR="00A51D3D">
        <w:t>,</w:t>
      </w:r>
      <w:r w:rsidR="00487808">
        <w:t xml:space="preserve"> except in countries other than Australia, to the minimum extent expected in accordance with common </w:t>
      </w:r>
      <w:r w:rsidR="00A51D3D">
        <w:t xml:space="preserve">practice in the </w:t>
      </w:r>
      <w:proofErr w:type="gramStart"/>
      <w:r w:rsidR="00A51D3D">
        <w:t>country</w:t>
      </w:r>
      <w:r w:rsidRPr="006D2117">
        <w:t>;</w:t>
      </w:r>
      <w:proofErr w:type="gramEnd"/>
      <w:r w:rsidRPr="006D2117">
        <w:t xml:space="preserve"> </w:t>
      </w:r>
    </w:p>
    <w:p w14:paraId="449EC6F8" w14:textId="77777777" w:rsidR="006D2117" w:rsidRPr="006D2117" w:rsidRDefault="006D2117" w:rsidP="009848A6">
      <w:pPr>
        <w:pStyle w:val="Num1"/>
      </w:pPr>
      <w:r w:rsidRPr="006D2117">
        <w:t xml:space="preserve">for total expenses within one month that exceed the monthly limit; </w:t>
      </w:r>
      <w:r w:rsidR="00DC4268">
        <w:t>or</w:t>
      </w:r>
    </w:p>
    <w:p w14:paraId="1A43FEF9" w14:textId="77777777" w:rsidR="006D2117" w:rsidRPr="006D2117" w:rsidRDefault="006D2117" w:rsidP="009848A6">
      <w:pPr>
        <w:pStyle w:val="Num1"/>
      </w:pPr>
      <w:r w:rsidRPr="006D2117">
        <w:t>for personal transaction</w:t>
      </w:r>
      <w:r w:rsidR="00A51D3D">
        <w:t>s.</w:t>
      </w:r>
    </w:p>
    <w:p w14:paraId="3D9958FE" w14:textId="77777777" w:rsidR="00A51D3D" w:rsidRDefault="00A51D3D" w:rsidP="009848A6">
      <w:pPr>
        <w:pStyle w:val="Heading2"/>
      </w:pPr>
      <w:r>
        <w:t xml:space="preserve">If a cardholder inadvertently incurs </w:t>
      </w:r>
      <w:r w:rsidRPr="006D2117">
        <w:t>private expenses</w:t>
      </w:r>
      <w:r>
        <w:t>, for example, as part of a larger official business purpose transaction</w:t>
      </w:r>
      <w:r w:rsidRPr="006D2117">
        <w:t xml:space="preserve">, </w:t>
      </w:r>
      <w:r>
        <w:t>the cardholder</w:t>
      </w:r>
      <w:r w:rsidRPr="006D2117">
        <w:t xml:space="preserve"> must </w:t>
      </w:r>
      <w:r w:rsidR="000D1194">
        <w:t>notify the Agency and reimburse it for</w:t>
      </w:r>
      <w:r w:rsidRPr="006D2117">
        <w:t xml:space="preserve"> all such private expenses as soon as practicable</w:t>
      </w:r>
      <w:r>
        <w:t>.</w:t>
      </w:r>
    </w:p>
    <w:p w14:paraId="3EF7ED80" w14:textId="77777777" w:rsidR="006D2117" w:rsidRPr="006D2117" w:rsidRDefault="006D2117" w:rsidP="009848A6">
      <w:pPr>
        <w:pStyle w:val="Heading2"/>
      </w:pPr>
      <w:r w:rsidRPr="006D2117">
        <w:t>The program administrator must ensure cardholders:</w:t>
      </w:r>
    </w:p>
    <w:p w14:paraId="485F308D" w14:textId="77777777" w:rsidR="006D2117" w:rsidRPr="006D2117" w:rsidRDefault="006D2117" w:rsidP="009848A6">
      <w:pPr>
        <w:pStyle w:val="Num1"/>
        <w:contextualSpacing/>
      </w:pPr>
      <w:r w:rsidRPr="006D2117">
        <w:t>acknowledge and agree with the responsibilities, liabilities and consequences of unauthorised use; and</w:t>
      </w:r>
    </w:p>
    <w:p w14:paraId="06D65E07" w14:textId="77777777" w:rsidR="006D2117" w:rsidRPr="006D2117" w:rsidRDefault="006D2117" w:rsidP="009848A6">
      <w:pPr>
        <w:pStyle w:val="Num1"/>
        <w:contextualSpacing/>
      </w:pPr>
      <w:r w:rsidRPr="006D2117">
        <w:t>understand the policies and procedures established for card use.</w:t>
      </w:r>
    </w:p>
    <w:p w14:paraId="68E1ECFC" w14:textId="77777777" w:rsidR="006D2117" w:rsidRPr="006D2117" w:rsidRDefault="006D2117" w:rsidP="009848A6">
      <w:pPr>
        <w:pStyle w:val="Heading2"/>
      </w:pPr>
      <w:r w:rsidRPr="006D2117">
        <w:t xml:space="preserve">The cardholder will be held personally liable for any unauthorised use unless the unauthorised use results from the card being lost or stolen, or because of </w:t>
      </w:r>
      <w:r w:rsidR="00A51D3D">
        <w:t>F</w:t>
      </w:r>
      <w:r w:rsidRPr="006D2117">
        <w:t>raud on the part of a third party.</w:t>
      </w:r>
    </w:p>
    <w:p w14:paraId="3E4D7376" w14:textId="77777777" w:rsidR="006D2117" w:rsidRPr="006D2117" w:rsidRDefault="006D2117" w:rsidP="009848A6">
      <w:pPr>
        <w:pStyle w:val="Heading2"/>
      </w:pPr>
      <w:r w:rsidRPr="006D2117">
        <w:t>The Accountable Officer must establish specific policies to ensure prepaid debit cards are used for business purposes only.</w:t>
      </w:r>
    </w:p>
    <w:p w14:paraId="3C534FA2" w14:textId="77777777" w:rsidR="006D2117" w:rsidRPr="006D2117" w:rsidRDefault="006D2117" w:rsidP="00CE2BDD">
      <w:pPr>
        <w:pStyle w:val="Heading1"/>
        <w:numPr>
          <w:ilvl w:val="0"/>
          <w:numId w:val="11"/>
        </w:numPr>
      </w:pPr>
      <w:r w:rsidRPr="006D2117">
        <w:t>Internal purchasing card payment – acquittal</w:t>
      </w:r>
    </w:p>
    <w:p w14:paraId="6322C48E" w14:textId="77777777" w:rsidR="006D2117" w:rsidRPr="006D2117" w:rsidRDefault="006D2117" w:rsidP="009848A6">
      <w:pPr>
        <w:pStyle w:val="Heading2"/>
      </w:pPr>
      <w:r w:rsidRPr="006D2117">
        <w:t xml:space="preserve">A cardholder must review and sign-off the monthly purchasing card statement or transaction report for completeness and accuracy, by matching transactions with sufficient supporting documentation and receipt of goods and services. </w:t>
      </w:r>
    </w:p>
    <w:p w14:paraId="47DB5919" w14:textId="77777777" w:rsidR="006D2117" w:rsidRPr="006D2117" w:rsidRDefault="006D2117" w:rsidP="009848A6">
      <w:pPr>
        <w:pStyle w:val="Heading2"/>
      </w:pPr>
      <w:r w:rsidRPr="006D2117">
        <w:t>The authorised signatory must review and approve the monthly statement or transaction report. Discrepancies with the cardholder or card provider must be resolved in a timely manner.</w:t>
      </w:r>
    </w:p>
    <w:p w14:paraId="44F5E1EF" w14:textId="77777777" w:rsidR="006D2117" w:rsidRDefault="006D2117" w:rsidP="009848A6">
      <w:pPr>
        <w:pStyle w:val="Heading2"/>
      </w:pPr>
      <w:r w:rsidRPr="006D2117">
        <w:t>Agencies using electronic procurement must issue specific policies to ensure requirements for signatories and sufficient documentation are met and can be audited.</w:t>
      </w:r>
    </w:p>
    <w:p w14:paraId="27E95D1A" w14:textId="77777777" w:rsidR="00E977E9" w:rsidRDefault="00E977E9" w:rsidP="00104E4A">
      <w:pPr>
        <w:pStyle w:val="Heading2"/>
        <w:numPr>
          <w:ilvl w:val="0"/>
          <w:numId w:val="0"/>
        </w:numPr>
        <w:ind w:left="504"/>
      </w:pPr>
      <w:r>
        <w:br w:type="page"/>
      </w:r>
    </w:p>
    <w:p w14:paraId="3EA568AA" w14:textId="77777777" w:rsidR="006D2117" w:rsidRPr="006D2117" w:rsidRDefault="00884B57" w:rsidP="000E0DBA">
      <w:pPr>
        <w:pStyle w:val="Heading1"/>
        <w:numPr>
          <w:ilvl w:val="0"/>
          <w:numId w:val="11"/>
        </w:numPr>
      </w:pPr>
      <w:r>
        <w:lastRenderedPageBreak/>
        <w:t>Reporting of si</w:t>
      </w:r>
      <w:r w:rsidR="006D2117" w:rsidRPr="006D2117">
        <w:t xml:space="preserve">gnificant instances of purchasing card </w:t>
      </w:r>
      <w:r w:rsidR="00EF5417">
        <w:t>non</w:t>
      </w:r>
      <w:r w:rsidR="00EF5417" w:rsidRPr="006D2117">
        <w:t>–</w:t>
      </w:r>
      <w:r w:rsidR="00EF5417">
        <w:t>compliance</w:t>
      </w:r>
    </w:p>
    <w:p w14:paraId="6AAD20C4" w14:textId="2D3F6BF4" w:rsidR="00107711" w:rsidRDefault="00107711" w:rsidP="00107711">
      <w:pPr>
        <w:pStyle w:val="Heading2"/>
      </w:pPr>
      <w:r w:rsidRPr="00107711">
        <w:t xml:space="preserve">The </w:t>
      </w:r>
      <w:r>
        <w:t xml:space="preserve">program administrator </w:t>
      </w:r>
      <w:r w:rsidRPr="00107711">
        <w:t xml:space="preserve">must </w:t>
      </w:r>
      <w:r>
        <w:t>define</w:t>
      </w:r>
      <w:r w:rsidRPr="00107711">
        <w:t xml:space="preserve"> a value threshold, above which an actual or suspected Fraud, Corruption or Other Loss </w:t>
      </w:r>
      <w:r>
        <w:t xml:space="preserve">in relation to purchasing cards </w:t>
      </w:r>
      <w:r w:rsidRPr="00107711">
        <w:t>is considered ‘</w:t>
      </w:r>
      <w:r w:rsidR="00884B57">
        <w:t>s</w:t>
      </w:r>
      <w:r w:rsidRPr="00107711">
        <w:t>ignifican</w:t>
      </w:r>
      <w:r>
        <w:t xml:space="preserve">t’ for the purpose of </w:t>
      </w:r>
      <w:hyperlink r:id="rId55" w:anchor="standing-directions-2018" w:history="1">
        <w:r w:rsidRPr="00842BF8">
          <w:rPr>
            <w:rStyle w:val="Hyperlink"/>
          </w:rPr>
          <w:t>Direction 3.5.3</w:t>
        </w:r>
      </w:hyperlink>
      <w:r w:rsidRPr="00107711">
        <w:t>.</w:t>
      </w:r>
      <w:r w:rsidR="00EB2A5B">
        <w:rPr>
          <w:rStyle w:val="FootnoteReference"/>
        </w:rPr>
        <w:footnoteReference w:id="24"/>
      </w:r>
      <w:r w:rsidR="00F779BC">
        <w:t xml:space="preserve"> The threshold must not exceed </w:t>
      </w:r>
      <w:r w:rsidR="00EB2A5B">
        <w:t>$</w:t>
      </w:r>
      <w:r w:rsidR="00F779BC">
        <w:t>1</w:t>
      </w:r>
      <w:r w:rsidRPr="00107711">
        <w:t xml:space="preserve"> 000</w:t>
      </w:r>
      <w:r w:rsidR="00F779BC">
        <w:t>.</w:t>
      </w:r>
    </w:p>
    <w:p w14:paraId="0ECEE555" w14:textId="77777777" w:rsidR="006D2117" w:rsidRPr="006D2117" w:rsidRDefault="006D2117" w:rsidP="00CE2BDD">
      <w:pPr>
        <w:pStyle w:val="Heading1"/>
        <w:numPr>
          <w:ilvl w:val="0"/>
          <w:numId w:val="11"/>
        </w:numPr>
      </w:pPr>
      <w:r w:rsidRPr="006D2117">
        <w:t>Prepaid debit cards issued to the public</w:t>
      </w:r>
    </w:p>
    <w:p w14:paraId="3240B776" w14:textId="77777777" w:rsidR="006D2117" w:rsidRPr="006D2117" w:rsidRDefault="006D2117" w:rsidP="009848A6">
      <w:pPr>
        <w:pStyle w:val="Heading2"/>
      </w:pPr>
      <w:r w:rsidRPr="006D2117">
        <w:t>When prepaid debit cards are used to make payments of government benefits to the public</w:t>
      </w:r>
      <w:r w:rsidR="001E0043">
        <w:rPr>
          <w:rStyle w:val="FootnoteReference"/>
        </w:rPr>
        <w:footnoteReference w:id="25"/>
      </w:r>
      <w:r w:rsidRPr="006D2117">
        <w:t xml:space="preserve"> , the roles and responsibilities of the Accountable Officer and program administrator in </w:t>
      </w:r>
      <w:r w:rsidR="001E0043">
        <w:t>clauses</w:t>
      </w:r>
      <w:r w:rsidR="001E0043" w:rsidRPr="006D2117">
        <w:t xml:space="preserve"> </w:t>
      </w:r>
      <w:r w:rsidRPr="006D2117">
        <w:t>1 and 2</w:t>
      </w:r>
      <w:r w:rsidR="001E0043">
        <w:t xml:space="preserve"> of this Instruction</w:t>
      </w:r>
      <w:r w:rsidRPr="006D2117">
        <w:t xml:space="preserve"> applies.</w:t>
      </w:r>
    </w:p>
    <w:p w14:paraId="77CAEB94" w14:textId="77777777" w:rsidR="006D2117" w:rsidRPr="006D2117" w:rsidRDefault="001D3659" w:rsidP="00E977E9">
      <w:pPr>
        <w:pStyle w:val="Heading2"/>
      </w:pPr>
      <w:r>
        <w:t>In addition, t</w:t>
      </w:r>
      <w:r w:rsidR="006D2117" w:rsidRPr="006D2117">
        <w:t>he program administrator must ensure</w:t>
      </w:r>
      <w:r w:rsidR="001E0043">
        <w:t xml:space="preserve"> that</w:t>
      </w:r>
      <w:r w:rsidR="006D2117" w:rsidRPr="006D2117">
        <w:t>:</w:t>
      </w:r>
    </w:p>
    <w:p w14:paraId="3EBC7212" w14:textId="77777777" w:rsidR="001E0043" w:rsidRDefault="008A58A7" w:rsidP="000E0DBA">
      <w:pPr>
        <w:pStyle w:val="Num1"/>
      </w:pPr>
      <w:r>
        <w:t>clause 4</w:t>
      </w:r>
      <w:r w:rsidR="001E0043">
        <w:t>.1(d)(</w:t>
      </w:r>
      <w:proofErr w:type="spellStart"/>
      <w:r w:rsidR="001E0043">
        <w:t>i</w:t>
      </w:r>
      <w:proofErr w:type="spellEnd"/>
      <w:r w:rsidR="001E0043">
        <w:t xml:space="preserve">) and (ii) of this Instruction is complied </w:t>
      </w:r>
      <w:proofErr w:type="gramStart"/>
      <w:r w:rsidR="001E0043">
        <w:t>with;</w:t>
      </w:r>
      <w:proofErr w:type="gramEnd"/>
    </w:p>
    <w:p w14:paraId="5E70E631" w14:textId="77777777" w:rsidR="006D2117" w:rsidRPr="006D2117" w:rsidRDefault="006D2117" w:rsidP="000E0DBA">
      <w:pPr>
        <w:pStyle w:val="Num1"/>
      </w:pPr>
      <w:r w:rsidRPr="006D2117">
        <w:t xml:space="preserve">staff administering the Government’s program to the public are fully aware and apply the Agency’s policies and procedures for safeguarding, activating, issuing, monitoring and reconciliation of the cards, and the need for segregation of </w:t>
      </w:r>
      <w:proofErr w:type="gramStart"/>
      <w:r w:rsidRPr="006D2117">
        <w:t>duties;</w:t>
      </w:r>
      <w:proofErr w:type="gramEnd"/>
      <w:r w:rsidRPr="006D2117">
        <w:t xml:space="preserve"> </w:t>
      </w:r>
    </w:p>
    <w:p w14:paraId="2C3BD4D9" w14:textId="77777777" w:rsidR="006D2117" w:rsidRPr="006D2117" w:rsidRDefault="006D2117" w:rsidP="000E0DBA">
      <w:pPr>
        <w:pStyle w:val="Num1"/>
      </w:pPr>
      <w:r w:rsidRPr="006D2117">
        <w:t>arrangements are made for the authorised signatory responsible for the program to be provided with a fully reconciled list of cards issued under that program; and</w:t>
      </w:r>
    </w:p>
    <w:p w14:paraId="0E6143A7" w14:textId="77777777" w:rsidR="006D2117" w:rsidRPr="006D2117" w:rsidRDefault="006D2117" w:rsidP="000E0DBA">
      <w:pPr>
        <w:pStyle w:val="Num1"/>
      </w:pPr>
      <w:r w:rsidRPr="006D2117">
        <w:t>compliance monitoring of operations against policies and procedures is performed on a regular basis.</w:t>
      </w:r>
    </w:p>
    <w:p w14:paraId="446D27B2" w14:textId="77777777" w:rsidR="006D2117" w:rsidRPr="006D2117" w:rsidRDefault="006D2117" w:rsidP="009848A6">
      <w:pPr>
        <w:pStyle w:val="Heading2"/>
      </w:pPr>
      <w:r w:rsidRPr="006D2117">
        <w:t>The authorised signatory responsible for the program must:</w:t>
      </w:r>
    </w:p>
    <w:p w14:paraId="2A98C330" w14:textId="77777777" w:rsidR="006D2117" w:rsidRPr="00C967E0" w:rsidRDefault="006D2117" w:rsidP="000E0DBA">
      <w:pPr>
        <w:pStyle w:val="Num1"/>
        <w:contextualSpacing/>
      </w:pPr>
      <w:r w:rsidRPr="00C967E0">
        <w:t xml:space="preserve">have the appropriate financial </w:t>
      </w:r>
      <w:r w:rsidR="00684BDE">
        <w:t>authorisation</w:t>
      </w:r>
      <w:r w:rsidR="00684BDE" w:rsidRPr="00C967E0">
        <w:t xml:space="preserve"> </w:t>
      </w:r>
      <w:r w:rsidRPr="00C967E0">
        <w:t>for the amount authorised; and</w:t>
      </w:r>
    </w:p>
    <w:p w14:paraId="4184D504" w14:textId="77777777" w:rsidR="006D2117" w:rsidRPr="006D2117" w:rsidRDefault="006D2117" w:rsidP="000E0DBA">
      <w:pPr>
        <w:pStyle w:val="Num1"/>
        <w:contextualSpacing/>
      </w:pPr>
      <w:r w:rsidRPr="006D2117">
        <w:t>review and approve the reconciled list of cards issued for the program and the payments distributed.</w:t>
      </w:r>
    </w:p>
    <w:p w14:paraId="1FECC65C" w14:textId="77777777" w:rsidR="006F5A2C" w:rsidRPr="006D2117" w:rsidRDefault="001E0043" w:rsidP="00CE2BDD">
      <w:pPr>
        <w:pStyle w:val="Heading1"/>
        <w:numPr>
          <w:ilvl w:val="0"/>
          <w:numId w:val="11"/>
        </w:numPr>
      </w:pPr>
      <w:r w:rsidRPr="00CE2BDD">
        <w:t>D</w:t>
      </w:r>
      <w:r w:rsidR="006D2117" w:rsidRPr="00CE2BDD">
        <w:t>efinitions</w:t>
      </w:r>
    </w:p>
    <w:p w14:paraId="59826AF9" w14:textId="77777777" w:rsidR="001E0043" w:rsidRDefault="001E0043" w:rsidP="009848A6">
      <w:pPr>
        <w:pStyle w:val="Heading2"/>
      </w:pPr>
      <w:r>
        <w:t>The following definitions apply to this Instruction:</w:t>
      </w:r>
    </w:p>
    <w:p w14:paraId="7B4EAB18" w14:textId="77777777" w:rsidR="00512760" w:rsidRDefault="00512760" w:rsidP="000E0DBA">
      <w:pPr>
        <w:pStyle w:val="Num1"/>
      </w:pPr>
      <w:r w:rsidRPr="007765A7">
        <w:rPr>
          <w:b/>
        </w:rPr>
        <w:t>Authorised signatory</w:t>
      </w:r>
      <w:r>
        <w:t xml:space="preserve"> – means the person assigned by the Accountable Officer </w:t>
      </w:r>
      <w:r w:rsidR="00684BDE">
        <w:t>under Instruction 3.6, Clause </w:t>
      </w:r>
      <w:r w:rsidR="0046579E">
        <w:t>2.1(d)</w:t>
      </w:r>
      <w:r w:rsidR="00684BDE">
        <w:t xml:space="preserve"> </w:t>
      </w:r>
      <w:r>
        <w:t>to be responsible for reviewing and approving transactions an</w:t>
      </w:r>
      <w:r w:rsidR="00684BDE">
        <w:t>d</w:t>
      </w:r>
      <w:r>
        <w:t xml:space="preserve"> payments appearing on a cardholder’s statement.</w:t>
      </w:r>
    </w:p>
    <w:p w14:paraId="1406B35A" w14:textId="77777777" w:rsidR="00512760" w:rsidRPr="007765A7" w:rsidRDefault="00512760" w:rsidP="000E0DBA">
      <w:pPr>
        <w:pStyle w:val="Num1"/>
      </w:pPr>
      <w:r>
        <w:rPr>
          <w:b/>
        </w:rPr>
        <w:t xml:space="preserve">Cardholder </w:t>
      </w:r>
      <w:r>
        <w:t xml:space="preserve">– means the person who has been issued with a purchasing card. </w:t>
      </w:r>
    </w:p>
    <w:p w14:paraId="601B5271" w14:textId="77777777" w:rsidR="006D2117" w:rsidRPr="006D2117" w:rsidRDefault="006D2117" w:rsidP="000E0DBA">
      <w:pPr>
        <w:pStyle w:val="Num1"/>
      </w:pPr>
      <w:r w:rsidRPr="006D2117">
        <w:rPr>
          <w:b/>
        </w:rPr>
        <w:t>Card provider</w:t>
      </w:r>
      <w:r w:rsidRPr="006D2117">
        <w:t xml:space="preserve"> – the approved supplier of the purchasing card facility account.</w:t>
      </w:r>
    </w:p>
    <w:p w14:paraId="1336B596" w14:textId="77777777" w:rsidR="006D2117" w:rsidRPr="006D2117" w:rsidRDefault="006D2117" w:rsidP="000E0DBA">
      <w:pPr>
        <w:pStyle w:val="Num1"/>
      </w:pPr>
      <w:r w:rsidRPr="006D2117">
        <w:rPr>
          <w:b/>
        </w:rPr>
        <w:t>Facility account</w:t>
      </w:r>
      <w:r w:rsidRPr="006D2117">
        <w:t xml:space="preserve"> – the individual purchasing and settlement facility between the card provider and the Agency.</w:t>
      </w:r>
    </w:p>
    <w:p w14:paraId="34E0EAA0" w14:textId="77777777" w:rsidR="006D2117" w:rsidRDefault="006D2117" w:rsidP="000E0DBA">
      <w:pPr>
        <w:pStyle w:val="Num1"/>
      </w:pPr>
      <w:r w:rsidRPr="006D2117">
        <w:rPr>
          <w:b/>
        </w:rPr>
        <w:t>Official business</w:t>
      </w:r>
      <w:r w:rsidRPr="006D2117">
        <w:t xml:space="preserve"> – purposes that are in direct connection with, or a direct consequence of, the cardholder’s functions and duties within an Agency.</w:t>
      </w:r>
    </w:p>
    <w:p w14:paraId="3395B944" w14:textId="77777777" w:rsidR="00937F81" w:rsidRPr="006D2117" w:rsidRDefault="00937F81" w:rsidP="006A1398">
      <w:pPr>
        <w:pStyle w:val="Num1"/>
      </w:pPr>
      <w:r w:rsidRPr="00DA3D6F">
        <w:rPr>
          <w:b/>
        </w:rPr>
        <w:t>Purchasing card</w:t>
      </w:r>
      <w:r w:rsidRPr="006D2117">
        <w:t xml:space="preserve"> – </w:t>
      </w:r>
      <w:r w:rsidR="00DA3D6F">
        <w:t>mean</w:t>
      </w:r>
      <w:r w:rsidR="00DA3D6F" w:rsidRPr="00DA3D6F">
        <w:t xml:space="preserve">s any electronic facility which enables the person using it to commit </w:t>
      </w:r>
      <w:r w:rsidR="00DA3D6F">
        <w:t>a Public Sector</w:t>
      </w:r>
      <w:r w:rsidR="00DA3D6F" w:rsidRPr="00DA3D6F">
        <w:t xml:space="preserve"> Agency to pay for the provision of goods and services</w:t>
      </w:r>
      <w:r w:rsidR="00766D24">
        <w:t xml:space="preserve"> </w:t>
      </w:r>
      <w:r w:rsidRPr="00937F81">
        <w:t>(i.e. general government purchasing card, corporate card, credit card, purchasing card facility</w:t>
      </w:r>
      <w:r w:rsidR="00F81911">
        <w:t>, prepaid debit card</w:t>
      </w:r>
      <w:r w:rsidR="006A1398" w:rsidRPr="00DA3D6F">
        <w:t xml:space="preserve">, </w:t>
      </w:r>
      <w:r w:rsidR="006A1398">
        <w:t xml:space="preserve">or </w:t>
      </w:r>
      <w:r w:rsidR="006A1398" w:rsidRPr="00DA3D6F">
        <w:t>virtual card, whether in Australian currency or a foreign currency</w:t>
      </w:r>
      <w:r w:rsidRPr="00937F81">
        <w:t>)</w:t>
      </w:r>
      <w:r w:rsidR="00F81911">
        <w:t xml:space="preserve">, including </w:t>
      </w:r>
      <w:r w:rsidRPr="00937F81">
        <w:t>a purchasing card issued by an Agency to the employee in the name of the Agency.</w:t>
      </w:r>
    </w:p>
    <w:p w14:paraId="11F147F0" w14:textId="77777777" w:rsidR="006D2117" w:rsidRPr="00512760" w:rsidRDefault="006D2117" w:rsidP="000E0DBA">
      <w:pPr>
        <w:pStyle w:val="Num1"/>
      </w:pPr>
      <w:r w:rsidRPr="006D2117">
        <w:rPr>
          <w:b/>
        </w:rPr>
        <w:t>Prepaid debit card</w:t>
      </w:r>
      <w:r w:rsidRPr="006D2117">
        <w:t xml:space="preserve"> (also known as stored value card) – means a card which has money ‘stored’ </w:t>
      </w:r>
      <w:r w:rsidR="00CD1608">
        <w:t>via prepaid deposits made by a Public S</w:t>
      </w:r>
      <w:r w:rsidRPr="006D2117">
        <w:t>ector Agency for</w:t>
      </w:r>
      <w:r w:rsidR="003D25F5">
        <w:t xml:space="preserve"> use by the Agency and their employees</w:t>
      </w:r>
      <w:r w:rsidRPr="006D2117">
        <w:t xml:space="preserve"> </w:t>
      </w:r>
      <w:r w:rsidR="00766D24">
        <w:t xml:space="preserve">for official business, </w:t>
      </w:r>
      <w:r w:rsidR="003D25F5">
        <w:t xml:space="preserve">or in the case of cards issued to the public for </w:t>
      </w:r>
      <w:r w:rsidRPr="006D2117">
        <w:t>the benefit of the recipient of the card.</w:t>
      </w:r>
      <w:r w:rsidR="00937F81">
        <w:t xml:space="preserve"> </w:t>
      </w:r>
      <w:r w:rsidR="00937F81" w:rsidRPr="005B0C7B">
        <w:rPr>
          <w:szCs w:val="18"/>
        </w:rPr>
        <w:t>The card must not link directly to a bank account or credit facility</w:t>
      </w:r>
      <w:r w:rsidR="00937F81">
        <w:rPr>
          <w:szCs w:val="18"/>
        </w:rPr>
        <w:t>.</w:t>
      </w:r>
    </w:p>
    <w:p w14:paraId="70617AAE" w14:textId="77777777" w:rsidR="00512760" w:rsidRPr="00512760" w:rsidRDefault="00512760" w:rsidP="000F6867">
      <w:pPr>
        <w:pStyle w:val="Num1"/>
        <w:keepNext/>
      </w:pPr>
      <w:r>
        <w:rPr>
          <w:b/>
        </w:rPr>
        <w:lastRenderedPageBreak/>
        <w:t xml:space="preserve">Program Administrator </w:t>
      </w:r>
      <w:bookmarkStart w:id="7" w:name="_Hlk24374078"/>
      <w:r w:rsidRPr="007765A7">
        <w:t xml:space="preserve">– means </w:t>
      </w:r>
      <w:bookmarkEnd w:id="7"/>
      <w:r w:rsidRPr="007765A7">
        <w:t xml:space="preserve">the person assigned by the Accountable Office </w:t>
      </w:r>
      <w:r w:rsidR="00684BDE">
        <w:t>under Instruction 3.6, Clause </w:t>
      </w:r>
      <w:r w:rsidR="0046579E">
        <w:t xml:space="preserve">2.1(c) </w:t>
      </w:r>
      <w:r w:rsidRPr="007765A7">
        <w:t xml:space="preserve">to be responsible for the administration of purchasing and prepaid debit cards within an Agency. </w:t>
      </w:r>
    </w:p>
    <w:p w14:paraId="66AC63C3" w14:textId="77777777" w:rsidR="006D2117" w:rsidRDefault="006D2117" w:rsidP="000E0DBA">
      <w:pPr>
        <w:pStyle w:val="Num1"/>
      </w:pPr>
      <w:r w:rsidRPr="006D2117">
        <w:rPr>
          <w:b/>
        </w:rPr>
        <w:t>Unauthorised use</w:t>
      </w:r>
      <w:r w:rsidRPr="006D2117">
        <w:t xml:space="preserve"> – any instance of non-compliance with section 4.3 of the Instruction by the cardholder or as a result of the card bein</w:t>
      </w:r>
      <w:r w:rsidR="00884B57">
        <w:t>g lost or stolen or because of F</w:t>
      </w:r>
      <w:r w:rsidRPr="006D2117">
        <w:t>raud on the part of some third party.</w:t>
      </w:r>
    </w:p>
    <w:p w14:paraId="7E7C2819" w14:textId="77777777" w:rsidR="00A476DC" w:rsidRDefault="00A476DC" w:rsidP="000E0DBA">
      <w:pPr>
        <w:pStyle w:val="Num1"/>
      </w:pPr>
      <w:r>
        <w:rPr>
          <w:b/>
        </w:rPr>
        <w:t>Virtual card</w:t>
      </w:r>
      <w:r w:rsidRPr="00A476DC">
        <w:t xml:space="preserve"> – means</w:t>
      </w:r>
      <w:r>
        <w:t xml:space="preserve"> a facility or arrangement which has the characteristics of a purchasing card, except that no physical card </w:t>
      </w:r>
      <w:r w:rsidR="00640BA8">
        <w:t>ha</w:t>
      </w:r>
      <w:r>
        <w:t xml:space="preserve">s </w:t>
      </w:r>
      <w:r w:rsidR="00640BA8">
        <w:t xml:space="preserve">been </w:t>
      </w:r>
      <w:r>
        <w:t>issued.</w:t>
      </w:r>
    </w:p>
    <w:p w14:paraId="7C1B3560" w14:textId="77777777" w:rsidR="00DF63D8" w:rsidRPr="006D2117" w:rsidRDefault="00DF63D8" w:rsidP="006D2117">
      <w:pPr>
        <w:rPr>
          <w:rFonts w:cs="Times New Roman"/>
          <w:szCs w:val="20"/>
        </w:rPr>
      </w:pPr>
    </w:p>
    <w:p w14:paraId="3ADB8C1A" w14:textId="77777777" w:rsidR="006D2117" w:rsidRDefault="006D2117">
      <w:pPr>
        <w:spacing w:before="0" w:after="200" w:line="276" w:lineRule="auto"/>
        <w:sectPr w:rsidR="006D2117" w:rsidSect="00CF2B85">
          <w:pgSz w:w="11906" w:h="16838"/>
          <w:pgMar w:top="1440" w:right="1008" w:bottom="1440" w:left="1008" w:header="706" w:footer="395" w:gutter="0"/>
          <w:cols w:space="708"/>
          <w:titlePg/>
          <w:docGrid w:linePitch="360"/>
        </w:sectPr>
      </w:pPr>
    </w:p>
    <w:p w14:paraId="139A8E66" w14:textId="77777777" w:rsidR="006D2117" w:rsidRPr="006D2117" w:rsidRDefault="006D2117" w:rsidP="00B32558">
      <w:pPr>
        <w:pStyle w:val="Instruction"/>
      </w:pPr>
      <w:bookmarkStart w:id="8" w:name="Instruction_3_7"/>
      <w:r w:rsidRPr="006D2117">
        <w:lastRenderedPageBreak/>
        <w:t>Instruction 3.7</w:t>
      </w:r>
      <w:bookmarkEnd w:id="8"/>
      <w:r w:rsidRPr="006D2117">
        <w:t xml:space="preserve"> – Managing specific risks – business continuity planning, indemnities and immunities</w:t>
      </w:r>
    </w:p>
    <w:tbl>
      <w:tblPr>
        <w:tblStyle w:val="Table26"/>
        <w:tblW w:w="9630" w:type="dxa"/>
        <w:tblLook w:val="0480" w:firstRow="0" w:lastRow="0" w:firstColumn="1" w:lastColumn="0" w:noHBand="0" w:noVBand="1"/>
      </w:tblPr>
      <w:tblGrid>
        <w:gridCol w:w="2700"/>
        <w:gridCol w:w="6930"/>
      </w:tblGrid>
      <w:tr w:rsidR="006D2117" w:rsidRPr="006D2117" w14:paraId="4796C0D4" w14:textId="77777777" w:rsidTr="003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2B55A770" w14:textId="77777777" w:rsidR="006D2117" w:rsidRPr="006D2117" w:rsidRDefault="006D2117" w:rsidP="006D2117">
            <w:pPr>
              <w:suppressAutoHyphens/>
              <w:autoSpaceDN w:val="0"/>
              <w:spacing w:before="40" w:after="40" w:line="240" w:lineRule="atLeast"/>
              <w:textAlignment w:val="baseline"/>
              <w:rPr>
                <w:rFonts w:cs="Times New Roman"/>
                <w:b/>
                <w:bCs w:val="0"/>
                <w:sz w:val="18"/>
                <w:szCs w:val="20"/>
              </w:rPr>
            </w:pPr>
            <w:r w:rsidRPr="006D2117">
              <w:rPr>
                <w:rFonts w:cs="Times New Roman"/>
                <w:b/>
                <w:sz w:val="18"/>
                <w:szCs w:val="20"/>
              </w:rPr>
              <w:t>Background</w:t>
            </w:r>
          </w:p>
        </w:tc>
        <w:tc>
          <w:tcPr>
            <w:tcW w:w="6930" w:type="dxa"/>
          </w:tcPr>
          <w:p w14:paraId="10053900" w14:textId="77777777" w:rsidR="006D2117" w:rsidRPr="006D2117" w:rsidRDefault="006D2117" w:rsidP="006D2117">
            <w:pPr>
              <w:suppressAutoHyphens/>
              <w:autoSpaceDN w:val="0"/>
              <w:spacing w:before="40" w:after="40" w:line="240" w:lineRule="atLeast"/>
              <w:textAlignment w:val="baseline"/>
              <w:cnfStyle w:val="000000100000" w:firstRow="0" w:lastRow="0" w:firstColumn="0" w:lastColumn="0" w:oddVBand="0" w:evenVBand="0" w:oddHBand="1" w:evenHBand="0" w:firstRowFirstColumn="0" w:firstRowLastColumn="0" w:lastRowFirstColumn="0" w:lastRowLastColumn="0"/>
              <w:rPr>
                <w:rFonts w:cs="Times New Roman"/>
                <w:sz w:val="18"/>
                <w:szCs w:val="20"/>
              </w:rPr>
            </w:pPr>
            <w:r w:rsidRPr="006D2117">
              <w:rPr>
                <w:rFonts w:cs="Times New Roman"/>
                <w:sz w:val="18"/>
                <w:szCs w:val="20"/>
              </w:rPr>
              <w:t>Business continuity management allows the Public Sector Agency to continue critical functions in the event of a significant incident affecting the Agency. Business continuity planning is also an important consideration in the financial sustainability of the Agency.</w:t>
            </w:r>
          </w:p>
          <w:p w14:paraId="33686927" w14:textId="77777777" w:rsidR="006D2117" w:rsidRPr="006D2117" w:rsidRDefault="006D2117" w:rsidP="006D2117">
            <w:pPr>
              <w:suppressAutoHyphens/>
              <w:autoSpaceDN w:val="0"/>
              <w:spacing w:before="40" w:after="40" w:line="240" w:lineRule="atLeast"/>
              <w:textAlignment w:val="baseline"/>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6D2117">
              <w:rPr>
                <w:rFonts w:cs="Times New Roman"/>
                <w:sz w:val="18"/>
                <w:szCs w:val="18"/>
              </w:rPr>
              <w:t xml:space="preserve">Indemnities and immunities </w:t>
            </w:r>
            <w:r w:rsidRPr="006D2117">
              <w:rPr>
                <w:rFonts w:cstheme="minorHAnsi"/>
                <w:sz w:val="18"/>
                <w:szCs w:val="18"/>
              </w:rPr>
              <w:t>create a potential financial risk or liability that may be realised at a later date.</w:t>
            </w:r>
          </w:p>
        </w:tc>
      </w:tr>
      <w:tr w:rsidR="006D2117" w:rsidRPr="006D2117" w14:paraId="128242B3" w14:textId="77777777" w:rsidTr="003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7D705FAD" w14:textId="77777777" w:rsidR="006D2117" w:rsidRPr="006D2117" w:rsidRDefault="006D2117" w:rsidP="006D2117">
            <w:pPr>
              <w:suppressAutoHyphens/>
              <w:autoSpaceDN w:val="0"/>
              <w:spacing w:before="40" w:after="40" w:line="240" w:lineRule="atLeast"/>
              <w:textAlignment w:val="baseline"/>
              <w:rPr>
                <w:rFonts w:cs="Times New Roman"/>
                <w:b/>
                <w:bCs w:val="0"/>
                <w:sz w:val="18"/>
                <w:szCs w:val="20"/>
              </w:rPr>
            </w:pPr>
            <w:r w:rsidRPr="006D2117">
              <w:rPr>
                <w:rFonts w:cs="Times New Roman"/>
                <w:b/>
                <w:sz w:val="18"/>
                <w:szCs w:val="20"/>
              </w:rPr>
              <w:t>Effective date</w:t>
            </w:r>
          </w:p>
        </w:tc>
        <w:tc>
          <w:tcPr>
            <w:tcW w:w="6930" w:type="dxa"/>
          </w:tcPr>
          <w:p w14:paraId="5B1367CE" w14:textId="77777777" w:rsidR="006D2117" w:rsidRPr="006D2117" w:rsidRDefault="006D2117" w:rsidP="006D2117">
            <w:pPr>
              <w:suppressAutoHyphens/>
              <w:autoSpaceDN w:val="0"/>
              <w:spacing w:before="40" w:after="40" w:line="240" w:lineRule="atLeast"/>
              <w:textAlignment w:val="baseline"/>
              <w:cnfStyle w:val="000000010000" w:firstRow="0" w:lastRow="0" w:firstColumn="0" w:lastColumn="0" w:oddVBand="0" w:evenVBand="0" w:oddHBand="0" w:evenHBand="1" w:firstRowFirstColumn="0" w:firstRowLastColumn="0" w:lastRowFirstColumn="0" w:lastRowLastColumn="0"/>
              <w:rPr>
                <w:rFonts w:cs="Times New Roman"/>
                <w:sz w:val="18"/>
                <w:szCs w:val="20"/>
              </w:rPr>
            </w:pPr>
            <w:r w:rsidRPr="006D2117">
              <w:rPr>
                <w:rFonts w:cs="Times New Roman"/>
                <w:sz w:val="18"/>
                <w:szCs w:val="20"/>
              </w:rPr>
              <w:t>1 July 2016</w:t>
            </w:r>
          </w:p>
        </w:tc>
      </w:tr>
      <w:tr w:rsidR="006D2117" w:rsidRPr="006D2117" w14:paraId="54003B6E" w14:textId="77777777" w:rsidTr="003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2A457FFB" w14:textId="77777777" w:rsidR="006D2117" w:rsidRPr="006D2117" w:rsidRDefault="006D2117" w:rsidP="006A0812">
            <w:pPr>
              <w:suppressAutoHyphens/>
              <w:autoSpaceDN w:val="0"/>
              <w:spacing w:before="40" w:after="40" w:line="240" w:lineRule="atLeast"/>
              <w:textAlignment w:val="baseline"/>
              <w:rPr>
                <w:rFonts w:cs="Times New Roman"/>
                <w:b/>
                <w:bCs w:val="0"/>
                <w:sz w:val="18"/>
                <w:szCs w:val="20"/>
              </w:rPr>
            </w:pPr>
            <w:r w:rsidRPr="006D2117">
              <w:rPr>
                <w:rFonts w:cs="Times New Roman"/>
                <w:b/>
                <w:sz w:val="18"/>
                <w:szCs w:val="20"/>
              </w:rPr>
              <w:t>Relevant Directions</w:t>
            </w:r>
          </w:p>
        </w:tc>
        <w:tc>
          <w:tcPr>
            <w:tcW w:w="6930" w:type="dxa"/>
          </w:tcPr>
          <w:p w14:paraId="474B8771" w14:textId="328DBC5C" w:rsidR="006D2117" w:rsidRPr="006D2117" w:rsidRDefault="006D2117" w:rsidP="006D2117">
            <w:pPr>
              <w:suppressAutoHyphens/>
              <w:autoSpaceDN w:val="0"/>
              <w:spacing w:before="40" w:after="40" w:line="240" w:lineRule="atLeast"/>
              <w:textAlignment w:val="baseline"/>
              <w:cnfStyle w:val="000000100000" w:firstRow="0" w:lastRow="0" w:firstColumn="0" w:lastColumn="0" w:oddVBand="0" w:evenVBand="0" w:oddHBand="1" w:evenHBand="0" w:firstRowFirstColumn="0" w:firstRowLastColumn="0" w:lastRowFirstColumn="0" w:lastRowLastColumn="0"/>
              <w:rPr>
                <w:rFonts w:cs="Times New Roman"/>
                <w:sz w:val="18"/>
                <w:szCs w:val="20"/>
              </w:rPr>
            </w:pPr>
            <w:hyperlink r:id="rId56" w:anchor="standing-directions-2018" w:history="1">
              <w:r w:rsidRPr="00364750">
                <w:rPr>
                  <w:rStyle w:val="Hyperlink"/>
                  <w:rFonts w:cs="Times New Roman"/>
                  <w:sz w:val="18"/>
                  <w:szCs w:val="20"/>
                </w:rPr>
                <w:t>3.2 Oversight and assurance</w:t>
              </w:r>
            </w:hyperlink>
          </w:p>
          <w:p w14:paraId="3797C9ED" w14:textId="5F208BEA" w:rsidR="006D2117" w:rsidRPr="006D2117" w:rsidRDefault="006D2117" w:rsidP="006D2117">
            <w:pPr>
              <w:suppressAutoHyphens/>
              <w:autoSpaceDN w:val="0"/>
              <w:spacing w:before="40" w:after="40" w:line="240" w:lineRule="atLeast"/>
              <w:textAlignment w:val="baseline"/>
              <w:cnfStyle w:val="000000100000" w:firstRow="0" w:lastRow="0" w:firstColumn="0" w:lastColumn="0" w:oddVBand="0" w:evenVBand="0" w:oddHBand="1" w:evenHBand="0" w:firstRowFirstColumn="0" w:firstRowLastColumn="0" w:lastRowFirstColumn="0" w:lastRowLastColumn="0"/>
              <w:rPr>
                <w:rFonts w:cs="Times New Roman"/>
                <w:sz w:val="18"/>
                <w:szCs w:val="20"/>
              </w:rPr>
            </w:pPr>
            <w:hyperlink r:id="rId57" w:anchor="standing-directions-2018" w:history="1">
              <w:r w:rsidRPr="00364750">
                <w:rPr>
                  <w:rStyle w:val="Hyperlink"/>
                  <w:rFonts w:cs="Times New Roman"/>
                  <w:sz w:val="18"/>
                  <w:szCs w:val="20"/>
                </w:rPr>
                <w:t>3.4 Internal control system</w:t>
              </w:r>
            </w:hyperlink>
          </w:p>
          <w:p w14:paraId="552A54B3" w14:textId="43D4005E" w:rsidR="006D2117" w:rsidRPr="006D2117" w:rsidRDefault="006D2117" w:rsidP="006D2117">
            <w:pPr>
              <w:suppressAutoHyphens/>
              <w:autoSpaceDN w:val="0"/>
              <w:spacing w:before="40" w:after="40" w:line="240" w:lineRule="atLeast"/>
              <w:textAlignment w:val="baseline"/>
              <w:cnfStyle w:val="000000100000" w:firstRow="0" w:lastRow="0" w:firstColumn="0" w:lastColumn="0" w:oddVBand="0" w:evenVBand="0" w:oddHBand="1" w:evenHBand="0" w:firstRowFirstColumn="0" w:firstRowLastColumn="0" w:lastRowFirstColumn="0" w:lastRowLastColumn="0"/>
              <w:rPr>
                <w:rFonts w:cs="Times New Roman"/>
                <w:sz w:val="18"/>
                <w:szCs w:val="20"/>
              </w:rPr>
            </w:pPr>
            <w:hyperlink r:id="rId58" w:anchor="standing-directions-2018" w:history="1">
              <w:r w:rsidRPr="00364750">
                <w:rPr>
                  <w:rStyle w:val="Hyperlink"/>
                  <w:rFonts w:cs="Times New Roman"/>
                  <w:sz w:val="18"/>
                  <w:szCs w:val="20"/>
                </w:rPr>
                <w:t>3.7 Managing risk</w:t>
              </w:r>
            </w:hyperlink>
            <w:r w:rsidRPr="006D2117">
              <w:rPr>
                <w:rFonts w:cs="Times New Roman"/>
                <w:sz w:val="18"/>
                <w:szCs w:val="20"/>
              </w:rPr>
              <w:t xml:space="preserve"> </w:t>
            </w:r>
          </w:p>
        </w:tc>
      </w:tr>
      <w:tr w:rsidR="006D2117" w:rsidRPr="006D2117" w14:paraId="497C250B" w14:textId="77777777" w:rsidTr="003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27F4D416" w14:textId="77777777" w:rsidR="006D2117" w:rsidRPr="006D2117" w:rsidRDefault="006D2117" w:rsidP="006D2117">
            <w:pPr>
              <w:suppressAutoHyphens/>
              <w:autoSpaceDN w:val="0"/>
              <w:spacing w:before="40" w:after="40" w:line="240" w:lineRule="atLeast"/>
              <w:textAlignment w:val="baseline"/>
              <w:rPr>
                <w:rFonts w:cs="Times New Roman"/>
                <w:b/>
                <w:bCs w:val="0"/>
                <w:sz w:val="18"/>
                <w:szCs w:val="20"/>
              </w:rPr>
            </w:pPr>
            <w:r w:rsidRPr="006D2117">
              <w:rPr>
                <w:rFonts w:cs="Times New Roman"/>
                <w:b/>
                <w:sz w:val="18"/>
                <w:szCs w:val="20"/>
              </w:rPr>
              <w:t>History</w:t>
            </w:r>
          </w:p>
        </w:tc>
        <w:tc>
          <w:tcPr>
            <w:tcW w:w="6930" w:type="dxa"/>
          </w:tcPr>
          <w:p w14:paraId="767923C2" w14:textId="66DDA0AE" w:rsidR="009F7DFC" w:rsidRPr="009F7DFC" w:rsidRDefault="009F7DFC" w:rsidP="009F7DFC">
            <w:pPr>
              <w:suppressAutoHyphens/>
              <w:autoSpaceDN w:val="0"/>
              <w:spacing w:before="40" w:after="40" w:line="240" w:lineRule="atLeast"/>
              <w:textAlignment w:val="baseline"/>
              <w:cnfStyle w:val="000000010000" w:firstRow="0" w:lastRow="0" w:firstColumn="0" w:lastColumn="0" w:oddVBand="0" w:evenVBand="0" w:oddHBand="0" w:evenHBand="1" w:firstRowFirstColumn="0" w:firstRowLastColumn="0" w:lastRowFirstColumn="0" w:lastRowLastColumn="0"/>
              <w:rPr>
                <w:rFonts w:cs="Times New Roman"/>
                <w:sz w:val="18"/>
                <w:szCs w:val="20"/>
              </w:rPr>
            </w:pPr>
            <w:r w:rsidRPr="009F7DFC">
              <w:rPr>
                <w:rFonts w:cs="Times New Roman"/>
                <w:sz w:val="18"/>
                <w:szCs w:val="20"/>
              </w:rPr>
              <w:t xml:space="preserve">Last updated: </w:t>
            </w:r>
            <w:r w:rsidR="008F3E4B">
              <w:rPr>
                <w:rFonts w:cs="Times New Roman"/>
                <w:bCs/>
                <w:sz w:val="18"/>
                <w:szCs w:val="20"/>
              </w:rPr>
              <w:t xml:space="preserve">xx </w:t>
            </w:r>
            <w:r w:rsidR="001E5F68">
              <w:rPr>
                <w:rFonts w:cs="Times New Roman"/>
                <w:bCs/>
                <w:sz w:val="18"/>
                <w:szCs w:val="20"/>
              </w:rPr>
              <w:t xml:space="preserve">February </w:t>
            </w:r>
            <w:r w:rsidR="008F3E4B">
              <w:rPr>
                <w:rFonts w:cs="Times New Roman"/>
                <w:bCs/>
                <w:sz w:val="18"/>
                <w:szCs w:val="20"/>
              </w:rPr>
              <w:t>2021</w:t>
            </w:r>
          </w:p>
          <w:p w14:paraId="205DCC87" w14:textId="77777777" w:rsidR="006D2117" w:rsidRPr="006D2117" w:rsidRDefault="009F7DFC" w:rsidP="009F7DFC">
            <w:pPr>
              <w:suppressAutoHyphens/>
              <w:autoSpaceDN w:val="0"/>
              <w:spacing w:before="40" w:after="40" w:line="240" w:lineRule="atLeast"/>
              <w:textAlignment w:val="baseline"/>
              <w:cnfStyle w:val="000000010000" w:firstRow="0" w:lastRow="0" w:firstColumn="0" w:lastColumn="0" w:oddVBand="0" w:evenVBand="0" w:oddHBand="0" w:evenHBand="1" w:firstRowFirstColumn="0" w:firstRowLastColumn="0" w:lastRowFirstColumn="0" w:lastRowLastColumn="0"/>
              <w:rPr>
                <w:rFonts w:cs="Times New Roman"/>
                <w:sz w:val="18"/>
                <w:szCs w:val="20"/>
              </w:rPr>
            </w:pPr>
            <w:r w:rsidRPr="009F7DFC">
              <w:rPr>
                <w:rFonts w:cs="Times New Roman"/>
                <w:sz w:val="18"/>
                <w:szCs w:val="20"/>
              </w:rPr>
              <w:t>Issued: 1 July 2016</w:t>
            </w:r>
          </w:p>
        </w:tc>
      </w:tr>
    </w:tbl>
    <w:p w14:paraId="3AA5F435" w14:textId="77777777" w:rsidR="007961CA" w:rsidRPr="00391F57" w:rsidRDefault="007961CA" w:rsidP="007961CA">
      <w:pPr>
        <w:spacing w:before="0" w:after="0" w:line="120" w:lineRule="atLeast"/>
        <w:rPr>
          <w:sz w:val="12"/>
        </w:rPr>
      </w:pPr>
    </w:p>
    <w:p w14:paraId="0B966D99" w14:textId="77777777" w:rsidR="006D2117" w:rsidRPr="00732422" w:rsidRDefault="006D2117" w:rsidP="00CE2BDD">
      <w:pPr>
        <w:pStyle w:val="Heading1"/>
        <w:numPr>
          <w:ilvl w:val="0"/>
          <w:numId w:val="12"/>
        </w:numPr>
      </w:pPr>
      <w:r w:rsidRPr="00732422">
        <w:t>Business continuity planning</w:t>
      </w:r>
    </w:p>
    <w:p w14:paraId="24F73FFB" w14:textId="77777777" w:rsidR="006D2117" w:rsidRPr="006D2117" w:rsidRDefault="006D2117" w:rsidP="009848A6">
      <w:pPr>
        <w:pStyle w:val="Heading2"/>
      </w:pPr>
      <w:r w:rsidRPr="006D2117">
        <w:t xml:space="preserve">The Accountable Officer must ensure </w:t>
      </w:r>
      <w:r w:rsidR="003865F8">
        <w:t>that</w:t>
      </w:r>
      <w:r w:rsidR="00DC4268">
        <w:t xml:space="preserve"> the</w:t>
      </w:r>
      <w:r w:rsidR="003865F8">
        <w:t xml:space="preserve"> </w:t>
      </w:r>
      <w:r w:rsidRPr="006D2117">
        <w:t>Agency:</w:t>
      </w:r>
    </w:p>
    <w:p w14:paraId="3C5E38E8" w14:textId="5F6A1271" w:rsidR="006D2117" w:rsidRPr="006D2117" w:rsidRDefault="00035A5D" w:rsidP="009848A6">
      <w:pPr>
        <w:pStyle w:val="Num1"/>
      </w:pPr>
      <w:r>
        <w:t>d</w:t>
      </w:r>
      <w:r w:rsidR="006D2117" w:rsidRPr="006D2117">
        <w:t>evelops</w:t>
      </w:r>
      <w:r>
        <w:t>,</w:t>
      </w:r>
      <w:r w:rsidR="006D2117" w:rsidRPr="006D2117">
        <w:t xml:space="preserve"> implements </w:t>
      </w:r>
      <w:r>
        <w:t xml:space="preserve">and maintains </w:t>
      </w:r>
      <w:r w:rsidR="006D2117" w:rsidRPr="006D2117">
        <w:t>documented Business continuity planning (BCP) processes consistent with the latest Australian standard on Business continuity</w:t>
      </w:r>
      <w:r w:rsidR="008C3B76">
        <w:rPr>
          <w:rStyle w:val="FootnoteReference"/>
        </w:rPr>
        <w:footnoteReference w:id="26"/>
      </w:r>
      <w:r w:rsidR="006D2117" w:rsidRPr="006D2117">
        <w:t xml:space="preserve"> or</w:t>
      </w:r>
      <w:r w:rsidR="008C3B76">
        <w:t>,</w:t>
      </w:r>
      <w:r w:rsidR="006D2117" w:rsidRPr="006D2117">
        <w:t xml:space="preserve"> where relevant</w:t>
      </w:r>
      <w:r w:rsidR="008C3B76">
        <w:t>,</w:t>
      </w:r>
      <w:r w:rsidR="006D2117" w:rsidRPr="006D2117">
        <w:t xml:space="preserve"> </w:t>
      </w:r>
      <w:r w:rsidR="003865F8">
        <w:t>an</w:t>
      </w:r>
      <w:r w:rsidR="006D2117" w:rsidRPr="006D2117">
        <w:t>other Australian, international or industry recognised standard; and</w:t>
      </w:r>
    </w:p>
    <w:p w14:paraId="05B9E304" w14:textId="77777777" w:rsidR="006D2117" w:rsidRPr="006D2117" w:rsidRDefault="006D2117" w:rsidP="009848A6">
      <w:pPr>
        <w:pStyle w:val="Num1"/>
      </w:pPr>
      <w:r w:rsidRPr="006D2117">
        <w:t xml:space="preserve">reviews and tests </w:t>
      </w:r>
      <w:r w:rsidR="00035A5D">
        <w:t>its</w:t>
      </w:r>
      <w:r w:rsidR="00035A5D" w:rsidRPr="006D2117">
        <w:t xml:space="preserve"> </w:t>
      </w:r>
      <w:r w:rsidR="00035A5D">
        <w:t>BCP processes</w:t>
      </w:r>
      <w:r w:rsidR="00035A5D" w:rsidRPr="006D2117">
        <w:t xml:space="preserve"> </w:t>
      </w:r>
      <w:r w:rsidRPr="006D2117">
        <w:t>on a regular basis, but at a minimum every two years.</w:t>
      </w:r>
    </w:p>
    <w:p w14:paraId="4746D5E9" w14:textId="77777777" w:rsidR="006D2117" w:rsidRPr="006D2117" w:rsidRDefault="006D2117" w:rsidP="00CE2BDD">
      <w:pPr>
        <w:pStyle w:val="Heading1"/>
        <w:numPr>
          <w:ilvl w:val="0"/>
          <w:numId w:val="12"/>
        </w:numPr>
      </w:pPr>
      <w:r w:rsidRPr="006D2117">
        <w:t>Treasurer’s indemnity</w:t>
      </w:r>
    </w:p>
    <w:p w14:paraId="03893419" w14:textId="77777777" w:rsidR="006D2117" w:rsidRPr="00805BEA" w:rsidRDefault="006D2117" w:rsidP="00C94216">
      <w:pPr>
        <w:pStyle w:val="Heading2NoNum"/>
        <w:ind w:left="504"/>
      </w:pPr>
      <w:r w:rsidRPr="00805BEA">
        <w:t>Seeking an indemnity</w:t>
      </w:r>
    </w:p>
    <w:p w14:paraId="41A05E80" w14:textId="77777777" w:rsidR="006D2117" w:rsidRPr="006D2117" w:rsidRDefault="006D2117" w:rsidP="00CE2BDD">
      <w:pPr>
        <w:pStyle w:val="Heading2"/>
        <w:numPr>
          <w:ilvl w:val="1"/>
          <w:numId w:val="34"/>
        </w:numPr>
      </w:pPr>
      <w:r w:rsidRPr="006D2117">
        <w:t>The Accountable Officer must ensure</w:t>
      </w:r>
      <w:r w:rsidR="008C3B76">
        <w:t xml:space="preserve"> that</w:t>
      </w:r>
      <w:r w:rsidRPr="006D2117">
        <w:t xml:space="preserve"> a request to the Treasurer for an indemnity under Part 6A of the </w:t>
      </w:r>
      <w:r w:rsidRPr="00805BEA">
        <w:rPr>
          <w:i/>
        </w:rPr>
        <w:t>Financial Management Act 1994</w:t>
      </w:r>
      <w:r w:rsidRPr="006D2117">
        <w:t xml:space="preserve"> is made in writing by the Responsible Minister </w:t>
      </w:r>
      <w:r w:rsidRPr="00CA6417">
        <w:t xml:space="preserve">and in accordance with </w:t>
      </w:r>
      <w:r w:rsidR="00CA6417">
        <w:t>relevant legislation, standards and policies</w:t>
      </w:r>
      <w:r w:rsidRPr="006D2117">
        <w:t xml:space="preserve">. </w:t>
      </w:r>
    </w:p>
    <w:p w14:paraId="40562FEA" w14:textId="77777777" w:rsidR="006D2117" w:rsidRPr="006D2117" w:rsidRDefault="006D2117" w:rsidP="009848A6">
      <w:pPr>
        <w:pStyle w:val="Heading2"/>
      </w:pPr>
      <w:r w:rsidRPr="006D2117">
        <w:t>The submission</w:t>
      </w:r>
      <w:r w:rsidR="008C3B76">
        <w:t xml:space="preserve"> under clause 2.1 of this Instruction</w:t>
      </w:r>
      <w:r w:rsidRPr="006D2117">
        <w:t xml:space="preserve"> must include the following:</w:t>
      </w:r>
    </w:p>
    <w:p w14:paraId="4578EE90" w14:textId="77777777" w:rsidR="006D2117" w:rsidRPr="006D2117" w:rsidRDefault="006D2117" w:rsidP="007961CA">
      <w:pPr>
        <w:pStyle w:val="Num1"/>
        <w:contextualSpacing/>
      </w:pPr>
      <w:r w:rsidRPr="006D2117">
        <w:t xml:space="preserve">a clear identification of the risk assumed by the State if the indemnity is </w:t>
      </w:r>
      <w:proofErr w:type="gramStart"/>
      <w:r w:rsidRPr="006D2117">
        <w:t>granted;</w:t>
      </w:r>
      <w:proofErr w:type="gramEnd"/>
    </w:p>
    <w:p w14:paraId="4B64D9E3" w14:textId="77777777" w:rsidR="006D2117" w:rsidRPr="006D2117" w:rsidRDefault="006D2117" w:rsidP="007961CA">
      <w:pPr>
        <w:pStyle w:val="Num1"/>
        <w:contextualSpacing/>
      </w:pPr>
      <w:r w:rsidRPr="006D2117">
        <w:t xml:space="preserve">an assessment of the likelihood of the risk </w:t>
      </w:r>
      <w:proofErr w:type="gramStart"/>
      <w:r w:rsidRPr="006D2117">
        <w:t>materialising;</w:t>
      </w:r>
      <w:proofErr w:type="gramEnd"/>
    </w:p>
    <w:p w14:paraId="7707AF8E" w14:textId="77777777" w:rsidR="006D2117" w:rsidRPr="006D2117" w:rsidRDefault="006D2117" w:rsidP="007961CA">
      <w:pPr>
        <w:pStyle w:val="Num1"/>
        <w:contextualSpacing/>
      </w:pPr>
      <w:r w:rsidRPr="006D2117">
        <w:t xml:space="preserve">the financial and other impacts or consequences that will occur if the risk </w:t>
      </w:r>
      <w:proofErr w:type="gramStart"/>
      <w:r w:rsidRPr="006D2117">
        <w:t>materialises;</w:t>
      </w:r>
      <w:proofErr w:type="gramEnd"/>
    </w:p>
    <w:p w14:paraId="7CE6CF78" w14:textId="77777777" w:rsidR="006D2117" w:rsidRPr="006D2117" w:rsidRDefault="006D2117" w:rsidP="007961CA">
      <w:pPr>
        <w:pStyle w:val="Num1"/>
        <w:contextualSpacing/>
      </w:pPr>
      <w:r w:rsidRPr="006D2117">
        <w:t xml:space="preserve">the availability or non-availability of insurance, on commercially reasonable terms from a reputable insurer, in respect of that </w:t>
      </w:r>
      <w:proofErr w:type="gramStart"/>
      <w:r w:rsidRPr="006D2117">
        <w:t>risk;</w:t>
      </w:r>
      <w:proofErr w:type="gramEnd"/>
    </w:p>
    <w:p w14:paraId="3DB23C95" w14:textId="77777777" w:rsidR="006D2117" w:rsidRPr="006D2117" w:rsidRDefault="006D2117" w:rsidP="007961CA">
      <w:pPr>
        <w:pStyle w:val="Num1"/>
        <w:contextualSpacing/>
      </w:pPr>
      <w:r w:rsidRPr="006D2117">
        <w:t xml:space="preserve">who is responsible for managing the risk on behalf the relevant </w:t>
      </w:r>
      <w:proofErr w:type="gramStart"/>
      <w:r w:rsidR="00EF5417">
        <w:t>Agency</w:t>
      </w:r>
      <w:r w:rsidRPr="006D2117">
        <w:t>;</w:t>
      </w:r>
      <w:proofErr w:type="gramEnd"/>
    </w:p>
    <w:p w14:paraId="79CB020F" w14:textId="77777777" w:rsidR="006D2117" w:rsidRPr="006D2117" w:rsidRDefault="006D2117" w:rsidP="007961CA">
      <w:pPr>
        <w:pStyle w:val="Num1"/>
        <w:contextualSpacing/>
      </w:pPr>
      <w:r w:rsidRPr="006D2117">
        <w:t xml:space="preserve">what risk management or mitigation strategies that the </w:t>
      </w:r>
      <w:r w:rsidR="00EF5417">
        <w:t>Agency</w:t>
      </w:r>
      <w:r w:rsidRPr="006D2117">
        <w:t xml:space="preserve"> proposes to adopt with respect to that </w:t>
      </w:r>
      <w:proofErr w:type="gramStart"/>
      <w:r w:rsidRPr="006D2117">
        <w:t>risk;</w:t>
      </w:r>
      <w:proofErr w:type="gramEnd"/>
    </w:p>
    <w:p w14:paraId="7C1AE2CC" w14:textId="77777777" w:rsidR="006D2117" w:rsidRPr="006D2117" w:rsidRDefault="006D2117" w:rsidP="007961CA">
      <w:pPr>
        <w:pStyle w:val="Num1"/>
        <w:contextualSpacing/>
      </w:pPr>
      <w:r w:rsidRPr="006D2117">
        <w:t>the indemnity period proposed; and</w:t>
      </w:r>
    </w:p>
    <w:p w14:paraId="2E7B94EF" w14:textId="77777777" w:rsidR="006D2117" w:rsidRDefault="006D2117" w:rsidP="007961CA">
      <w:pPr>
        <w:pStyle w:val="Num1"/>
        <w:contextualSpacing/>
      </w:pPr>
      <w:r w:rsidRPr="006D2117">
        <w:t>any further information required by DTF on behalf of the Treasurer.</w:t>
      </w:r>
    </w:p>
    <w:p w14:paraId="560D7328" w14:textId="77777777" w:rsidR="006D2117" w:rsidRPr="006D2117" w:rsidRDefault="00CA6417" w:rsidP="009848A6">
      <w:pPr>
        <w:pStyle w:val="Heading2"/>
      </w:pPr>
      <w:r>
        <w:t>When an indemnity is granted, t</w:t>
      </w:r>
      <w:r w:rsidR="006D2117" w:rsidRPr="006D2117">
        <w:t xml:space="preserve">he Agency must record, at minimum, the following information on </w:t>
      </w:r>
      <w:r>
        <w:t>the</w:t>
      </w:r>
      <w:r w:rsidR="006D2117" w:rsidRPr="006D2117">
        <w:t xml:space="preserve"> indemnity:</w:t>
      </w:r>
    </w:p>
    <w:p w14:paraId="5D07B9AB" w14:textId="77777777" w:rsidR="006D2117" w:rsidRPr="006D2117" w:rsidRDefault="006D2117" w:rsidP="007961CA">
      <w:pPr>
        <w:pStyle w:val="Num1"/>
        <w:contextualSpacing/>
      </w:pPr>
      <w:r w:rsidRPr="006D2117">
        <w:t xml:space="preserve">a clear description of the </w:t>
      </w:r>
      <w:proofErr w:type="gramStart"/>
      <w:r w:rsidRPr="006D2117">
        <w:t>risk;</w:t>
      </w:r>
      <w:proofErr w:type="gramEnd"/>
    </w:p>
    <w:p w14:paraId="0C6AC3CB" w14:textId="77777777" w:rsidR="006D2117" w:rsidRPr="006D2117" w:rsidRDefault="006D2117" w:rsidP="007961CA">
      <w:pPr>
        <w:pStyle w:val="Num1"/>
        <w:contextualSpacing/>
      </w:pPr>
      <w:r w:rsidRPr="006D2117">
        <w:t xml:space="preserve">the name of each </w:t>
      </w:r>
      <w:proofErr w:type="gramStart"/>
      <w:r w:rsidRPr="006D2117">
        <w:t>party;</w:t>
      </w:r>
      <w:proofErr w:type="gramEnd"/>
    </w:p>
    <w:p w14:paraId="76E60115" w14:textId="77777777" w:rsidR="006D2117" w:rsidRPr="006D2117" w:rsidRDefault="006D2117" w:rsidP="007961CA">
      <w:pPr>
        <w:pStyle w:val="Num1"/>
        <w:contextualSpacing/>
      </w:pPr>
      <w:r w:rsidRPr="006D2117">
        <w:t>the name of the party responsible for managing the risk (usually an Agency</w:t>
      </w:r>
      <w:proofErr w:type="gramStart"/>
      <w:r w:rsidRPr="006D2117">
        <w:t>);</w:t>
      </w:r>
      <w:proofErr w:type="gramEnd"/>
    </w:p>
    <w:p w14:paraId="70C487A0" w14:textId="77777777" w:rsidR="006D2117" w:rsidRPr="006D2117" w:rsidRDefault="006D2117" w:rsidP="007961CA">
      <w:pPr>
        <w:pStyle w:val="Num1"/>
        <w:contextualSpacing/>
      </w:pPr>
      <w:r w:rsidRPr="006D2117">
        <w:t>an estimate of the financial risk created by the indemnity; and</w:t>
      </w:r>
    </w:p>
    <w:p w14:paraId="3E93EED9" w14:textId="77777777" w:rsidR="006D2117" w:rsidRPr="006D2117" w:rsidRDefault="006D2117" w:rsidP="007961CA">
      <w:pPr>
        <w:pStyle w:val="Num1"/>
        <w:contextualSpacing/>
      </w:pPr>
      <w:r w:rsidRPr="006D2117">
        <w:t>the indemnity period (e.g. commencement and termination or expiry).</w:t>
      </w:r>
    </w:p>
    <w:p w14:paraId="4C3EE00F" w14:textId="77777777" w:rsidR="007961CA" w:rsidRDefault="007961CA">
      <w:pPr>
        <w:spacing w:before="0" w:after="200" w:line="276" w:lineRule="auto"/>
      </w:pPr>
      <w:r>
        <w:br w:type="page"/>
      </w:r>
    </w:p>
    <w:p w14:paraId="23268880" w14:textId="77777777" w:rsidR="006D2117" w:rsidRPr="006D2117" w:rsidRDefault="006D2117" w:rsidP="009848A6">
      <w:pPr>
        <w:pStyle w:val="Heading2"/>
      </w:pPr>
      <w:r w:rsidRPr="006D2117">
        <w:lastRenderedPageBreak/>
        <w:t>The Accountable Officer of DTF must:</w:t>
      </w:r>
    </w:p>
    <w:p w14:paraId="184F634E" w14:textId="77777777" w:rsidR="006D2117" w:rsidRPr="006D2117" w:rsidRDefault="00C6020D" w:rsidP="009848A6">
      <w:pPr>
        <w:pStyle w:val="Num1"/>
      </w:pPr>
      <w:r>
        <w:t>review</w:t>
      </w:r>
      <w:r w:rsidR="006D2117" w:rsidRPr="006D2117">
        <w:t xml:space="preserve"> all indemnities on behalf of the </w:t>
      </w:r>
      <w:proofErr w:type="gramStart"/>
      <w:r w:rsidR="006D2117" w:rsidRPr="006D2117">
        <w:t>Treasurer;</w:t>
      </w:r>
      <w:proofErr w:type="gramEnd"/>
      <w:r w:rsidR="006D2117" w:rsidRPr="006D2117">
        <w:t xml:space="preserve"> </w:t>
      </w:r>
    </w:p>
    <w:p w14:paraId="38A161C8" w14:textId="77777777" w:rsidR="006D2117" w:rsidRPr="006D2117" w:rsidRDefault="006D2117" w:rsidP="009848A6">
      <w:pPr>
        <w:pStyle w:val="Num1"/>
      </w:pPr>
      <w:r w:rsidRPr="006D2117">
        <w:t>record all indemnities; and</w:t>
      </w:r>
    </w:p>
    <w:p w14:paraId="22310336" w14:textId="77777777" w:rsidR="006D2117" w:rsidRPr="006D2117" w:rsidRDefault="006D2117" w:rsidP="009848A6">
      <w:pPr>
        <w:pStyle w:val="Num1"/>
      </w:pPr>
      <w:r w:rsidRPr="006D2117">
        <w:t>monitor and report all significant quantified and unquantified contingent liabilities as part of the Victorian Government’s annual financial management process.</w:t>
      </w:r>
    </w:p>
    <w:p w14:paraId="4D54E204" w14:textId="77777777" w:rsidR="006D2117" w:rsidRPr="006D2117" w:rsidRDefault="006D2117" w:rsidP="009848A6">
      <w:pPr>
        <w:pStyle w:val="Heading2"/>
      </w:pPr>
      <w:r w:rsidRPr="006D2117">
        <w:t xml:space="preserve">The Accountable Officer </w:t>
      </w:r>
      <w:r w:rsidR="00901DC1">
        <w:t xml:space="preserve">of an Agency </w:t>
      </w:r>
      <w:r w:rsidRPr="006D2117">
        <w:t>must:</w:t>
      </w:r>
    </w:p>
    <w:p w14:paraId="4C6FA485" w14:textId="77777777" w:rsidR="006D2117" w:rsidRPr="006D2117" w:rsidRDefault="006D2117" w:rsidP="009848A6">
      <w:pPr>
        <w:pStyle w:val="Num1"/>
      </w:pPr>
      <w:r w:rsidRPr="006D2117">
        <w:t>monitor each indemnity granted by the Treasurer</w:t>
      </w:r>
      <w:r w:rsidR="00714838">
        <w:t xml:space="preserve"> under the </w:t>
      </w:r>
      <w:r w:rsidR="00714838" w:rsidRPr="00714838">
        <w:rPr>
          <w:i/>
        </w:rPr>
        <w:t>Financial Management Act 1994</w:t>
      </w:r>
      <w:r w:rsidRPr="006D2117">
        <w:t xml:space="preserve"> and advise the Treasurer in the event of any change in circumstances that may change the nature of the risk covered by the indemnity; and </w:t>
      </w:r>
    </w:p>
    <w:p w14:paraId="72075FD3" w14:textId="77777777" w:rsidR="006D2117" w:rsidRPr="006D2117" w:rsidRDefault="006D2117" w:rsidP="009848A6">
      <w:pPr>
        <w:pStyle w:val="Num1"/>
      </w:pPr>
      <w:r w:rsidRPr="006D2117">
        <w:t>record each indemnity for which it is responsible as a contingent liability in accordance with Australian Accounting Standards.</w:t>
      </w:r>
    </w:p>
    <w:p w14:paraId="1FF415DE" w14:textId="77777777" w:rsidR="006D2117" w:rsidRPr="006D2117" w:rsidRDefault="006D2117" w:rsidP="009848A6">
      <w:pPr>
        <w:pStyle w:val="Heading2"/>
      </w:pPr>
      <w:r w:rsidRPr="006D2117">
        <w:t>The Accountable Officer of DTF is responsible for monitoring and reporting all significant quantified and unquantified contingent liabilities.</w:t>
      </w:r>
    </w:p>
    <w:p w14:paraId="71F7B4FF" w14:textId="77777777" w:rsidR="006D2117" w:rsidRPr="006D2117" w:rsidRDefault="006D2117" w:rsidP="00CE2BDD">
      <w:pPr>
        <w:pStyle w:val="Heading1"/>
        <w:numPr>
          <w:ilvl w:val="0"/>
          <w:numId w:val="12"/>
        </w:numPr>
      </w:pPr>
      <w:r w:rsidRPr="006D2117">
        <w:t>Statutory immunity</w:t>
      </w:r>
    </w:p>
    <w:p w14:paraId="46E78230" w14:textId="77777777" w:rsidR="00016AF2" w:rsidRPr="006D2117" w:rsidRDefault="00016AF2" w:rsidP="00016AF2">
      <w:pPr>
        <w:pStyle w:val="Heading2"/>
      </w:pPr>
      <w:r>
        <w:t>The Accountable Officer of a Portfolio Department must, in relation to matters relevant to financial management, performance and sustainability:</w:t>
      </w:r>
      <w:r w:rsidRPr="00016AF2">
        <w:t xml:space="preserve"> </w:t>
      </w:r>
    </w:p>
    <w:p w14:paraId="3A7A467A" w14:textId="77777777" w:rsidR="00016AF2" w:rsidRDefault="00016AF2" w:rsidP="00016AF2">
      <w:pPr>
        <w:pStyle w:val="Num1"/>
      </w:pPr>
      <w:r>
        <w:t xml:space="preserve">ensure that statutory immunities are relied on consistently with relevant legislation, standards and </w:t>
      </w:r>
      <w:proofErr w:type="gramStart"/>
      <w:r>
        <w:t>policies;</w:t>
      </w:r>
      <w:proofErr w:type="gramEnd"/>
      <w:r>
        <w:t xml:space="preserve"> </w:t>
      </w:r>
    </w:p>
    <w:p w14:paraId="7FEE8464" w14:textId="77777777" w:rsidR="00016AF2" w:rsidRDefault="00016AF2" w:rsidP="00016AF2">
      <w:pPr>
        <w:pStyle w:val="Num1"/>
      </w:pPr>
      <w:r>
        <w:t xml:space="preserve">consult DTF and the Department of Justice and </w:t>
      </w:r>
      <w:r w:rsidR="00CA1B29">
        <w:t xml:space="preserve">Community Safety </w:t>
      </w:r>
      <w:r>
        <w:t>(</w:t>
      </w:r>
      <w:r w:rsidR="00CA1B29">
        <w:t>DJCS</w:t>
      </w:r>
      <w:r>
        <w:t>) regarding any proposal for a statutory immunity; and</w:t>
      </w:r>
    </w:p>
    <w:p w14:paraId="7C59FADE" w14:textId="77777777" w:rsidR="006D2117" w:rsidRPr="006D2117" w:rsidRDefault="00016AF2" w:rsidP="00016AF2">
      <w:pPr>
        <w:pStyle w:val="Num1"/>
      </w:pPr>
      <w:r>
        <w:t xml:space="preserve">when proposing to amend existing statute, review statutory immunities with DTF and </w:t>
      </w:r>
      <w:r w:rsidR="00CA1B29">
        <w:t>DJCS</w:t>
      </w:r>
      <w:r>
        <w:t>, to align the statutory immunities with government policy.</w:t>
      </w:r>
    </w:p>
    <w:p w14:paraId="22FA114F" w14:textId="77777777" w:rsidR="006D2117" w:rsidRDefault="006D2117" w:rsidP="009848A6">
      <w:pPr>
        <w:pStyle w:val="NormalIndent2"/>
      </w:pPr>
    </w:p>
    <w:p w14:paraId="6E76C482" w14:textId="77777777" w:rsidR="009848A6" w:rsidRDefault="009848A6" w:rsidP="009848A6">
      <w:pPr>
        <w:pStyle w:val="NormalIndent2"/>
        <w:sectPr w:rsidR="009848A6" w:rsidSect="00CF2B85">
          <w:pgSz w:w="11906" w:h="16838"/>
          <w:pgMar w:top="1440" w:right="1008" w:bottom="1440" w:left="1008" w:header="706" w:footer="395" w:gutter="0"/>
          <w:cols w:space="708"/>
          <w:titlePg/>
          <w:docGrid w:linePitch="360"/>
        </w:sectPr>
      </w:pPr>
    </w:p>
    <w:p w14:paraId="5D5DB3FF" w14:textId="40F46487" w:rsidR="00B64D93" w:rsidRPr="007972DD" w:rsidRDefault="00B64D93" w:rsidP="00B64D93">
      <w:pPr>
        <w:pStyle w:val="Instruction"/>
      </w:pPr>
      <w:bookmarkStart w:id="9" w:name="Instruction_3_7_2"/>
      <w:r>
        <w:lastRenderedPageBreak/>
        <w:t>Instruction 3.7.2</w:t>
      </w:r>
      <w:bookmarkEnd w:id="9"/>
      <w:r w:rsidRPr="00372655">
        <w:t xml:space="preserve"> – </w:t>
      </w:r>
      <w:bookmarkStart w:id="10" w:name="_Toc522806506"/>
      <w:r w:rsidR="00AF3493">
        <w:t>Treasury</w:t>
      </w:r>
      <w:r w:rsidR="00362CCB">
        <w:t xml:space="preserve"> management, including Central Banking System</w:t>
      </w:r>
      <w:bookmarkEnd w:id="10"/>
    </w:p>
    <w:tbl>
      <w:tblPr>
        <w:tblStyle w:val="Table29"/>
        <w:tblW w:w="9630" w:type="dxa"/>
        <w:tblLook w:val="0480" w:firstRow="0" w:lastRow="0" w:firstColumn="1" w:lastColumn="0" w:noHBand="0" w:noVBand="1"/>
      </w:tblPr>
      <w:tblGrid>
        <w:gridCol w:w="2700"/>
        <w:gridCol w:w="6930"/>
      </w:tblGrid>
      <w:tr w:rsidR="00B64D93" w:rsidRPr="00372655" w14:paraId="62E8B544" w14:textId="77777777" w:rsidTr="00933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6ECF38BE" w14:textId="77777777" w:rsidR="00B64D93" w:rsidRPr="00372655" w:rsidRDefault="00B64D93" w:rsidP="00B64D93">
            <w:pPr>
              <w:suppressAutoHyphens/>
              <w:autoSpaceDN w:val="0"/>
              <w:spacing w:before="40" w:after="40"/>
              <w:textAlignment w:val="baseline"/>
              <w:rPr>
                <w:rFonts w:cs="Times New Roman"/>
                <w:b/>
                <w:bCs w:val="0"/>
                <w:sz w:val="18"/>
                <w:szCs w:val="20"/>
              </w:rPr>
            </w:pPr>
            <w:r w:rsidRPr="00372655">
              <w:rPr>
                <w:rFonts w:cs="Times New Roman"/>
                <w:b/>
                <w:sz w:val="18"/>
                <w:szCs w:val="20"/>
              </w:rPr>
              <w:t>Background</w:t>
            </w:r>
          </w:p>
        </w:tc>
        <w:tc>
          <w:tcPr>
            <w:tcW w:w="6930" w:type="dxa"/>
            <w:shd w:val="clear" w:color="auto" w:fill="FFFFFF" w:themeFill="background1"/>
          </w:tcPr>
          <w:p w14:paraId="1EC0BB93" w14:textId="77777777" w:rsidR="00B64D93" w:rsidRPr="00372655" w:rsidRDefault="00B64D93" w:rsidP="00B64D93">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9336DB">
              <w:rPr>
                <w:rFonts w:cs="Times New Roman"/>
                <w:sz w:val="18"/>
                <w:szCs w:val="18"/>
              </w:rPr>
              <w:t xml:space="preserve">The State aims to ensure its treasury operations are managed in the most efficient manner and there is effective management and oversight of the associated financial </w:t>
            </w:r>
            <w:proofErr w:type="gramStart"/>
            <w:r w:rsidRPr="009336DB">
              <w:rPr>
                <w:rFonts w:cs="Times New Roman"/>
                <w:sz w:val="18"/>
                <w:szCs w:val="18"/>
              </w:rPr>
              <w:t>risks</w:t>
            </w:r>
            <w:r w:rsidR="00E91FC6">
              <w:rPr>
                <w:rFonts w:cs="Times New Roman"/>
                <w:sz w:val="18"/>
                <w:szCs w:val="18"/>
              </w:rPr>
              <w:t>, and</w:t>
            </w:r>
            <w:proofErr w:type="gramEnd"/>
            <w:r w:rsidR="00E91FC6">
              <w:rPr>
                <w:rFonts w:cs="Times New Roman"/>
                <w:sz w:val="18"/>
                <w:szCs w:val="18"/>
              </w:rPr>
              <w:t xml:space="preserve"> has established the </w:t>
            </w:r>
            <w:r w:rsidR="00E91FC6" w:rsidRPr="005576D7">
              <w:rPr>
                <w:rFonts w:eastAsiaTheme="minorHAnsi"/>
                <w:color w:val="000000"/>
                <w:sz w:val="18"/>
                <w:szCs w:val="18"/>
                <w:lang w:eastAsia="en-US"/>
              </w:rPr>
              <w:t>Treasury Corporation of Victoria (TCV)</w:t>
            </w:r>
            <w:r w:rsidR="00E91FC6">
              <w:rPr>
                <w:rFonts w:eastAsiaTheme="minorHAnsi"/>
                <w:color w:val="000000"/>
                <w:sz w:val="18"/>
                <w:szCs w:val="18"/>
                <w:lang w:eastAsia="en-US"/>
              </w:rPr>
              <w:t xml:space="preserve">, </w:t>
            </w:r>
            <w:r w:rsidR="00E91FC6" w:rsidRPr="005576D7">
              <w:rPr>
                <w:rFonts w:eastAsiaTheme="minorHAnsi"/>
                <w:color w:val="000000"/>
                <w:sz w:val="18"/>
                <w:szCs w:val="18"/>
                <w:lang w:eastAsia="en-US"/>
              </w:rPr>
              <w:t>the Victorian Funds Management Corporation (</w:t>
            </w:r>
            <w:r w:rsidR="00E91FC6" w:rsidRPr="00FC2A55">
              <w:rPr>
                <w:rFonts w:eastAsiaTheme="minorHAnsi"/>
                <w:color w:val="000000"/>
                <w:sz w:val="18"/>
                <w:szCs w:val="18"/>
                <w:lang w:eastAsia="en-US"/>
              </w:rPr>
              <w:t xml:space="preserve">VFMC) </w:t>
            </w:r>
            <w:r w:rsidR="00E91FC6">
              <w:rPr>
                <w:rFonts w:eastAsiaTheme="minorHAnsi"/>
                <w:color w:val="000000"/>
                <w:sz w:val="18"/>
                <w:szCs w:val="18"/>
                <w:lang w:eastAsia="en-US"/>
              </w:rPr>
              <w:t xml:space="preserve">and the </w:t>
            </w:r>
            <w:r w:rsidR="00E91FC6">
              <w:rPr>
                <w:rFonts w:cs="Times New Roman"/>
                <w:sz w:val="18"/>
                <w:szCs w:val="18"/>
              </w:rPr>
              <w:t>Central Banking System to facilitate this</w:t>
            </w:r>
            <w:r w:rsidRPr="009336DB">
              <w:rPr>
                <w:rFonts w:cs="Times New Roman"/>
                <w:sz w:val="18"/>
                <w:szCs w:val="18"/>
              </w:rPr>
              <w:t>.</w:t>
            </w:r>
          </w:p>
        </w:tc>
      </w:tr>
      <w:tr w:rsidR="00B64D93" w:rsidRPr="00372655" w14:paraId="0F32F3D2" w14:textId="77777777" w:rsidTr="009336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147EDAC1" w14:textId="77777777" w:rsidR="00B64D93" w:rsidRPr="00372655" w:rsidRDefault="00B64D93" w:rsidP="00B64D93">
            <w:pPr>
              <w:suppressAutoHyphens/>
              <w:autoSpaceDN w:val="0"/>
              <w:spacing w:before="40" w:after="40"/>
              <w:textAlignment w:val="baseline"/>
              <w:rPr>
                <w:rFonts w:cs="Times New Roman"/>
              </w:rPr>
            </w:pPr>
            <w:r w:rsidRPr="00372655">
              <w:rPr>
                <w:rFonts w:cs="Times New Roman"/>
                <w:b/>
                <w:sz w:val="18"/>
                <w:szCs w:val="20"/>
              </w:rPr>
              <w:t>Effective date</w:t>
            </w:r>
          </w:p>
        </w:tc>
        <w:tc>
          <w:tcPr>
            <w:tcW w:w="6930" w:type="dxa"/>
            <w:shd w:val="clear" w:color="auto" w:fill="FFFFFF" w:themeFill="background1"/>
          </w:tcPr>
          <w:p w14:paraId="619AEAEA" w14:textId="77777777" w:rsidR="00B64D93" w:rsidRPr="00372655" w:rsidRDefault="00B64D93" w:rsidP="00B64D93">
            <w:pPr>
              <w:spacing w:before="40" w:after="40"/>
              <w:cnfStyle w:val="000000010000" w:firstRow="0" w:lastRow="0" w:firstColumn="0" w:lastColumn="0" w:oddVBand="0" w:evenVBand="0" w:oddHBand="0" w:evenHBand="1" w:firstRowFirstColumn="0" w:firstRowLastColumn="0" w:lastRowFirstColumn="0" w:lastRowLastColumn="0"/>
              <w:rPr>
                <w:rFonts w:cs="Times New Roman"/>
                <w:sz w:val="18"/>
                <w:szCs w:val="18"/>
              </w:rPr>
            </w:pPr>
            <w:r w:rsidRPr="00372655">
              <w:rPr>
                <w:rFonts w:cs="Times New Roman"/>
                <w:sz w:val="18"/>
                <w:szCs w:val="18"/>
              </w:rPr>
              <w:t>1 July 2016</w:t>
            </w:r>
          </w:p>
        </w:tc>
      </w:tr>
      <w:tr w:rsidR="00B64D93" w:rsidRPr="00372655" w14:paraId="3714E433" w14:textId="77777777" w:rsidTr="00933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30C0667A" w14:textId="77777777" w:rsidR="00B64D93" w:rsidRPr="00372655" w:rsidRDefault="00B64D93" w:rsidP="00B64D93">
            <w:pPr>
              <w:suppressAutoHyphens/>
              <w:autoSpaceDN w:val="0"/>
              <w:spacing w:before="40" w:after="40"/>
              <w:textAlignment w:val="baseline"/>
              <w:rPr>
                <w:rFonts w:cs="Times New Roman"/>
              </w:rPr>
            </w:pPr>
            <w:r w:rsidRPr="00372655">
              <w:rPr>
                <w:rFonts w:cs="Times New Roman"/>
                <w:b/>
                <w:sz w:val="18"/>
                <w:szCs w:val="20"/>
              </w:rPr>
              <w:t xml:space="preserve">Relevant </w:t>
            </w:r>
            <w:r>
              <w:rPr>
                <w:rFonts w:cs="Times New Roman"/>
                <w:b/>
                <w:sz w:val="18"/>
                <w:szCs w:val="20"/>
              </w:rPr>
              <w:t>Direction</w:t>
            </w:r>
          </w:p>
        </w:tc>
        <w:tc>
          <w:tcPr>
            <w:tcW w:w="6930" w:type="dxa"/>
            <w:shd w:val="clear" w:color="auto" w:fill="FFFFFF" w:themeFill="background1"/>
          </w:tcPr>
          <w:p w14:paraId="60283015" w14:textId="4857BA88" w:rsidR="00B64D93" w:rsidRPr="004A75A7" w:rsidRDefault="00B64D93" w:rsidP="00B64D93">
            <w:pPr>
              <w:spacing w:before="40" w:after="40"/>
              <w:cnfStyle w:val="000000100000" w:firstRow="0" w:lastRow="0" w:firstColumn="0" w:lastColumn="0" w:oddVBand="0" w:evenVBand="0" w:oddHBand="1" w:evenHBand="0" w:firstRowFirstColumn="0" w:firstRowLastColumn="0" w:lastRowFirstColumn="0" w:lastRowLastColumn="0"/>
              <w:rPr>
                <w:rStyle w:val="Hyperlink"/>
                <w:sz w:val="18"/>
                <w:szCs w:val="18"/>
              </w:rPr>
            </w:pPr>
            <w:hyperlink r:id="rId59" w:anchor="standing-directions-2018" w:history="1">
              <w:r w:rsidRPr="00F31DD4">
                <w:rPr>
                  <w:rStyle w:val="Hyperlink"/>
                  <w:sz w:val="18"/>
                  <w:szCs w:val="18"/>
                </w:rPr>
                <w:t>3.7.2.</w:t>
              </w:r>
              <w:r w:rsidR="00A94F43">
                <w:rPr>
                  <w:rStyle w:val="Hyperlink"/>
                  <w:sz w:val="18"/>
                  <w:szCs w:val="18"/>
                </w:rPr>
                <w:t>2</w:t>
              </w:r>
              <w:r w:rsidRPr="00F31DD4">
                <w:rPr>
                  <w:rStyle w:val="Hyperlink"/>
                  <w:sz w:val="18"/>
                  <w:szCs w:val="18"/>
                </w:rPr>
                <w:t xml:space="preserve"> </w:t>
              </w:r>
              <w:bookmarkStart w:id="11" w:name="_Ref522097454"/>
              <w:r w:rsidRPr="00F31DD4">
                <w:rPr>
                  <w:rStyle w:val="Hyperlink"/>
                  <w:sz w:val="18"/>
                  <w:szCs w:val="18"/>
                </w:rPr>
                <w:t>Central Banking System and Eligible Financial Assets</w:t>
              </w:r>
              <w:bookmarkEnd w:id="11"/>
            </w:hyperlink>
          </w:p>
          <w:p w14:paraId="00C986B3" w14:textId="6E07FA19" w:rsidR="00B64D93" w:rsidRDefault="00B64D93" w:rsidP="00B64D93">
            <w:pPr>
              <w:spacing w:before="40" w:after="40"/>
              <w:cnfStyle w:val="000000100000" w:firstRow="0" w:lastRow="0" w:firstColumn="0" w:lastColumn="0" w:oddVBand="0" w:evenVBand="0" w:oddHBand="1" w:evenHBand="0" w:firstRowFirstColumn="0" w:firstRowLastColumn="0" w:lastRowFirstColumn="0" w:lastRowLastColumn="0"/>
              <w:rPr>
                <w:rStyle w:val="Hyperlink"/>
                <w:rFonts w:cs="Times New Roman"/>
                <w:sz w:val="18"/>
                <w:szCs w:val="18"/>
              </w:rPr>
            </w:pPr>
            <w:hyperlink r:id="rId60" w:anchor="standing-directions-2018" w:history="1">
              <w:r w:rsidRPr="00695F74">
                <w:rPr>
                  <w:rStyle w:val="Hyperlink"/>
                  <w:rFonts w:cs="Times New Roman"/>
                  <w:sz w:val="18"/>
                  <w:szCs w:val="18"/>
                </w:rPr>
                <w:t>3.7.2.</w:t>
              </w:r>
              <w:r w:rsidR="00A94F43">
                <w:rPr>
                  <w:rStyle w:val="Hyperlink"/>
                  <w:rFonts w:cs="Times New Roman"/>
                  <w:sz w:val="18"/>
                  <w:szCs w:val="18"/>
                </w:rPr>
                <w:t>4</w:t>
              </w:r>
              <w:r w:rsidRPr="00695F74">
                <w:rPr>
                  <w:rStyle w:val="Hyperlink"/>
                  <w:rFonts w:cs="Times New Roman"/>
                  <w:sz w:val="18"/>
                  <w:szCs w:val="18"/>
                </w:rPr>
                <w:t xml:space="preserve"> Borrowings</w:t>
              </w:r>
            </w:hyperlink>
          </w:p>
          <w:p w14:paraId="4E41382D" w14:textId="722805FD" w:rsidR="00B64D93" w:rsidRPr="00372655" w:rsidRDefault="00B64D93" w:rsidP="00B64D93">
            <w:pPr>
              <w:spacing w:before="40" w:after="40"/>
              <w:cnfStyle w:val="000000100000" w:firstRow="0" w:lastRow="0" w:firstColumn="0" w:lastColumn="0" w:oddVBand="0" w:evenVBand="0" w:oddHBand="1" w:evenHBand="0" w:firstRowFirstColumn="0" w:firstRowLastColumn="0" w:lastRowFirstColumn="0" w:lastRowLastColumn="0"/>
              <w:rPr>
                <w:rFonts w:cs="Times New Roman"/>
                <w:sz w:val="18"/>
                <w:szCs w:val="18"/>
              </w:rPr>
            </w:pPr>
            <w:hyperlink r:id="rId61" w:anchor="standing-directions-2018" w:history="1">
              <w:r w:rsidRPr="00695F74">
                <w:rPr>
                  <w:rStyle w:val="Hyperlink"/>
                  <w:rFonts w:cs="Times New Roman"/>
                  <w:sz w:val="18"/>
                  <w:szCs w:val="18"/>
                </w:rPr>
                <w:t>3.7.2.</w:t>
              </w:r>
              <w:r w:rsidR="00A94F43">
                <w:rPr>
                  <w:rStyle w:val="Hyperlink"/>
                  <w:rFonts w:cs="Times New Roman"/>
                  <w:sz w:val="18"/>
                  <w:szCs w:val="18"/>
                </w:rPr>
                <w:t>5</w:t>
              </w:r>
              <w:r w:rsidRPr="00695F74">
                <w:rPr>
                  <w:rStyle w:val="Hyperlink"/>
                  <w:rFonts w:cs="Times New Roman"/>
                  <w:sz w:val="18"/>
                  <w:szCs w:val="18"/>
                </w:rPr>
                <w:t xml:space="preserve"> </w:t>
              </w:r>
              <w:r>
                <w:rPr>
                  <w:rStyle w:val="Hyperlink"/>
                  <w:rFonts w:cs="Times New Roman"/>
                  <w:sz w:val="18"/>
                  <w:szCs w:val="18"/>
                </w:rPr>
                <w:t>Other</w:t>
              </w:r>
              <w:r w:rsidRPr="00695F74">
                <w:rPr>
                  <w:rStyle w:val="Hyperlink"/>
                  <w:rFonts w:cs="Times New Roman"/>
                  <w:sz w:val="18"/>
                  <w:szCs w:val="18"/>
                </w:rPr>
                <w:t xml:space="preserve"> financial arrangements</w:t>
              </w:r>
            </w:hyperlink>
          </w:p>
        </w:tc>
      </w:tr>
      <w:tr w:rsidR="00B64D93" w:rsidRPr="00372655" w14:paraId="772509DE" w14:textId="77777777" w:rsidTr="009336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37835344" w14:textId="77777777" w:rsidR="00B64D93" w:rsidRPr="00372655" w:rsidRDefault="00B64D93" w:rsidP="00B64D93">
            <w:pPr>
              <w:suppressAutoHyphens/>
              <w:autoSpaceDN w:val="0"/>
              <w:spacing w:before="40" w:after="40"/>
              <w:textAlignment w:val="baseline"/>
              <w:rPr>
                <w:rFonts w:cs="Times New Roman"/>
              </w:rPr>
            </w:pPr>
            <w:r w:rsidRPr="00372655">
              <w:rPr>
                <w:rFonts w:cs="Times New Roman"/>
                <w:b/>
                <w:sz w:val="18"/>
                <w:szCs w:val="20"/>
              </w:rPr>
              <w:t>History</w:t>
            </w:r>
          </w:p>
        </w:tc>
        <w:tc>
          <w:tcPr>
            <w:tcW w:w="6930" w:type="dxa"/>
            <w:shd w:val="clear" w:color="auto" w:fill="FFFFFF" w:themeFill="background1"/>
          </w:tcPr>
          <w:p w14:paraId="441E3045" w14:textId="5C440FA5" w:rsidR="00B64D93" w:rsidRPr="009F7DFC" w:rsidRDefault="00B64D93" w:rsidP="00B64D93">
            <w:pPr>
              <w:suppressAutoHyphens/>
              <w:autoSpaceDN w:val="0"/>
              <w:spacing w:before="40" w:after="40"/>
              <w:textAlignment w:val="baseline"/>
              <w:cnfStyle w:val="000000010000" w:firstRow="0" w:lastRow="0" w:firstColumn="0" w:lastColumn="0" w:oddVBand="0" w:evenVBand="0" w:oddHBand="0" w:evenHBand="1" w:firstRowFirstColumn="0" w:firstRowLastColumn="0" w:lastRowFirstColumn="0" w:lastRowLastColumn="0"/>
              <w:rPr>
                <w:rFonts w:cs="Times New Roman"/>
                <w:sz w:val="18"/>
                <w:szCs w:val="20"/>
              </w:rPr>
            </w:pPr>
            <w:r w:rsidRPr="009F7DFC">
              <w:rPr>
                <w:rFonts w:cs="Times New Roman"/>
                <w:sz w:val="18"/>
                <w:szCs w:val="20"/>
              </w:rPr>
              <w:t xml:space="preserve">Last updated: </w:t>
            </w:r>
            <w:r>
              <w:rPr>
                <w:rFonts w:cs="Times New Roman"/>
                <w:bCs/>
                <w:sz w:val="18"/>
                <w:szCs w:val="20"/>
              </w:rPr>
              <w:t xml:space="preserve">1 </w:t>
            </w:r>
            <w:r w:rsidR="00A665F6">
              <w:rPr>
                <w:rFonts w:cs="Times New Roman"/>
                <w:bCs/>
                <w:sz w:val="18"/>
                <w:szCs w:val="20"/>
              </w:rPr>
              <w:t>February</w:t>
            </w:r>
            <w:r>
              <w:rPr>
                <w:rFonts w:cs="Times New Roman"/>
                <w:bCs/>
                <w:sz w:val="18"/>
                <w:szCs w:val="20"/>
              </w:rPr>
              <w:t xml:space="preserve"> 20</w:t>
            </w:r>
            <w:r w:rsidR="00057376">
              <w:rPr>
                <w:rFonts w:cs="Times New Roman"/>
                <w:bCs/>
                <w:sz w:val="18"/>
                <w:szCs w:val="20"/>
              </w:rPr>
              <w:t>2</w:t>
            </w:r>
            <w:r w:rsidR="00A665F6">
              <w:rPr>
                <w:rFonts w:cs="Times New Roman"/>
                <w:bCs/>
                <w:sz w:val="18"/>
                <w:szCs w:val="20"/>
              </w:rPr>
              <w:t>1</w:t>
            </w:r>
          </w:p>
          <w:p w14:paraId="552E955E" w14:textId="77777777" w:rsidR="00B64D93" w:rsidRPr="00372655" w:rsidRDefault="00B64D93" w:rsidP="00B64D93">
            <w:pPr>
              <w:spacing w:before="40" w:after="40"/>
              <w:cnfStyle w:val="000000010000" w:firstRow="0" w:lastRow="0" w:firstColumn="0" w:lastColumn="0" w:oddVBand="0" w:evenVBand="0" w:oddHBand="0" w:evenHBand="1" w:firstRowFirstColumn="0" w:firstRowLastColumn="0" w:lastRowFirstColumn="0" w:lastRowLastColumn="0"/>
              <w:rPr>
                <w:rFonts w:cs="Times New Roman"/>
                <w:sz w:val="18"/>
                <w:szCs w:val="18"/>
              </w:rPr>
            </w:pPr>
            <w:r w:rsidRPr="009F7DFC">
              <w:rPr>
                <w:rFonts w:cs="Times New Roman"/>
                <w:sz w:val="18"/>
                <w:szCs w:val="20"/>
              </w:rPr>
              <w:t>Issued: 1 July 2016</w:t>
            </w:r>
          </w:p>
        </w:tc>
      </w:tr>
    </w:tbl>
    <w:p w14:paraId="62F877DE" w14:textId="77777777" w:rsidR="00B64D93" w:rsidRPr="000E0DBA" w:rsidRDefault="00B64D93" w:rsidP="000E0DBA">
      <w:pPr>
        <w:spacing w:before="0" w:after="0" w:line="120" w:lineRule="atLeast"/>
        <w:rPr>
          <w:sz w:val="12"/>
        </w:rPr>
      </w:pPr>
    </w:p>
    <w:p w14:paraId="711B60FA" w14:textId="77777777" w:rsidR="00B64D93" w:rsidRPr="00372655" w:rsidRDefault="00B64D93" w:rsidP="000E0DBA">
      <w:pPr>
        <w:pStyle w:val="Heading1"/>
        <w:numPr>
          <w:ilvl w:val="0"/>
          <w:numId w:val="68"/>
        </w:numPr>
      </w:pPr>
      <w:r>
        <w:t>R</w:t>
      </w:r>
      <w:r w:rsidRPr="0006001E">
        <w:t>eporting</w:t>
      </w:r>
      <w:r w:rsidRPr="00372655">
        <w:t xml:space="preserve"> requirements</w:t>
      </w:r>
    </w:p>
    <w:p w14:paraId="42645526" w14:textId="77777777" w:rsidR="00B64D93" w:rsidRPr="00372655" w:rsidRDefault="00B64D93" w:rsidP="00E91FC6">
      <w:pPr>
        <w:pStyle w:val="Heading2"/>
        <w:shd w:val="clear" w:color="auto" w:fill="FFFFFF" w:themeFill="background1"/>
      </w:pPr>
      <w:r w:rsidRPr="00372655">
        <w:t xml:space="preserve">The </w:t>
      </w:r>
      <w:r w:rsidRPr="0006001E">
        <w:t>Responsible</w:t>
      </w:r>
      <w:r w:rsidRPr="00372655">
        <w:t xml:space="preserve"> Body must ensure the Agency reports all borrowings, investments or financial arrangements outside </w:t>
      </w:r>
      <w:r w:rsidR="00E91FC6">
        <w:t xml:space="preserve">the </w:t>
      </w:r>
      <w:r w:rsidR="009A1876">
        <w:t>C</w:t>
      </w:r>
      <w:r w:rsidR="00E91FC6">
        <w:t xml:space="preserve">entral </w:t>
      </w:r>
      <w:r w:rsidR="009A1876">
        <w:t>B</w:t>
      </w:r>
      <w:r w:rsidR="00E91FC6">
        <w:t xml:space="preserve">anking </w:t>
      </w:r>
      <w:r w:rsidR="009A1876">
        <w:t>S</w:t>
      </w:r>
      <w:r w:rsidR="00E91FC6">
        <w:t>ystem</w:t>
      </w:r>
      <w:r w:rsidR="009A1876">
        <w:t xml:space="preserve">, </w:t>
      </w:r>
      <w:r w:rsidRPr="00372655">
        <w:t xml:space="preserve">TCV </w:t>
      </w:r>
      <w:r w:rsidR="00E91FC6">
        <w:t>or</w:t>
      </w:r>
      <w:r w:rsidRPr="00372655">
        <w:t xml:space="preserve"> VFMC to the Portfolio Department </w:t>
      </w:r>
      <w:r>
        <w:t>CFO</w:t>
      </w:r>
      <w:r w:rsidRPr="00372655">
        <w:t xml:space="preserve"> annually.</w:t>
      </w:r>
    </w:p>
    <w:p w14:paraId="1E23763D" w14:textId="77777777" w:rsidR="00B64D93" w:rsidRPr="00372655" w:rsidRDefault="00B64D93" w:rsidP="00E91FC6">
      <w:pPr>
        <w:pStyle w:val="Heading2"/>
        <w:shd w:val="clear" w:color="auto" w:fill="FFFFFF" w:themeFill="background1"/>
      </w:pPr>
      <w:r w:rsidRPr="00E91FC6">
        <w:t xml:space="preserve">The Portfolio Department </w:t>
      </w:r>
      <w:r w:rsidRPr="00E91FC6">
        <w:rPr>
          <w:spacing w:val="-2"/>
        </w:rPr>
        <w:t xml:space="preserve">CFO </w:t>
      </w:r>
      <w:r w:rsidRPr="00E91FC6">
        <w:t xml:space="preserve">must provide details of all borrowings, investments and financial arrangements outside </w:t>
      </w:r>
      <w:r w:rsidR="00E91FC6">
        <w:t xml:space="preserve">the </w:t>
      </w:r>
      <w:r w:rsidR="009A1876" w:rsidRPr="00E91FC6">
        <w:t>C</w:t>
      </w:r>
      <w:r w:rsidR="00E91FC6">
        <w:t xml:space="preserve">entral </w:t>
      </w:r>
      <w:r w:rsidR="009A1876" w:rsidRPr="00E91FC6">
        <w:t>B</w:t>
      </w:r>
      <w:r w:rsidR="00E91FC6">
        <w:t xml:space="preserve">anking </w:t>
      </w:r>
      <w:r w:rsidR="009A1876" w:rsidRPr="00E91FC6">
        <w:t>S</w:t>
      </w:r>
      <w:r w:rsidR="00E91FC6">
        <w:t>ystem</w:t>
      </w:r>
      <w:r w:rsidR="009A1876" w:rsidRPr="00E91FC6">
        <w:t xml:space="preserve">, </w:t>
      </w:r>
      <w:r w:rsidRPr="00E91FC6">
        <w:t xml:space="preserve">TCV </w:t>
      </w:r>
      <w:r w:rsidR="00E91FC6">
        <w:t>or</w:t>
      </w:r>
      <w:r w:rsidRPr="00E91FC6">
        <w:t xml:space="preserve"> VFMC to DTF on request.</w:t>
      </w:r>
      <w:r w:rsidRPr="00372655">
        <w:t xml:space="preserve"> </w:t>
      </w:r>
    </w:p>
    <w:p w14:paraId="517BB70F" w14:textId="77777777" w:rsidR="00B64D93" w:rsidRPr="00372655" w:rsidRDefault="00B64D93" w:rsidP="00B64D93">
      <w:pPr>
        <w:pStyle w:val="Heading1"/>
      </w:pPr>
      <w:r w:rsidRPr="00372655">
        <w:t>Definitions</w:t>
      </w:r>
    </w:p>
    <w:p w14:paraId="122A9D6F" w14:textId="77777777" w:rsidR="00B64D93" w:rsidRDefault="00B64D93" w:rsidP="00B64D93">
      <w:pPr>
        <w:pStyle w:val="Heading2"/>
      </w:pPr>
      <w:r>
        <w:t>The following definitions apply to this Instruction:</w:t>
      </w:r>
    </w:p>
    <w:p w14:paraId="07E65CC8" w14:textId="5DBF75F3" w:rsidR="001B3524" w:rsidRPr="00372655" w:rsidRDefault="001B3524" w:rsidP="001B3524">
      <w:pPr>
        <w:pStyle w:val="Num1"/>
      </w:pPr>
      <w:r>
        <w:rPr>
          <w:b/>
        </w:rPr>
        <w:t>B</w:t>
      </w:r>
      <w:r w:rsidRPr="00372655">
        <w:rPr>
          <w:b/>
        </w:rPr>
        <w:t>orrowings</w:t>
      </w:r>
      <w:r w:rsidRPr="000E0DBA">
        <w:rPr>
          <w:b/>
        </w:rPr>
        <w:t xml:space="preserve"> </w:t>
      </w:r>
      <w:r w:rsidRPr="00372655">
        <w:t xml:space="preserve">has the same meaning as </w:t>
      </w:r>
      <w:r w:rsidRPr="00372655">
        <w:rPr>
          <w:b/>
        </w:rPr>
        <w:t>Financial accommodation</w:t>
      </w:r>
      <w:r w:rsidRPr="00372655">
        <w:t xml:space="preserve"> in the </w:t>
      </w:r>
      <w:r w:rsidRPr="00372655">
        <w:rPr>
          <w:i/>
        </w:rPr>
        <w:t>Borrowing and Investment Powers Act</w:t>
      </w:r>
      <w:r w:rsidR="00BC2C92">
        <w:rPr>
          <w:i/>
        </w:rPr>
        <w:t> </w:t>
      </w:r>
      <w:r w:rsidRPr="00372655">
        <w:rPr>
          <w:i/>
        </w:rPr>
        <w:t>1987</w:t>
      </w:r>
      <w:r>
        <w:rPr>
          <w:i/>
        </w:rPr>
        <w:t>.</w:t>
      </w:r>
    </w:p>
    <w:p w14:paraId="2B8213A3" w14:textId="77777777" w:rsidR="001B3524" w:rsidRPr="00372655" w:rsidRDefault="001B3524" w:rsidP="001B3524">
      <w:pPr>
        <w:pStyle w:val="Num1"/>
      </w:pPr>
      <w:r w:rsidRPr="00372655">
        <w:t xml:space="preserve">A </w:t>
      </w:r>
      <w:r w:rsidRPr="00372655">
        <w:rPr>
          <w:b/>
        </w:rPr>
        <w:t>financial arrangement</w:t>
      </w:r>
      <w:r w:rsidRPr="000E0DBA">
        <w:rPr>
          <w:b/>
        </w:rPr>
        <w:t xml:space="preserve"> </w:t>
      </w:r>
      <w:r w:rsidRPr="00372655">
        <w:t xml:space="preserve">has the same meaning as in the </w:t>
      </w:r>
      <w:r w:rsidRPr="00372655">
        <w:rPr>
          <w:i/>
        </w:rPr>
        <w:t>Borr</w:t>
      </w:r>
      <w:r>
        <w:rPr>
          <w:i/>
        </w:rPr>
        <w:t>owing and Investment Powers Act </w:t>
      </w:r>
      <w:r w:rsidRPr="00372655">
        <w:rPr>
          <w:i/>
        </w:rPr>
        <w:t>1987.</w:t>
      </w:r>
    </w:p>
    <w:p w14:paraId="383829C9" w14:textId="77777777" w:rsidR="001B3524" w:rsidRDefault="001B3524" w:rsidP="005A45A8">
      <w:pPr>
        <w:pStyle w:val="Num1"/>
        <w:shd w:val="clear" w:color="auto" w:fill="FFFFFF" w:themeFill="background1"/>
        <w:rPr>
          <w:rFonts w:asciiTheme="minorHAnsi" w:hAnsiTheme="minorHAnsi"/>
        </w:rPr>
      </w:pPr>
      <w:r w:rsidRPr="00372655">
        <w:rPr>
          <w:b/>
        </w:rPr>
        <w:t>Investment</w:t>
      </w:r>
      <w:r w:rsidRPr="00372655">
        <w:t xml:space="preserve"> for the purpose of this Instruction </w:t>
      </w:r>
      <w:r>
        <w:t xml:space="preserve">is </w:t>
      </w:r>
      <w:r w:rsidRPr="00372655">
        <w:t xml:space="preserve">a financial asset as defined in Australian Accounting Standard AASB 132 which is not a trade </w:t>
      </w:r>
      <w:r w:rsidRPr="000E0DBA">
        <w:rPr>
          <w:rFonts w:asciiTheme="minorHAnsi" w:hAnsiTheme="minorHAnsi"/>
        </w:rPr>
        <w:t xml:space="preserve">receivable, a loan receivable </w:t>
      </w:r>
      <w:r w:rsidR="005A45A8">
        <w:rPr>
          <w:rFonts w:asciiTheme="minorHAnsi" w:hAnsiTheme="minorHAnsi"/>
        </w:rPr>
        <w:t>or</w:t>
      </w:r>
      <w:r w:rsidR="005A45A8" w:rsidRPr="000E0DBA">
        <w:rPr>
          <w:rFonts w:asciiTheme="minorHAnsi" w:hAnsiTheme="minorHAnsi"/>
        </w:rPr>
        <w:t xml:space="preserve"> </w:t>
      </w:r>
      <w:r w:rsidRPr="000E0DBA">
        <w:rPr>
          <w:rFonts w:asciiTheme="minorHAnsi" w:hAnsiTheme="minorHAnsi"/>
        </w:rPr>
        <w:t>an advance receivable.</w:t>
      </w:r>
    </w:p>
    <w:p w14:paraId="5DA7C821" w14:textId="77777777" w:rsidR="001B3524" w:rsidRPr="001B3524" w:rsidRDefault="001B3524" w:rsidP="005A45A8">
      <w:pPr>
        <w:pStyle w:val="Heading2"/>
        <w:numPr>
          <w:ilvl w:val="0"/>
          <w:numId w:val="0"/>
        </w:numPr>
        <w:ind w:left="504"/>
        <w:rPr>
          <w:rFonts w:asciiTheme="minorHAnsi" w:hAnsiTheme="minorHAnsi" w:cstheme="minorHAnsi"/>
        </w:rPr>
      </w:pPr>
      <w:r w:rsidRPr="001B3524">
        <w:rPr>
          <w:rFonts w:asciiTheme="minorHAnsi" w:eastAsiaTheme="minorHAnsi" w:hAnsiTheme="minorHAnsi" w:cstheme="minorHAnsi"/>
          <w:i/>
          <w:color w:val="000000"/>
          <w:szCs w:val="20"/>
          <w:lang w:eastAsia="en-US"/>
        </w:rPr>
        <w:t>Note:</w:t>
      </w:r>
      <w:r>
        <w:rPr>
          <w:rFonts w:asciiTheme="minorHAnsi" w:eastAsiaTheme="minorHAnsi" w:hAnsiTheme="minorHAnsi" w:cstheme="minorHAnsi"/>
          <w:color w:val="000000"/>
          <w:szCs w:val="20"/>
          <w:lang w:eastAsia="en-US"/>
        </w:rPr>
        <w:tab/>
      </w:r>
      <w:r w:rsidRPr="001B3524">
        <w:rPr>
          <w:rFonts w:asciiTheme="minorHAnsi" w:eastAsiaTheme="minorHAnsi" w:hAnsiTheme="minorHAnsi" w:cstheme="minorHAnsi"/>
          <w:color w:val="000000"/>
          <w:szCs w:val="20"/>
          <w:lang w:eastAsia="en-US"/>
        </w:rPr>
        <w:t>A Transfer Negotiation Authority (TNA), also known as a Transactional Negotiation Agreement, is an arrangement which guarantees that a client’s bank will honour all payroll</w:t>
      </w:r>
      <w:r>
        <w:rPr>
          <w:rFonts w:asciiTheme="minorHAnsi" w:eastAsiaTheme="minorHAnsi" w:hAnsiTheme="minorHAnsi" w:cstheme="minorHAnsi"/>
          <w:color w:val="000000"/>
          <w:szCs w:val="20"/>
          <w:lang w:eastAsia="en-US"/>
        </w:rPr>
        <w:t>-</w:t>
      </w:r>
      <w:r w:rsidRPr="001B3524">
        <w:rPr>
          <w:rFonts w:asciiTheme="minorHAnsi" w:eastAsiaTheme="minorHAnsi" w:hAnsiTheme="minorHAnsi" w:cstheme="minorHAnsi"/>
          <w:color w:val="000000"/>
          <w:szCs w:val="20"/>
          <w:lang w:eastAsia="en-US"/>
        </w:rPr>
        <w:t>related instructions from a specialist third party payroll company. TNAs are used by a number of public sector agencies such as hospitals. DTF consider</w:t>
      </w:r>
      <w:r w:rsidR="002A1787">
        <w:rPr>
          <w:rFonts w:asciiTheme="minorHAnsi" w:eastAsiaTheme="minorHAnsi" w:hAnsiTheme="minorHAnsi" w:cstheme="minorHAnsi"/>
          <w:color w:val="000000"/>
          <w:szCs w:val="20"/>
          <w:lang w:eastAsia="en-US"/>
        </w:rPr>
        <w:t>s</w:t>
      </w:r>
      <w:r w:rsidRPr="001B3524">
        <w:rPr>
          <w:rFonts w:asciiTheme="minorHAnsi" w:eastAsiaTheme="minorHAnsi" w:hAnsiTheme="minorHAnsi" w:cstheme="minorHAnsi"/>
          <w:color w:val="000000"/>
          <w:szCs w:val="20"/>
          <w:lang w:eastAsia="en-US"/>
        </w:rPr>
        <w:t xml:space="preserve"> </w:t>
      </w:r>
      <w:r w:rsidR="002A1787">
        <w:rPr>
          <w:rFonts w:asciiTheme="minorHAnsi" w:eastAsiaTheme="minorHAnsi" w:hAnsiTheme="minorHAnsi" w:cstheme="minorHAnsi"/>
          <w:color w:val="000000"/>
          <w:szCs w:val="20"/>
          <w:lang w:eastAsia="en-US"/>
        </w:rPr>
        <w:t>tha</w:t>
      </w:r>
      <w:r w:rsidR="002A1787" w:rsidRPr="001B3524">
        <w:rPr>
          <w:rFonts w:asciiTheme="minorHAnsi" w:eastAsiaTheme="minorHAnsi" w:hAnsiTheme="minorHAnsi" w:cstheme="minorHAnsi"/>
          <w:color w:val="000000"/>
          <w:szCs w:val="20"/>
          <w:lang w:eastAsia="en-US"/>
        </w:rPr>
        <w:t xml:space="preserve">t </w:t>
      </w:r>
      <w:r w:rsidRPr="001B3524">
        <w:rPr>
          <w:rFonts w:asciiTheme="minorHAnsi" w:eastAsiaTheme="minorHAnsi" w:hAnsiTheme="minorHAnsi" w:cstheme="minorHAnsi"/>
          <w:color w:val="000000"/>
          <w:szCs w:val="20"/>
          <w:lang w:eastAsia="en-US"/>
        </w:rPr>
        <w:t xml:space="preserve">a TNA </w:t>
      </w:r>
      <w:r w:rsidR="002A1787">
        <w:rPr>
          <w:rFonts w:asciiTheme="minorHAnsi" w:eastAsiaTheme="minorHAnsi" w:hAnsiTheme="minorHAnsi" w:cstheme="minorHAnsi"/>
          <w:color w:val="000000"/>
          <w:szCs w:val="20"/>
          <w:lang w:eastAsia="en-US"/>
        </w:rPr>
        <w:t xml:space="preserve">is </w:t>
      </w:r>
      <w:r w:rsidR="002A1787" w:rsidRPr="00BC2C92">
        <w:rPr>
          <w:rFonts w:asciiTheme="minorHAnsi" w:eastAsiaTheme="minorHAnsi" w:hAnsiTheme="minorHAnsi" w:cstheme="minorHAnsi"/>
          <w:b/>
          <w:bCs/>
          <w:color w:val="000000"/>
          <w:szCs w:val="20"/>
          <w:lang w:eastAsia="en-US"/>
        </w:rPr>
        <w:t>not</w:t>
      </w:r>
      <w:r w:rsidRPr="001B3524">
        <w:rPr>
          <w:rFonts w:asciiTheme="minorHAnsi" w:eastAsiaTheme="minorHAnsi" w:hAnsiTheme="minorHAnsi" w:cstheme="minorHAnsi"/>
          <w:color w:val="000000"/>
          <w:szCs w:val="20"/>
          <w:lang w:eastAsia="en-US"/>
        </w:rPr>
        <w:t xml:space="preserve"> a borrowing/overdraft, and therefore </w:t>
      </w:r>
      <w:r w:rsidR="002A1787">
        <w:rPr>
          <w:rFonts w:asciiTheme="minorHAnsi" w:eastAsiaTheme="minorHAnsi" w:hAnsiTheme="minorHAnsi" w:cstheme="minorHAnsi"/>
          <w:color w:val="000000"/>
          <w:szCs w:val="20"/>
          <w:lang w:eastAsia="en-US"/>
        </w:rPr>
        <w:t>an</w:t>
      </w:r>
      <w:r w:rsidRPr="001B3524">
        <w:rPr>
          <w:rFonts w:asciiTheme="minorHAnsi" w:eastAsiaTheme="minorHAnsi" w:hAnsiTheme="minorHAnsi" w:cstheme="minorHAnsi"/>
          <w:color w:val="000000"/>
          <w:szCs w:val="20"/>
          <w:lang w:eastAsia="en-US"/>
        </w:rPr>
        <w:t xml:space="preserve"> exemption is </w:t>
      </w:r>
      <w:r w:rsidR="002A1787">
        <w:rPr>
          <w:rFonts w:asciiTheme="minorHAnsi" w:eastAsiaTheme="minorHAnsi" w:hAnsiTheme="minorHAnsi" w:cstheme="minorHAnsi"/>
          <w:color w:val="000000"/>
          <w:szCs w:val="20"/>
          <w:lang w:eastAsia="en-US"/>
        </w:rPr>
        <w:t xml:space="preserve">not </w:t>
      </w:r>
      <w:r w:rsidRPr="001B3524">
        <w:rPr>
          <w:rFonts w:asciiTheme="minorHAnsi" w:eastAsiaTheme="minorHAnsi" w:hAnsiTheme="minorHAnsi" w:cstheme="minorHAnsi"/>
          <w:color w:val="000000"/>
          <w:szCs w:val="20"/>
          <w:lang w:eastAsia="en-US"/>
        </w:rPr>
        <w:t xml:space="preserve">necessary </w:t>
      </w:r>
      <w:r w:rsidR="002A1787">
        <w:rPr>
          <w:rFonts w:asciiTheme="minorHAnsi" w:eastAsiaTheme="minorHAnsi" w:hAnsiTheme="minorHAnsi" w:cstheme="minorHAnsi"/>
          <w:color w:val="000000"/>
          <w:szCs w:val="20"/>
          <w:lang w:eastAsia="en-US"/>
        </w:rPr>
        <w:t>for</w:t>
      </w:r>
      <w:r w:rsidRPr="001B3524">
        <w:rPr>
          <w:rFonts w:asciiTheme="minorHAnsi" w:eastAsiaTheme="minorHAnsi" w:hAnsiTheme="minorHAnsi" w:cstheme="minorHAnsi"/>
          <w:color w:val="000000"/>
          <w:szCs w:val="20"/>
          <w:lang w:eastAsia="en-US"/>
        </w:rPr>
        <w:t xml:space="preserve"> an agency </w:t>
      </w:r>
      <w:r w:rsidR="002A1787">
        <w:rPr>
          <w:rFonts w:asciiTheme="minorHAnsi" w:eastAsiaTheme="minorHAnsi" w:hAnsiTheme="minorHAnsi" w:cstheme="minorHAnsi"/>
          <w:color w:val="000000"/>
          <w:szCs w:val="20"/>
          <w:lang w:eastAsia="en-US"/>
        </w:rPr>
        <w:t>to use</w:t>
      </w:r>
      <w:r w:rsidRPr="001B3524">
        <w:rPr>
          <w:rFonts w:asciiTheme="minorHAnsi" w:eastAsiaTheme="minorHAnsi" w:hAnsiTheme="minorHAnsi" w:cstheme="minorHAnsi"/>
          <w:color w:val="000000"/>
          <w:szCs w:val="20"/>
          <w:lang w:eastAsia="en-US"/>
        </w:rPr>
        <w:t xml:space="preserve"> a TNA.</w:t>
      </w:r>
    </w:p>
    <w:p w14:paraId="08B5781A" w14:textId="77777777" w:rsidR="001B3524" w:rsidRDefault="001B3524" w:rsidP="001B3524">
      <w:pPr>
        <w:pStyle w:val="Heading3"/>
      </w:pPr>
    </w:p>
    <w:p w14:paraId="34CD3651" w14:textId="77777777" w:rsidR="00B64D93" w:rsidRPr="00372655" w:rsidRDefault="00B64D93" w:rsidP="000E0DBA"/>
    <w:p w14:paraId="3FA99618" w14:textId="77777777" w:rsidR="00B64D93" w:rsidRDefault="00B64D93" w:rsidP="000A6A01">
      <w:pPr>
        <w:spacing w:before="0" w:after="300" w:line="252" w:lineRule="auto"/>
        <w:sectPr w:rsidR="00B64D93" w:rsidSect="00CF2B85">
          <w:pgSz w:w="11906" w:h="16838"/>
          <w:pgMar w:top="1440" w:right="1008" w:bottom="1440" w:left="1008" w:header="706" w:footer="395" w:gutter="0"/>
          <w:cols w:space="708"/>
          <w:titlePg/>
          <w:docGrid w:linePitch="360"/>
        </w:sectPr>
      </w:pPr>
    </w:p>
    <w:p w14:paraId="67EFFA4C" w14:textId="349F38F1" w:rsidR="006D2117" w:rsidRPr="006D2117" w:rsidRDefault="006D2117" w:rsidP="00B32558">
      <w:pPr>
        <w:pStyle w:val="Instruction"/>
      </w:pPr>
      <w:bookmarkStart w:id="12" w:name="Instruction_3_7_2_3"/>
      <w:r w:rsidRPr="006D2117">
        <w:lastRenderedPageBreak/>
        <w:t>Instruction 3.7.2.</w:t>
      </w:r>
      <w:r w:rsidR="00F10393">
        <w:t>3</w:t>
      </w:r>
      <w:bookmarkEnd w:id="12"/>
      <w:r w:rsidRPr="006D2117">
        <w:t xml:space="preserve"> – Treasury </w:t>
      </w:r>
      <w:r w:rsidR="008554BD">
        <w:t>M</w:t>
      </w:r>
      <w:r w:rsidRPr="006D2117">
        <w:t xml:space="preserve">anagement </w:t>
      </w:r>
      <w:r w:rsidR="008554BD">
        <w:t>P</w:t>
      </w:r>
      <w:r w:rsidR="008554BD" w:rsidRPr="006D2117">
        <w:t>olic</w:t>
      </w:r>
      <w:r w:rsidR="008554BD">
        <w:t>y</w:t>
      </w:r>
    </w:p>
    <w:tbl>
      <w:tblPr>
        <w:tblStyle w:val="Table28"/>
        <w:tblW w:w="9630" w:type="dxa"/>
        <w:tblLook w:val="0600" w:firstRow="0" w:lastRow="0" w:firstColumn="0" w:lastColumn="0" w:noHBand="1" w:noVBand="1"/>
      </w:tblPr>
      <w:tblGrid>
        <w:gridCol w:w="2700"/>
        <w:gridCol w:w="6930"/>
      </w:tblGrid>
      <w:tr w:rsidR="006D2117" w:rsidRPr="006D2117" w14:paraId="24117A49" w14:textId="77777777" w:rsidTr="00372655">
        <w:tc>
          <w:tcPr>
            <w:tcW w:w="2700" w:type="dxa"/>
            <w:shd w:val="clear" w:color="auto" w:fill="FFFFFF" w:themeFill="background1"/>
          </w:tcPr>
          <w:p w14:paraId="7C621ECE" w14:textId="77777777" w:rsidR="006D2117" w:rsidRPr="006D2117" w:rsidRDefault="006D2117" w:rsidP="006D2117">
            <w:pPr>
              <w:suppressAutoHyphens/>
              <w:autoSpaceDN w:val="0"/>
              <w:spacing w:before="40" w:after="40" w:line="240" w:lineRule="atLeast"/>
              <w:textAlignment w:val="baseline"/>
              <w:rPr>
                <w:rFonts w:cstheme="minorHAnsi"/>
              </w:rPr>
            </w:pPr>
            <w:r w:rsidRPr="006D2117">
              <w:rPr>
                <w:rFonts w:cstheme="minorHAnsi"/>
                <w:b/>
                <w:sz w:val="18"/>
                <w:szCs w:val="20"/>
              </w:rPr>
              <w:t>Background</w:t>
            </w:r>
          </w:p>
        </w:tc>
        <w:tc>
          <w:tcPr>
            <w:tcW w:w="6930" w:type="dxa"/>
            <w:shd w:val="clear" w:color="auto" w:fill="FFFFFF" w:themeFill="background1"/>
          </w:tcPr>
          <w:p w14:paraId="5B44C5F0" w14:textId="77777777" w:rsidR="006D2117" w:rsidRPr="006D2117" w:rsidRDefault="006D2117" w:rsidP="006D2117">
            <w:pPr>
              <w:spacing w:before="40" w:after="40" w:line="285" w:lineRule="auto"/>
              <w:rPr>
                <w:rFonts w:cstheme="minorHAnsi"/>
                <w:sz w:val="18"/>
                <w:szCs w:val="18"/>
              </w:rPr>
            </w:pPr>
            <w:r w:rsidRPr="006D2117">
              <w:rPr>
                <w:rFonts w:cstheme="minorHAnsi"/>
                <w:sz w:val="18"/>
                <w:szCs w:val="18"/>
              </w:rPr>
              <w:t xml:space="preserve">Agencies are to develop policies </w:t>
            </w:r>
            <w:r w:rsidR="00AA7F9E">
              <w:rPr>
                <w:rFonts w:cstheme="minorHAnsi"/>
                <w:sz w:val="18"/>
                <w:szCs w:val="18"/>
              </w:rPr>
              <w:t xml:space="preserve">and procedures </w:t>
            </w:r>
            <w:r w:rsidRPr="006D2117">
              <w:rPr>
                <w:rFonts w:cstheme="minorHAnsi"/>
                <w:sz w:val="18"/>
                <w:szCs w:val="18"/>
              </w:rPr>
              <w:t xml:space="preserve">that best address the treasury and investment risks of their business. </w:t>
            </w:r>
          </w:p>
          <w:p w14:paraId="786A60D3" w14:textId="77777777" w:rsidR="006D2117" w:rsidRPr="006D2117" w:rsidRDefault="006D2117" w:rsidP="006D2117">
            <w:pPr>
              <w:spacing w:before="40" w:after="40" w:line="285" w:lineRule="auto"/>
              <w:rPr>
                <w:rFonts w:cstheme="minorHAnsi"/>
                <w:sz w:val="18"/>
                <w:szCs w:val="18"/>
              </w:rPr>
            </w:pPr>
            <w:r w:rsidRPr="006D2117">
              <w:rPr>
                <w:rFonts w:cstheme="minorHAnsi"/>
                <w:sz w:val="18"/>
                <w:szCs w:val="18"/>
              </w:rPr>
              <w:t xml:space="preserve">Developing </w:t>
            </w:r>
            <w:r w:rsidR="005365CF">
              <w:rPr>
                <w:rFonts w:cstheme="minorHAnsi"/>
                <w:sz w:val="18"/>
                <w:szCs w:val="18"/>
              </w:rPr>
              <w:t>t</w:t>
            </w:r>
            <w:r w:rsidRPr="006D2117">
              <w:rPr>
                <w:rFonts w:cstheme="minorHAnsi"/>
                <w:sz w:val="18"/>
                <w:szCs w:val="18"/>
              </w:rPr>
              <w:t>reasury and investment risk management policies ensures these risks are effectively documented and managed, and the objectives and strategies adopted are consistent with the overall objectives of the Government.</w:t>
            </w:r>
          </w:p>
        </w:tc>
      </w:tr>
      <w:tr w:rsidR="006D2117" w:rsidRPr="006D2117" w14:paraId="1B7E854B" w14:textId="77777777" w:rsidTr="00372655">
        <w:tc>
          <w:tcPr>
            <w:tcW w:w="2700" w:type="dxa"/>
            <w:shd w:val="clear" w:color="auto" w:fill="FFFFFF" w:themeFill="background1"/>
          </w:tcPr>
          <w:p w14:paraId="4D8D1145" w14:textId="77777777" w:rsidR="006D2117" w:rsidRPr="006D2117" w:rsidRDefault="006D2117" w:rsidP="006D2117">
            <w:pPr>
              <w:tabs>
                <w:tab w:val="right" w:pos="3005"/>
              </w:tabs>
              <w:suppressAutoHyphens/>
              <w:autoSpaceDN w:val="0"/>
              <w:spacing w:before="40" w:after="40" w:line="240" w:lineRule="atLeast"/>
              <w:textAlignment w:val="baseline"/>
              <w:rPr>
                <w:rFonts w:cstheme="minorHAnsi"/>
                <w:b/>
                <w:bCs/>
                <w:sz w:val="18"/>
                <w:szCs w:val="20"/>
              </w:rPr>
            </w:pPr>
            <w:r w:rsidRPr="006D2117">
              <w:rPr>
                <w:rFonts w:cstheme="minorHAnsi"/>
                <w:b/>
                <w:sz w:val="18"/>
                <w:szCs w:val="20"/>
              </w:rPr>
              <w:t>Effective date</w:t>
            </w:r>
          </w:p>
        </w:tc>
        <w:tc>
          <w:tcPr>
            <w:tcW w:w="6930" w:type="dxa"/>
            <w:shd w:val="clear" w:color="auto" w:fill="FFFFFF" w:themeFill="background1"/>
          </w:tcPr>
          <w:p w14:paraId="37DC5A3C" w14:textId="77777777" w:rsidR="006D2117" w:rsidRPr="006D2117" w:rsidRDefault="006D2117" w:rsidP="006D2117">
            <w:pPr>
              <w:spacing w:before="40" w:after="40" w:line="285" w:lineRule="auto"/>
              <w:rPr>
                <w:rFonts w:cstheme="minorHAnsi"/>
                <w:sz w:val="18"/>
                <w:szCs w:val="18"/>
              </w:rPr>
            </w:pPr>
            <w:r w:rsidRPr="006D2117">
              <w:rPr>
                <w:rFonts w:cstheme="minorHAnsi"/>
                <w:sz w:val="18"/>
                <w:szCs w:val="18"/>
              </w:rPr>
              <w:t>1 July 2016</w:t>
            </w:r>
          </w:p>
        </w:tc>
      </w:tr>
      <w:tr w:rsidR="006D2117" w:rsidRPr="006D2117" w14:paraId="4733EC55" w14:textId="77777777" w:rsidTr="00372655">
        <w:tc>
          <w:tcPr>
            <w:tcW w:w="2700" w:type="dxa"/>
            <w:shd w:val="clear" w:color="auto" w:fill="FFFFFF" w:themeFill="background1"/>
          </w:tcPr>
          <w:p w14:paraId="5FCC4B63" w14:textId="77777777" w:rsidR="006D2117" w:rsidRPr="006D2117" w:rsidRDefault="006D2117" w:rsidP="006A0812">
            <w:pPr>
              <w:tabs>
                <w:tab w:val="right" w:pos="3005"/>
              </w:tabs>
              <w:suppressAutoHyphens/>
              <w:autoSpaceDN w:val="0"/>
              <w:spacing w:before="40" w:after="40" w:line="240" w:lineRule="atLeast"/>
              <w:textAlignment w:val="baseline"/>
              <w:rPr>
                <w:rFonts w:cstheme="minorHAnsi"/>
              </w:rPr>
            </w:pPr>
            <w:r w:rsidRPr="006D2117">
              <w:rPr>
                <w:rFonts w:cstheme="minorHAnsi"/>
                <w:b/>
                <w:sz w:val="18"/>
                <w:szCs w:val="20"/>
              </w:rPr>
              <w:t>Relevant Direction</w:t>
            </w:r>
          </w:p>
        </w:tc>
        <w:tc>
          <w:tcPr>
            <w:tcW w:w="6930" w:type="dxa"/>
            <w:shd w:val="clear" w:color="auto" w:fill="FFFFFF" w:themeFill="background1"/>
          </w:tcPr>
          <w:p w14:paraId="113C1807" w14:textId="05853D0D" w:rsidR="006D2117" w:rsidRPr="006D2117" w:rsidRDefault="004A1C34" w:rsidP="006D2117">
            <w:pPr>
              <w:spacing w:before="40" w:after="40" w:line="285" w:lineRule="auto"/>
              <w:rPr>
                <w:rFonts w:cstheme="minorHAnsi"/>
                <w:sz w:val="18"/>
                <w:szCs w:val="18"/>
              </w:rPr>
            </w:pPr>
            <w:hyperlink r:id="rId62" w:anchor="standing-directions-2018" w:history="1">
              <w:r w:rsidRPr="007F74B6">
                <w:rPr>
                  <w:rStyle w:val="Hyperlink"/>
                  <w:rFonts w:cstheme="minorHAnsi"/>
                  <w:sz w:val="18"/>
                  <w:szCs w:val="18"/>
                </w:rPr>
                <w:t>3.7.2.3 Treasury management Policy</w:t>
              </w:r>
            </w:hyperlink>
          </w:p>
          <w:p w14:paraId="4972765F" w14:textId="67AF153A" w:rsidR="006D2117" w:rsidRPr="006D2117" w:rsidRDefault="006D2117" w:rsidP="006D2117">
            <w:pPr>
              <w:spacing w:before="40" w:after="40" w:line="285" w:lineRule="auto"/>
              <w:rPr>
                <w:rFonts w:cstheme="minorHAnsi"/>
                <w:sz w:val="18"/>
                <w:szCs w:val="18"/>
              </w:rPr>
            </w:pPr>
            <w:hyperlink r:id="rId63" w:anchor="standing-directions-2018" w:history="1">
              <w:r w:rsidRPr="00364750">
                <w:rPr>
                  <w:rStyle w:val="Hyperlink"/>
                  <w:rFonts w:cstheme="minorHAnsi"/>
                  <w:sz w:val="18"/>
                  <w:szCs w:val="18"/>
                </w:rPr>
                <w:t>5.1 Financial management compliance framework</w:t>
              </w:r>
            </w:hyperlink>
          </w:p>
        </w:tc>
      </w:tr>
      <w:tr w:rsidR="00724E3A" w:rsidRPr="006D2117" w14:paraId="0C14FDB2" w14:textId="77777777" w:rsidTr="00372655">
        <w:tc>
          <w:tcPr>
            <w:tcW w:w="2700" w:type="dxa"/>
            <w:shd w:val="clear" w:color="auto" w:fill="FFFFFF" w:themeFill="background1"/>
          </w:tcPr>
          <w:p w14:paraId="2DFE6035" w14:textId="77777777" w:rsidR="00724E3A" w:rsidRPr="006D2117" w:rsidRDefault="00724E3A" w:rsidP="006D2117">
            <w:pPr>
              <w:suppressAutoHyphens/>
              <w:autoSpaceDN w:val="0"/>
              <w:spacing w:before="40" w:after="40" w:line="240" w:lineRule="atLeast"/>
              <w:textAlignment w:val="baseline"/>
              <w:rPr>
                <w:rFonts w:cstheme="minorHAnsi"/>
                <w:b/>
                <w:sz w:val="18"/>
                <w:szCs w:val="20"/>
              </w:rPr>
            </w:pPr>
            <w:r w:rsidRPr="006D2117">
              <w:rPr>
                <w:rFonts w:cs="Times New Roman"/>
                <w:b/>
                <w:sz w:val="18"/>
                <w:szCs w:val="20"/>
              </w:rPr>
              <w:t>History</w:t>
            </w:r>
          </w:p>
        </w:tc>
        <w:tc>
          <w:tcPr>
            <w:tcW w:w="6930" w:type="dxa"/>
            <w:shd w:val="clear" w:color="auto" w:fill="FFFFFF" w:themeFill="background1"/>
          </w:tcPr>
          <w:p w14:paraId="12BD973D" w14:textId="1ABE4E6B" w:rsidR="009F7DFC" w:rsidRPr="009F7DFC" w:rsidRDefault="009F7DFC" w:rsidP="009F7DFC">
            <w:pPr>
              <w:suppressAutoHyphens/>
              <w:autoSpaceDN w:val="0"/>
              <w:spacing w:before="40" w:after="40" w:line="240" w:lineRule="atLeast"/>
              <w:textAlignment w:val="baseline"/>
              <w:rPr>
                <w:rFonts w:cs="Times New Roman"/>
                <w:sz w:val="18"/>
                <w:szCs w:val="20"/>
              </w:rPr>
            </w:pPr>
            <w:r w:rsidRPr="009F7DFC">
              <w:rPr>
                <w:rFonts w:cs="Times New Roman"/>
                <w:sz w:val="18"/>
                <w:szCs w:val="20"/>
              </w:rPr>
              <w:t xml:space="preserve">Last updated: </w:t>
            </w:r>
            <w:r w:rsidR="00967BC6">
              <w:rPr>
                <w:rFonts w:cs="Times New Roman"/>
                <w:bCs/>
                <w:sz w:val="18"/>
                <w:szCs w:val="20"/>
              </w:rPr>
              <w:t xml:space="preserve">1 </w:t>
            </w:r>
            <w:r w:rsidR="00A665F6">
              <w:rPr>
                <w:rFonts w:cs="Times New Roman"/>
                <w:bCs/>
                <w:sz w:val="18"/>
                <w:szCs w:val="20"/>
              </w:rPr>
              <w:t>February</w:t>
            </w:r>
            <w:r w:rsidR="004A1C34">
              <w:rPr>
                <w:rFonts w:cs="Times New Roman"/>
                <w:bCs/>
                <w:sz w:val="18"/>
                <w:szCs w:val="20"/>
              </w:rPr>
              <w:t xml:space="preserve"> 202</w:t>
            </w:r>
            <w:r w:rsidR="00A665F6">
              <w:rPr>
                <w:rFonts w:cs="Times New Roman"/>
                <w:bCs/>
                <w:sz w:val="18"/>
                <w:szCs w:val="20"/>
              </w:rPr>
              <w:t>1</w:t>
            </w:r>
          </w:p>
          <w:p w14:paraId="0E5FCBAA" w14:textId="77777777" w:rsidR="00724E3A" w:rsidRPr="006D2117" w:rsidRDefault="009F7DFC" w:rsidP="009F7DFC">
            <w:pPr>
              <w:spacing w:before="40" w:after="40" w:line="285" w:lineRule="auto"/>
              <w:rPr>
                <w:rFonts w:cstheme="minorHAnsi"/>
                <w:sz w:val="18"/>
                <w:szCs w:val="18"/>
              </w:rPr>
            </w:pPr>
            <w:r w:rsidRPr="009F7DFC">
              <w:rPr>
                <w:rFonts w:cs="Times New Roman"/>
                <w:sz w:val="18"/>
                <w:szCs w:val="20"/>
              </w:rPr>
              <w:t>Issued: 1 July 2016</w:t>
            </w:r>
          </w:p>
        </w:tc>
      </w:tr>
    </w:tbl>
    <w:p w14:paraId="1C554D57" w14:textId="77777777" w:rsidR="006D2117" w:rsidRPr="006D2117" w:rsidRDefault="006D2117" w:rsidP="006D2117">
      <w:pPr>
        <w:spacing w:before="0" w:after="0" w:line="120" w:lineRule="atLeast"/>
        <w:rPr>
          <w:sz w:val="12"/>
        </w:rPr>
      </w:pPr>
    </w:p>
    <w:p w14:paraId="0F84B483" w14:textId="77777777" w:rsidR="006D2117" w:rsidRPr="002E09AD" w:rsidRDefault="006D2117" w:rsidP="0006001E">
      <w:pPr>
        <w:pStyle w:val="Heading1"/>
        <w:numPr>
          <w:ilvl w:val="0"/>
          <w:numId w:val="13"/>
        </w:numPr>
      </w:pPr>
      <w:r w:rsidRPr="002E09AD">
        <w:t xml:space="preserve">Treasury </w:t>
      </w:r>
      <w:r w:rsidR="009B4D26">
        <w:t>M</w:t>
      </w:r>
      <w:r w:rsidRPr="002E09AD">
        <w:t xml:space="preserve">anagement </w:t>
      </w:r>
      <w:r w:rsidR="009B4D26">
        <w:t>P</w:t>
      </w:r>
      <w:r w:rsidR="009B4D26" w:rsidRPr="002E09AD">
        <w:t>olic</w:t>
      </w:r>
      <w:r w:rsidR="009B4D26">
        <w:t>y</w:t>
      </w:r>
    </w:p>
    <w:p w14:paraId="710DB804" w14:textId="77777777" w:rsidR="006D2117" w:rsidRPr="006D2117" w:rsidRDefault="006D2117" w:rsidP="009848A6">
      <w:pPr>
        <w:pStyle w:val="Heading2"/>
      </w:pPr>
      <w:r w:rsidRPr="006D2117">
        <w:t>The Responsible Body of an Agency with borrowings</w:t>
      </w:r>
      <w:r w:rsidR="002A4BEA">
        <w:t xml:space="preserve">, </w:t>
      </w:r>
      <w:r w:rsidRPr="006D2117">
        <w:t xml:space="preserve">cash </w:t>
      </w:r>
      <w:r w:rsidR="002A4BEA">
        <w:t xml:space="preserve">or </w:t>
      </w:r>
      <w:r w:rsidRPr="006D2117">
        <w:t>term deposits</w:t>
      </w:r>
      <w:r w:rsidR="002A4BEA">
        <w:t>, investments with</w:t>
      </w:r>
      <w:r w:rsidRPr="006D2117">
        <w:t xml:space="preserve"> </w:t>
      </w:r>
      <w:r w:rsidR="002A4BEA">
        <w:t xml:space="preserve">Treasury Corporation of Victoria (TCV) or the </w:t>
      </w:r>
      <w:r w:rsidR="002A4BEA" w:rsidRPr="005365CF">
        <w:t xml:space="preserve">Victorian Funds Management Corporation </w:t>
      </w:r>
      <w:r w:rsidR="002A4BEA">
        <w:t>(</w:t>
      </w:r>
      <w:r w:rsidR="002A4BEA" w:rsidRPr="006D2117">
        <w:t>VFMC</w:t>
      </w:r>
      <w:r w:rsidR="002A4BEA">
        <w:t>)</w:t>
      </w:r>
      <w:r w:rsidR="002A4BEA" w:rsidRPr="006D2117">
        <w:t xml:space="preserve">, or </w:t>
      </w:r>
      <w:r w:rsidR="002A4BEA">
        <w:t xml:space="preserve">authorised </w:t>
      </w:r>
      <w:r w:rsidR="002A4BEA" w:rsidRPr="006D2117">
        <w:t>long-term or other high</w:t>
      </w:r>
      <w:r w:rsidR="002A4BEA">
        <w:t>-</w:t>
      </w:r>
      <w:r w:rsidR="002A4BEA" w:rsidRPr="006D2117">
        <w:t>risk investments such as equities and managed funds</w:t>
      </w:r>
      <w:r w:rsidR="002A4BEA">
        <w:t>,</w:t>
      </w:r>
      <w:r w:rsidR="002A4BEA" w:rsidRPr="006D2117">
        <w:t xml:space="preserve"> </w:t>
      </w:r>
      <w:r w:rsidRPr="006D2117">
        <w:t xml:space="preserve">must establish, maintain and ensure Agency compliance with a Treasury </w:t>
      </w:r>
      <w:r w:rsidR="00967BC6">
        <w:t xml:space="preserve">Management </w:t>
      </w:r>
      <w:r w:rsidRPr="006D2117">
        <w:t>Policy that:</w:t>
      </w:r>
    </w:p>
    <w:p w14:paraId="365954A9" w14:textId="56B96D24" w:rsidR="00967BC6" w:rsidRDefault="00967BC6" w:rsidP="009848A6">
      <w:pPr>
        <w:pStyle w:val="Num1"/>
      </w:pPr>
      <w:r>
        <w:t>is consistent with the requirements of Directions 3.7.2.</w:t>
      </w:r>
      <w:r w:rsidR="003C0FC3">
        <w:t>2</w:t>
      </w:r>
      <w:r>
        <w:t>, 3.7.2.</w:t>
      </w:r>
      <w:r w:rsidR="003C0FC3">
        <w:t>4</w:t>
      </w:r>
      <w:r>
        <w:t xml:space="preserve"> and </w:t>
      </w:r>
      <w:proofErr w:type="gramStart"/>
      <w:r>
        <w:t>3.7.2.</w:t>
      </w:r>
      <w:r w:rsidR="003C0FC3">
        <w:t>5</w:t>
      </w:r>
      <w:r>
        <w:t>;</w:t>
      </w:r>
      <w:proofErr w:type="gramEnd"/>
    </w:p>
    <w:p w14:paraId="1C119DC1" w14:textId="77777777" w:rsidR="006D2117" w:rsidRPr="006D2117" w:rsidRDefault="006D2117" w:rsidP="009848A6">
      <w:pPr>
        <w:pStyle w:val="Num1"/>
      </w:pPr>
      <w:r w:rsidRPr="006D2117">
        <w:t xml:space="preserve">includes a clear definition of each treasury and investment risk along with details of recognition, measurement, timing and objectives of risk </w:t>
      </w:r>
      <w:proofErr w:type="gramStart"/>
      <w:r w:rsidRPr="006D2117">
        <w:t>management;</w:t>
      </w:r>
      <w:proofErr w:type="gramEnd"/>
    </w:p>
    <w:p w14:paraId="6ADDBE17" w14:textId="77777777" w:rsidR="006D2117" w:rsidRPr="006D2117" w:rsidRDefault="006D2117" w:rsidP="009848A6">
      <w:pPr>
        <w:pStyle w:val="Num1"/>
      </w:pPr>
      <w:r w:rsidRPr="006D2117">
        <w:t xml:space="preserve">addresses the Agency's treasury and investment </w:t>
      </w:r>
      <w:proofErr w:type="gramStart"/>
      <w:r w:rsidRPr="006D2117">
        <w:t>risks;</w:t>
      </w:r>
      <w:proofErr w:type="gramEnd"/>
    </w:p>
    <w:p w14:paraId="57D27569" w14:textId="77777777" w:rsidR="006D2117" w:rsidRPr="006D2117" w:rsidRDefault="006D2117" w:rsidP="009848A6">
      <w:pPr>
        <w:pStyle w:val="Num1"/>
      </w:pPr>
      <w:r w:rsidRPr="006D2117">
        <w:t xml:space="preserve">contains guidelines for the management of </w:t>
      </w:r>
      <w:r w:rsidR="00F00814">
        <w:t>any</w:t>
      </w:r>
      <w:r w:rsidRPr="006D2117">
        <w:t xml:space="preserve"> investments; and</w:t>
      </w:r>
    </w:p>
    <w:p w14:paraId="3FEF1D21" w14:textId="77777777" w:rsidR="006D2117" w:rsidRDefault="006D2117" w:rsidP="009848A6">
      <w:pPr>
        <w:pStyle w:val="Num1"/>
      </w:pPr>
      <w:r w:rsidRPr="006D2117">
        <w:t>contains guidelines for the use of any borrowings and/or financial arrangements.</w:t>
      </w:r>
    </w:p>
    <w:p w14:paraId="533D489D" w14:textId="77777777" w:rsidR="006D2117" w:rsidRPr="002E09AD" w:rsidRDefault="00B64D93" w:rsidP="009848A6">
      <w:pPr>
        <w:pStyle w:val="Heading2"/>
      </w:pPr>
      <w:r>
        <w:t>Subject to Instruction 1.3, t</w:t>
      </w:r>
      <w:r w:rsidR="006D2117" w:rsidRPr="006D2117">
        <w:t xml:space="preserve">he Responsible Body must approve the </w:t>
      </w:r>
      <w:r w:rsidR="00382BCD">
        <w:t>T</w:t>
      </w:r>
      <w:r w:rsidR="00382BCD" w:rsidRPr="006D2117">
        <w:t xml:space="preserve">reasury </w:t>
      </w:r>
      <w:r w:rsidR="00382BCD">
        <w:t>Management Policy</w:t>
      </w:r>
      <w:r w:rsidR="006D2117" w:rsidRPr="006D2117">
        <w:t>.</w:t>
      </w:r>
    </w:p>
    <w:p w14:paraId="71178FC4" w14:textId="77777777" w:rsidR="00B64D93" w:rsidRPr="00B64D93" w:rsidRDefault="00EA29E2" w:rsidP="009848A6">
      <w:pPr>
        <w:pStyle w:val="Heading2"/>
        <w:rPr>
          <w:rFonts w:cs="Times New Roman"/>
          <w:bCs/>
        </w:rPr>
      </w:pPr>
      <w:r>
        <w:rPr>
          <w:rFonts w:cs="Times New Roman"/>
          <w:bCs/>
        </w:rPr>
        <w:t xml:space="preserve">Before submitting a new or materially revised Treasury Management Policy to the Responsible Body for approval, the CFO must provide a draft to DTF for review. When submitting the </w:t>
      </w:r>
      <w:r>
        <w:t>T</w:t>
      </w:r>
      <w:r w:rsidRPr="006D2117">
        <w:t xml:space="preserve">reasury </w:t>
      </w:r>
      <w:r>
        <w:t>Management Policy</w:t>
      </w:r>
      <w:r>
        <w:rPr>
          <w:rFonts w:cs="Times New Roman"/>
          <w:bCs/>
        </w:rPr>
        <w:t xml:space="preserve"> to the Responsible Body for approval, the CFO must also submit any </w:t>
      </w:r>
      <w:r w:rsidR="0074769C">
        <w:rPr>
          <w:rFonts w:cs="Times New Roman"/>
          <w:bCs/>
        </w:rPr>
        <w:t xml:space="preserve">DTF </w:t>
      </w:r>
      <w:r w:rsidR="00095839">
        <w:rPr>
          <w:rFonts w:cs="Times New Roman"/>
          <w:bCs/>
        </w:rPr>
        <w:t>review</w:t>
      </w:r>
      <w:r>
        <w:rPr>
          <w:rFonts w:cs="Times New Roman"/>
          <w:bCs/>
        </w:rPr>
        <w:t xml:space="preserve"> comments on, or requested changes to, the draft which the CFO has not incorporated into the draft.</w:t>
      </w:r>
    </w:p>
    <w:p w14:paraId="2FF33F26" w14:textId="77777777" w:rsidR="006D2117" w:rsidRPr="005A7180" w:rsidRDefault="00EA29E2" w:rsidP="009848A6">
      <w:pPr>
        <w:pStyle w:val="Heading2"/>
        <w:rPr>
          <w:rFonts w:cs="Times New Roman"/>
          <w:bCs/>
        </w:rPr>
      </w:pPr>
      <w:r>
        <w:t>On request</w:t>
      </w:r>
      <w:r w:rsidR="00095839">
        <w:t xml:space="preserve"> at any time</w:t>
      </w:r>
      <w:r>
        <w:t>, t</w:t>
      </w:r>
      <w:r w:rsidRPr="006D2117">
        <w:t xml:space="preserve">he </w:t>
      </w:r>
      <w:r>
        <w:t>CFO</w:t>
      </w:r>
      <w:r w:rsidRPr="006D2117">
        <w:t xml:space="preserve"> </w:t>
      </w:r>
      <w:r>
        <w:t xml:space="preserve">must </w:t>
      </w:r>
      <w:r w:rsidRPr="006D2117">
        <w:t xml:space="preserve">make the </w:t>
      </w:r>
      <w:r>
        <w:t>T</w:t>
      </w:r>
      <w:r w:rsidRPr="006D2117">
        <w:t xml:space="preserve">reasury </w:t>
      </w:r>
      <w:r>
        <w:t>M</w:t>
      </w:r>
      <w:r w:rsidRPr="006D2117">
        <w:t xml:space="preserve">anagement </w:t>
      </w:r>
      <w:r>
        <w:t>P</w:t>
      </w:r>
      <w:r w:rsidRPr="006D2117">
        <w:t>olic</w:t>
      </w:r>
      <w:r>
        <w:t>y</w:t>
      </w:r>
      <w:r w:rsidRPr="006D2117">
        <w:t xml:space="preserve"> available </w:t>
      </w:r>
      <w:r>
        <w:t>to t</w:t>
      </w:r>
      <w:r w:rsidRPr="006D2117">
        <w:t>he Portfolio Department and/or DTF for review</w:t>
      </w:r>
      <w:r w:rsidR="006D2117" w:rsidRPr="006D2117">
        <w:t>.</w:t>
      </w:r>
    </w:p>
    <w:p w14:paraId="21CA72D8" w14:textId="77777777" w:rsidR="006D2117" w:rsidRDefault="006D2117" w:rsidP="000E0DBA">
      <w:pPr>
        <w:spacing w:before="0" w:after="200" w:line="276" w:lineRule="auto"/>
      </w:pPr>
    </w:p>
    <w:p w14:paraId="6EA47A5E" w14:textId="77777777" w:rsidR="006D2117" w:rsidRDefault="006D2117" w:rsidP="000A6A01">
      <w:pPr>
        <w:spacing w:before="0" w:after="200" w:line="276" w:lineRule="auto"/>
        <w:sectPr w:rsidR="006D2117" w:rsidSect="00CF2B85">
          <w:pgSz w:w="11906" w:h="16838"/>
          <w:pgMar w:top="1440" w:right="1008" w:bottom="1440" w:left="1008" w:header="706" w:footer="395" w:gutter="0"/>
          <w:cols w:space="708"/>
          <w:titlePg/>
          <w:docGrid w:linePitch="360"/>
        </w:sectPr>
      </w:pPr>
    </w:p>
    <w:p w14:paraId="36F7674D" w14:textId="77777777" w:rsidR="00391F57" w:rsidRPr="00391F57" w:rsidRDefault="00391F57" w:rsidP="00B32558">
      <w:pPr>
        <w:pStyle w:val="Instruction"/>
      </w:pPr>
      <w:bookmarkStart w:id="13" w:name="Instruction_4_2_1"/>
      <w:r w:rsidRPr="00391F57">
        <w:lastRenderedPageBreak/>
        <w:t>Instruction 4.2.1</w:t>
      </w:r>
      <w:bookmarkEnd w:id="13"/>
      <w:r w:rsidRPr="00391F57">
        <w:t xml:space="preserve"> – Acquisition of assets, goods and services</w:t>
      </w:r>
    </w:p>
    <w:tbl>
      <w:tblPr>
        <w:tblStyle w:val="Table210"/>
        <w:tblW w:w="9630" w:type="dxa"/>
        <w:tblLook w:val="0480" w:firstRow="0" w:lastRow="0" w:firstColumn="1" w:lastColumn="0" w:noHBand="0" w:noVBand="1"/>
      </w:tblPr>
      <w:tblGrid>
        <w:gridCol w:w="2700"/>
        <w:gridCol w:w="6930"/>
      </w:tblGrid>
      <w:tr w:rsidR="00391F57" w:rsidRPr="00391F57" w14:paraId="2CD09C69" w14:textId="77777777" w:rsidTr="00186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4C42D841" w14:textId="77777777" w:rsidR="00391F57" w:rsidRPr="00391F57" w:rsidRDefault="00391F57" w:rsidP="00391F57">
            <w:pPr>
              <w:suppressAutoHyphens/>
              <w:autoSpaceDN w:val="0"/>
              <w:spacing w:before="40" w:after="40"/>
              <w:textAlignment w:val="baseline"/>
              <w:rPr>
                <w:rFonts w:cs="Times New Roman"/>
                <w:b/>
                <w:bCs w:val="0"/>
                <w:sz w:val="18"/>
                <w:szCs w:val="20"/>
              </w:rPr>
            </w:pPr>
            <w:r w:rsidRPr="00391F57">
              <w:rPr>
                <w:rFonts w:cs="Times New Roman"/>
                <w:b/>
                <w:sz w:val="18"/>
                <w:szCs w:val="20"/>
              </w:rPr>
              <w:t>Background</w:t>
            </w:r>
          </w:p>
        </w:tc>
        <w:tc>
          <w:tcPr>
            <w:tcW w:w="6930" w:type="dxa"/>
          </w:tcPr>
          <w:p w14:paraId="3B6F02F1" w14:textId="77777777" w:rsidR="00391F57" w:rsidRPr="00391F57" w:rsidRDefault="00391F57" w:rsidP="00BA3CD7">
            <w:pPr>
              <w:suppressAutoHyphens/>
              <w:autoSpaceDN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391F57">
              <w:rPr>
                <w:rFonts w:cs="Times New Roman"/>
                <w:sz w:val="18"/>
                <w:szCs w:val="20"/>
              </w:rPr>
              <w:t>Achieving contract performance</w:t>
            </w:r>
            <w:r w:rsidR="00BA3CD7">
              <w:rPr>
                <w:rFonts w:cs="Times New Roman"/>
                <w:sz w:val="18"/>
                <w:szCs w:val="20"/>
              </w:rPr>
              <w:t xml:space="preserve"> in procurement</w:t>
            </w:r>
            <w:r w:rsidRPr="00391F57">
              <w:rPr>
                <w:rFonts w:cs="Times New Roman"/>
                <w:sz w:val="18"/>
                <w:szCs w:val="20"/>
              </w:rPr>
              <w:t xml:space="preserve"> is critical in an environment of fiscal constraint. </w:t>
            </w:r>
            <w:r w:rsidR="00BA3CD7">
              <w:rPr>
                <w:rFonts w:cs="Times New Roman"/>
                <w:sz w:val="18"/>
                <w:szCs w:val="20"/>
              </w:rPr>
              <w:t>W</w:t>
            </w:r>
            <w:r w:rsidRPr="00391F57">
              <w:rPr>
                <w:rFonts w:cs="Times New Roman"/>
                <w:sz w:val="18"/>
                <w:szCs w:val="20"/>
              </w:rPr>
              <w:t xml:space="preserve">ith external parties delivering many of the services to the community, it is important that contracts are well </w:t>
            </w:r>
            <w:proofErr w:type="gramStart"/>
            <w:r w:rsidRPr="00391F57">
              <w:rPr>
                <w:rFonts w:cs="Times New Roman"/>
                <w:sz w:val="18"/>
                <w:szCs w:val="20"/>
              </w:rPr>
              <w:t>specified</w:t>
            </w:r>
            <w:proofErr w:type="gramEnd"/>
            <w:r w:rsidRPr="00391F57">
              <w:rPr>
                <w:rFonts w:cs="Times New Roman"/>
                <w:sz w:val="18"/>
                <w:szCs w:val="20"/>
              </w:rPr>
              <w:t xml:space="preserve"> and risks are managed to deliver outcome</w:t>
            </w:r>
            <w:r w:rsidR="00BA3CD7">
              <w:rPr>
                <w:rFonts w:cs="Times New Roman"/>
                <w:sz w:val="18"/>
                <w:szCs w:val="20"/>
              </w:rPr>
              <w:t>s</w:t>
            </w:r>
            <w:r w:rsidRPr="00391F57">
              <w:rPr>
                <w:rFonts w:cs="Times New Roman"/>
                <w:sz w:val="18"/>
                <w:szCs w:val="20"/>
              </w:rPr>
              <w:t>.</w:t>
            </w:r>
          </w:p>
        </w:tc>
      </w:tr>
      <w:tr w:rsidR="00391F57" w:rsidRPr="00391F57" w14:paraId="0ACB19C8" w14:textId="77777777" w:rsidTr="001864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5A0D3F36" w14:textId="77777777" w:rsidR="00391F57" w:rsidRPr="00391F57" w:rsidRDefault="00391F57" w:rsidP="00391F57">
            <w:pPr>
              <w:suppressAutoHyphens/>
              <w:autoSpaceDN w:val="0"/>
              <w:spacing w:before="40" w:after="40"/>
              <w:textAlignment w:val="baseline"/>
              <w:rPr>
                <w:rFonts w:cs="Times New Roman"/>
                <w:b/>
                <w:bCs w:val="0"/>
                <w:sz w:val="18"/>
                <w:szCs w:val="20"/>
              </w:rPr>
            </w:pPr>
            <w:r w:rsidRPr="00391F57">
              <w:rPr>
                <w:rFonts w:cs="Times New Roman"/>
                <w:b/>
                <w:sz w:val="18"/>
                <w:szCs w:val="20"/>
              </w:rPr>
              <w:t>Effective date</w:t>
            </w:r>
          </w:p>
        </w:tc>
        <w:tc>
          <w:tcPr>
            <w:tcW w:w="6930" w:type="dxa"/>
          </w:tcPr>
          <w:p w14:paraId="493ED701" w14:textId="77777777" w:rsidR="00391F57" w:rsidRPr="00391F57" w:rsidRDefault="00391F57" w:rsidP="00391F57">
            <w:pPr>
              <w:suppressAutoHyphens/>
              <w:autoSpaceDN w:val="0"/>
              <w:spacing w:before="40" w:after="40"/>
              <w:textAlignment w:val="baseline"/>
              <w:cnfStyle w:val="000000010000" w:firstRow="0" w:lastRow="0" w:firstColumn="0" w:lastColumn="0" w:oddVBand="0" w:evenVBand="0" w:oddHBand="0" w:evenHBand="1" w:firstRowFirstColumn="0" w:firstRowLastColumn="0" w:lastRowFirstColumn="0" w:lastRowLastColumn="0"/>
              <w:rPr>
                <w:rFonts w:cs="Times New Roman"/>
                <w:sz w:val="18"/>
                <w:szCs w:val="20"/>
              </w:rPr>
            </w:pPr>
            <w:r w:rsidRPr="00391F57">
              <w:rPr>
                <w:rFonts w:cs="Times New Roman"/>
                <w:sz w:val="18"/>
                <w:szCs w:val="20"/>
              </w:rPr>
              <w:t>1 July 2016</w:t>
            </w:r>
          </w:p>
        </w:tc>
      </w:tr>
      <w:tr w:rsidR="00391F57" w:rsidRPr="00391F57" w14:paraId="56976FC3" w14:textId="77777777" w:rsidTr="00186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2CA8CE05" w14:textId="77777777" w:rsidR="00391F57" w:rsidRPr="00391F57" w:rsidRDefault="00391F57" w:rsidP="006A0812">
            <w:pPr>
              <w:suppressAutoHyphens/>
              <w:autoSpaceDN w:val="0"/>
              <w:spacing w:before="40" w:after="40"/>
              <w:textAlignment w:val="baseline"/>
              <w:rPr>
                <w:rFonts w:cs="Times New Roman"/>
                <w:b/>
                <w:bCs w:val="0"/>
                <w:sz w:val="18"/>
                <w:szCs w:val="20"/>
              </w:rPr>
            </w:pPr>
            <w:r w:rsidRPr="00391F57">
              <w:rPr>
                <w:rFonts w:cs="Times New Roman"/>
                <w:b/>
                <w:sz w:val="18"/>
                <w:szCs w:val="20"/>
              </w:rPr>
              <w:t xml:space="preserve">Relevant </w:t>
            </w:r>
            <w:r w:rsidR="006A0812">
              <w:rPr>
                <w:rFonts w:cs="Times New Roman"/>
                <w:b/>
                <w:sz w:val="18"/>
                <w:szCs w:val="20"/>
              </w:rPr>
              <w:t>Direction</w:t>
            </w:r>
          </w:p>
        </w:tc>
        <w:tc>
          <w:tcPr>
            <w:tcW w:w="6930" w:type="dxa"/>
          </w:tcPr>
          <w:p w14:paraId="62F470C7" w14:textId="16D7882E" w:rsidR="00391F57" w:rsidRPr="00391F57" w:rsidRDefault="00391F57" w:rsidP="00391F57">
            <w:pPr>
              <w:suppressAutoHyphens/>
              <w:autoSpaceDN w:val="0"/>
              <w:spacing w:before="40" w:after="40"/>
              <w:textAlignment w:val="baseline"/>
              <w:cnfStyle w:val="000000100000" w:firstRow="0" w:lastRow="0" w:firstColumn="0" w:lastColumn="0" w:oddVBand="0" w:evenVBand="0" w:oddHBand="1" w:evenHBand="0" w:firstRowFirstColumn="0" w:firstRowLastColumn="0" w:lastRowFirstColumn="0" w:lastRowLastColumn="0"/>
              <w:rPr>
                <w:rFonts w:cs="Times New Roman"/>
                <w:sz w:val="18"/>
                <w:szCs w:val="20"/>
              </w:rPr>
            </w:pPr>
            <w:hyperlink r:id="rId64" w:anchor="standing-directions-2018" w:history="1">
              <w:r w:rsidRPr="00695F74">
                <w:rPr>
                  <w:rStyle w:val="Hyperlink"/>
                  <w:rFonts w:cs="Times New Roman"/>
                  <w:sz w:val="18"/>
                  <w:szCs w:val="20"/>
                </w:rPr>
                <w:t>4.2.1 Acquisition of assets, goods and services</w:t>
              </w:r>
            </w:hyperlink>
          </w:p>
        </w:tc>
      </w:tr>
      <w:tr w:rsidR="00391F57" w:rsidRPr="00391F57" w14:paraId="45D49F22" w14:textId="77777777" w:rsidTr="001864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0AA77425" w14:textId="77777777" w:rsidR="00391F57" w:rsidRPr="00391F57" w:rsidRDefault="00391F57" w:rsidP="00391F57">
            <w:pPr>
              <w:suppressAutoHyphens/>
              <w:autoSpaceDN w:val="0"/>
              <w:spacing w:before="40" w:after="40"/>
              <w:textAlignment w:val="baseline"/>
              <w:rPr>
                <w:rFonts w:cs="Times New Roman"/>
                <w:b/>
                <w:bCs w:val="0"/>
                <w:sz w:val="18"/>
                <w:szCs w:val="20"/>
              </w:rPr>
            </w:pPr>
            <w:r w:rsidRPr="00391F57">
              <w:rPr>
                <w:rFonts w:cs="Times New Roman"/>
                <w:b/>
                <w:sz w:val="18"/>
                <w:szCs w:val="20"/>
              </w:rPr>
              <w:t>History</w:t>
            </w:r>
          </w:p>
        </w:tc>
        <w:tc>
          <w:tcPr>
            <w:tcW w:w="6930" w:type="dxa"/>
          </w:tcPr>
          <w:p w14:paraId="551F5CEC" w14:textId="77777777" w:rsidR="009F7DFC" w:rsidRPr="009F7DFC" w:rsidRDefault="009F7DFC" w:rsidP="009F7DFC">
            <w:pPr>
              <w:suppressAutoHyphens/>
              <w:autoSpaceDN w:val="0"/>
              <w:spacing w:before="40" w:after="40"/>
              <w:textAlignment w:val="baseline"/>
              <w:cnfStyle w:val="000000010000" w:firstRow="0" w:lastRow="0" w:firstColumn="0" w:lastColumn="0" w:oddVBand="0" w:evenVBand="0" w:oddHBand="0" w:evenHBand="1" w:firstRowFirstColumn="0" w:firstRowLastColumn="0" w:lastRowFirstColumn="0" w:lastRowLastColumn="0"/>
              <w:rPr>
                <w:rFonts w:cs="Times New Roman"/>
                <w:sz w:val="18"/>
                <w:szCs w:val="20"/>
              </w:rPr>
            </w:pPr>
            <w:r w:rsidRPr="009F7DFC">
              <w:rPr>
                <w:rFonts w:cs="Times New Roman"/>
                <w:sz w:val="18"/>
                <w:szCs w:val="20"/>
              </w:rPr>
              <w:t xml:space="preserve">Last updated: </w:t>
            </w:r>
            <w:r w:rsidR="001E5F68">
              <w:rPr>
                <w:rFonts w:cs="Times New Roman"/>
                <w:bCs/>
                <w:sz w:val="18"/>
                <w:szCs w:val="20"/>
              </w:rPr>
              <w:t>1 February 2016</w:t>
            </w:r>
          </w:p>
          <w:p w14:paraId="2F3CAD64" w14:textId="77777777" w:rsidR="00391F57" w:rsidRPr="00391F57" w:rsidRDefault="009F7DFC" w:rsidP="009F7DFC">
            <w:pPr>
              <w:suppressAutoHyphens/>
              <w:autoSpaceDN w:val="0"/>
              <w:spacing w:before="40" w:after="40"/>
              <w:textAlignment w:val="baseline"/>
              <w:cnfStyle w:val="000000010000" w:firstRow="0" w:lastRow="0" w:firstColumn="0" w:lastColumn="0" w:oddVBand="0" w:evenVBand="0" w:oddHBand="0" w:evenHBand="1" w:firstRowFirstColumn="0" w:firstRowLastColumn="0" w:lastRowFirstColumn="0" w:lastRowLastColumn="0"/>
              <w:rPr>
                <w:rFonts w:cs="Times New Roman"/>
                <w:sz w:val="18"/>
                <w:szCs w:val="20"/>
              </w:rPr>
            </w:pPr>
            <w:r w:rsidRPr="009F7DFC">
              <w:rPr>
                <w:rFonts w:cs="Times New Roman"/>
                <w:sz w:val="18"/>
                <w:szCs w:val="20"/>
              </w:rPr>
              <w:t>Issued: 1 July 2016</w:t>
            </w:r>
          </w:p>
        </w:tc>
      </w:tr>
    </w:tbl>
    <w:p w14:paraId="08E9B1F9" w14:textId="77777777" w:rsidR="00391F57" w:rsidRPr="00391F57" w:rsidRDefault="00391F57" w:rsidP="00391F57">
      <w:pPr>
        <w:spacing w:before="0" w:after="0" w:line="120" w:lineRule="atLeast"/>
        <w:rPr>
          <w:sz w:val="12"/>
        </w:rPr>
      </w:pPr>
    </w:p>
    <w:p w14:paraId="085D500A" w14:textId="77777777" w:rsidR="00D6216B" w:rsidRDefault="00D6216B" w:rsidP="00D6216B">
      <w:pPr>
        <w:pStyle w:val="Heading1"/>
        <w:numPr>
          <w:ilvl w:val="0"/>
          <w:numId w:val="69"/>
        </w:numPr>
      </w:pPr>
      <w:r w:rsidRPr="0006001E">
        <w:t>Acquiring</w:t>
      </w:r>
      <w:r w:rsidRPr="00080664">
        <w:t xml:space="preserve"> goods and</w:t>
      </w:r>
      <w:r>
        <w:t xml:space="preserve"> services</w:t>
      </w:r>
    </w:p>
    <w:p w14:paraId="7ED4340B" w14:textId="77777777" w:rsidR="0033002B" w:rsidRDefault="0033002B" w:rsidP="00D6216B">
      <w:pPr>
        <w:pStyle w:val="Heading2"/>
      </w:pPr>
      <w:r>
        <w:t>W</w:t>
      </w:r>
      <w:r w:rsidRPr="0033002B">
        <w:t>hen acquiring assets, goods and services</w:t>
      </w:r>
      <w:r>
        <w:t xml:space="preserve">, </w:t>
      </w:r>
      <w:r w:rsidRPr="00391F57">
        <w:t xml:space="preserve">the Accountable Officer </w:t>
      </w:r>
      <w:r w:rsidRPr="0006001E">
        <w:t>must</w:t>
      </w:r>
      <w:r w:rsidRPr="00391F57">
        <w:t xml:space="preserve"> </w:t>
      </w:r>
      <w:r w:rsidRPr="00D14502">
        <w:t>ensure</w:t>
      </w:r>
      <w:r w:rsidRPr="00391F57">
        <w:t xml:space="preserve"> </w:t>
      </w:r>
      <w:r w:rsidR="006F5A2C">
        <w:t xml:space="preserve">that </w:t>
      </w:r>
      <w:r w:rsidRPr="00391F57">
        <w:t>the Agency:</w:t>
      </w:r>
    </w:p>
    <w:p w14:paraId="2DDD94D7" w14:textId="77777777" w:rsidR="0033002B" w:rsidRPr="00391F57" w:rsidRDefault="0033002B" w:rsidP="007961CA">
      <w:pPr>
        <w:pStyle w:val="Num1"/>
        <w:contextualSpacing/>
      </w:pPr>
      <w:r>
        <w:t xml:space="preserve">applies relevant legislation, standards, policies and funding </w:t>
      </w:r>
      <w:proofErr w:type="gramStart"/>
      <w:r>
        <w:t>arrangements;</w:t>
      </w:r>
      <w:proofErr w:type="gramEnd"/>
      <w:r w:rsidRPr="0033002B">
        <w:t xml:space="preserve"> </w:t>
      </w:r>
    </w:p>
    <w:p w14:paraId="28A3C5E9" w14:textId="77777777" w:rsidR="0033002B" w:rsidRPr="00391F57" w:rsidRDefault="00FC0FA9" w:rsidP="007961CA">
      <w:pPr>
        <w:pStyle w:val="Num1"/>
        <w:contextualSpacing/>
      </w:pPr>
      <w:r>
        <w:t xml:space="preserve">achieves value for </w:t>
      </w:r>
      <w:proofErr w:type="gramStart"/>
      <w:r>
        <w:t>money;</w:t>
      </w:r>
      <w:proofErr w:type="gramEnd"/>
      <w:r>
        <w:t xml:space="preserve"> </w:t>
      </w:r>
    </w:p>
    <w:p w14:paraId="2DEC5243" w14:textId="77777777" w:rsidR="0033002B" w:rsidRPr="00391F57" w:rsidRDefault="0033002B" w:rsidP="007961CA">
      <w:pPr>
        <w:pStyle w:val="Num1"/>
        <w:contextualSpacing/>
      </w:pPr>
      <w:r>
        <w:t>unde</w:t>
      </w:r>
      <w:r w:rsidR="00FC0FA9">
        <w:t xml:space="preserve">rstands and engages the </w:t>
      </w:r>
      <w:proofErr w:type="gramStart"/>
      <w:r w:rsidR="00FC0FA9">
        <w:t>market;</w:t>
      </w:r>
      <w:proofErr w:type="gramEnd"/>
    </w:p>
    <w:p w14:paraId="5E1CAD47" w14:textId="77777777" w:rsidR="0033002B" w:rsidRPr="00391F57" w:rsidRDefault="0033002B" w:rsidP="007961CA">
      <w:pPr>
        <w:pStyle w:val="Num1"/>
        <w:contextualSpacing/>
      </w:pPr>
      <w:r>
        <w:t xml:space="preserve">encourages open and fair </w:t>
      </w:r>
      <w:proofErr w:type="gramStart"/>
      <w:r>
        <w:t>competition;</w:t>
      </w:r>
      <w:proofErr w:type="gramEnd"/>
      <w:r>
        <w:t xml:space="preserve"> </w:t>
      </w:r>
    </w:p>
    <w:p w14:paraId="0D306DF0" w14:textId="77777777" w:rsidR="0033002B" w:rsidRPr="00391F57" w:rsidRDefault="0033002B" w:rsidP="007961CA">
      <w:pPr>
        <w:pStyle w:val="Num1"/>
        <w:contextualSpacing/>
      </w:pPr>
      <w:r>
        <w:t>supports probity, accountability and transparency; and</w:t>
      </w:r>
    </w:p>
    <w:p w14:paraId="15F64E4E" w14:textId="77777777" w:rsidR="0033002B" w:rsidRPr="00391F57" w:rsidRDefault="0033002B" w:rsidP="007961CA">
      <w:pPr>
        <w:pStyle w:val="Num1"/>
        <w:contextualSpacing/>
      </w:pPr>
      <w:r>
        <w:t>manages risks appropriately.</w:t>
      </w:r>
    </w:p>
    <w:p w14:paraId="2526D011" w14:textId="77777777" w:rsidR="0033002B" w:rsidRPr="0033002B" w:rsidRDefault="0033002B" w:rsidP="00D6216B">
      <w:pPr>
        <w:pStyle w:val="Heading1"/>
      </w:pPr>
      <w:r>
        <w:t xml:space="preserve">Acquisition processes </w:t>
      </w:r>
    </w:p>
    <w:p w14:paraId="5D08EBD3" w14:textId="2B845CB0" w:rsidR="0033002B" w:rsidRDefault="0033002B" w:rsidP="00D6216B">
      <w:pPr>
        <w:pStyle w:val="Heading2"/>
      </w:pPr>
      <w:r>
        <w:t>T</w:t>
      </w:r>
      <w:r w:rsidRPr="00391F57">
        <w:t xml:space="preserve">he Accountable Officer must ensure </w:t>
      </w:r>
      <w:r>
        <w:t xml:space="preserve">that </w:t>
      </w:r>
      <w:r w:rsidRPr="00391F57">
        <w:t>the Agency</w:t>
      </w:r>
      <w:r>
        <w:t xml:space="preserve">’s processes covering the acquisition lifecycle </w:t>
      </w:r>
      <w:r w:rsidR="006F5A2C">
        <w:t xml:space="preserve">under </w:t>
      </w:r>
      <w:hyperlink r:id="rId65" w:anchor="standing-directions-2018" w:history="1">
        <w:r w:rsidR="006F5A2C" w:rsidRPr="00842BF8">
          <w:rPr>
            <w:rStyle w:val="Hyperlink"/>
          </w:rPr>
          <w:t>Direction 4.2.1</w:t>
        </w:r>
        <w:r w:rsidR="006F5A2C" w:rsidRPr="00B67C4E">
          <w:rPr>
            <w:rStyle w:val="Hyperlink"/>
          </w:rPr>
          <w:t>(d)</w:t>
        </w:r>
      </w:hyperlink>
      <w:r w:rsidR="006F5A2C">
        <w:t xml:space="preserve"> </w:t>
      </w:r>
      <w:r>
        <w:t>include</w:t>
      </w:r>
      <w:r w:rsidRPr="00391F57">
        <w:t>:</w:t>
      </w:r>
    </w:p>
    <w:p w14:paraId="3A4BDAB7" w14:textId="77777777" w:rsidR="00B311F7" w:rsidRPr="00391F57" w:rsidRDefault="0033002B" w:rsidP="00B311F7">
      <w:pPr>
        <w:pStyle w:val="Num1"/>
        <w:contextualSpacing/>
      </w:pPr>
      <w:r>
        <w:t xml:space="preserve">strategic </w:t>
      </w:r>
      <w:proofErr w:type="gramStart"/>
      <w:r>
        <w:t>planning;</w:t>
      </w:r>
      <w:proofErr w:type="gramEnd"/>
      <w:r w:rsidR="00B311F7" w:rsidRPr="00B311F7">
        <w:t xml:space="preserve"> </w:t>
      </w:r>
    </w:p>
    <w:p w14:paraId="0B1268E3" w14:textId="77777777" w:rsidR="00B311F7" w:rsidRPr="00391F57" w:rsidRDefault="0033002B" w:rsidP="00B311F7">
      <w:pPr>
        <w:pStyle w:val="Num1"/>
        <w:contextualSpacing/>
      </w:pPr>
      <w:r>
        <w:t>transition planning; and</w:t>
      </w:r>
    </w:p>
    <w:p w14:paraId="5C4E8E1A" w14:textId="77777777" w:rsidR="00B311F7" w:rsidRPr="00391F57" w:rsidRDefault="0033002B" w:rsidP="00B311F7">
      <w:pPr>
        <w:pStyle w:val="Num1"/>
        <w:contextualSpacing/>
      </w:pPr>
      <w:r>
        <w:t xml:space="preserve">evaluation of acquisitions. </w:t>
      </w:r>
    </w:p>
    <w:p w14:paraId="4CAE59C8" w14:textId="77777777" w:rsidR="00391F57" w:rsidRPr="00391F57" w:rsidRDefault="00391F57" w:rsidP="00D6216B">
      <w:pPr>
        <w:pStyle w:val="Heading1"/>
      </w:pPr>
      <w:r w:rsidRPr="00D6216B">
        <w:t>Contract</w:t>
      </w:r>
      <w:r w:rsidRPr="00391F57">
        <w:t xml:space="preserve"> management and performance</w:t>
      </w:r>
    </w:p>
    <w:p w14:paraId="57B71B6E" w14:textId="77777777" w:rsidR="00391F57" w:rsidRPr="00391F57" w:rsidRDefault="006F5A2C" w:rsidP="00D6216B">
      <w:pPr>
        <w:pStyle w:val="Heading2"/>
      </w:pPr>
      <w:r>
        <w:t>T</w:t>
      </w:r>
      <w:r w:rsidR="00391F57" w:rsidRPr="00391F57">
        <w:t>he Accountable Officer must ensure the Agency</w:t>
      </w:r>
      <w:r>
        <w:t xml:space="preserve"> facilitates</w:t>
      </w:r>
      <w:r w:rsidRPr="00391F57">
        <w:t xml:space="preserve"> contract performance</w:t>
      </w:r>
      <w:r>
        <w:t>, including by</w:t>
      </w:r>
      <w:r w:rsidR="00391F57" w:rsidRPr="00391F57">
        <w:t>:</w:t>
      </w:r>
    </w:p>
    <w:p w14:paraId="26A439A2" w14:textId="77777777" w:rsidR="00B311F7" w:rsidRPr="00391F57" w:rsidRDefault="006F5A2C" w:rsidP="00B311F7">
      <w:pPr>
        <w:pStyle w:val="Num1"/>
        <w:contextualSpacing/>
      </w:pPr>
      <w:r>
        <w:t>establishing</w:t>
      </w:r>
      <w:r w:rsidR="00391F57" w:rsidRPr="00391F57">
        <w:t xml:space="preserve"> a sound governance framework for effectively managing </w:t>
      </w:r>
      <w:proofErr w:type="gramStart"/>
      <w:r w:rsidR="00391F57" w:rsidRPr="00391F57">
        <w:t>contracts;</w:t>
      </w:r>
      <w:proofErr w:type="gramEnd"/>
      <w:r w:rsidR="00391F57" w:rsidRPr="00391F57">
        <w:t xml:space="preserve"> </w:t>
      </w:r>
    </w:p>
    <w:p w14:paraId="0543BA32" w14:textId="77777777" w:rsidR="00B311F7" w:rsidRPr="00391F57" w:rsidRDefault="006F5A2C" w:rsidP="00B311F7">
      <w:pPr>
        <w:pStyle w:val="Num1"/>
        <w:contextualSpacing/>
      </w:pPr>
      <w:r>
        <w:t>securing</w:t>
      </w:r>
      <w:r w:rsidR="00391F57" w:rsidRPr="00391F57">
        <w:t xml:space="preserve"> people with sufficient capability for contract design and </w:t>
      </w:r>
      <w:proofErr w:type="gramStart"/>
      <w:r w:rsidR="00391F57" w:rsidRPr="00391F57">
        <w:t>management;</w:t>
      </w:r>
      <w:proofErr w:type="gramEnd"/>
      <w:r w:rsidR="00B311F7" w:rsidRPr="00B311F7">
        <w:t xml:space="preserve"> </w:t>
      </w:r>
    </w:p>
    <w:p w14:paraId="124AC870" w14:textId="77777777" w:rsidR="00B311F7" w:rsidRPr="00391F57" w:rsidRDefault="006F5A2C" w:rsidP="00B311F7">
      <w:pPr>
        <w:pStyle w:val="Num1"/>
        <w:contextualSpacing/>
      </w:pPr>
      <w:r>
        <w:t>establishing</w:t>
      </w:r>
      <w:r w:rsidR="00391F57" w:rsidRPr="00391F57">
        <w:t xml:space="preserve"> an effective performance management framework for the </w:t>
      </w:r>
      <w:proofErr w:type="gramStart"/>
      <w:r w:rsidR="00391F57" w:rsidRPr="00391F57">
        <w:t>contract;</w:t>
      </w:r>
      <w:proofErr w:type="gramEnd"/>
      <w:r w:rsidR="00B311F7" w:rsidRPr="00B311F7">
        <w:t xml:space="preserve"> </w:t>
      </w:r>
    </w:p>
    <w:p w14:paraId="59F833F9" w14:textId="77777777" w:rsidR="00391F57" w:rsidRPr="002872E5" w:rsidRDefault="00391F57" w:rsidP="002872E5">
      <w:pPr>
        <w:keepNext/>
        <w:spacing w:before="120" w:after="120" w:line="276" w:lineRule="auto"/>
        <w:ind w:left="504"/>
        <w:rPr>
          <w:color w:val="4D4D4D"/>
          <w:sz w:val="24"/>
          <w:szCs w:val="28"/>
        </w:rPr>
      </w:pPr>
      <w:r w:rsidRPr="002872E5">
        <w:rPr>
          <w:color w:val="4D4D4D"/>
          <w:sz w:val="24"/>
          <w:szCs w:val="28"/>
        </w:rPr>
        <w:t>Contract specification</w:t>
      </w:r>
    </w:p>
    <w:p w14:paraId="21EEB5A5" w14:textId="77777777" w:rsidR="00391F57" w:rsidRPr="00391F57" w:rsidRDefault="006F5A2C" w:rsidP="00371560">
      <w:pPr>
        <w:pStyle w:val="Num1"/>
        <w:contextualSpacing/>
      </w:pPr>
      <w:r>
        <w:t>defining</w:t>
      </w:r>
      <w:r w:rsidR="00391F57" w:rsidRPr="00391F57">
        <w:t xml:space="preserve"> all contract deliverables in terms of objectives </w:t>
      </w:r>
      <w:proofErr w:type="gramStart"/>
      <w:r w:rsidR="00391F57" w:rsidRPr="00391F57">
        <w:t>required;</w:t>
      </w:r>
      <w:proofErr w:type="gramEnd"/>
      <w:r w:rsidR="00391F57" w:rsidRPr="00391F57">
        <w:t xml:space="preserve"> </w:t>
      </w:r>
    </w:p>
    <w:p w14:paraId="5DBB3AC7" w14:textId="77777777" w:rsidR="00391F57" w:rsidRPr="00391F57" w:rsidRDefault="006F5A2C" w:rsidP="007961CA">
      <w:pPr>
        <w:pStyle w:val="Num1"/>
        <w:contextualSpacing/>
      </w:pPr>
      <w:r>
        <w:t>including</w:t>
      </w:r>
      <w:r w:rsidR="00391F57" w:rsidRPr="00391F57">
        <w:t xml:space="preserve"> key components of the contract performance regime in the </w:t>
      </w:r>
      <w:proofErr w:type="gramStart"/>
      <w:r w:rsidR="00391F57" w:rsidRPr="00391F57">
        <w:t>contract;</w:t>
      </w:r>
      <w:proofErr w:type="gramEnd"/>
    </w:p>
    <w:p w14:paraId="72CADB34" w14:textId="77777777" w:rsidR="00391F57" w:rsidRPr="00391F57" w:rsidRDefault="006F5A2C" w:rsidP="007961CA">
      <w:pPr>
        <w:pStyle w:val="Num1"/>
        <w:contextualSpacing/>
      </w:pPr>
      <w:r>
        <w:t>setting</w:t>
      </w:r>
      <w:r w:rsidR="00391F57" w:rsidRPr="00391F57">
        <w:t xml:space="preserve"> parameters around the ownership, sharing of data, and protocols for </w:t>
      </w:r>
      <w:proofErr w:type="gramStart"/>
      <w:r w:rsidR="00391F57" w:rsidRPr="00391F57">
        <w:t>communication;</w:t>
      </w:r>
      <w:proofErr w:type="gramEnd"/>
    </w:p>
    <w:p w14:paraId="6B483DD8" w14:textId="77777777" w:rsidR="00391F57" w:rsidRDefault="006F5A2C" w:rsidP="007961CA">
      <w:pPr>
        <w:pStyle w:val="Num1"/>
        <w:contextualSpacing/>
      </w:pPr>
      <w:r>
        <w:t>providing</w:t>
      </w:r>
      <w:r w:rsidR="00391F57" w:rsidRPr="00391F57">
        <w:t xml:space="preserve"> for the Auditor-General to have access to the premises and systems of private sector contractors and subcontractors</w:t>
      </w:r>
      <w:r>
        <w:t xml:space="preserve"> </w:t>
      </w:r>
      <w:r w:rsidR="00AF2186">
        <w:t xml:space="preserve">as necessary under </w:t>
      </w:r>
      <w:proofErr w:type="gramStart"/>
      <w:r w:rsidR="00AF2186">
        <w:t>statute</w:t>
      </w:r>
      <w:r w:rsidR="00D14502">
        <w:t>;</w:t>
      </w:r>
      <w:proofErr w:type="gramEnd"/>
      <w:r w:rsidR="00391F57" w:rsidRPr="00391F57">
        <w:t xml:space="preserve"> </w:t>
      </w:r>
    </w:p>
    <w:p w14:paraId="4D796D4C" w14:textId="77777777" w:rsidR="00391F57" w:rsidRPr="002872E5" w:rsidRDefault="00391F57" w:rsidP="002872E5">
      <w:pPr>
        <w:keepNext/>
        <w:spacing w:before="120" w:after="120" w:line="276" w:lineRule="auto"/>
        <w:ind w:left="504"/>
        <w:rPr>
          <w:color w:val="4D4D4D"/>
          <w:sz w:val="24"/>
          <w:szCs w:val="28"/>
        </w:rPr>
      </w:pPr>
      <w:r w:rsidRPr="002872E5">
        <w:rPr>
          <w:color w:val="4D4D4D"/>
          <w:sz w:val="24"/>
          <w:szCs w:val="28"/>
        </w:rPr>
        <w:t>Contract management</w:t>
      </w:r>
    </w:p>
    <w:p w14:paraId="4662D0C1" w14:textId="77777777" w:rsidR="00D14502" w:rsidRPr="00391F57" w:rsidRDefault="00D14502" w:rsidP="00371560">
      <w:pPr>
        <w:pStyle w:val="Num1"/>
        <w:contextualSpacing/>
      </w:pPr>
      <w:r>
        <w:t>establishing and implementing</w:t>
      </w:r>
      <w:r w:rsidR="00391F57" w:rsidRPr="00391F57">
        <w:t xml:space="preserve"> effective internal controls to manage contract variations and </w:t>
      </w:r>
      <w:proofErr w:type="gramStart"/>
      <w:r w:rsidR="00391F57" w:rsidRPr="00391F57">
        <w:t>disputes;</w:t>
      </w:r>
      <w:proofErr w:type="gramEnd"/>
      <w:r w:rsidRPr="00D14502">
        <w:t xml:space="preserve"> </w:t>
      </w:r>
    </w:p>
    <w:p w14:paraId="57EF5547" w14:textId="77777777" w:rsidR="00D14502" w:rsidRDefault="00D14502" w:rsidP="007961CA">
      <w:pPr>
        <w:pStyle w:val="Num1"/>
        <w:contextualSpacing/>
      </w:pPr>
      <w:r>
        <w:t>regularly monitoring</w:t>
      </w:r>
      <w:r w:rsidR="00391F57" w:rsidRPr="00391F57">
        <w:t xml:space="preserve"> and ma</w:t>
      </w:r>
      <w:r>
        <w:t>naging</w:t>
      </w:r>
      <w:r w:rsidR="00391F57" w:rsidRPr="00391F57">
        <w:t xml:space="preserve"> performance; and</w:t>
      </w:r>
    </w:p>
    <w:p w14:paraId="13A7647B" w14:textId="77777777" w:rsidR="00391F57" w:rsidRPr="00391F57" w:rsidRDefault="00D14502" w:rsidP="007961CA">
      <w:pPr>
        <w:pStyle w:val="Num1"/>
        <w:contextualSpacing/>
      </w:pPr>
      <w:r>
        <w:t>regularly reporting</w:t>
      </w:r>
      <w:r w:rsidR="00391F57" w:rsidRPr="00391F57">
        <w:t xml:space="preserve"> to the Responsible Body on the Agency's assessment of contractor performance.</w:t>
      </w:r>
    </w:p>
    <w:p w14:paraId="17C67470" w14:textId="77777777" w:rsidR="009324AC" w:rsidRDefault="009324AC" w:rsidP="006D2117">
      <w:pPr>
        <w:spacing w:before="0" w:after="300" w:line="252" w:lineRule="auto"/>
      </w:pPr>
    </w:p>
    <w:p w14:paraId="336DB78B" w14:textId="77777777" w:rsidR="00391F57" w:rsidRDefault="00391F57" w:rsidP="006D2117">
      <w:pPr>
        <w:spacing w:before="0" w:after="300" w:line="252" w:lineRule="auto"/>
        <w:sectPr w:rsidR="00391F57" w:rsidSect="00CF2B85">
          <w:pgSz w:w="11906" w:h="16838"/>
          <w:pgMar w:top="1440" w:right="1008" w:bottom="1440" w:left="1008" w:header="706" w:footer="395" w:gutter="0"/>
          <w:cols w:space="708"/>
          <w:titlePg/>
          <w:docGrid w:linePitch="360"/>
        </w:sectPr>
      </w:pPr>
    </w:p>
    <w:p w14:paraId="13271495" w14:textId="77777777" w:rsidR="00391F57" w:rsidRPr="00391F57" w:rsidRDefault="00391F57" w:rsidP="00B32558">
      <w:pPr>
        <w:pStyle w:val="Instruction"/>
      </w:pPr>
      <w:bookmarkStart w:id="14" w:name="Instruction_5_1"/>
      <w:r w:rsidRPr="00391F57">
        <w:lastRenderedPageBreak/>
        <w:t>Instruction 5.1</w:t>
      </w:r>
      <w:bookmarkEnd w:id="14"/>
      <w:r w:rsidRPr="00391F57">
        <w:t xml:space="preserve"> – Financial management compliance</w:t>
      </w:r>
    </w:p>
    <w:tbl>
      <w:tblPr>
        <w:tblStyle w:val="Table211"/>
        <w:tblW w:w="9630" w:type="dxa"/>
        <w:tblBorders>
          <w:top w:val="single" w:sz="6" w:space="0" w:color="00B050"/>
          <w:bottom w:val="single" w:sz="6" w:space="0" w:color="00B050"/>
          <w:insideH w:val="single" w:sz="6" w:space="0" w:color="00B050"/>
        </w:tblBorders>
        <w:tblLook w:val="0400" w:firstRow="0" w:lastRow="0" w:firstColumn="0" w:lastColumn="0" w:noHBand="0" w:noVBand="1"/>
      </w:tblPr>
      <w:tblGrid>
        <w:gridCol w:w="2700"/>
        <w:gridCol w:w="6930"/>
      </w:tblGrid>
      <w:tr w:rsidR="00391F57" w:rsidRPr="00391F57" w14:paraId="3EA59EC6" w14:textId="77777777" w:rsidTr="00186412">
        <w:trPr>
          <w:cnfStyle w:val="000000100000" w:firstRow="0" w:lastRow="0" w:firstColumn="0" w:lastColumn="0" w:oddVBand="0" w:evenVBand="0" w:oddHBand="1" w:evenHBand="0" w:firstRowFirstColumn="0" w:firstRowLastColumn="0" w:lastRowFirstColumn="0" w:lastRowLastColumn="0"/>
        </w:trPr>
        <w:tc>
          <w:tcPr>
            <w:tcW w:w="27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4D5DBC" w14:textId="77777777" w:rsidR="00391F57" w:rsidRPr="00391F57" w:rsidRDefault="00391F57" w:rsidP="00391F57">
            <w:pPr>
              <w:spacing w:before="40" w:after="40" w:line="240" w:lineRule="atLeast"/>
              <w:rPr>
                <w:rFonts w:cs="Times New Roman"/>
                <w:b/>
                <w:szCs w:val="20"/>
              </w:rPr>
            </w:pPr>
            <w:r w:rsidRPr="00391F57">
              <w:rPr>
                <w:rFonts w:cs="Times New Roman"/>
                <w:b/>
                <w:bCs/>
                <w:sz w:val="18"/>
                <w:szCs w:val="20"/>
              </w:rPr>
              <w:t>Background</w:t>
            </w:r>
          </w:p>
        </w:tc>
        <w:tc>
          <w:tcPr>
            <w:tcW w:w="69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11EBAE" w14:textId="77777777" w:rsidR="00391F57" w:rsidRPr="00391F57" w:rsidRDefault="00391F57" w:rsidP="00391F57">
            <w:pPr>
              <w:spacing w:before="40" w:after="40" w:line="240" w:lineRule="atLeast"/>
              <w:rPr>
                <w:rFonts w:cs="Times New Roman"/>
                <w:sz w:val="18"/>
                <w:szCs w:val="20"/>
              </w:rPr>
            </w:pPr>
            <w:r w:rsidRPr="00391F57">
              <w:rPr>
                <w:rFonts w:cs="Times New Roman"/>
                <w:sz w:val="18"/>
                <w:szCs w:val="20"/>
              </w:rPr>
              <w:t xml:space="preserve">A holistic and effective </w:t>
            </w:r>
            <w:r w:rsidR="00DB2D7D">
              <w:rPr>
                <w:rFonts w:cs="Times New Roman"/>
                <w:sz w:val="18"/>
                <w:szCs w:val="20"/>
              </w:rPr>
              <w:t xml:space="preserve">approach to compliance </w:t>
            </w:r>
            <w:r w:rsidR="00F71DE1">
              <w:rPr>
                <w:rFonts w:cs="Times New Roman"/>
                <w:sz w:val="18"/>
                <w:szCs w:val="20"/>
              </w:rPr>
              <w:t>enables the A</w:t>
            </w:r>
            <w:r w:rsidRPr="00391F57">
              <w:rPr>
                <w:rFonts w:cs="Times New Roman"/>
                <w:sz w:val="18"/>
                <w:szCs w:val="20"/>
              </w:rPr>
              <w:t xml:space="preserve">gency to meet its obligations. </w:t>
            </w:r>
          </w:p>
          <w:p w14:paraId="568B721D" w14:textId="77777777" w:rsidR="00391F57" w:rsidRPr="00391F57" w:rsidRDefault="00391F57" w:rsidP="00DB2D7D">
            <w:pPr>
              <w:spacing w:before="40" w:after="40" w:line="240" w:lineRule="atLeast"/>
              <w:rPr>
                <w:rFonts w:cs="Times New Roman"/>
                <w:sz w:val="18"/>
                <w:szCs w:val="20"/>
              </w:rPr>
            </w:pPr>
            <w:r w:rsidRPr="00391F57">
              <w:rPr>
                <w:rFonts w:cs="Times New Roman"/>
                <w:sz w:val="18"/>
                <w:szCs w:val="20"/>
              </w:rPr>
              <w:t xml:space="preserve">The annual review and reporting against financial management obligations will improve rigour in compliance assessment, ensure action is taken to improve identified compliance weaknesses at the </w:t>
            </w:r>
            <w:r w:rsidR="00F71DE1">
              <w:rPr>
                <w:rFonts w:cs="Times New Roman"/>
                <w:sz w:val="18"/>
                <w:szCs w:val="20"/>
              </w:rPr>
              <w:t>A</w:t>
            </w:r>
            <w:r w:rsidRPr="00391F57">
              <w:rPr>
                <w:rFonts w:cs="Times New Roman"/>
                <w:sz w:val="18"/>
                <w:szCs w:val="20"/>
              </w:rPr>
              <w:t>gency, portfolio and whole of government levels and increase transparency.</w:t>
            </w:r>
          </w:p>
        </w:tc>
      </w:tr>
      <w:tr w:rsidR="00391F57" w:rsidRPr="00391F57" w14:paraId="3E3E500A" w14:textId="77777777" w:rsidTr="00186412">
        <w:trPr>
          <w:cnfStyle w:val="000000010000" w:firstRow="0" w:lastRow="0" w:firstColumn="0" w:lastColumn="0" w:oddVBand="0" w:evenVBand="0" w:oddHBand="0" w:evenHBand="1" w:firstRowFirstColumn="0" w:firstRowLastColumn="0" w:lastRowFirstColumn="0" w:lastRowLastColumn="0"/>
        </w:trPr>
        <w:tc>
          <w:tcPr>
            <w:tcW w:w="27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C8DC68" w14:textId="77777777" w:rsidR="00391F57" w:rsidRPr="00391F57" w:rsidRDefault="00391F57" w:rsidP="00391F57">
            <w:pPr>
              <w:spacing w:before="40" w:after="40" w:line="240" w:lineRule="atLeast"/>
              <w:rPr>
                <w:rFonts w:cs="Times New Roman"/>
                <w:b/>
                <w:szCs w:val="20"/>
              </w:rPr>
            </w:pPr>
            <w:r w:rsidRPr="00391F57">
              <w:rPr>
                <w:rFonts w:cs="Times New Roman"/>
                <w:b/>
                <w:bCs/>
                <w:sz w:val="18"/>
                <w:szCs w:val="20"/>
              </w:rPr>
              <w:t>Effective date</w:t>
            </w:r>
          </w:p>
        </w:tc>
        <w:tc>
          <w:tcPr>
            <w:tcW w:w="69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BC70C1" w14:textId="77777777" w:rsidR="00391F57" w:rsidRPr="00391F57" w:rsidRDefault="00391F57" w:rsidP="00391F57">
            <w:pPr>
              <w:spacing w:before="40" w:after="40" w:line="240" w:lineRule="atLeast"/>
              <w:rPr>
                <w:rFonts w:cs="Times New Roman"/>
                <w:szCs w:val="20"/>
              </w:rPr>
            </w:pPr>
            <w:r w:rsidRPr="00391F57">
              <w:rPr>
                <w:rFonts w:cs="Times New Roman"/>
                <w:sz w:val="18"/>
                <w:szCs w:val="20"/>
              </w:rPr>
              <w:t>1 July 2016 (except for public attestation which commences from 1 July 2017)</w:t>
            </w:r>
          </w:p>
        </w:tc>
      </w:tr>
      <w:tr w:rsidR="00391F57" w:rsidRPr="00391F57" w14:paraId="73D50EDC" w14:textId="77777777" w:rsidTr="00186412">
        <w:trPr>
          <w:cnfStyle w:val="000000100000" w:firstRow="0" w:lastRow="0" w:firstColumn="0" w:lastColumn="0" w:oddVBand="0" w:evenVBand="0" w:oddHBand="1" w:evenHBand="0" w:firstRowFirstColumn="0" w:firstRowLastColumn="0" w:lastRowFirstColumn="0" w:lastRowLastColumn="0"/>
        </w:trPr>
        <w:tc>
          <w:tcPr>
            <w:tcW w:w="27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9164C0" w14:textId="77777777" w:rsidR="00391F57" w:rsidRPr="00391F57" w:rsidRDefault="00391F57" w:rsidP="006A0812">
            <w:pPr>
              <w:spacing w:before="40" w:after="40" w:line="240" w:lineRule="atLeast"/>
              <w:rPr>
                <w:rFonts w:cs="Times New Roman"/>
                <w:b/>
                <w:szCs w:val="20"/>
              </w:rPr>
            </w:pPr>
            <w:r w:rsidRPr="00391F57">
              <w:rPr>
                <w:rFonts w:cs="Times New Roman"/>
                <w:b/>
                <w:bCs/>
                <w:sz w:val="18"/>
                <w:szCs w:val="20"/>
              </w:rPr>
              <w:t>Relevant Directions</w:t>
            </w:r>
          </w:p>
        </w:tc>
        <w:tc>
          <w:tcPr>
            <w:tcW w:w="69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D300C7" w14:textId="08F6253D" w:rsidR="00391F57" w:rsidRPr="00391F57" w:rsidRDefault="00391F57" w:rsidP="00391F57">
            <w:pPr>
              <w:spacing w:before="40" w:after="40" w:line="240" w:lineRule="atLeast"/>
              <w:rPr>
                <w:rFonts w:cs="Times New Roman"/>
                <w:sz w:val="18"/>
                <w:szCs w:val="18"/>
              </w:rPr>
            </w:pPr>
            <w:hyperlink r:id="rId66" w:anchor="standing-directions-2018" w:history="1">
              <w:r w:rsidRPr="003D4594">
                <w:rPr>
                  <w:rStyle w:val="Hyperlink"/>
                  <w:rFonts w:cs="Times New Roman"/>
                  <w:sz w:val="18"/>
                  <w:szCs w:val="18"/>
                </w:rPr>
                <w:t xml:space="preserve">1.3 </w:t>
              </w:r>
              <w:r w:rsidR="00DD5768" w:rsidRPr="003D4594">
                <w:rPr>
                  <w:rStyle w:val="Hyperlink"/>
                  <w:rFonts w:cs="Times New Roman"/>
                  <w:sz w:val="18"/>
                  <w:szCs w:val="18"/>
                </w:rPr>
                <w:t>Commencement</w:t>
              </w:r>
            </w:hyperlink>
          </w:p>
          <w:p w14:paraId="7CD1A2D6" w14:textId="15772033" w:rsidR="00305598" w:rsidRDefault="00E70B8F" w:rsidP="00391F57">
            <w:pPr>
              <w:spacing w:before="40" w:after="40" w:line="240" w:lineRule="atLeast"/>
              <w:rPr>
                <w:rFonts w:cs="Times New Roman"/>
                <w:sz w:val="18"/>
                <w:szCs w:val="18"/>
              </w:rPr>
            </w:pPr>
            <w:hyperlink r:id="rId67" w:anchor="standing-directions-2018" w:history="1">
              <w:r>
                <w:rPr>
                  <w:rStyle w:val="Hyperlink"/>
                  <w:rFonts w:cs="Times New Roman"/>
                  <w:sz w:val="18"/>
                  <w:szCs w:val="18"/>
                </w:rPr>
                <w:t>1.4 Transitional arrangements</w:t>
              </w:r>
            </w:hyperlink>
          </w:p>
          <w:p w14:paraId="1160F610" w14:textId="0136BFD0" w:rsidR="00391F57" w:rsidRDefault="00391F57" w:rsidP="00391F57">
            <w:pPr>
              <w:spacing w:before="40" w:after="40" w:line="240" w:lineRule="atLeast"/>
              <w:rPr>
                <w:rFonts w:cs="Times New Roman"/>
                <w:sz w:val="18"/>
                <w:szCs w:val="18"/>
              </w:rPr>
            </w:pPr>
            <w:hyperlink r:id="rId68" w:anchor="standing-directions-2018" w:history="1">
              <w:r w:rsidRPr="003D4594">
                <w:rPr>
                  <w:rStyle w:val="Hyperlink"/>
                  <w:rFonts w:cs="Times New Roman"/>
                  <w:sz w:val="18"/>
                  <w:szCs w:val="18"/>
                </w:rPr>
                <w:t>5.1 Financial management compliance</w:t>
              </w:r>
            </w:hyperlink>
          </w:p>
          <w:p w14:paraId="4FCC8347" w14:textId="56FF0940" w:rsidR="00305598" w:rsidRPr="00CC4A8C" w:rsidRDefault="00305598" w:rsidP="00391F57">
            <w:pPr>
              <w:spacing w:before="40" w:after="40" w:line="240" w:lineRule="atLeast"/>
              <w:rPr>
                <w:rFonts w:cs="Times New Roman"/>
                <w:sz w:val="18"/>
                <w:szCs w:val="18"/>
              </w:rPr>
            </w:pPr>
            <w:hyperlink r:id="rId69" w:anchor="standing-directions-2018" w:history="1">
              <w:r w:rsidRPr="003D4594">
                <w:rPr>
                  <w:rStyle w:val="Hyperlink"/>
                  <w:rFonts w:cs="Times New Roman"/>
                  <w:sz w:val="18"/>
                  <w:szCs w:val="18"/>
                </w:rPr>
                <w:t>5.1.4 Attestation</w:t>
              </w:r>
            </w:hyperlink>
          </w:p>
        </w:tc>
      </w:tr>
      <w:tr w:rsidR="00391F57" w:rsidRPr="00391F57" w14:paraId="71BCF76E" w14:textId="77777777" w:rsidTr="00186412">
        <w:trPr>
          <w:cnfStyle w:val="000000010000" w:firstRow="0" w:lastRow="0" w:firstColumn="0" w:lastColumn="0" w:oddVBand="0" w:evenVBand="0" w:oddHBand="0" w:evenHBand="1" w:firstRowFirstColumn="0" w:firstRowLastColumn="0" w:lastRowFirstColumn="0" w:lastRowLastColumn="0"/>
        </w:trPr>
        <w:tc>
          <w:tcPr>
            <w:tcW w:w="27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A8067B" w14:textId="77777777" w:rsidR="00391F57" w:rsidRPr="00391F57" w:rsidRDefault="00391F57" w:rsidP="00391F57">
            <w:pPr>
              <w:spacing w:before="40" w:after="40" w:line="240" w:lineRule="atLeast"/>
              <w:rPr>
                <w:rFonts w:cs="Times New Roman"/>
                <w:b/>
                <w:szCs w:val="20"/>
              </w:rPr>
            </w:pPr>
            <w:r w:rsidRPr="00391F57">
              <w:rPr>
                <w:rFonts w:cs="Times New Roman"/>
                <w:b/>
                <w:bCs/>
                <w:sz w:val="18"/>
                <w:szCs w:val="20"/>
              </w:rPr>
              <w:t>History</w:t>
            </w:r>
          </w:p>
        </w:tc>
        <w:tc>
          <w:tcPr>
            <w:tcW w:w="69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0D808F" w14:textId="3DBAA4C0" w:rsidR="009F7DFC" w:rsidRPr="009F7DFC" w:rsidRDefault="009F7DFC" w:rsidP="009F7DFC">
            <w:pPr>
              <w:spacing w:before="40" w:after="40" w:line="240" w:lineRule="atLeast"/>
              <w:rPr>
                <w:rFonts w:cs="Times New Roman"/>
                <w:sz w:val="18"/>
                <w:szCs w:val="20"/>
              </w:rPr>
            </w:pPr>
            <w:r w:rsidRPr="009F7DFC">
              <w:rPr>
                <w:rFonts w:cs="Times New Roman"/>
                <w:sz w:val="18"/>
                <w:szCs w:val="20"/>
              </w:rPr>
              <w:t xml:space="preserve">Last updated: </w:t>
            </w:r>
            <w:r w:rsidR="00E6285B">
              <w:rPr>
                <w:rFonts w:cs="Times New Roman"/>
                <w:sz w:val="18"/>
                <w:szCs w:val="20"/>
              </w:rPr>
              <w:t>23 December</w:t>
            </w:r>
            <w:r w:rsidR="00D82009">
              <w:rPr>
                <w:rFonts w:cs="Times New Roman"/>
                <w:bCs/>
                <w:sz w:val="18"/>
                <w:szCs w:val="20"/>
              </w:rPr>
              <w:t xml:space="preserve"> 20</w:t>
            </w:r>
            <w:r w:rsidR="00E6285B">
              <w:rPr>
                <w:rFonts w:cs="Times New Roman"/>
                <w:bCs/>
                <w:sz w:val="18"/>
                <w:szCs w:val="20"/>
              </w:rPr>
              <w:t>21</w:t>
            </w:r>
          </w:p>
          <w:p w14:paraId="2D09F306" w14:textId="77777777" w:rsidR="00391F57" w:rsidRPr="00391F57" w:rsidRDefault="009F7DFC" w:rsidP="009F7DFC">
            <w:pPr>
              <w:spacing w:before="40" w:after="40" w:line="240" w:lineRule="atLeast"/>
              <w:rPr>
                <w:rFonts w:cs="Times New Roman"/>
                <w:szCs w:val="20"/>
              </w:rPr>
            </w:pPr>
            <w:r w:rsidRPr="009F7DFC">
              <w:rPr>
                <w:rFonts w:cs="Times New Roman"/>
                <w:sz w:val="18"/>
                <w:szCs w:val="20"/>
              </w:rPr>
              <w:t>Issued: 1 July 2016</w:t>
            </w:r>
          </w:p>
        </w:tc>
      </w:tr>
    </w:tbl>
    <w:p w14:paraId="796D3763" w14:textId="77777777" w:rsidR="00391F57" w:rsidRPr="00391F57" w:rsidRDefault="00391F57" w:rsidP="00391F57">
      <w:pPr>
        <w:spacing w:before="0" w:after="0" w:line="120" w:lineRule="atLeast"/>
        <w:rPr>
          <w:sz w:val="12"/>
        </w:rPr>
      </w:pPr>
    </w:p>
    <w:p w14:paraId="6DF2B7B0" w14:textId="77777777" w:rsidR="00D6216B" w:rsidRPr="002E09AD" w:rsidRDefault="00D6216B" w:rsidP="00D6216B">
      <w:pPr>
        <w:pStyle w:val="Heading1"/>
        <w:numPr>
          <w:ilvl w:val="0"/>
          <w:numId w:val="70"/>
        </w:numPr>
      </w:pPr>
      <w:r>
        <w:t>Compliance reporting</w:t>
      </w:r>
    </w:p>
    <w:p w14:paraId="137DDC57" w14:textId="77777777" w:rsidR="00D6216B" w:rsidRPr="00391F57" w:rsidRDefault="00D6216B" w:rsidP="00D6216B">
      <w:pPr>
        <w:pStyle w:val="Heading2NoNum"/>
      </w:pPr>
      <w:r>
        <w:t>Portfolio Agency to Portfolio Department (by 15 September</w:t>
      </w:r>
      <w:r w:rsidR="00F01DC0">
        <w:t xml:space="preserve"> for most agencies</w:t>
      </w:r>
      <w:r>
        <w:t>)</w:t>
      </w:r>
    </w:p>
    <w:p w14:paraId="5E7AC3C1" w14:textId="77777777" w:rsidR="00712A91" w:rsidRDefault="002B6267" w:rsidP="00D6216B">
      <w:pPr>
        <w:pStyle w:val="Heading2"/>
      </w:pPr>
      <w:r>
        <w:t>The Accountable Officer of a Portfolio</w:t>
      </w:r>
      <w:r w:rsidR="00391F57" w:rsidRPr="00391F57">
        <w:t xml:space="preserve"> Agency </w:t>
      </w:r>
      <w:r w:rsidR="00F01DC0">
        <w:t>must provide a compliance report to the Portfolio Department:</w:t>
      </w:r>
    </w:p>
    <w:p w14:paraId="26B4AE43" w14:textId="4915778D" w:rsidR="00F01DC0" w:rsidRDefault="00F01DC0" w:rsidP="00F01DC0">
      <w:pPr>
        <w:pStyle w:val="Num1"/>
      </w:pPr>
      <w:r>
        <w:t xml:space="preserve">by </w:t>
      </w:r>
      <w:r w:rsidRPr="00F01DC0">
        <w:rPr>
          <w:b/>
        </w:rPr>
        <w:t>15 September</w:t>
      </w:r>
      <w:r>
        <w:t xml:space="preserve"> following the year reviewed, if the Agency has an annual reporting period of 1 July to 30</w:t>
      </w:r>
      <w:r w:rsidR="000F6867">
        <w:t> </w:t>
      </w:r>
      <w:proofErr w:type="gramStart"/>
      <w:r>
        <w:t>June;</w:t>
      </w:r>
      <w:proofErr w:type="gramEnd"/>
    </w:p>
    <w:p w14:paraId="7C8E106F" w14:textId="52EFCBE6" w:rsidR="00F01DC0" w:rsidRDefault="00F01DC0" w:rsidP="00F01DC0">
      <w:pPr>
        <w:pStyle w:val="Num1"/>
      </w:pPr>
      <w:r>
        <w:t xml:space="preserve">by </w:t>
      </w:r>
      <w:r w:rsidRPr="00F01DC0">
        <w:rPr>
          <w:b/>
        </w:rPr>
        <w:t>15 March</w:t>
      </w:r>
      <w:r>
        <w:t xml:space="preserve"> following the year reviewed, if the Agency has an annual reporting period of 1 January to 31</w:t>
      </w:r>
      <w:r w:rsidR="000F6867">
        <w:t> </w:t>
      </w:r>
      <w:r>
        <w:t xml:space="preserve">December; and </w:t>
      </w:r>
    </w:p>
    <w:p w14:paraId="71197931" w14:textId="750C4206" w:rsidR="00F01DC0" w:rsidRDefault="00F01DC0" w:rsidP="00F01DC0">
      <w:pPr>
        <w:pStyle w:val="Num1"/>
      </w:pPr>
      <w:r>
        <w:t xml:space="preserve">within </w:t>
      </w:r>
      <w:r w:rsidRPr="00F01DC0">
        <w:rPr>
          <w:b/>
        </w:rPr>
        <w:t>75 days</w:t>
      </w:r>
      <w:r>
        <w:t xml:space="preserve"> </w:t>
      </w:r>
      <w:r w:rsidR="00E6285B">
        <w:t>after</w:t>
      </w:r>
      <w:r>
        <w:t xml:space="preserve"> the final day of the year reviewed for all other Agencies. </w:t>
      </w:r>
    </w:p>
    <w:p w14:paraId="794B4B34" w14:textId="59722A75" w:rsidR="00391F57" w:rsidRPr="00391F57" w:rsidRDefault="00391F57" w:rsidP="00D6216B">
      <w:pPr>
        <w:pStyle w:val="Heading2"/>
      </w:pPr>
      <w:r w:rsidRPr="00391F57">
        <w:t>The</w:t>
      </w:r>
      <w:r w:rsidR="00CA60A9">
        <w:t xml:space="preserve"> compliance</w:t>
      </w:r>
      <w:r w:rsidRPr="00391F57">
        <w:t xml:space="preserve"> report</w:t>
      </w:r>
      <w:r w:rsidR="00CA60A9">
        <w:t xml:space="preserve"> under this Instruction</w:t>
      </w:r>
      <w:r w:rsidRPr="00391F57">
        <w:t xml:space="preserve"> must include</w:t>
      </w:r>
      <w:r w:rsidR="002B6267">
        <w:t xml:space="preserve"> </w:t>
      </w:r>
      <w:r w:rsidR="00712A91">
        <w:t>relevant information drawn from the a</w:t>
      </w:r>
      <w:r w:rsidR="00712A91" w:rsidRPr="00712A91">
        <w:t>nnual assessment of financial management compliance</w:t>
      </w:r>
      <w:r w:rsidR="00712A91">
        <w:t xml:space="preserve"> under </w:t>
      </w:r>
      <w:hyperlink r:id="rId70" w:anchor="standing-directions-2018" w:history="1">
        <w:r w:rsidR="00712A91" w:rsidRPr="00842BF8">
          <w:rPr>
            <w:rStyle w:val="Hyperlink"/>
          </w:rPr>
          <w:t>Direction 5.1.2</w:t>
        </w:r>
      </w:hyperlink>
      <w:r w:rsidR="00712A91">
        <w:t xml:space="preserve">, and </w:t>
      </w:r>
      <w:r w:rsidR="00712A91" w:rsidRPr="00712A91">
        <w:t xml:space="preserve">the detailed periodic review of financial management undertaken by internal audit under </w:t>
      </w:r>
      <w:hyperlink r:id="rId71" w:anchor="standing-directions-2018" w:history="1">
        <w:r w:rsidR="00712A91" w:rsidRPr="00842BF8">
          <w:rPr>
            <w:rStyle w:val="Hyperlink"/>
          </w:rPr>
          <w:t>Direction 5.1.3</w:t>
        </w:r>
      </w:hyperlink>
      <w:r w:rsidR="00712A91">
        <w:t xml:space="preserve">, including </w:t>
      </w:r>
      <w:r w:rsidR="00E16E22">
        <w:t>(among other matters) information relating to</w:t>
      </w:r>
      <w:r w:rsidRPr="00391F57">
        <w:t>:</w:t>
      </w:r>
    </w:p>
    <w:p w14:paraId="5890F436" w14:textId="77777777" w:rsidR="00391F57" w:rsidRPr="00391F57" w:rsidRDefault="002B6267" w:rsidP="004B6922">
      <w:pPr>
        <w:pStyle w:val="Num1"/>
      </w:pPr>
      <w:r>
        <w:t>the level</w:t>
      </w:r>
      <w:r w:rsidR="00391F57" w:rsidRPr="00391F57">
        <w:t xml:space="preserve"> of compliance </w:t>
      </w:r>
      <w:proofErr w:type="gramStart"/>
      <w:r w:rsidR="00391F57" w:rsidRPr="00391F57">
        <w:t>achieved;</w:t>
      </w:r>
      <w:proofErr w:type="gramEnd"/>
    </w:p>
    <w:p w14:paraId="4BF5B23A" w14:textId="77777777" w:rsidR="00391F57" w:rsidRDefault="002B6267" w:rsidP="004B6922">
      <w:pPr>
        <w:pStyle w:val="Num1"/>
      </w:pPr>
      <w:r>
        <w:t>C</w:t>
      </w:r>
      <w:r w:rsidR="00391F57" w:rsidRPr="00391F57">
        <w:t xml:space="preserve">ompliance </w:t>
      </w:r>
      <w:r>
        <w:t>Deficiencies</w:t>
      </w:r>
      <w:r w:rsidR="00712A91">
        <w:t>, including</w:t>
      </w:r>
      <w:r w:rsidR="00B24957">
        <w:t xml:space="preserve"> </w:t>
      </w:r>
      <w:r w:rsidR="00712A91">
        <w:t>planned and completed remedial actions</w:t>
      </w:r>
      <w:r w:rsidR="00712A91" w:rsidRPr="00391F57">
        <w:t xml:space="preserve"> </w:t>
      </w:r>
      <w:r w:rsidR="00391F57" w:rsidRPr="00391F57">
        <w:t xml:space="preserve">and </w:t>
      </w:r>
      <w:proofErr w:type="gramStart"/>
      <w:r w:rsidR="00391F57" w:rsidRPr="00391F57">
        <w:t>timeframes;</w:t>
      </w:r>
      <w:proofErr w:type="gramEnd"/>
      <w:r w:rsidR="00712A91">
        <w:t xml:space="preserve"> </w:t>
      </w:r>
    </w:p>
    <w:p w14:paraId="2BC34984" w14:textId="77777777" w:rsidR="00391F57" w:rsidRDefault="00391F57" w:rsidP="004B6922">
      <w:pPr>
        <w:pStyle w:val="Num1"/>
      </w:pPr>
      <w:r w:rsidRPr="00391F57">
        <w:t>the significant comp</w:t>
      </w:r>
      <w:r w:rsidR="00712A91">
        <w:t xml:space="preserve">liance risks </w:t>
      </w:r>
      <w:r w:rsidR="00325257">
        <w:t>of</w:t>
      </w:r>
      <w:r w:rsidR="0043458F">
        <w:t xml:space="preserve"> the Agency; and</w:t>
      </w:r>
    </w:p>
    <w:p w14:paraId="7DE81CC0" w14:textId="1C6BBFDB" w:rsidR="0043458F" w:rsidRPr="0043458F" w:rsidRDefault="001B54CF" w:rsidP="001B54CF">
      <w:pPr>
        <w:pStyle w:val="Num1"/>
        <w:rPr>
          <w:szCs w:val="20"/>
        </w:rPr>
      </w:pPr>
      <w:r w:rsidRPr="001B54CF">
        <w:rPr>
          <w:rFonts w:cs="Times New Roman"/>
          <w:bCs/>
          <w:szCs w:val="20"/>
        </w:rPr>
        <w:t>a summary of the plan for the detailed periodic review of financial manage</w:t>
      </w:r>
      <w:r>
        <w:rPr>
          <w:rFonts w:cs="Times New Roman"/>
          <w:bCs/>
          <w:szCs w:val="20"/>
        </w:rPr>
        <w:t xml:space="preserve">ment compliance under </w:t>
      </w:r>
      <w:hyperlink r:id="rId72" w:anchor="standing-directions-2018" w:history="1">
        <w:r w:rsidRPr="00842BF8">
          <w:rPr>
            <w:rStyle w:val="Hyperlink"/>
            <w:rFonts w:cs="Times New Roman"/>
            <w:bCs/>
            <w:szCs w:val="20"/>
          </w:rPr>
          <w:t>Direction 5.1.3</w:t>
        </w:r>
        <w:r w:rsidRPr="00B67C4E">
          <w:rPr>
            <w:rStyle w:val="Hyperlink"/>
            <w:rFonts w:cs="Times New Roman"/>
            <w:bCs/>
            <w:szCs w:val="20"/>
          </w:rPr>
          <w:t>(c)</w:t>
        </w:r>
      </w:hyperlink>
      <w:r>
        <w:rPr>
          <w:rFonts w:cs="Times New Roman"/>
          <w:bCs/>
          <w:szCs w:val="20"/>
        </w:rPr>
        <w:t>.</w:t>
      </w:r>
    </w:p>
    <w:p w14:paraId="4CA3DCBF" w14:textId="77777777" w:rsidR="001701A1" w:rsidRDefault="00391F57" w:rsidP="00BC0D2B">
      <w:pPr>
        <w:pStyle w:val="Heading2"/>
      </w:pPr>
      <w:r w:rsidRPr="00391F57">
        <w:t>Th</w:t>
      </w:r>
      <w:r w:rsidR="00132038">
        <w:t xml:space="preserve">e Audit Committee </w:t>
      </w:r>
      <w:r w:rsidR="001701A1">
        <w:t xml:space="preserve">must review and approve the compliance report under this Instruction before it is provided to the Portfolio Department. </w:t>
      </w:r>
    </w:p>
    <w:p w14:paraId="455873E9" w14:textId="77777777" w:rsidR="00391F57" w:rsidRPr="00391F57" w:rsidRDefault="00712A91" w:rsidP="00CE2BDD">
      <w:pPr>
        <w:pStyle w:val="Heading2NoNum"/>
      </w:pPr>
      <w:r>
        <w:t>Portfolio Department to DTF</w:t>
      </w:r>
      <w:r w:rsidR="00132038">
        <w:t xml:space="preserve"> </w:t>
      </w:r>
      <w:r w:rsidR="001701A1">
        <w:t>(b</w:t>
      </w:r>
      <w:r w:rsidR="00132038">
        <w:t>y 31 October</w:t>
      </w:r>
      <w:r w:rsidR="001701A1">
        <w:t>)</w:t>
      </w:r>
    </w:p>
    <w:p w14:paraId="6D639A64" w14:textId="77777777" w:rsidR="00391F57" w:rsidRPr="00E84D1A" w:rsidRDefault="00D110C8" w:rsidP="00BC0D2B">
      <w:pPr>
        <w:pStyle w:val="Heading2"/>
      </w:pPr>
      <w:r w:rsidRPr="00E84D1A">
        <w:t>Having regard to the</w:t>
      </w:r>
      <w:r w:rsidR="001701A1" w:rsidRPr="00E84D1A">
        <w:t xml:space="preserve"> reports received under clause 1</w:t>
      </w:r>
      <w:r w:rsidRPr="00E84D1A">
        <w:t>.</w:t>
      </w:r>
      <w:r w:rsidR="001701A1" w:rsidRPr="00E84D1A">
        <w:t>1 of this Instruction</w:t>
      </w:r>
      <w:r w:rsidRPr="00E84D1A">
        <w:t>,</w:t>
      </w:r>
      <w:r w:rsidR="00391F57" w:rsidRPr="00E84D1A">
        <w:t xml:space="preserve"> Portfolio Departments must provide </w:t>
      </w:r>
      <w:r w:rsidR="000B64D3" w:rsidRPr="00E84D1A">
        <w:t xml:space="preserve">a portfolio compliance summary to </w:t>
      </w:r>
      <w:r w:rsidR="00391F57" w:rsidRPr="00E84D1A">
        <w:t xml:space="preserve">the </w:t>
      </w:r>
      <w:r w:rsidR="001701A1" w:rsidRPr="00E84D1A">
        <w:t xml:space="preserve">DTF </w:t>
      </w:r>
      <w:r w:rsidR="00391F57" w:rsidRPr="00E84D1A">
        <w:t>Deputy Secretary</w:t>
      </w:r>
      <w:r w:rsidR="001701A1" w:rsidRPr="00E84D1A">
        <w:t xml:space="preserve"> </w:t>
      </w:r>
      <w:r w:rsidR="00391F57" w:rsidRPr="00E84D1A">
        <w:t xml:space="preserve">by </w:t>
      </w:r>
      <w:r w:rsidR="00391F57" w:rsidRPr="0046289D">
        <w:rPr>
          <w:b/>
        </w:rPr>
        <w:t>31 October</w:t>
      </w:r>
      <w:r w:rsidR="00391F57" w:rsidRPr="00E84D1A">
        <w:t xml:space="preserve"> following the year reviewed, including:</w:t>
      </w:r>
    </w:p>
    <w:p w14:paraId="2126EBFC" w14:textId="77777777" w:rsidR="00391F57" w:rsidRPr="00391F57" w:rsidRDefault="00391F57" w:rsidP="004B6922">
      <w:pPr>
        <w:pStyle w:val="Num1"/>
      </w:pPr>
      <w:r w:rsidRPr="00391F57">
        <w:t>the levels of compliance achieved across the portfolio</w:t>
      </w:r>
      <w:r w:rsidR="00AE0BAB">
        <w:t xml:space="preserve"> (including within the Portfolio Department as an Agency, and all Portfolio Agencies</w:t>
      </w:r>
      <w:proofErr w:type="gramStart"/>
      <w:r w:rsidR="00AE0BAB">
        <w:t>)</w:t>
      </w:r>
      <w:r w:rsidRPr="00391F57">
        <w:t>;</w:t>
      </w:r>
      <w:proofErr w:type="gramEnd"/>
    </w:p>
    <w:p w14:paraId="6D37ED8C" w14:textId="77777777" w:rsidR="00391F57" w:rsidRPr="00391F57" w:rsidRDefault="00391F57" w:rsidP="004B6922">
      <w:pPr>
        <w:pStyle w:val="Num1"/>
      </w:pPr>
      <w:r w:rsidRPr="00391F57">
        <w:t xml:space="preserve">key areas of </w:t>
      </w:r>
      <w:r w:rsidR="00014C9E">
        <w:t>C</w:t>
      </w:r>
      <w:r w:rsidRPr="00391F57">
        <w:t xml:space="preserve">ompliance </w:t>
      </w:r>
      <w:r w:rsidR="00014C9E">
        <w:t>D</w:t>
      </w:r>
      <w:r w:rsidRPr="00391F57">
        <w:t>eficiency</w:t>
      </w:r>
      <w:r w:rsidR="00014C9E">
        <w:t xml:space="preserve"> across the portfolio, including planned and completed remedial actions</w:t>
      </w:r>
      <w:r w:rsidR="00014C9E" w:rsidRPr="00391F57">
        <w:t xml:space="preserve"> and timeframes</w:t>
      </w:r>
      <w:r w:rsidR="00014C9E">
        <w:t xml:space="preserve"> of the Agencies and Portfolio Department</w:t>
      </w:r>
      <w:r w:rsidRPr="00391F57">
        <w:t>;</w:t>
      </w:r>
      <w:r w:rsidR="00547D45">
        <w:t xml:space="preserve"> and</w:t>
      </w:r>
    </w:p>
    <w:p w14:paraId="15A10D3F" w14:textId="77777777" w:rsidR="00391F57" w:rsidRPr="00391F57" w:rsidRDefault="00391F57" w:rsidP="004B6922">
      <w:pPr>
        <w:pStyle w:val="Num1"/>
      </w:pPr>
      <w:r w:rsidRPr="00391F57">
        <w:t xml:space="preserve">an assessment of the significant compliance risks facing the </w:t>
      </w:r>
      <w:r w:rsidR="002F5BA8">
        <w:t>p</w:t>
      </w:r>
      <w:r w:rsidRPr="00391F57">
        <w:t>ortfolio</w:t>
      </w:r>
      <w:r w:rsidR="00547D45">
        <w:t>, including key strategies of the Agencies and the Portfolio Department to mitigate these risks.</w:t>
      </w:r>
    </w:p>
    <w:p w14:paraId="52057963" w14:textId="71744DC2" w:rsidR="00391F57" w:rsidRPr="00391F57" w:rsidRDefault="00712A91" w:rsidP="00CE2BDD">
      <w:pPr>
        <w:pStyle w:val="Heading2NoNum"/>
      </w:pPr>
      <w:r>
        <w:lastRenderedPageBreak/>
        <w:t xml:space="preserve">DTF to the </w:t>
      </w:r>
      <w:r w:rsidR="003039BB">
        <w:t>Assistant Treasurer</w:t>
      </w:r>
      <w:r w:rsidR="00132038">
        <w:t xml:space="preserve"> </w:t>
      </w:r>
      <w:r w:rsidR="001701A1">
        <w:t>(</w:t>
      </w:r>
      <w:r w:rsidR="00132038">
        <w:t xml:space="preserve">by 15 </w:t>
      </w:r>
      <w:r w:rsidR="00682E21">
        <w:t>February</w:t>
      </w:r>
      <w:r w:rsidR="001701A1">
        <w:t>)</w:t>
      </w:r>
    </w:p>
    <w:p w14:paraId="370E9D76" w14:textId="6558EE6F" w:rsidR="00391F57" w:rsidRPr="00391F57" w:rsidRDefault="002F5BA8" w:rsidP="00BC0D2B">
      <w:pPr>
        <w:pStyle w:val="Heading2"/>
      </w:pPr>
      <w:r>
        <w:t>Having regard to the reports received under clause 1.</w:t>
      </w:r>
      <w:r w:rsidR="00303DBA">
        <w:t>4</w:t>
      </w:r>
      <w:r>
        <w:t xml:space="preserve"> of this Instruction,</w:t>
      </w:r>
      <w:r w:rsidRPr="00391F57">
        <w:t xml:space="preserve"> </w:t>
      </w:r>
      <w:r>
        <w:t>t</w:t>
      </w:r>
      <w:r w:rsidR="00391F57" w:rsidRPr="00391F57">
        <w:t xml:space="preserve">he Accountable Officer of DTF must report to the </w:t>
      </w:r>
      <w:r w:rsidR="003039BB">
        <w:t>Assistant Treasurer</w:t>
      </w:r>
      <w:r w:rsidR="00391F57" w:rsidRPr="00391F57">
        <w:t xml:space="preserve"> on whole of government compliance, compliance risks, and advice on proposed strategies to improve compliance by </w:t>
      </w:r>
      <w:r w:rsidR="00391F57" w:rsidRPr="00CF0831">
        <w:rPr>
          <w:b/>
        </w:rPr>
        <w:t xml:space="preserve">15 </w:t>
      </w:r>
      <w:r w:rsidR="00682E21">
        <w:rPr>
          <w:b/>
        </w:rPr>
        <w:t>February</w:t>
      </w:r>
      <w:r w:rsidR="00682E21" w:rsidRPr="00391F57">
        <w:t xml:space="preserve"> </w:t>
      </w:r>
      <w:r w:rsidR="00391F57" w:rsidRPr="00391F57">
        <w:t>following the year reviewed.</w:t>
      </w:r>
    </w:p>
    <w:p w14:paraId="46BB912E" w14:textId="77777777" w:rsidR="00391F57" w:rsidRPr="00C94216" w:rsidRDefault="002F5BA8" w:rsidP="00D6216B">
      <w:pPr>
        <w:pStyle w:val="Heading1"/>
      </w:pPr>
      <w:r w:rsidRPr="00C94216">
        <w:t xml:space="preserve">Financial </w:t>
      </w:r>
      <w:r w:rsidRPr="00D6216B">
        <w:t>management</w:t>
      </w:r>
      <w:r w:rsidRPr="00C94216">
        <w:t xml:space="preserve"> compliance attestation in Annual Report</w:t>
      </w:r>
      <w:r w:rsidR="008C66E0" w:rsidRPr="00CE2BDD">
        <w:rPr>
          <w:rStyle w:val="FootnoteReference"/>
          <w:color w:val="auto"/>
          <w:sz w:val="20"/>
          <w:szCs w:val="22"/>
        </w:rPr>
        <w:footnoteReference w:id="27"/>
      </w:r>
    </w:p>
    <w:p w14:paraId="24BD7F55" w14:textId="5892023C" w:rsidR="00391F57" w:rsidRPr="00C94216" w:rsidRDefault="002177BE" w:rsidP="00D6216B">
      <w:pPr>
        <w:pStyle w:val="Heading2"/>
      </w:pPr>
      <w:r w:rsidRPr="00C94216">
        <w:t>The</w:t>
      </w:r>
      <w:r w:rsidR="00391F57" w:rsidRPr="00C94216">
        <w:t xml:space="preserve"> </w:t>
      </w:r>
      <w:r w:rsidR="002F5BA8" w:rsidRPr="00D6216B">
        <w:t>financial</w:t>
      </w:r>
      <w:r w:rsidR="002F5BA8" w:rsidRPr="00C94216">
        <w:t xml:space="preserve"> management compliance attestation</w:t>
      </w:r>
      <w:r w:rsidR="00391F57" w:rsidRPr="00C94216">
        <w:t xml:space="preserve"> </w:t>
      </w:r>
      <w:r w:rsidRPr="00C94216">
        <w:t xml:space="preserve">under </w:t>
      </w:r>
      <w:hyperlink r:id="rId73" w:anchor="standing-directions-2018" w:history="1">
        <w:r w:rsidRPr="00842BF8">
          <w:rPr>
            <w:rStyle w:val="Hyperlink"/>
          </w:rPr>
          <w:t xml:space="preserve">Direction </w:t>
        </w:r>
        <w:r w:rsidR="002F5BA8" w:rsidRPr="00842BF8">
          <w:rPr>
            <w:rStyle w:val="Hyperlink"/>
          </w:rPr>
          <w:t>5.1.4</w:t>
        </w:r>
      </w:hyperlink>
      <w:r w:rsidRPr="00C94216">
        <w:t xml:space="preserve"> </w:t>
      </w:r>
      <w:r w:rsidR="00391F57" w:rsidRPr="00C94216">
        <w:t>must:</w:t>
      </w:r>
    </w:p>
    <w:p w14:paraId="14CAAFC1" w14:textId="77777777" w:rsidR="00391F57" w:rsidRPr="00391F57" w:rsidRDefault="00785009" w:rsidP="004B6922">
      <w:pPr>
        <w:pStyle w:val="Num1"/>
      </w:pPr>
      <w:r>
        <w:t xml:space="preserve">where </w:t>
      </w:r>
      <w:r w:rsidR="00391F57" w:rsidRPr="00391F57">
        <w:t xml:space="preserve">the </w:t>
      </w:r>
      <w:r w:rsidR="00813395">
        <w:t>A</w:t>
      </w:r>
      <w:r w:rsidR="00391F57" w:rsidRPr="00391F57">
        <w:t>gency has</w:t>
      </w:r>
      <w:r>
        <w:t xml:space="preserve"> not identified a</w:t>
      </w:r>
      <w:r w:rsidR="00FF6FAF">
        <w:t>ny</w:t>
      </w:r>
      <w:r>
        <w:t xml:space="preserve"> </w:t>
      </w:r>
      <w:r w:rsidR="002F5BA8">
        <w:t>M</w:t>
      </w:r>
      <w:r>
        <w:t xml:space="preserve">aterial </w:t>
      </w:r>
      <w:r w:rsidR="002F5BA8">
        <w:t>C</w:t>
      </w:r>
      <w:r>
        <w:t xml:space="preserve">ompliance </w:t>
      </w:r>
      <w:r w:rsidR="002F5BA8">
        <w:t>D</w:t>
      </w:r>
      <w:r>
        <w:t>eficiency</w:t>
      </w:r>
      <w:r w:rsidR="00521287">
        <w:t xml:space="preserve"> that occurred during the relevant year</w:t>
      </w:r>
      <w:r>
        <w:t>,</w:t>
      </w:r>
      <w:r w:rsidR="00521287">
        <w:rPr>
          <w:rStyle w:val="FootnoteReference"/>
        </w:rPr>
        <w:footnoteReference w:id="28"/>
      </w:r>
      <w:r>
        <w:t xml:space="preserve"> attest </w:t>
      </w:r>
      <w:r w:rsidR="00E16E22">
        <w:t xml:space="preserve">to </w:t>
      </w:r>
      <w:r>
        <w:t>the Agency</w:t>
      </w:r>
      <w:r w:rsidR="00E16E22">
        <w:t>’s</w:t>
      </w:r>
      <w:r>
        <w:t xml:space="preserve"> </w:t>
      </w:r>
      <w:r w:rsidR="001477AF">
        <w:t xml:space="preserve">extent of </w:t>
      </w:r>
      <w:r w:rsidR="00391F57" w:rsidRPr="00391F57">
        <w:t>compli</w:t>
      </w:r>
      <w:r w:rsidR="00E16E22">
        <w:t>ance</w:t>
      </w:r>
      <w:r w:rsidR="00391F57" w:rsidRPr="00391F57">
        <w:t xml:space="preserve"> with the </w:t>
      </w:r>
      <w:r w:rsidR="00521287">
        <w:t xml:space="preserve">applicable </w:t>
      </w:r>
      <w:r w:rsidR="00391F57" w:rsidRPr="00391F57">
        <w:t>Directions</w:t>
      </w:r>
      <w:r w:rsidR="00ED46CB">
        <w:t xml:space="preserve"> and </w:t>
      </w:r>
      <w:r w:rsidR="002177BE">
        <w:t>Instructions</w:t>
      </w:r>
      <w:r>
        <w:t xml:space="preserve"> in the form set out in </w:t>
      </w:r>
      <w:r w:rsidR="00D110C8">
        <w:t>clause</w:t>
      </w:r>
      <w:r>
        <w:t xml:space="preserve"> </w:t>
      </w:r>
      <w:r w:rsidR="002A4101">
        <w:t>2</w:t>
      </w:r>
      <w:r>
        <w:t>.</w:t>
      </w:r>
      <w:r w:rsidR="002A4101">
        <w:t>2</w:t>
      </w:r>
      <w:r>
        <w:t>(a)</w:t>
      </w:r>
      <w:r w:rsidR="003F7F1D">
        <w:t xml:space="preserve"> of this Instruction</w:t>
      </w:r>
      <w:r w:rsidR="00391F57" w:rsidRPr="00391F57">
        <w:t xml:space="preserve">; </w:t>
      </w:r>
      <w:r>
        <w:t>and</w:t>
      </w:r>
    </w:p>
    <w:p w14:paraId="3EC54AB7" w14:textId="77777777" w:rsidR="00036004" w:rsidRPr="00391F57" w:rsidRDefault="00785009" w:rsidP="00421836">
      <w:pPr>
        <w:pStyle w:val="Num1"/>
      </w:pPr>
      <w:r>
        <w:t>where the A</w:t>
      </w:r>
      <w:r w:rsidRPr="00391F57">
        <w:t>gency has</w:t>
      </w:r>
      <w:r>
        <w:t xml:space="preserve"> identified </w:t>
      </w:r>
      <w:r w:rsidR="001477AF">
        <w:t xml:space="preserve">one or more </w:t>
      </w:r>
      <w:r w:rsidR="002F5BA8">
        <w:t>M</w:t>
      </w:r>
      <w:r>
        <w:t xml:space="preserve">aterial </w:t>
      </w:r>
      <w:r w:rsidR="002F5BA8">
        <w:t>C</w:t>
      </w:r>
      <w:r>
        <w:t xml:space="preserve">ompliance </w:t>
      </w:r>
      <w:r w:rsidR="001477AF">
        <w:t xml:space="preserve">Deficiencies </w:t>
      </w:r>
      <w:r w:rsidR="00521287">
        <w:t>that occurred during the relevant year</w:t>
      </w:r>
      <w:r w:rsidR="001477AF">
        <w:t>,</w:t>
      </w:r>
      <w:r w:rsidR="00521287">
        <w:rPr>
          <w:rStyle w:val="FootnoteReference"/>
        </w:rPr>
        <w:footnoteReference w:id="29"/>
      </w:r>
      <w:r w:rsidR="001477AF">
        <w:t xml:space="preserve"> </w:t>
      </w:r>
      <w:r>
        <w:t xml:space="preserve">attest </w:t>
      </w:r>
      <w:r w:rsidR="00E16E22">
        <w:t xml:space="preserve">to </w:t>
      </w:r>
      <w:r>
        <w:t>the Agency</w:t>
      </w:r>
      <w:r w:rsidR="00E16E22">
        <w:t>’s</w:t>
      </w:r>
      <w:r>
        <w:t xml:space="preserve"> </w:t>
      </w:r>
      <w:r w:rsidR="001477AF">
        <w:t xml:space="preserve">extent of </w:t>
      </w:r>
      <w:r>
        <w:t>compli</w:t>
      </w:r>
      <w:r w:rsidR="00E16E22">
        <w:t>ance</w:t>
      </w:r>
      <w:r>
        <w:t xml:space="preserve"> with the</w:t>
      </w:r>
      <w:r w:rsidR="00521287">
        <w:t xml:space="preserve"> applicable</w:t>
      </w:r>
      <w:r w:rsidR="00ED46CB">
        <w:t xml:space="preserve"> Directions and </w:t>
      </w:r>
      <w:r>
        <w:t>Instructions</w:t>
      </w:r>
      <w:r w:rsidR="001477AF" w:rsidRPr="001477AF">
        <w:t xml:space="preserve"> </w:t>
      </w:r>
      <w:r w:rsidR="001477AF">
        <w:t>in the form set out in clause 2.2(b) of this Instruction</w:t>
      </w:r>
      <w:r w:rsidR="00036004">
        <w:t>.</w:t>
      </w:r>
    </w:p>
    <w:p w14:paraId="31D032E3" w14:textId="0575D75D" w:rsidR="00391F57" w:rsidRDefault="00391F57" w:rsidP="00D6216B">
      <w:pPr>
        <w:pStyle w:val="Heading2"/>
      </w:pPr>
      <w:r w:rsidRPr="00391F57">
        <w:t>The Responsible Body</w:t>
      </w:r>
      <w:r w:rsidR="00521287">
        <w:t xml:space="preserve">’s compliance attestation under </w:t>
      </w:r>
      <w:hyperlink r:id="rId74" w:anchor="standing-directions-2018" w:history="1">
        <w:r w:rsidR="00521287" w:rsidRPr="00842BF8">
          <w:rPr>
            <w:rStyle w:val="Hyperlink"/>
          </w:rPr>
          <w:t>Direction 5.1.4</w:t>
        </w:r>
      </w:hyperlink>
      <w:r w:rsidRPr="00391F57">
        <w:t xml:space="preserve"> must </w:t>
      </w:r>
      <w:r w:rsidR="00521287">
        <w:t>appear in the Annual Report in the following form</w:t>
      </w:r>
      <w:r w:rsidR="003A3041">
        <w:rPr>
          <w:rStyle w:val="FootnoteReference"/>
        </w:rPr>
        <w:footnoteReference w:id="30"/>
      </w:r>
      <w:r w:rsidRPr="00391F57">
        <w:t>.</w:t>
      </w:r>
    </w:p>
    <w:p w14:paraId="1B3CF13B" w14:textId="77777777" w:rsidR="00391F57" w:rsidRPr="00391F57" w:rsidRDefault="00391F57" w:rsidP="00391F57">
      <w:pPr>
        <w:numPr>
          <w:ilvl w:val="4"/>
          <w:numId w:val="0"/>
        </w:numPr>
        <w:tabs>
          <w:tab w:val="num" w:pos="1008"/>
        </w:tabs>
        <w:ind w:left="1008" w:hanging="504"/>
        <w:rPr>
          <w:b/>
        </w:rPr>
      </w:pPr>
      <w:r w:rsidRPr="00391F57">
        <w:rPr>
          <w:b/>
        </w:rPr>
        <w:t>[Name of the Agency] Financial Management Compliance Attestation Statement</w:t>
      </w:r>
    </w:p>
    <w:p w14:paraId="0BFF11D8" w14:textId="77777777" w:rsidR="00B06E70" w:rsidRPr="00391F57" w:rsidRDefault="00B06E70" w:rsidP="00B06E70">
      <w:pPr>
        <w:pStyle w:val="Num1"/>
      </w:pPr>
      <w:r>
        <w:t xml:space="preserve">[Where </w:t>
      </w:r>
      <w:r w:rsidRPr="00391F57">
        <w:t xml:space="preserve">the </w:t>
      </w:r>
      <w:r>
        <w:t>A</w:t>
      </w:r>
      <w:r w:rsidRPr="00391F57">
        <w:t>gency has</w:t>
      </w:r>
      <w:r w:rsidR="000C0645">
        <w:t xml:space="preserve"> not identified a M</w:t>
      </w:r>
      <w:r>
        <w:t xml:space="preserve">aterial </w:t>
      </w:r>
      <w:r w:rsidR="000C0645">
        <w:t>C</w:t>
      </w:r>
      <w:r>
        <w:t xml:space="preserve">ompliance </w:t>
      </w:r>
      <w:r w:rsidR="000C0645">
        <w:t>D</w:t>
      </w:r>
      <w:r>
        <w:t xml:space="preserve">eficiency </w:t>
      </w:r>
      <w:r w:rsidR="0092089D">
        <w:t>in relation to</w:t>
      </w:r>
      <w:r w:rsidR="00521287">
        <w:t xml:space="preserve"> the relevant year</w:t>
      </w:r>
      <w:r>
        <w:t>:]</w:t>
      </w:r>
    </w:p>
    <w:p w14:paraId="535C41CA" w14:textId="77777777" w:rsidR="00391F57" w:rsidRPr="00391F57" w:rsidRDefault="00391F57" w:rsidP="00391F57">
      <w:pPr>
        <w:spacing w:line="240" w:lineRule="exact"/>
        <w:ind w:left="1008"/>
      </w:pPr>
      <w:r w:rsidRPr="00391F57">
        <w:t>I [</w:t>
      </w:r>
      <w:r w:rsidR="00521287">
        <w:t xml:space="preserve">name of </w:t>
      </w:r>
      <w:r w:rsidR="00F43660">
        <w:t xml:space="preserve">member of the </w:t>
      </w:r>
      <w:r w:rsidRPr="00391F57">
        <w:t>Responsible Body]</w:t>
      </w:r>
      <w:r w:rsidR="00521287">
        <w:t>, on behalf of the Responsible Body</w:t>
      </w:r>
      <w:r w:rsidR="00DF3A90">
        <w:rPr>
          <w:rStyle w:val="FootnoteReference"/>
        </w:rPr>
        <w:footnoteReference w:id="31"/>
      </w:r>
      <w:r w:rsidR="00521287">
        <w:t>,</w:t>
      </w:r>
      <w:r w:rsidRPr="00391F57">
        <w:t xml:space="preserve"> certify that the [name of the Agency] has </w:t>
      </w:r>
      <w:r w:rsidR="003A3041">
        <w:t>no Material Compliance Deficiency</w:t>
      </w:r>
      <w:r w:rsidR="003A3041" w:rsidRPr="00391F57">
        <w:t xml:space="preserve"> </w:t>
      </w:r>
      <w:r w:rsidRPr="00391F57">
        <w:t xml:space="preserve">with </w:t>
      </w:r>
      <w:r w:rsidR="003A3041">
        <w:t xml:space="preserve">respect to </w:t>
      </w:r>
      <w:r w:rsidRPr="00391F57">
        <w:t xml:space="preserve">the </w:t>
      </w:r>
      <w:r w:rsidR="00D134D5">
        <w:t xml:space="preserve">applicable </w:t>
      </w:r>
      <w:r w:rsidRPr="00391F57">
        <w:t xml:space="preserve">Standing Directions </w:t>
      </w:r>
      <w:r w:rsidR="00E23688">
        <w:t>under</w:t>
      </w:r>
      <w:r w:rsidR="000C0645">
        <w:t xml:space="preserve"> </w:t>
      </w:r>
      <w:r w:rsidRPr="00391F57">
        <w:t xml:space="preserve">the </w:t>
      </w:r>
      <w:r w:rsidRPr="00391F57">
        <w:rPr>
          <w:i/>
        </w:rPr>
        <w:t>Financial Management Act 1994</w:t>
      </w:r>
      <w:r w:rsidR="000B6581">
        <w:t xml:space="preserve"> and </w:t>
      </w:r>
      <w:r w:rsidRPr="00391F57">
        <w:t>Instructions.</w:t>
      </w:r>
    </w:p>
    <w:p w14:paraId="1554D6AD" w14:textId="77777777" w:rsidR="00F167A8" w:rsidRPr="00391F57" w:rsidRDefault="00F167A8" w:rsidP="00F167A8">
      <w:pPr>
        <w:pStyle w:val="Num1"/>
      </w:pPr>
      <w:r>
        <w:t xml:space="preserve">[Where </w:t>
      </w:r>
      <w:r w:rsidRPr="00391F57">
        <w:t xml:space="preserve">the </w:t>
      </w:r>
      <w:r>
        <w:t>A</w:t>
      </w:r>
      <w:r w:rsidRPr="00391F57">
        <w:t>gency has</w:t>
      </w:r>
      <w:r>
        <w:t xml:space="preserve"> identified </w:t>
      </w:r>
      <w:r w:rsidR="003E3275">
        <w:t xml:space="preserve">one or more </w:t>
      </w:r>
      <w:r w:rsidR="00521287">
        <w:t>M</w:t>
      </w:r>
      <w:r>
        <w:t xml:space="preserve">aterial </w:t>
      </w:r>
      <w:r w:rsidR="00521287">
        <w:t>C</w:t>
      </w:r>
      <w:r>
        <w:t xml:space="preserve">ompliance </w:t>
      </w:r>
      <w:r w:rsidR="003E3275">
        <w:t xml:space="preserve">Deficiencies </w:t>
      </w:r>
      <w:r w:rsidR="0092089D">
        <w:t>in relation to</w:t>
      </w:r>
      <w:r w:rsidR="00521287">
        <w:t xml:space="preserve"> the relevant year</w:t>
      </w:r>
      <w:r>
        <w:t>:]</w:t>
      </w:r>
    </w:p>
    <w:p w14:paraId="72BC5AB9" w14:textId="77777777" w:rsidR="00391F57" w:rsidRPr="00391F57" w:rsidRDefault="00391F57" w:rsidP="00391F57">
      <w:pPr>
        <w:spacing w:line="240" w:lineRule="exact"/>
        <w:ind w:left="1008"/>
      </w:pPr>
      <w:r w:rsidRPr="00391F57">
        <w:t>I [</w:t>
      </w:r>
      <w:r w:rsidR="00521287">
        <w:t xml:space="preserve">name of </w:t>
      </w:r>
      <w:r w:rsidR="00F43660">
        <w:t>member of the</w:t>
      </w:r>
      <w:r w:rsidR="001825A3">
        <w:t xml:space="preserve"> </w:t>
      </w:r>
      <w:r w:rsidRPr="00391F57">
        <w:t>Responsible Body]</w:t>
      </w:r>
      <w:r w:rsidR="00521287">
        <w:t>, on behalf of the Responsible Body</w:t>
      </w:r>
      <w:r w:rsidR="00DF3A90">
        <w:rPr>
          <w:rStyle w:val="FootnoteReference"/>
        </w:rPr>
        <w:footnoteReference w:id="32"/>
      </w:r>
      <w:r w:rsidR="00521287">
        <w:t>,</w:t>
      </w:r>
      <w:r w:rsidRPr="00391F57">
        <w:t xml:space="preserve"> certify that the [name of the Agency] has </w:t>
      </w:r>
      <w:r w:rsidR="003E3275" w:rsidRPr="00391F57">
        <w:t>the following</w:t>
      </w:r>
      <w:r w:rsidR="003E3275">
        <w:t xml:space="preserve"> Material Compliance </w:t>
      </w:r>
      <w:proofErr w:type="spellStart"/>
      <w:r w:rsidR="003E3275">
        <w:t>Deficienc</w:t>
      </w:r>
      <w:proofErr w:type="spellEnd"/>
      <w:r w:rsidR="003E3275">
        <w:t>[y/</w:t>
      </w:r>
      <w:proofErr w:type="spellStart"/>
      <w:r w:rsidR="003E3275">
        <w:t>ies</w:t>
      </w:r>
      <w:proofErr w:type="spellEnd"/>
      <w:r w:rsidR="003E3275">
        <w:t xml:space="preserve">] </w:t>
      </w:r>
      <w:r w:rsidRPr="00391F57">
        <w:t xml:space="preserve">with </w:t>
      </w:r>
      <w:r w:rsidR="003E3275">
        <w:t xml:space="preserve">respect to </w:t>
      </w:r>
      <w:r w:rsidRPr="00391F57">
        <w:t xml:space="preserve">the </w:t>
      </w:r>
      <w:r w:rsidR="00D134D5">
        <w:t xml:space="preserve">applicable </w:t>
      </w:r>
      <w:r w:rsidRPr="00391F57">
        <w:t xml:space="preserve">Standing Directions </w:t>
      </w:r>
      <w:r w:rsidR="00D134D5">
        <w:t xml:space="preserve">under </w:t>
      </w:r>
      <w:r w:rsidRPr="00391F57">
        <w:t xml:space="preserve">the </w:t>
      </w:r>
      <w:r w:rsidRPr="00391F57">
        <w:rPr>
          <w:i/>
        </w:rPr>
        <w:t>Financial Management Act 1994</w:t>
      </w:r>
      <w:r w:rsidR="000B6581">
        <w:t xml:space="preserve"> and </w:t>
      </w:r>
      <w:r w:rsidRPr="00391F57">
        <w:t>Instructions:</w:t>
      </w:r>
    </w:p>
    <w:p w14:paraId="3EF16E08" w14:textId="77777777" w:rsidR="001477AF" w:rsidRDefault="001477AF" w:rsidP="00421836">
      <w:pPr>
        <w:pStyle w:val="GuidanceBullet3"/>
        <w:numPr>
          <w:ilvl w:val="0"/>
          <w:numId w:val="0"/>
        </w:numPr>
        <w:ind w:left="1008"/>
      </w:pPr>
      <w:r>
        <w:t>[Insert the following with respect to each Material Compliance Deficiency]:</w:t>
      </w:r>
    </w:p>
    <w:p w14:paraId="4F170870" w14:textId="4153997E" w:rsidR="001477AF" w:rsidRDefault="00F167A8" w:rsidP="004B6922">
      <w:pPr>
        <w:pStyle w:val="GuidanceBullet3"/>
      </w:pPr>
      <w:r>
        <w:t>[</w:t>
      </w:r>
      <w:r w:rsidR="001477AF">
        <w:t>R</w:t>
      </w:r>
      <w:r>
        <w:t xml:space="preserve">eference to relevant </w:t>
      </w:r>
      <w:r w:rsidR="00391F57" w:rsidRPr="00391F57">
        <w:t>Direction</w:t>
      </w:r>
      <w:r w:rsidR="003E3275">
        <w:t xml:space="preserve"> or Instruction</w:t>
      </w:r>
      <w:r>
        <w:t xml:space="preserve">, e.g. </w:t>
      </w:r>
      <w:hyperlink r:id="rId75" w:anchor="standing-directions-2018" w:history="1">
        <w:r w:rsidRPr="00842BF8">
          <w:rPr>
            <w:rStyle w:val="Hyperlink"/>
          </w:rPr>
          <w:t>Direction 3.2.1.2</w:t>
        </w:r>
        <w:r w:rsidRPr="00B67C4E">
          <w:rPr>
            <w:rStyle w:val="Hyperlink"/>
          </w:rPr>
          <w:t>(b)</w:t>
        </w:r>
      </w:hyperlink>
      <w:r>
        <w:t>]</w:t>
      </w:r>
    </w:p>
    <w:p w14:paraId="41ABA13B" w14:textId="77777777" w:rsidR="001477AF" w:rsidRDefault="00EC5295" w:rsidP="004B6922">
      <w:pPr>
        <w:pStyle w:val="GuidanceBullet3"/>
      </w:pPr>
      <w:r>
        <w:t>[</w:t>
      </w:r>
      <w:r w:rsidR="001477AF">
        <w:t>B</w:t>
      </w:r>
      <w:r>
        <w:t xml:space="preserve">rief </w:t>
      </w:r>
      <w:r w:rsidR="00C617C9">
        <w:t xml:space="preserve">summary </w:t>
      </w:r>
      <w:r>
        <w:t>of the reasons for/circumstances of</w:t>
      </w:r>
      <w:r w:rsidR="002177BE">
        <w:t xml:space="preserve"> the </w:t>
      </w:r>
      <w:r w:rsidR="00D134D5">
        <w:t>M</w:t>
      </w:r>
      <w:r w:rsidR="002177BE">
        <w:t>aterial</w:t>
      </w:r>
      <w:r>
        <w:t xml:space="preserve"> </w:t>
      </w:r>
      <w:r w:rsidR="00D134D5">
        <w:t>C</w:t>
      </w:r>
      <w:r>
        <w:t xml:space="preserve">ompliance </w:t>
      </w:r>
      <w:r w:rsidR="00D134D5">
        <w:t>D</w:t>
      </w:r>
      <w:r>
        <w:t>eficiency]</w:t>
      </w:r>
    </w:p>
    <w:p w14:paraId="70552787" w14:textId="77777777" w:rsidR="00391F57" w:rsidRDefault="00F167A8" w:rsidP="004B6922">
      <w:pPr>
        <w:pStyle w:val="GuidanceBullet3"/>
      </w:pPr>
      <w:r>
        <w:t>[</w:t>
      </w:r>
      <w:r w:rsidR="001477AF">
        <w:t>D</w:t>
      </w:r>
      <w:r>
        <w:t xml:space="preserve">etails of </w:t>
      </w:r>
      <w:r w:rsidR="00D134D5">
        <w:t>planned and completed remedial</w:t>
      </w:r>
      <w:r>
        <w:t xml:space="preserve"> actions].</w:t>
      </w:r>
    </w:p>
    <w:p w14:paraId="0DDA50BF" w14:textId="77777777" w:rsidR="002A4101" w:rsidRDefault="00B24957" w:rsidP="00D6216B">
      <w:pPr>
        <w:pStyle w:val="Heading2"/>
      </w:pPr>
      <w:r w:rsidRPr="002872E5">
        <w:t xml:space="preserve">Agencies with </w:t>
      </w:r>
      <w:r>
        <w:t>an annual reporting period that is</w:t>
      </w:r>
      <w:r w:rsidR="002A4101">
        <w:t xml:space="preserve"> not</w:t>
      </w:r>
      <w:r w:rsidRPr="002872E5">
        <w:t xml:space="preserve"> </w:t>
      </w:r>
      <w:r>
        <w:t xml:space="preserve">1 July until </w:t>
      </w:r>
      <w:r w:rsidRPr="002872E5">
        <w:t>30 June</w:t>
      </w:r>
      <w:r>
        <w:t xml:space="preserve"> </w:t>
      </w:r>
      <w:r w:rsidRPr="002872E5">
        <w:t>must</w:t>
      </w:r>
      <w:r>
        <w:t>:</w:t>
      </w:r>
      <w:r w:rsidRPr="002872E5">
        <w:t xml:space="preserve"> </w:t>
      </w:r>
    </w:p>
    <w:p w14:paraId="0B5855AE" w14:textId="64E3C7DF" w:rsidR="003F7F1D" w:rsidRPr="00391F57" w:rsidRDefault="00B24957" w:rsidP="000F6867">
      <w:pPr>
        <w:pStyle w:val="Num1"/>
        <w:contextualSpacing/>
      </w:pPr>
      <w:r w:rsidRPr="009848A6">
        <w:t>provide</w:t>
      </w:r>
      <w:r w:rsidRPr="002872E5">
        <w:t xml:space="preserve"> their</w:t>
      </w:r>
      <w:r w:rsidRPr="00391F57">
        <w:t xml:space="preserve"> </w:t>
      </w:r>
      <w:r>
        <w:t>first</w:t>
      </w:r>
      <w:r w:rsidRPr="00391F57">
        <w:t xml:space="preserve"> attestation</w:t>
      </w:r>
      <w:r w:rsidRPr="00B24957">
        <w:t xml:space="preserve"> </w:t>
      </w:r>
      <w:r>
        <w:t xml:space="preserve">under </w:t>
      </w:r>
      <w:hyperlink r:id="rId76" w:anchor="standing-directions-2018" w:history="1">
        <w:r w:rsidRPr="00842BF8">
          <w:rPr>
            <w:rStyle w:val="Hyperlink"/>
          </w:rPr>
          <w:t>Direction 5.1.4</w:t>
        </w:r>
      </w:hyperlink>
      <w:r>
        <w:t xml:space="preserve"> to cover the period</w:t>
      </w:r>
      <w:r w:rsidRPr="00391F57">
        <w:t xml:space="preserve"> from 1 July 2017 to balance date in the relevant Annual </w:t>
      </w:r>
      <w:r>
        <w:t>Report; and</w:t>
      </w:r>
    </w:p>
    <w:p w14:paraId="56DBA0B8" w14:textId="4B77818F" w:rsidR="003F7F1D" w:rsidRDefault="00B24957" w:rsidP="000F6867">
      <w:pPr>
        <w:pStyle w:val="Num1"/>
        <w:contextualSpacing/>
      </w:pPr>
      <w:r>
        <w:t>i</w:t>
      </w:r>
      <w:r w:rsidRPr="00391F57">
        <w:t xml:space="preserve">n </w:t>
      </w:r>
      <w:r>
        <w:t xml:space="preserve">all </w:t>
      </w:r>
      <w:r w:rsidRPr="00391F57">
        <w:t>subsequent years,</w:t>
      </w:r>
      <w:r>
        <w:t xml:space="preserve"> attest to compliance</w:t>
      </w:r>
      <w:r w:rsidRPr="00B24957">
        <w:t xml:space="preserve"> </w:t>
      </w:r>
      <w:r>
        <w:t xml:space="preserve">under </w:t>
      </w:r>
      <w:hyperlink r:id="rId77" w:anchor="standing-directions-2018" w:history="1">
        <w:r w:rsidRPr="00842BF8">
          <w:rPr>
            <w:rStyle w:val="Hyperlink"/>
          </w:rPr>
          <w:t>Direction 5.1.4</w:t>
        </w:r>
      </w:hyperlink>
      <w:r w:rsidRPr="00391F57">
        <w:t xml:space="preserve"> for the </w:t>
      </w:r>
      <w:r>
        <w:t xml:space="preserve">Agency’s </w:t>
      </w:r>
      <w:r w:rsidRPr="00391F57">
        <w:t>relevant financial year.</w:t>
      </w:r>
      <w:r w:rsidRPr="00B24957">
        <w:t xml:space="preserve"> </w:t>
      </w:r>
    </w:p>
    <w:p w14:paraId="0E97AB1F" w14:textId="77777777" w:rsidR="00E6285B" w:rsidRDefault="00E6285B" w:rsidP="00E6285B">
      <w:pPr>
        <w:pStyle w:val="Heading2"/>
        <w:numPr>
          <w:ilvl w:val="1"/>
          <w:numId w:val="3"/>
        </w:numPr>
      </w:pPr>
      <w:bookmarkStart w:id="15" w:name="_Hlk523392417"/>
      <w:r w:rsidRPr="00115C6C">
        <w:t xml:space="preserve">In relation to Direction </w:t>
      </w:r>
      <w:r w:rsidRPr="00C233F8">
        <w:t>4.2.1</w:t>
      </w:r>
      <w:r>
        <w:t>.2</w:t>
      </w:r>
      <w:r>
        <w:rPr>
          <w:rStyle w:val="FootnoteReference"/>
        </w:rPr>
        <w:footnoteReference w:id="33"/>
      </w:r>
      <w:r w:rsidRPr="00115C6C">
        <w:t>, the attestation in the 20</w:t>
      </w:r>
      <w:r>
        <w:t>21</w:t>
      </w:r>
      <w:r w:rsidRPr="00115C6C">
        <w:t>-</w:t>
      </w:r>
      <w:r>
        <w:t xml:space="preserve">22 </w:t>
      </w:r>
      <w:r w:rsidRPr="00115C6C">
        <w:t xml:space="preserve">Annual Report must relate to compliance, and disclose Material Compliance Deficiencies, as </w:t>
      </w:r>
      <w:proofErr w:type="gramStart"/>
      <w:r w:rsidRPr="00115C6C">
        <w:t>at</w:t>
      </w:r>
      <w:proofErr w:type="gramEnd"/>
      <w:r w:rsidRPr="00115C6C">
        <w:t xml:space="preserve"> 30 June 20</w:t>
      </w:r>
      <w:r>
        <w:t>22</w:t>
      </w:r>
      <w:r w:rsidRPr="00115C6C">
        <w:t>.</w:t>
      </w:r>
      <w:r>
        <w:rPr>
          <w:rStyle w:val="FootnoteReference"/>
        </w:rPr>
        <w:footnoteReference w:id="34"/>
      </w:r>
      <w:bookmarkEnd w:id="15"/>
    </w:p>
    <w:p w14:paraId="66CFDF2E" w14:textId="77777777" w:rsidR="00391F57" w:rsidRPr="00C94216" w:rsidRDefault="00391F57" w:rsidP="00C94216">
      <w:pPr>
        <w:pStyle w:val="Heading1"/>
      </w:pPr>
      <w:r w:rsidRPr="00C94216">
        <w:lastRenderedPageBreak/>
        <w:t xml:space="preserve">DTF assurance </w:t>
      </w:r>
      <w:r w:rsidR="009545C4" w:rsidRPr="00C94216">
        <w:t>program</w:t>
      </w:r>
    </w:p>
    <w:p w14:paraId="4FB1C811" w14:textId="77777777" w:rsidR="00391F57" w:rsidRPr="00391F57" w:rsidRDefault="00391F57" w:rsidP="00D6216B">
      <w:pPr>
        <w:pStyle w:val="Heading2"/>
      </w:pPr>
      <w:r w:rsidRPr="00391F57">
        <w:t xml:space="preserve">The DTF Accountable Officer </w:t>
      </w:r>
      <w:r w:rsidR="00521287">
        <w:t>may c</w:t>
      </w:r>
      <w:r w:rsidRPr="00391F57">
        <w:t xml:space="preserve">onduct </w:t>
      </w:r>
      <w:r w:rsidR="009545C4">
        <w:t xml:space="preserve">a </w:t>
      </w:r>
      <w:r w:rsidRPr="00391F57">
        <w:t xml:space="preserve">targeted assurance </w:t>
      </w:r>
      <w:r w:rsidR="009545C4">
        <w:t>program</w:t>
      </w:r>
      <w:r w:rsidR="009545C4" w:rsidRPr="00391F57">
        <w:t xml:space="preserve"> </w:t>
      </w:r>
      <w:r w:rsidRPr="00391F57">
        <w:t xml:space="preserve">on either </w:t>
      </w:r>
      <w:r w:rsidR="00325257">
        <w:t>Agency specific or portfolio-</w:t>
      </w:r>
      <w:r w:rsidRPr="00391F57">
        <w:t xml:space="preserve">wide issues as part of monitoring the effectiveness of the </w:t>
      </w:r>
      <w:r w:rsidR="00325257" w:rsidRPr="00354AB3">
        <w:t>whole of state financial management framework</w:t>
      </w:r>
      <w:r w:rsidRPr="00391F57">
        <w:t xml:space="preserve">. </w:t>
      </w:r>
    </w:p>
    <w:p w14:paraId="476B9A12" w14:textId="5252D0DB" w:rsidR="00526479" w:rsidRDefault="00391F57" w:rsidP="002A255D">
      <w:pPr>
        <w:pStyle w:val="Heading2"/>
      </w:pPr>
      <w:r w:rsidRPr="00391F57">
        <w:t xml:space="preserve">If </w:t>
      </w:r>
      <w:r w:rsidR="00325257">
        <w:t>requested</w:t>
      </w:r>
      <w:r w:rsidRPr="00391F57">
        <w:t xml:space="preserve"> by DTF to participate in the assurance program, the Agency</w:t>
      </w:r>
      <w:r w:rsidR="00637608">
        <w:t>’s</w:t>
      </w:r>
      <w:r w:rsidRPr="00391F57">
        <w:t xml:space="preserve"> Accountable Officer must support the assurance </w:t>
      </w:r>
      <w:r w:rsidR="00E741A8">
        <w:t>program</w:t>
      </w:r>
      <w:r w:rsidRPr="00391F57">
        <w:t xml:space="preserve"> by providing all relevant information to DTF and/or its delegate.</w:t>
      </w:r>
    </w:p>
    <w:p w14:paraId="4E23540C" w14:textId="77777777" w:rsidR="000F6867" w:rsidRDefault="000F6867" w:rsidP="000F6867">
      <w:pPr>
        <w:pStyle w:val="Spacer"/>
      </w:pPr>
    </w:p>
    <w:p w14:paraId="06026D00" w14:textId="77777777" w:rsidR="00243606" w:rsidRDefault="00243606" w:rsidP="00243606">
      <w:pPr>
        <w:widowControl w:val="0"/>
        <w:spacing w:before="120" w:after="120" w:line="216" w:lineRule="auto"/>
        <w:ind w:left="504"/>
        <w:outlineLvl w:val="1"/>
        <w:rPr>
          <w:color w:val="FFFFFF" w:themeColor="background1"/>
        </w:rPr>
        <w:sectPr w:rsidR="00243606" w:rsidSect="00CF2B85">
          <w:footerReference w:type="first" r:id="rId78"/>
          <w:pgSz w:w="11906" w:h="16838"/>
          <w:pgMar w:top="1440" w:right="1008" w:bottom="1440" w:left="1008" w:header="706" w:footer="395" w:gutter="0"/>
          <w:cols w:space="708"/>
          <w:titlePg/>
          <w:docGrid w:linePitch="360"/>
        </w:sectPr>
      </w:pPr>
    </w:p>
    <w:p w14:paraId="261C3EEA" w14:textId="2944A42B" w:rsidR="00243606" w:rsidRPr="00521287" w:rsidRDefault="00243606" w:rsidP="00243606">
      <w:pPr>
        <w:widowControl w:val="0"/>
        <w:spacing w:before="120" w:after="120" w:line="216" w:lineRule="auto"/>
        <w:ind w:left="504"/>
        <w:outlineLvl w:val="1"/>
        <w:rPr>
          <w:color w:val="FFFFFF" w:themeColor="background1"/>
        </w:rPr>
      </w:pPr>
      <w:r>
        <w:rPr>
          <w:noProof/>
          <w:color w:val="FFFFFF" w:themeColor="background1"/>
        </w:rPr>
        <w:lastRenderedPageBreak/>
        <mc:AlternateContent>
          <mc:Choice Requires="wps">
            <w:drawing>
              <wp:anchor distT="0" distB="0" distL="114300" distR="114300" simplePos="0" relativeHeight="251652096" behindDoc="0" locked="0" layoutInCell="1" allowOverlap="1" wp14:anchorId="3AEDD457" wp14:editId="50F7DF80">
                <wp:simplePos x="0" y="0"/>
                <wp:positionH relativeFrom="column">
                  <wp:posOffset>-632196</wp:posOffset>
                </wp:positionH>
                <wp:positionV relativeFrom="paragraph">
                  <wp:posOffset>-899795</wp:posOffset>
                </wp:positionV>
                <wp:extent cx="1480820" cy="3099435"/>
                <wp:effectExtent l="0" t="0" r="24130" b="24765"/>
                <wp:wrapNone/>
                <wp:docPr id="23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80820" cy="3099435"/>
                        </a:xfrm>
                        <a:custGeom>
                          <a:avLst/>
                          <a:gdLst>
                            <a:gd name="T0" fmla="*/ 0 w 2326"/>
                            <a:gd name="T1" fmla="*/ 4887 h 4887"/>
                            <a:gd name="T2" fmla="*/ 2326 w 2326"/>
                            <a:gd name="T3" fmla="*/ 4887 h 4887"/>
                            <a:gd name="T4" fmla="*/ 2326 w 2326"/>
                            <a:gd name="T5" fmla="*/ 0 h 4887"/>
                            <a:gd name="T6" fmla="*/ 0 w 2326"/>
                            <a:gd name="T7" fmla="*/ 4887 h 4887"/>
                          </a:gdLst>
                          <a:ahLst/>
                          <a:cxnLst>
                            <a:cxn ang="0">
                              <a:pos x="T0" y="T1"/>
                            </a:cxn>
                            <a:cxn ang="0">
                              <a:pos x="T2" y="T3"/>
                            </a:cxn>
                            <a:cxn ang="0">
                              <a:pos x="T4" y="T5"/>
                            </a:cxn>
                            <a:cxn ang="0">
                              <a:pos x="T6" y="T7"/>
                            </a:cxn>
                          </a:cxnLst>
                          <a:rect l="0" t="0" r="r" b="b"/>
                          <a:pathLst>
                            <a:path w="2326" h="4887">
                              <a:moveTo>
                                <a:pt x="0" y="4887"/>
                              </a:moveTo>
                              <a:lnTo>
                                <a:pt x="2326" y="4887"/>
                              </a:lnTo>
                              <a:lnTo>
                                <a:pt x="2326" y="0"/>
                              </a:lnTo>
                              <a:lnTo>
                                <a:pt x="0" y="4887"/>
                              </a:lnTo>
                              <a:close/>
                            </a:path>
                          </a:pathLst>
                        </a:custGeom>
                        <a:solidFill>
                          <a:srgbClr val="00573F"/>
                        </a:solidFill>
                        <a:ln>
                          <a:solidFill>
                            <a:srgbClr val="00573F"/>
                          </a:solidFill>
                        </a:ln>
                      </wps:spPr>
                      <wps:bodyPr rot="0" vert="horz" wrap="square" lIns="91440" tIns="45720" rIns="91440" bIns="45720" anchor="t" anchorCtr="0" upright="1">
                        <a:noAutofit/>
                      </wps:bodyPr>
                    </wps:wsp>
                  </a:graphicData>
                </a:graphic>
              </wp:anchor>
            </w:drawing>
          </mc:Choice>
          <mc:Fallback>
            <w:pict>
              <v:shape w14:anchorId="275FA8E7" id="Freeform 9" o:spid="_x0000_s1026" style="position:absolute;margin-left:-49.8pt;margin-top:-70.85pt;width:116.6pt;height:244.05pt;rotation:180;z-index:251652096;visibility:visible;mso-wrap-style:square;mso-wrap-distance-left:9pt;mso-wrap-distance-top:0;mso-wrap-distance-right:9pt;mso-wrap-distance-bottom:0;mso-position-horizontal:absolute;mso-position-horizontal-relative:text;mso-position-vertical:absolute;mso-position-vertical-relative:text;v-text-anchor:top" coordsize="2326,4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" path="m,4887r2326,l2326,,,4887xe" fillcolor="#00573f" strokecolor="#00573f">
                <v:path arrowok="t" o:connecttype="custom" o:connectlocs="0,3099435;1480820,3099435;1480820,0;0,3099435" o:connectangles="0,0,0,0"/>
              </v:shape>
            </w:pict>
          </mc:Fallback>
        </mc:AlternateContent>
      </w:r>
      <w:r>
        <w:rPr>
          <w:noProof/>
          <w:color w:val="FFFFFF" w:themeColor="background1"/>
        </w:rPr>
        <mc:AlternateContent>
          <mc:Choice Requires="wps">
            <w:drawing>
              <wp:anchor distT="0" distB="0" distL="114300" distR="114300" simplePos="0" relativeHeight="251648000" behindDoc="0" locked="0" layoutInCell="1" allowOverlap="1" wp14:anchorId="50461FCB" wp14:editId="2D3E96F9">
                <wp:simplePos x="0" y="0"/>
                <wp:positionH relativeFrom="column">
                  <wp:posOffset>-640080</wp:posOffset>
                </wp:positionH>
                <wp:positionV relativeFrom="paragraph">
                  <wp:posOffset>-914399</wp:posOffset>
                </wp:positionV>
                <wp:extent cx="7635240" cy="10757194"/>
                <wp:effectExtent l="0" t="0" r="22860" b="25400"/>
                <wp:wrapNone/>
                <wp:docPr id="229" name="Rectangle 229"/>
                <wp:cNvGraphicFramePr/>
                <a:graphic xmlns:a="http://schemas.openxmlformats.org/drawingml/2006/main">
                  <a:graphicData uri="http://schemas.microsoft.com/office/word/2010/wordprocessingShape">
                    <wps:wsp>
                      <wps:cNvSpPr/>
                      <wps:spPr>
                        <a:xfrm>
                          <a:off x="0" y="0"/>
                          <a:ext cx="7635240" cy="10757194"/>
                        </a:xfrm>
                        <a:prstGeom prst="rect">
                          <a:avLst/>
                        </a:prstGeom>
                        <a:solidFill>
                          <a:srgbClr val="007B4B"/>
                        </a:solidFill>
                        <a:ln>
                          <a:solidFill>
                            <a:srgbClr val="007B4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D704E8" id="Rectangle 229" o:spid="_x0000_s1026" style="position:absolute;margin-left:-50.4pt;margin-top:-1in;width:601.2pt;height:847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" fillcolor="#007b4b" strokecolor="#007b4b" strokeweight="2pt"/>
            </w:pict>
          </mc:Fallback>
        </mc:AlternateContent>
      </w:r>
      <w:r>
        <w:rPr>
          <w:noProof/>
          <w:color w:val="FFFFFF" w:themeColor="background1"/>
        </w:rPr>
        <mc:AlternateContent>
          <mc:Choice Requires="wps">
            <w:drawing>
              <wp:anchor distT="0" distB="0" distL="114300" distR="114300" simplePos="0" relativeHeight="251650048" behindDoc="0" locked="0" layoutInCell="1" allowOverlap="1" wp14:anchorId="55329B55" wp14:editId="117DF3A8">
                <wp:simplePos x="0" y="0"/>
                <wp:positionH relativeFrom="column">
                  <wp:posOffset>4627956</wp:posOffset>
                </wp:positionH>
                <wp:positionV relativeFrom="paragraph">
                  <wp:posOffset>2947916</wp:posOffset>
                </wp:positionV>
                <wp:extent cx="3331845" cy="6851650"/>
                <wp:effectExtent l="0" t="0" r="20955" b="25400"/>
                <wp:wrapNone/>
                <wp:docPr id="23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331845" cy="6851650"/>
                        </a:xfrm>
                        <a:custGeom>
                          <a:avLst/>
                          <a:gdLst>
                            <a:gd name="T0" fmla="*/ 0 w 5630"/>
                            <a:gd name="T1" fmla="*/ 0 h 11575"/>
                            <a:gd name="T2" fmla="*/ 0 w 5630"/>
                            <a:gd name="T3" fmla="*/ 11575 h 11575"/>
                            <a:gd name="T4" fmla="*/ 5630 w 5630"/>
                            <a:gd name="T5" fmla="*/ 0 h 11575"/>
                            <a:gd name="T6" fmla="*/ 0 w 5630"/>
                            <a:gd name="T7" fmla="*/ 0 h 11575"/>
                          </a:gdLst>
                          <a:ahLst/>
                          <a:cxnLst>
                            <a:cxn ang="0">
                              <a:pos x="T0" y="T1"/>
                            </a:cxn>
                            <a:cxn ang="0">
                              <a:pos x="T2" y="T3"/>
                            </a:cxn>
                            <a:cxn ang="0">
                              <a:pos x="T4" y="T5"/>
                            </a:cxn>
                            <a:cxn ang="0">
                              <a:pos x="T6" y="T7"/>
                            </a:cxn>
                          </a:cxnLst>
                          <a:rect l="0" t="0" r="r" b="b"/>
                          <a:pathLst>
                            <a:path w="5630" h="11575">
                              <a:moveTo>
                                <a:pt x="0" y="0"/>
                              </a:moveTo>
                              <a:lnTo>
                                <a:pt x="0" y="11575"/>
                              </a:lnTo>
                              <a:lnTo>
                                <a:pt x="5630" y="0"/>
                              </a:lnTo>
                              <a:lnTo>
                                <a:pt x="0" y="0"/>
                              </a:lnTo>
                              <a:close/>
                            </a:path>
                          </a:pathLst>
                        </a:custGeom>
                        <a:solidFill>
                          <a:srgbClr val="00573F"/>
                        </a:solidFill>
                        <a:ln>
                          <a:solidFill>
                            <a:srgbClr val="00573F"/>
                          </a:solidFill>
                        </a:ln>
                      </wps:spPr>
                      <wps:bodyPr rot="0" vert="horz" wrap="square" lIns="91440" tIns="45720" rIns="91440" bIns="45720" anchor="t" anchorCtr="0" upright="1">
                        <a:noAutofit/>
                      </wps:bodyPr>
                    </wps:wsp>
                  </a:graphicData>
                </a:graphic>
              </wp:anchor>
            </w:drawing>
          </mc:Choice>
          <mc:Fallback>
            <w:pict>
              <v:shape w14:anchorId="7F39E704" id="Freeform 5" o:spid="_x0000_s1026" style="position:absolute;margin-left:364.4pt;margin-top:232.1pt;width:262.35pt;height:539.5pt;rotation:180;z-index:251650048;visibility:visible;mso-wrap-style:square;mso-wrap-distance-left:9pt;mso-wrap-distance-top:0;mso-wrap-distance-right:9pt;mso-wrap-distance-bottom:0;mso-position-horizontal:absolute;mso-position-horizontal-relative:text;mso-position-vertical:absolute;mso-position-vertical-relative:text;v-text-anchor:top" coordsize="5630,1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" path="m,l,11575,5630,,,xe" fillcolor="#00573f" strokecolor="#00573f">
                <v:path arrowok="t" o:connecttype="custom" o:connectlocs="0,0;0,6851650;3331845,0;0,0" o:connectangles="0,0,0,0"/>
              </v:shape>
            </w:pict>
          </mc:Fallback>
        </mc:AlternateContent>
      </w:r>
      <w:r>
        <w:rPr>
          <w:noProof/>
          <w:color w:val="FFFFFF" w:themeColor="background1"/>
        </w:rPr>
        <w:drawing>
          <wp:anchor distT="0" distB="0" distL="114300" distR="114300" simplePos="0" relativeHeight="251655168" behindDoc="0" locked="0" layoutInCell="1" allowOverlap="1" wp14:anchorId="27F93D76" wp14:editId="1B2C498B">
            <wp:simplePos x="0" y="0"/>
            <wp:positionH relativeFrom="column">
              <wp:posOffset>4600660</wp:posOffset>
            </wp:positionH>
            <wp:positionV relativeFrom="paragraph">
              <wp:posOffset>9048465</wp:posOffset>
            </wp:positionV>
            <wp:extent cx="1378424" cy="409433"/>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pic:cNvPicPr>
                      <a:picLocks noChangeAspect="1"/>
                    </pic:cNvPicPr>
                  </pic:nvPicPr>
                  <pic:blipFill>
                    <a:blip r:embed="rId79" cstate="print">
                      <a:extLst>
                        <a:ext uri="{28A0092B-C50C-407E-A947-70E740481C1C}">
                          <a14:useLocalDpi xmlns:a14="http://schemas.microsoft.com/office/drawing/2010/main" val="0"/>
                        </a:ext>
                      </a:extLst>
                    </a:blip>
                    <a:stretch>
                      <a:fillRect/>
                    </a:stretch>
                  </pic:blipFill>
                  <pic:spPr>
                    <a:xfrm>
                      <a:off x="0" y="0"/>
                      <a:ext cx="1378424" cy="409433"/>
                    </a:xfrm>
                    <a:prstGeom prst="rect">
                      <a:avLst/>
                    </a:prstGeom>
                  </pic:spPr>
                </pic:pic>
              </a:graphicData>
            </a:graphic>
          </wp:anchor>
        </w:drawing>
      </w:r>
    </w:p>
    <w:sectPr w:rsidR="00243606" w:rsidRPr="00521287" w:rsidSect="00CF2B85">
      <w:headerReference w:type="default" r:id="rId80"/>
      <w:footerReference w:type="default" r:id="rId81"/>
      <w:headerReference w:type="first" r:id="rId82"/>
      <w:type w:val="evenPage"/>
      <w:pgSz w:w="11906" w:h="16838"/>
      <w:pgMar w:top="1440" w:right="1008" w:bottom="1440" w:left="1008" w:header="706" w:footer="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8DE9C" w14:textId="77777777" w:rsidR="009B2A10" w:rsidRDefault="009B2A10" w:rsidP="00F91121">
      <w:pPr>
        <w:spacing w:before="0" w:after="0"/>
      </w:pPr>
      <w:r>
        <w:separator/>
      </w:r>
    </w:p>
  </w:endnote>
  <w:endnote w:type="continuationSeparator" w:id="0">
    <w:p w14:paraId="6006BF9A" w14:textId="77777777" w:rsidR="009B2A10" w:rsidRDefault="009B2A10" w:rsidP="00F91121">
      <w:pPr>
        <w:spacing w:before="0" w:after="0"/>
      </w:pPr>
      <w:r>
        <w:continuationSeparator/>
      </w:r>
    </w:p>
  </w:endnote>
  <w:endnote w:type="continuationNotice" w:id="1">
    <w:p w14:paraId="318094FB" w14:textId="77777777" w:rsidR="009B2A10" w:rsidRDefault="009B2A1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4AD18" w14:textId="698D819A" w:rsidR="002A255D" w:rsidRDefault="002A255D" w:rsidP="008C1DB5">
    <w:pPr>
      <w:pStyle w:val="Footer"/>
    </w:pPr>
    <w:r w:rsidRPr="004671C4">
      <w:drawing>
        <wp:anchor distT="0" distB="0" distL="114300" distR="114300" simplePos="0" relativeHeight="251660288" behindDoc="0" locked="0" layoutInCell="1" allowOverlap="1" wp14:anchorId="45D6D6C3" wp14:editId="5DF9CA62">
          <wp:simplePos x="0" y="0"/>
          <wp:positionH relativeFrom="column">
            <wp:posOffset>-103505</wp:posOffset>
          </wp:positionH>
          <wp:positionV relativeFrom="page">
            <wp:posOffset>10024745</wp:posOffset>
          </wp:positionV>
          <wp:extent cx="1600200" cy="411480"/>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TREASURY_LOGO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411480"/>
                  </a:xfrm>
                  <a:prstGeom prst="rect">
                    <a:avLst/>
                  </a:prstGeom>
                </pic:spPr>
              </pic:pic>
            </a:graphicData>
          </a:graphic>
          <wp14:sizeRelH relativeFrom="margin">
            <wp14:pctWidth>0</wp14:pctWidth>
          </wp14:sizeRelH>
          <wp14:sizeRelV relativeFrom="margin">
            <wp14:pctHeight>0</wp14:pctHeight>
          </wp14:sizeRelV>
        </wp:anchor>
      </w:drawing>
    </w:r>
    <w:r w:rsidRPr="004671C4">
      <mc:AlternateContent>
        <mc:Choice Requires="wps">
          <w:drawing>
            <wp:anchor distT="0" distB="0" distL="114300" distR="114300" simplePos="0" relativeHeight="251662336" behindDoc="1" locked="0" layoutInCell="1" allowOverlap="1" wp14:anchorId="52D5FFBF" wp14:editId="76C11CAC">
              <wp:simplePos x="0" y="0"/>
              <wp:positionH relativeFrom="page">
                <wp:posOffset>0</wp:posOffset>
              </wp:positionH>
              <wp:positionV relativeFrom="page">
                <wp:posOffset>9829800</wp:posOffset>
              </wp:positionV>
              <wp:extent cx="7589520" cy="886968"/>
              <wp:effectExtent l="0" t="0" r="0" b="8890"/>
              <wp:wrapNone/>
              <wp:docPr id="3" name="Rectangle 14" descr="FactSheet Foot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9520" cy="886968"/>
                      </a:xfrm>
                      <a:prstGeom prst="rect">
                        <a:avLst/>
                      </a:prstGeom>
                      <a:solidFill>
                        <a:srgbClr val="007B4B"/>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17BB793" id="Rectangle 14" o:spid="_x0000_s1026" alt="FactSheet Footer" style="position:absolute;margin-left:0;margin-top:774pt;width:597.6pt;height:69.8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" fillcolor="#007b4b" stroked="f">
              <w10:wrap anchorx="page" anchory="page"/>
            </v:rect>
          </w:pict>
        </mc:Fallback>
      </mc:AlternateContent>
    </w:r>
    <w:r>
      <w:t>Instruction (Mandatory)</w:t>
    </w:r>
  </w:p>
  <w:p w14:paraId="57516BA0" w14:textId="083EC24A" w:rsidR="002A255D" w:rsidRDefault="002A255D" w:rsidP="008A4A8D">
    <w:pPr>
      <w:pStyle w:val="Footer"/>
    </w:pPr>
    <w:r>
      <w:t xml:space="preserve">Page </w:t>
    </w:r>
    <w:r w:rsidRPr="00ED4EF8">
      <w:fldChar w:fldCharType="begin"/>
    </w:r>
    <w:r w:rsidRPr="00ED4EF8">
      <w:instrText xml:space="preserve"> page </w:instrText>
    </w:r>
    <w:r w:rsidRPr="00ED4EF8">
      <w:fldChar w:fldCharType="separate"/>
    </w:r>
    <w:r>
      <w:t>8</w:t>
    </w:r>
    <w:r w:rsidRPr="00ED4EF8">
      <w:fldChar w:fldCharType="end"/>
    </w:r>
    <w:r>
      <w:t xml:space="preserve"> of </w:t>
    </w:r>
    <w:r>
      <w:fldChar w:fldCharType="begin"/>
    </w:r>
    <w:r>
      <w:instrText xml:space="preserve"> = </w:instrText>
    </w:r>
    <w:r>
      <w:fldChar w:fldCharType="begin"/>
    </w:r>
    <w:r>
      <w:instrText xml:space="preserve"> numpages  </w:instrText>
    </w:r>
    <w:r>
      <w:fldChar w:fldCharType="separate"/>
    </w:r>
    <w:r w:rsidR="00A41006">
      <w:instrText>25</w:instrText>
    </w:r>
    <w:r>
      <w:fldChar w:fldCharType="end"/>
    </w:r>
    <w:r>
      <w:instrText xml:space="preserve"> -4  </w:instrText>
    </w:r>
    <w:r>
      <w:fldChar w:fldCharType="separate"/>
    </w:r>
    <w:r w:rsidR="00A41006">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9960" w14:textId="5FDE2DBC" w:rsidR="002A255D" w:rsidRDefault="002A255D">
    <w:pPr>
      <w:pStyle w:val="Footer"/>
    </w:pPr>
    <w:r>
      <w:drawing>
        <wp:anchor distT="0" distB="0" distL="114300" distR="114300" simplePos="0" relativeHeight="251658240" behindDoc="0" locked="0" layoutInCell="1" allowOverlap="1" wp14:anchorId="5F3F9DC3" wp14:editId="26943BC0">
          <wp:simplePos x="0" y="0"/>
          <wp:positionH relativeFrom="column">
            <wp:posOffset>-103505</wp:posOffset>
          </wp:positionH>
          <wp:positionV relativeFrom="page">
            <wp:posOffset>10029190</wp:posOffset>
          </wp:positionV>
          <wp:extent cx="1600200" cy="4114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TREASURY_LOGO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411480"/>
                  </a:xfrm>
                  <a:prstGeom prst="rect">
                    <a:avLst/>
                  </a:prstGeom>
                </pic:spPr>
              </pic:pic>
            </a:graphicData>
          </a:graphic>
          <wp14:sizeRelH relativeFrom="margin">
            <wp14:pctWidth>0</wp14:pctWidth>
          </wp14:sizeRelH>
          <wp14:sizeRelV relativeFrom="margin">
            <wp14:pctHeight>0</wp14:pctHeight>
          </wp14:sizeRelV>
        </wp:anchor>
      </w:drawing>
    </w:r>
    <w:r w:rsidRPr="008A4A8D">
      <mc:AlternateContent>
        <mc:Choice Requires="wps">
          <w:drawing>
            <wp:anchor distT="0" distB="0" distL="114300" distR="114300" simplePos="0" relativeHeight="251659264" behindDoc="1" locked="0" layoutInCell="1" allowOverlap="1" wp14:anchorId="1FC4FC89" wp14:editId="6318C7B1">
              <wp:simplePos x="0" y="0"/>
              <wp:positionH relativeFrom="page">
                <wp:posOffset>0</wp:posOffset>
              </wp:positionH>
              <wp:positionV relativeFrom="page">
                <wp:posOffset>9829800</wp:posOffset>
              </wp:positionV>
              <wp:extent cx="7589520" cy="886968"/>
              <wp:effectExtent l="0" t="0" r="0" b="8890"/>
              <wp:wrapNone/>
              <wp:docPr id="22" name="Rectangle 14" descr="FactSheet Foot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9520" cy="886968"/>
                      </a:xfrm>
                      <a:prstGeom prst="rect">
                        <a:avLst/>
                      </a:prstGeom>
                      <a:solidFill>
                        <a:srgbClr val="007B4B"/>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847572" id="Rectangle 14" o:spid="_x0000_s1026" alt="FactSheet Footer" style="position:absolute;margin-left:0;margin-top:774pt;width:597.6pt;height:69.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" fillcolor="#007b4b" stroked="f">
              <w10:wrap anchorx="page" anchory="page"/>
            </v:rect>
          </w:pict>
        </mc:Fallback>
      </mc:AlternateContent>
    </w:r>
    <w:r>
      <w:t>Instruction (Mandatory)</w:t>
    </w:r>
  </w:p>
  <w:p w14:paraId="1C45C85A" w14:textId="2569CD09" w:rsidR="002A255D" w:rsidRDefault="002A255D" w:rsidP="00BE3E1E">
    <w:pPr>
      <w:pStyle w:val="Footer"/>
    </w:pPr>
    <w:r>
      <w:t xml:space="preserve">Page </w:t>
    </w:r>
    <w:r w:rsidRPr="00ED4EF8">
      <w:fldChar w:fldCharType="begin"/>
    </w:r>
    <w:r w:rsidRPr="00ED4EF8">
      <w:instrText xml:space="preserve"> page </w:instrText>
    </w:r>
    <w:r w:rsidRPr="00ED4EF8">
      <w:fldChar w:fldCharType="separate"/>
    </w:r>
    <w:r>
      <w:t>5</w:t>
    </w:r>
    <w:r w:rsidRPr="00ED4EF8">
      <w:fldChar w:fldCharType="end"/>
    </w:r>
    <w:r>
      <w:t xml:space="preserve"> of </w:t>
    </w:r>
    <w:r>
      <w:fldChar w:fldCharType="begin"/>
    </w:r>
    <w:r>
      <w:instrText xml:space="preserve"> = </w:instrText>
    </w:r>
    <w:r>
      <w:fldChar w:fldCharType="begin"/>
    </w:r>
    <w:r>
      <w:instrText xml:space="preserve"> numpages  </w:instrText>
    </w:r>
    <w:r>
      <w:fldChar w:fldCharType="separate"/>
    </w:r>
    <w:r w:rsidR="00A41006">
      <w:instrText>25</w:instrText>
    </w:r>
    <w:r>
      <w:fldChar w:fldCharType="end"/>
    </w:r>
    <w:r>
      <w:instrText xml:space="preserve"> -4  </w:instrText>
    </w:r>
    <w:r>
      <w:fldChar w:fldCharType="separate"/>
    </w:r>
    <w:r w:rsidR="00A41006">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19C39" w14:textId="74B1D7E5" w:rsidR="002A255D" w:rsidRDefault="002A255D">
    <w:pPr>
      <w:pStyle w:val="Footer"/>
    </w:pPr>
    <w:r>
      <w:drawing>
        <wp:anchor distT="0" distB="0" distL="114300" distR="114300" simplePos="0" relativeHeight="251663360" behindDoc="0" locked="0" layoutInCell="1" allowOverlap="1" wp14:anchorId="19530431" wp14:editId="20D47DB5">
          <wp:simplePos x="0" y="0"/>
          <wp:positionH relativeFrom="column">
            <wp:posOffset>-103505</wp:posOffset>
          </wp:positionH>
          <wp:positionV relativeFrom="page">
            <wp:posOffset>10029190</wp:posOffset>
          </wp:positionV>
          <wp:extent cx="1600200" cy="411480"/>
          <wp:effectExtent l="0" t="0" r="0"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TREASURY_LOGO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411480"/>
                  </a:xfrm>
                  <a:prstGeom prst="rect">
                    <a:avLst/>
                  </a:prstGeom>
                </pic:spPr>
              </pic:pic>
            </a:graphicData>
          </a:graphic>
          <wp14:sizeRelH relativeFrom="margin">
            <wp14:pctWidth>0</wp14:pctWidth>
          </wp14:sizeRelH>
          <wp14:sizeRelV relativeFrom="margin">
            <wp14:pctHeight>0</wp14:pctHeight>
          </wp14:sizeRelV>
        </wp:anchor>
      </w:drawing>
    </w:r>
    <w:r w:rsidRPr="008A4A8D">
      <mc:AlternateContent>
        <mc:Choice Requires="wps">
          <w:drawing>
            <wp:anchor distT="0" distB="0" distL="114300" distR="114300" simplePos="0" relativeHeight="251664384" behindDoc="1" locked="0" layoutInCell="1" allowOverlap="1" wp14:anchorId="12E73B2F" wp14:editId="4BD636EA">
              <wp:simplePos x="0" y="0"/>
              <wp:positionH relativeFrom="page">
                <wp:posOffset>0</wp:posOffset>
              </wp:positionH>
              <wp:positionV relativeFrom="page">
                <wp:posOffset>9829800</wp:posOffset>
              </wp:positionV>
              <wp:extent cx="7589520" cy="886968"/>
              <wp:effectExtent l="0" t="0" r="0" b="8890"/>
              <wp:wrapNone/>
              <wp:docPr id="24" name="Rectangle 14" descr="FactSheet Foot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9520" cy="886968"/>
                      </a:xfrm>
                      <a:prstGeom prst="rect">
                        <a:avLst/>
                      </a:prstGeom>
                      <a:solidFill>
                        <a:srgbClr val="007B4B"/>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C36E686" id="Rectangle 14" o:spid="_x0000_s1026" alt="FactSheet Footer" style="position:absolute;margin-left:0;margin-top:774pt;width:597.6pt;height:69.8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" fillcolor="#007b4b" stroked="f">
              <w10:wrap anchorx="page" anchory="page"/>
            </v:rect>
          </w:pict>
        </mc:Fallback>
      </mc:AlternateContent>
    </w:r>
    <w:r>
      <w:t>Instruction (Mandatory)</w:t>
    </w:r>
  </w:p>
  <w:p w14:paraId="40F322D4" w14:textId="169C91C4" w:rsidR="002A255D" w:rsidRDefault="002A255D" w:rsidP="00BE3E1E">
    <w:pPr>
      <w:pStyle w:val="Footer"/>
    </w:pPr>
    <w:r>
      <w:t xml:space="preserve">Page </w:t>
    </w:r>
    <w:r w:rsidRPr="00ED4EF8">
      <w:fldChar w:fldCharType="begin"/>
    </w:r>
    <w:r w:rsidRPr="00ED4EF8">
      <w:instrText xml:space="preserve"> page </w:instrText>
    </w:r>
    <w:r w:rsidRPr="00ED4EF8">
      <w:fldChar w:fldCharType="separate"/>
    </w:r>
    <w:r>
      <w:t>21</w:t>
    </w:r>
    <w:r w:rsidRPr="00ED4EF8">
      <w:fldChar w:fldCharType="end"/>
    </w:r>
    <w:r>
      <w:t xml:space="preserve"> of </w:t>
    </w:r>
    <w:r>
      <w:fldChar w:fldCharType="begin"/>
    </w:r>
    <w:r>
      <w:instrText xml:space="preserve"> = </w:instrText>
    </w:r>
    <w:r>
      <w:fldChar w:fldCharType="begin"/>
    </w:r>
    <w:r>
      <w:instrText xml:space="preserve"> numpages  </w:instrText>
    </w:r>
    <w:r>
      <w:fldChar w:fldCharType="separate"/>
    </w:r>
    <w:r w:rsidR="00A41006">
      <w:instrText>25</w:instrText>
    </w:r>
    <w:r>
      <w:fldChar w:fldCharType="end"/>
    </w:r>
    <w:r>
      <w:instrText xml:space="preserve"> -4  </w:instrText>
    </w:r>
    <w:r>
      <w:fldChar w:fldCharType="separate"/>
    </w:r>
    <w:r w:rsidR="00A41006">
      <w:t>21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A6B08" w14:textId="353F7E54" w:rsidR="002A255D" w:rsidRPr="00243606" w:rsidRDefault="002A255D" w:rsidP="00243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A7BF0" w14:textId="77777777" w:rsidR="009B2A10" w:rsidRDefault="009B2A10" w:rsidP="00F91121">
      <w:pPr>
        <w:spacing w:before="0" w:after="0"/>
      </w:pPr>
      <w:r>
        <w:separator/>
      </w:r>
    </w:p>
  </w:footnote>
  <w:footnote w:type="continuationSeparator" w:id="0">
    <w:p w14:paraId="310DF38A" w14:textId="77777777" w:rsidR="009B2A10" w:rsidRDefault="009B2A10" w:rsidP="00F91121">
      <w:pPr>
        <w:spacing w:before="0" w:after="0"/>
      </w:pPr>
      <w:r>
        <w:continuationSeparator/>
      </w:r>
    </w:p>
  </w:footnote>
  <w:footnote w:type="continuationNotice" w:id="1">
    <w:p w14:paraId="0B1E96A7" w14:textId="77777777" w:rsidR="009B2A10" w:rsidRDefault="009B2A10">
      <w:pPr>
        <w:spacing w:before="0" w:after="0"/>
      </w:pPr>
    </w:p>
  </w:footnote>
  <w:footnote w:id="2">
    <w:p w14:paraId="39F98B19" w14:textId="0A282FBC" w:rsidR="002A255D" w:rsidRDefault="002A255D">
      <w:pPr>
        <w:pStyle w:val="FootnoteText"/>
      </w:pPr>
      <w:r>
        <w:rPr>
          <w:rStyle w:val="FootnoteReference"/>
        </w:rPr>
        <w:footnoteRef/>
      </w:r>
      <w:r>
        <w:t xml:space="preserve"> </w:t>
      </w:r>
      <w:r w:rsidRPr="007D43C6">
        <w:t xml:space="preserve">Note: </w:t>
      </w:r>
      <w:hyperlink r:id="rId1" w:anchor="standing-directions-2018" w:history="1">
        <w:r>
          <w:rPr>
            <w:rStyle w:val="Hyperlink"/>
          </w:rPr>
          <w:t>Direction 3.5</w:t>
        </w:r>
      </w:hyperlink>
      <w:r w:rsidRPr="007D43C6">
        <w:t xml:space="preserve"> </w:t>
      </w:r>
      <w:r>
        <w:t>(F</w:t>
      </w:r>
      <w:r w:rsidRPr="007D43C6">
        <w:t xml:space="preserve">raud, </w:t>
      </w:r>
      <w:r>
        <w:t>Corruption and Other L</w:t>
      </w:r>
      <w:r w:rsidRPr="007D43C6">
        <w:t>osses</w:t>
      </w:r>
      <w:r>
        <w:t>)</w:t>
      </w:r>
      <w:r w:rsidRPr="007D43C6">
        <w:t xml:space="preserve">, </w:t>
      </w:r>
      <w:hyperlink r:id="rId2" w:anchor="standing-directions-2018" w:history="1">
        <w:r>
          <w:rPr>
            <w:rStyle w:val="Hyperlink"/>
          </w:rPr>
          <w:t>Direction 3.6</w:t>
        </w:r>
      </w:hyperlink>
      <w:r w:rsidRPr="007D43C6">
        <w:t xml:space="preserve"> </w:t>
      </w:r>
      <w:r>
        <w:t>(</w:t>
      </w:r>
      <w:r w:rsidRPr="007D43C6">
        <w:t xml:space="preserve">Purchasing </w:t>
      </w:r>
      <w:r>
        <w:t xml:space="preserve">cards), </w:t>
      </w:r>
      <w:hyperlink r:id="rId3" w:anchor="standing-directions-2018" w:history="1">
        <w:r>
          <w:rPr>
            <w:rStyle w:val="Hyperlink"/>
          </w:rPr>
          <w:t>Direction 3.9</w:t>
        </w:r>
      </w:hyperlink>
      <w:r w:rsidRPr="007D43C6">
        <w:t xml:space="preserve"> </w:t>
      </w:r>
      <w:r>
        <w:t>(Managing financial i</w:t>
      </w:r>
      <w:r w:rsidRPr="007D43C6">
        <w:t>nformation</w:t>
      </w:r>
      <w:r>
        <w:t>)</w:t>
      </w:r>
      <w:r w:rsidRPr="007D43C6">
        <w:t xml:space="preserve">, </w:t>
      </w:r>
      <w:hyperlink r:id="rId4" w:anchor="standing-directions-2018" w:history="1">
        <w:r>
          <w:rPr>
            <w:rStyle w:val="Hyperlink"/>
          </w:rPr>
          <w:t>Direction 4.2</w:t>
        </w:r>
      </w:hyperlink>
      <w:r w:rsidRPr="007D43C6">
        <w:t xml:space="preserve"> </w:t>
      </w:r>
      <w:r>
        <w:t>(</w:t>
      </w:r>
      <w:r w:rsidRPr="007D43C6">
        <w:t xml:space="preserve">Using </w:t>
      </w:r>
      <w:r>
        <w:t xml:space="preserve">and managing </w:t>
      </w:r>
      <w:r w:rsidRPr="007D43C6">
        <w:t>public resources</w:t>
      </w:r>
      <w:r>
        <w:t>)</w:t>
      </w:r>
      <w:r w:rsidRPr="007D43C6">
        <w:t xml:space="preserve"> and </w:t>
      </w:r>
      <w:hyperlink r:id="rId5" w:anchor="standing-directions-2018" w:history="1">
        <w:r>
          <w:rPr>
            <w:rStyle w:val="Hyperlink"/>
          </w:rPr>
          <w:t>Direction 4.2.3</w:t>
        </w:r>
      </w:hyperlink>
      <w:r w:rsidRPr="007D43C6">
        <w:t xml:space="preserve"> </w:t>
      </w:r>
      <w:r>
        <w:t>(</w:t>
      </w:r>
      <w:r w:rsidRPr="007D43C6">
        <w:t>Assets management accountability</w:t>
      </w:r>
      <w:r>
        <w:t>)</w:t>
      </w:r>
      <w:r w:rsidRPr="007D43C6">
        <w:t xml:space="preserve"> are covered in separate Directions, however</w:t>
      </w:r>
      <w:r>
        <w:t>, they</w:t>
      </w:r>
      <w:r w:rsidRPr="007D43C6">
        <w:t xml:space="preserve"> </w:t>
      </w:r>
      <w:r>
        <w:t xml:space="preserve">are </w:t>
      </w:r>
      <w:r w:rsidRPr="007D43C6">
        <w:t xml:space="preserve">part of the internal control system. </w:t>
      </w:r>
    </w:p>
  </w:footnote>
  <w:footnote w:id="3">
    <w:p w14:paraId="355A1CA4" w14:textId="77777777" w:rsidR="002A255D" w:rsidRDefault="002A255D">
      <w:pPr>
        <w:pStyle w:val="FootnoteText"/>
      </w:pPr>
      <w:r>
        <w:rPr>
          <w:rStyle w:val="FootnoteReference"/>
        </w:rPr>
        <w:footnoteRef/>
      </w:r>
      <w:r>
        <w:t xml:space="preserve"> See clause 3 of this Instruction.</w:t>
      </w:r>
    </w:p>
  </w:footnote>
  <w:footnote w:id="4">
    <w:p w14:paraId="5D09A242" w14:textId="77777777" w:rsidR="002A255D" w:rsidRDefault="002A255D" w:rsidP="007D43C6">
      <w:pPr>
        <w:pStyle w:val="FootnoteText"/>
      </w:pPr>
      <w:r>
        <w:rPr>
          <w:rStyle w:val="FootnoteReference"/>
        </w:rPr>
        <w:footnoteRef/>
      </w:r>
      <w:r>
        <w:t xml:space="preserve"> See clause 4 of this Instruction.</w:t>
      </w:r>
    </w:p>
  </w:footnote>
  <w:footnote w:id="5">
    <w:p w14:paraId="55A2A048" w14:textId="77777777" w:rsidR="002A255D" w:rsidRDefault="002A255D" w:rsidP="007D43C6">
      <w:pPr>
        <w:pStyle w:val="FootnoteText"/>
      </w:pPr>
      <w:r>
        <w:rPr>
          <w:rStyle w:val="FootnoteReference"/>
        </w:rPr>
        <w:footnoteRef/>
      </w:r>
      <w:r>
        <w:t xml:space="preserve"> See clause 5 of this Instruction.</w:t>
      </w:r>
    </w:p>
  </w:footnote>
  <w:footnote w:id="6">
    <w:p w14:paraId="5AEBCFFC" w14:textId="77777777" w:rsidR="002A255D" w:rsidRDefault="002A255D" w:rsidP="007D43C6">
      <w:pPr>
        <w:pStyle w:val="FootnoteText"/>
      </w:pPr>
      <w:r>
        <w:rPr>
          <w:rStyle w:val="FootnoteReference"/>
        </w:rPr>
        <w:footnoteRef/>
      </w:r>
      <w:r>
        <w:t xml:space="preserve"> See clause 6 of this Instruction.</w:t>
      </w:r>
    </w:p>
  </w:footnote>
  <w:footnote w:id="7">
    <w:p w14:paraId="2396CA9E" w14:textId="77777777" w:rsidR="002A255D" w:rsidRDefault="002A255D" w:rsidP="007D43C6">
      <w:pPr>
        <w:pStyle w:val="FootnoteText"/>
      </w:pPr>
      <w:r>
        <w:rPr>
          <w:rStyle w:val="FootnoteReference"/>
        </w:rPr>
        <w:footnoteRef/>
      </w:r>
      <w:r>
        <w:t xml:space="preserve"> See clause 7 of this Instruction.</w:t>
      </w:r>
    </w:p>
  </w:footnote>
  <w:footnote w:id="8">
    <w:p w14:paraId="6AE7E198" w14:textId="77777777" w:rsidR="002A255D" w:rsidRDefault="002A255D" w:rsidP="007D43C6">
      <w:pPr>
        <w:pStyle w:val="FootnoteText"/>
      </w:pPr>
      <w:r>
        <w:rPr>
          <w:rStyle w:val="FootnoteReference"/>
        </w:rPr>
        <w:footnoteRef/>
      </w:r>
      <w:r>
        <w:t xml:space="preserve"> See clause 8 of this Instruction.</w:t>
      </w:r>
    </w:p>
  </w:footnote>
  <w:footnote w:id="9">
    <w:p w14:paraId="5CC66806" w14:textId="77777777" w:rsidR="002A255D" w:rsidRDefault="002A255D" w:rsidP="007D43C6">
      <w:pPr>
        <w:pStyle w:val="FootnoteText"/>
      </w:pPr>
      <w:r>
        <w:rPr>
          <w:rStyle w:val="FootnoteReference"/>
        </w:rPr>
        <w:footnoteRef/>
      </w:r>
      <w:r>
        <w:t xml:space="preserve"> See clause 9 of this Instruction.</w:t>
      </w:r>
    </w:p>
  </w:footnote>
  <w:footnote w:id="10">
    <w:p w14:paraId="429185EC" w14:textId="77777777" w:rsidR="002A255D" w:rsidRDefault="002A255D" w:rsidP="007D43C6">
      <w:pPr>
        <w:pStyle w:val="FootnoteText"/>
      </w:pPr>
      <w:r>
        <w:rPr>
          <w:rStyle w:val="FootnoteReference"/>
        </w:rPr>
        <w:footnoteRef/>
      </w:r>
      <w:r>
        <w:t xml:space="preserve"> See clause 10 of this Instruction.</w:t>
      </w:r>
    </w:p>
  </w:footnote>
  <w:footnote w:id="11">
    <w:p w14:paraId="63CB7D1C" w14:textId="77777777" w:rsidR="002A255D" w:rsidRDefault="002A255D" w:rsidP="00551D57">
      <w:pPr>
        <w:pStyle w:val="FootnoteText"/>
      </w:pPr>
      <w:r>
        <w:rPr>
          <w:rStyle w:val="FootnoteReference"/>
        </w:rPr>
        <w:footnoteRef/>
      </w:r>
      <w:r>
        <w:t xml:space="preserve"> See clause 11 of this Instruction.</w:t>
      </w:r>
    </w:p>
  </w:footnote>
  <w:footnote w:id="12">
    <w:p w14:paraId="108B74DD" w14:textId="64330C45" w:rsidR="002A255D" w:rsidRDefault="002A255D">
      <w:pPr>
        <w:pStyle w:val="FootnoteText"/>
      </w:pPr>
      <w:r>
        <w:rPr>
          <w:rStyle w:val="FootnoteReference"/>
        </w:rPr>
        <w:footnoteRef/>
      </w:r>
      <w:r>
        <w:t xml:space="preserve"> Fixing charges for goods and services are subject to </w:t>
      </w:r>
      <w:hyperlink r:id="rId6" w:anchor="standing-directions-2018" w:history="1">
        <w:r w:rsidRPr="00DD1BED">
          <w:rPr>
            <w:rStyle w:val="Hyperlink"/>
          </w:rPr>
          <w:t>Direction 3.8</w:t>
        </w:r>
      </w:hyperlink>
      <w:r>
        <w:t xml:space="preserve"> Pricing.</w:t>
      </w:r>
    </w:p>
  </w:footnote>
  <w:footnote w:id="13">
    <w:p w14:paraId="510F0605" w14:textId="04F3DEFF" w:rsidR="002A255D" w:rsidRDefault="002A255D">
      <w:pPr>
        <w:pStyle w:val="FootnoteText"/>
      </w:pPr>
      <w:r>
        <w:rPr>
          <w:rStyle w:val="FootnoteReference"/>
        </w:rPr>
        <w:footnoteRef/>
      </w:r>
      <w:r>
        <w:t xml:space="preserve"> For c</w:t>
      </w:r>
      <w:r w:rsidRPr="00A21F60">
        <w:t>ash flow forecasting re</w:t>
      </w:r>
      <w:r>
        <w:t>porting requirements to DTF by D</w:t>
      </w:r>
      <w:r w:rsidRPr="00A21F60">
        <w:t>epartments</w:t>
      </w:r>
      <w:r>
        <w:t>,</w:t>
      </w:r>
      <w:r w:rsidRPr="00A21F60">
        <w:t xml:space="preserve"> refer to the DTF </w:t>
      </w:r>
      <w:r w:rsidRPr="00A21F60">
        <w:rPr>
          <w:i/>
        </w:rPr>
        <w:t xml:space="preserve">Information Request </w:t>
      </w:r>
      <w:r>
        <w:rPr>
          <w:i/>
        </w:rPr>
        <w:t>C</w:t>
      </w:r>
      <w:r w:rsidRPr="00A21F60">
        <w:rPr>
          <w:i/>
        </w:rPr>
        <w:t>alendar</w:t>
      </w:r>
      <w:r w:rsidRPr="00A21F60">
        <w:t xml:space="preserve"> in accordance with the requirements of </w:t>
      </w:r>
      <w:hyperlink r:id="rId7" w:anchor="standing-directions-2018" w:history="1">
        <w:r w:rsidRPr="00DD1BED">
          <w:rPr>
            <w:rStyle w:val="Hyperlink"/>
          </w:rPr>
          <w:t>Direction 5.3.2</w:t>
        </w:r>
      </w:hyperlink>
      <w:r w:rsidRPr="00A21F60">
        <w:t>.</w:t>
      </w:r>
    </w:p>
  </w:footnote>
  <w:footnote w:id="14">
    <w:p w14:paraId="4866CF73" w14:textId="1A9595D9" w:rsidR="002A255D" w:rsidRDefault="002A255D">
      <w:pPr>
        <w:pStyle w:val="FootnoteText"/>
      </w:pPr>
      <w:r>
        <w:rPr>
          <w:rStyle w:val="FootnoteReference"/>
        </w:rPr>
        <w:footnoteRef/>
      </w:r>
      <w:r>
        <w:t xml:space="preserve"> See also </w:t>
      </w:r>
      <w:hyperlink r:id="rId8" w:anchor="standing-directions-2018" w:history="1">
        <w:r w:rsidRPr="00DD1BED">
          <w:rPr>
            <w:rStyle w:val="Hyperlink"/>
          </w:rPr>
          <w:t>Direction 5.3.2</w:t>
        </w:r>
      </w:hyperlink>
      <w:r>
        <w:t>.</w:t>
      </w:r>
    </w:p>
  </w:footnote>
  <w:footnote w:id="15">
    <w:p w14:paraId="2B313C41" w14:textId="77777777" w:rsidR="002A255D" w:rsidRDefault="002A255D">
      <w:pPr>
        <w:pStyle w:val="FootnoteText"/>
      </w:pPr>
      <w:r>
        <w:rPr>
          <w:rStyle w:val="FootnoteReference"/>
        </w:rPr>
        <w:footnoteRef/>
      </w:r>
      <w:r>
        <w:t xml:space="preserve"> </w:t>
      </w:r>
      <w:r w:rsidRPr="00A21F60">
        <w:t xml:space="preserve">Section 15 of the </w:t>
      </w:r>
      <w:r w:rsidRPr="00714838">
        <w:rPr>
          <w:i/>
        </w:rPr>
        <w:t>Financial Management Act 1994</w:t>
      </w:r>
      <w:r w:rsidRPr="00A21F60">
        <w:t xml:space="preserve"> provides for further requirements relating to Departments.</w:t>
      </w:r>
    </w:p>
  </w:footnote>
  <w:footnote w:id="16">
    <w:p w14:paraId="1AE15C69" w14:textId="77777777" w:rsidR="002A255D" w:rsidRDefault="002A255D">
      <w:pPr>
        <w:pStyle w:val="FootnoteText"/>
      </w:pPr>
      <w:r>
        <w:rPr>
          <w:rStyle w:val="FootnoteReference"/>
        </w:rPr>
        <w:footnoteRef/>
      </w:r>
      <w:r>
        <w:t xml:space="preserve"> For example,</w:t>
      </w:r>
      <w:r w:rsidRPr="00EB1ADE">
        <w:t xml:space="preserve"> lodging the Business Activity Statement early when in a refund situation</w:t>
      </w:r>
      <w:r>
        <w:t>.</w:t>
      </w:r>
    </w:p>
  </w:footnote>
  <w:footnote w:id="17">
    <w:p w14:paraId="52A2F6F8" w14:textId="77777777" w:rsidR="002A255D" w:rsidRDefault="002A255D">
      <w:pPr>
        <w:pStyle w:val="FootnoteText"/>
      </w:pPr>
      <w:r>
        <w:rPr>
          <w:rStyle w:val="FootnoteReference"/>
        </w:rPr>
        <w:footnoteRef/>
      </w:r>
      <w:r>
        <w:t xml:space="preserve"> An exemption is required under SD1.5(b) if the Responsible body wishes to obtain a product or service available under the Banking and Financial Services SPC from a provider which is not designated under the SPC.</w:t>
      </w:r>
    </w:p>
  </w:footnote>
  <w:footnote w:id="18">
    <w:p w14:paraId="50E9653B" w14:textId="77777777" w:rsidR="002A255D" w:rsidRDefault="002A255D" w:rsidP="009F1753">
      <w:pPr>
        <w:pStyle w:val="FootnoteText"/>
      </w:pPr>
      <w:r>
        <w:rPr>
          <w:rStyle w:val="FootnoteReference"/>
        </w:rPr>
        <w:footnoteRef/>
      </w:r>
      <w:r>
        <w:t xml:space="preserve"> </w:t>
      </w:r>
      <w:hyperlink r:id="rId9" w:history="1">
        <w:r>
          <w:rPr>
            <w:rStyle w:val="Hyperlink"/>
          </w:rPr>
          <w:t>vpsc.vic.gov.au/resources/gifts-benefits-and-hospitality-resource-suite</w:t>
        </w:r>
      </w:hyperlink>
    </w:p>
  </w:footnote>
  <w:footnote w:id="19">
    <w:p w14:paraId="24DD59CF" w14:textId="5F9F42D2" w:rsidR="002A255D" w:rsidRPr="00EB2A5B" w:rsidRDefault="002A255D" w:rsidP="00EB2A5B">
      <w:pPr>
        <w:pStyle w:val="FootnoteText"/>
        <w:rPr>
          <w:b/>
        </w:rPr>
      </w:pPr>
      <w:r>
        <w:rPr>
          <w:rStyle w:val="FootnoteReference"/>
        </w:rPr>
        <w:footnoteRef/>
      </w:r>
      <w:r>
        <w:t xml:space="preserve"> </w:t>
      </w:r>
      <w:hyperlink r:id="rId10" w:anchor="standing-directions-2018" w:history="1">
        <w:r w:rsidRPr="00842BF8">
          <w:rPr>
            <w:rStyle w:val="Hyperlink"/>
          </w:rPr>
          <w:t>Direction 1.6</w:t>
        </w:r>
      </w:hyperlink>
      <w:r>
        <w:t xml:space="preserve"> includes a definition of ‘Significant or Systemic’. This defined threshold only impacts on the interpretation of the meaning of ‘significant’ in relation to actual or suspected Fraud, Corruption or Other Loss. </w:t>
      </w:r>
      <w:r w:rsidRPr="00D9594B">
        <w:t>Different thresholds for ‘significant’ apply to purc</w:t>
      </w:r>
      <w:r>
        <w:t>hasing cards</w:t>
      </w:r>
      <w:r w:rsidRPr="00D9594B">
        <w:t xml:space="preserve"> </w:t>
      </w:r>
      <w:r>
        <w:t xml:space="preserve">under </w:t>
      </w:r>
      <w:r w:rsidRPr="00277A25">
        <w:t>Instruction 3.6</w:t>
      </w:r>
      <w:r w:rsidRPr="00D9594B">
        <w:t>.</w:t>
      </w:r>
    </w:p>
  </w:footnote>
  <w:footnote w:id="20">
    <w:p w14:paraId="66D7623C" w14:textId="0E479B61" w:rsidR="008C7E91" w:rsidRPr="008C7E91" w:rsidRDefault="008C7E91">
      <w:pPr>
        <w:pStyle w:val="FootnoteText"/>
        <w:rPr>
          <w:szCs w:val="18"/>
        </w:rPr>
      </w:pPr>
      <w:r>
        <w:rPr>
          <w:rStyle w:val="FootnoteReference"/>
        </w:rPr>
        <w:footnoteRef/>
      </w:r>
      <w:r>
        <w:t xml:space="preserve"> </w:t>
      </w:r>
      <w:r w:rsidR="00725C77">
        <w:t>For the purposes of this Instruction, persons listed in Direction 2.5(d) may be considered to be employees of the relevant Agency.</w:t>
      </w:r>
    </w:p>
  </w:footnote>
  <w:footnote w:id="21">
    <w:p w14:paraId="5ACB17B7" w14:textId="62ACF5E4" w:rsidR="002A255D" w:rsidRDefault="002A255D">
      <w:pPr>
        <w:pStyle w:val="FootnoteText"/>
      </w:pPr>
      <w:r>
        <w:rPr>
          <w:rStyle w:val="FootnoteReference"/>
        </w:rPr>
        <w:footnoteRef/>
      </w:r>
      <w:r>
        <w:t xml:space="preserve"> Note that there is a Banking and Financial Services State Purchase Contract that is mandatory for some Agencies and encouraged for others. See </w:t>
      </w:r>
      <w:hyperlink r:id="rId11" w:history="1">
        <w:r>
          <w:rPr>
            <w:rStyle w:val="Hyperlink"/>
          </w:rPr>
          <w:t>buyingfor.vic.gov.au/banking-and-financial-services-contract</w:t>
        </w:r>
      </w:hyperlink>
      <w:r>
        <w:t xml:space="preserve">. </w:t>
      </w:r>
    </w:p>
  </w:footnote>
  <w:footnote w:id="22">
    <w:p w14:paraId="3C59A631" w14:textId="4E55CDFF" w:rsidR="002A255D" w:rsidRDefault="002A255D">
      <w:pPr>
        <w:pStyle w:val="FootnoteText"/>
      </w:pPr>
      <w:r>
        <w:rPr>
          <w:rStyle w:val="FootnoteReference"/>
        </w:rPr>
        <w:footnoteRef/>
      </w:r>
      <w:r>
        <w:t xml:space="preserve"> For the purposes of this Instruction, persons listed in Direction 2.5(d) may be considered to be employees of the relevant Agency.</w:t>
      </w:r>
    </w:p>
  </w:footnote>
  <w:footnote w:id="23">
    <w:p w14:paraId="5649700E" w14:textId="77777777" w:rsidR="002A255D" w:rsidRDefault="002A255D">
      <w:pPr>
        <w:pStyle w:val="FootnoteText"/>
      </w:pPr>
      <w:r>
        <w:rPr>
          <w:rStyle w:val="FootnoteReference"/>
        </w:rPr>
        <w:footnoteRef/>
      </w:r>
      <w:r>
        <w:t xml:space="preserve"> F</w:t>
      </w:r>
      <w:r w:rsidRPr="006D2117">
        <w:t>or example, accommodation expenses must only be claimed once</w:t>
      </w:r>
      <w:r>
        <w:t>.</w:t>
      </w:r>
    </w:p>
  </w:footnote>
  <w:footnote w:id="24">
    <w:p w14:paraId="5A5CA326" w14:textId="44A0A281" w:rsidR="002A255D" w:rsidRPr="00E70B8F" w:rsidRDefault="002A255D">
      <w:pPr>
        <w:pStyle w:val="FootnoteText"/>
        <w:rPr>
          <w:rStyle w:val="Hyperlink"/>
        </w:rPr>
      </w:pPr>
      <w:r>
        <w:rPr>
          <w:rStyle w:val="FootnoteReference"/>
        </w:rPr>
        <w:footnoteRef/>
      </w:r>
      <w:r>
        <w:t xml:space="preserve"> </w:t>
      </w:r>
      <w:hyperlink r:id="rId12" w:anchor="standing-directions-2018" w:history="1">
        <w:r w:rsidRPr="00842BF8">
          <w:rPr>
            <w:rStyle w:val="Hyperlink"/>
          </w:rPr>
          <w:t>Direction 1.6</w:t>
        </w:r>
      </w:hyperlink>
      <w:r>
        <w:t xml:space="preserve"> includes a definition of ‘Significant or Systemic’. The defined threshold in this Instruction only determines the meaning of ‘Significant’ in Direction 3.5.3 in relation to purchasing </w:t>
      </w:r>
      <w:r w:rsidRPr="001E1EC2">
        <w:t>cards</w:t>
      </w:r>
      <w:r w:rsidRPr="00421836">
        <w:t xml:space="preserve">. </w:t>
      </w:r>
      <w:r>
        <w:t>Subject to Instruction 3.6.7.1, a d</w:t>
      </w:r>
      <w:r w:rsidRPr="001E1EC2">
        <w:t>ifferent</w:t>
      </w:r>
      <w:r w:rsidRPr="00D9594B">
        <w:t xml:space="preserve"> threshold for ‘</w:t>
      </w:r>
      <w:r>
        <w:t>S</w:t>
      </w:r>
      <w:r w:rsidRPr="00D9594B">
        <w:t xml:space="preserve">ignificant’ </w:t>
      </w:r>
      <w:r>
        <w:t xml:space="preserve">may be </w:t>
      </w:r>
      <w:r w:rsidRPr="00D9594B">
        <w:t>appl</w:t>
      </w:r>
      <w:r>
        <w:t xml:space="preserve">ied </w:t>
      </w:r>
      <w:r w:rsidRPr="00D9594B">
        <w:t>to purc</w:t>
      </w:r>
      <w:r>
        <w:t>hasing cards</w:t>
      </w:r>
      <w:r w:rsidRPr="00D9594B">
        <w:t xml:space="preserve"> </w:t>
      </w:r>
      <w:r>
        <w:t>by each Agency</w:t>
      </w:r>
      <w:r w:rsidRPr="00D9594B">
        <w:t xml:space="preserve"> </w:t>
      </w:r>
      <w:r>
        <w:t>for the purposes of</w:t>
      </w:r>
      <w:r w:rsidRPr="00E70B8F">
        <w:rPr>
          <w:color w:val="7F7F7F" w:themeColor="text1" w:themeTint="80"/>
        </w:rPr>
        <w:t xml:space="preserve"> </w:t>
      </w:r>
      <w:hyperlink r:id="rId13" w:anchor="instructions" w:history="1">
        <w:r w:rsidRPr="00A41006">
          <w:rPr>
            <w:rStyle w:val="Hyperlink"/>
          </w:rPr>
          <w:fldChar w:fldCharType="begin"/>
        </w:r>
        <w:r w:rsidRPr="00A41006">
          <w:rPr>
            <w:rStyle w:val="Hyperlink"/>
          </w:rPr>
          <w:instrText xml:space="preserve"> REF Instruction_3_5 \h  \* MERGEFORMAT </w:instrText>
        </w:r>
        <w:r w:rsidRPr="00A41006">
          <w:rPr>
            <w:rStyle w:val="Hyperlink"/>
          </w:rPr>
        </w:r>
        <w:r w:rsidRPr="00A41006">
          <w:rPr>
            <w:rStyle w:val="Hyperlink"/>
          </w:rPr>
          <w:fldChar w:fldCharType="separate"/>
        </w:r>
        <w:r w:rsidR="00A41006" w:rsidRPr="00A41006">
          <w:rPr>
            <w:rStyle w:val="Hyperlink"/>
          </w:rPr>
          <w:t>Instruction 3.5</w:t>
        </w:r>
        <w:r w:rsidRPr="00A41006">
          <w:rPr>
            <w:rStyle w:val="Hyperlink"/>
          </w:rPr>
          <w:fldChar w:fldCharType="end"/>
        </w:r>
      </w:hyperlink>
      <w:r w:rsidRPr="00E70B8F">
        <w:rPr>
          <w:rStyle w:val="Hyperlink"/>
        </w:rPr>
        <w:t>.</w:t>
      </w:r>
    </w:p>
  </w:footnote>
  <w:footnote w:id="25">
    <w:p w14:paraId="2EEBCF62" w14:textId="77777777" w:rsidR="002A255D" w:rsidRDefault="002A255D">
      <w:pPr>
        <w:pStyle w:val="FootnoteText"/>
      </w:pPr>
      <w:r>
        <w:rPr>
          <w:rStyle w:val="FootnoteReference"/>
        </w:rPr>
        <w:footnoteRef/>
      </w:r>
      <w:r>
        <w:t xml:space="preserve"> For example,</w:t>
      </w:r>
      <w:r w:rsidRPr="006D2117">
        <w:t xml:space="preserve"> personal hardship grants in cases of emergencies/disasters</w:t>
      </w:r>
      <w:r>
        <w:t>.</w:t>
      </w:r>
    </w:p>
  </w:footnote>
  <w:footnote w:id="26">
    <w:p w14:paraId="277FAFA1" w14:textId="202A8397" w:rsidR="002A255D" w:rsidRDefault="002A255D">
      <w:pPr>
        <w:pStyle w:val="FootnoteText"/>
      </w:pPr>
      <w:r>
        <w:rPr>
          <w:rStyle w:val="FootnoteReference"/>
        </w:rPr>
        <w:footnoteRef/>
      </w:r>
      <w:r>
        <w:t xml:space="preserve"> </w:t>
      </w:r>
      <w:r w:rsidRPr="000D1063">
        <w:t>AS ISO 22301:2020</w:t>
      </w:r>
      <w:r>
        <w:t xml:space="preserve"> </w:t>
      </w:r>
      <w:r w:rsidRPr="008F3E4B">
        <w:rPr>
          <w:i/>
          <w:iCs/>
        </w:rPr>
        <w:t>Security and resilience - Business continuity management systems - Requirements</w:t>
      </w:r>
    </w:p>
  </w:footnote>
  <w:footnote w:id="27">
    <w:p w14:paraId="688182D6" w14:textId="77777777" w:rsidR="002A255D" w:rsidRDefault="002A255D">
      <w:pPr>
        <w:pStyle w:val="FootnoteText"/>
      </w:pPr>
      <w:r>
        <w:rPr>
          <w:rStyle w:val="FootnoteReference"/>
        </w:rPr>
        <w:footnoteRef/>
      </w:r>
      <w:r>
        <w:t xml:space="preserve"> Revisions to this clause made in December 2019 apply to compliance reports prepared after 30 June 2020. Compliance reports prepared before 30 June 2020 shall use the attestation wording set out in the version of these Instructions which came into operation on 7 December 2018.</w:t>
      </w:r>
    </w:p>
  </w:footnote>
  <w:footnote w:id="28">
    <w:p w14:paraId="4B85334B" w14:textId="60C177B8" w:rsidR="002A255D" w:rsidRDefault="002A255D">
      <w:pPr>
        <w:pStyle w:val="FootnoteText"/>
      </w:pPr>
      <w:r>
        <w:rPr>
          <w:rStyle w:val="FootnoteReference"/>
        </w:rPr>
        <w:footnoteRef/>
      </w:r>
      <w:r>
        <w:t xml:space="preserve"> This includes all Material Compliance Deficiencies identified, including through the annual assessment under </w:t>
      </w:r>
      <w:hyperlink r:id="rId14" w:anchor="standing-directions-2018" w:history="1">
        <w:r w:rsidRPr="00C3519F">
          <w:rPr>
            <w:rStyle w:val="Hyperlink"/>
          </w:rPr>
          <w:t>Direction 5.1.2</w:t>
        </w:r>
      </w:hyperlink>
      <w:r>
        <w:t xml:space="preserve"> and the detailed internal audit review under </w:t>
      </w:r>
      <w:hyperlink r:id="rId15" w:anchor="standing-directions-2018" w:history="1">
        <w:r w:rsidRPr="00C3519F">
          <w:rPr>
            <w:rStyle w:val="Hyperlink"/>
          </w:rPr>
          <w:t>Direction 5.1.3</w:t>
        </w:r>
      </w:hyperlink>
      <w:r w:rsidRPr="00C3519F">
        <w:t>.</w:t>
      </w:r>
    </w:p>
  </w:footnote>
  <w:footnote w:id="29">
    <w:p w14:paraId="500D9F22" w14:textId="018D4B29" w:rsidR="002A255D" w:rsidRDefault="002A255D" w:rsidP="00521287">
      <w:pPr>
        <w:pStyle w:val="FootnoteText"/>
      </w:pPr>
      <w:r>
        <w:rPr>
          <w:rStyle w:val="FootnoteReference"/>
        </w:rPr>
        <w:footnoteRef/>
      </w:r>
      <w:r>
        <w:t xml:space="preserve"> This includes all Material Compliance Deficiencies identified, including through the annual assessment under </w:t>
      </w:r>
      <w:hyperlink r:id="rId16" w:anchor="standing-directions-2018" w:history="1">
        <w:r w:rsidRPr="00C3519F">
          <w:rPr>
            <w:rStyle w:val="Hyperlink"/>
          </w:rPr>
          <w:t>Direction 5.1.2</w:t>
        </w:r>
      </w:hyperlink>
      <w:r>
        <w:t xml:space="preserve"> and the detailed internal audit review under </w:t>
      </w:r>
      <w:hyperlink r:id="rId17" w:anchor="standing-directions-2018" w:history="1">
        <w:r w:rsidRPr="00C3519F">
          <w:rPr>
            <w:rStyle w:val="Hyperlink"/>
          </w:rPr>
          <w:t>Direction 5.1.3</w:t>
        </w:r>
      </w:hyperlink>
      <w:r w:rsidRPr="00C3519F">
        <w:t>.</w:t>
      </w:r>
    </w:p>
  </w:footnote>
  <w:footnote w:id="30">
    <w:p w14:paraId="359EC1DB" w14:textId="77777777" w:rsidR="002A255D" w:rsidRDefault="002A255D" w:rsidP="003A3041">
      <w:pPr>
        <w:pStyle w:val="FootnoteText"/>
      </w:pPr>
      <w:r>
        <w:rPr>
          <w:rStyle w:val="FootnoteReference"/>
        </w:rPr>
        <w:footnoteRef/>
      </w:r>
      <w:r>
        <w:t xml:space="preserve"> The Responsible Body may at its own discretion, without altering the wording of the applicable attestation, include in the Annual Report additional information in respect of any non-material compliance deficiency and remedial action.</w:t>
      </w:r>
    </w:p>
  </w:footnote>
  <w:footnote w:id="31">
    <w:p w14:paraId="267FB49E" w14:textId="77777777" w:rsidR="002A255D" w:rsidRDefault="002A255D">
      <w:pPr>
        <w:pStyle w:val="FootnoteText"/>
      </w:pPr>
      <w:r>
        <w:rPr>
          <w:rStyle w:val="FootnoteReference"/>
        </w:rPr>
        <w:footnoteRef/>
      </w:r>
      <w:r>
        <w:t xml:space="preserve"> The words ‘on behalf of the Responsible Body’ should be removed if the Responsible Body is the Accountable Officer.</w:t>
      </w:r>
    </w:p>
  </w:footnote>
  <w:footnote w:id="32">
    <w:p w14:paraId="0C40E4DF" w14:textId="77777777" w:rsidR="002A255D" w:rsidRDefault="002A255D" w:rsidP="00DF3A90">
      <w:pPr>
        <w:pStyle w:val="FootnoteText"/>
      </w:pPr>
      <w:r>
        <w:rPr>
          <w:rStyle w:val="FootnoteReference"/>
        </w:rPr>
        <w:footnoteRef/>
      </w:r>
      <w:r>
        <w:t xml:space="preserve"> The words ‘on behalf of the Responsible Body’ should be removed if the Responsible Body is the Accountable Officer.</w:t>
      </w:r>
    </w:p>
  </w:footnote>
  <w:footnote w:id="33">
    <w:p w14:paraId="6B8C714B" w14:textId="77777777" w:rsidR="00E6285B" w:rsidRDefault="00E6285B" w:rsidP="00E6285B">
      <w:pPr>
        <w:pStyle w:val="FootnoteText"/>
      </w:pPr>
      <w:r>
        <w:rPr>
          <w:rStyle w:val="FootnoteReference"/>
        </w:rPr>
        <w:footnoteRef/>
      </w:r>
      <w:r>
        <w:t xml:space="preserve"> Direction 4.2.1.2 requires </w:t>
      </w:r>
      <w:r w:rsidRPr="002C5DF6">
        <w:t>the Accountable Officer of each department and specified entity</w:t>
      </w:r>
      <w:r>
        <w:t xml:space="preserve"> to</w:t>
      </w:r>
      <w:r w:rsidRPr="002C5DF6">
        <w:t xml:space="preserve"> ensure that staff or contractors engaged in the procurement of goods and services comply with supply policies issued by the Victorian Government Purchasing Board (VGPB) in accordance with section 54L of the FMA</w:t>
      </w:r>
      <w:r w:rsidRPr="0060737F">
        <w:t>.</w:t>
      </w:r>
    </w:p>
  </w:footnote>
  <w:footnote w:id="34">
    <w:p w14:paraId="05E32A75" w14:textId="05E21AEF" w:rsidR="00E6285B" w:rsidRDefault="00E6285B" w:rsidP="00E6285B">
      <w:pPr>
        <w:pStyle w:val="FootnoteText"/>
      </w:pPr>
      <w:r>
        <w:rPr>
          <w:rStyle w:val="FootnoteReference"/>
        </w:rPr>
        <w:footnoteRef/>
      </w:r>
      <w:r>
        <w:t xml:space="preserve"> </w:t>
      </w:r>
      <w:hyperlink r:id="rId18" w:anchor="standing-directions-2018" w:history="1">
        <w:r w:rsidRPr="0060737F">
          <w:rPr>
            <w:rStyle w:val="Hyperlink"/>
          </w:rPr>
          <w:t>Direction 5.1.4(b)</w:t>
        </w:r>
      </w:hyperlink>
      <w:r w:rsidRPr="0060737F">
        <w:t xml:space="preserve"> provides that the compliance attestation must relate to compliance for the entire period of the relevant financial year. However, this Instruction varies that requirement for </w:t>
      </w:r>
      <w:r w:rsidRPr="00C233F8">
        <w:t>Direction 4.2</w:t>
      </w:r>
      <w:r>
        <w:t>.1.2</w:t>
      </w:r>
      <w:r w:rsidRPr="0060737F">
        <w:t>, in the 20</w:t>
      </w:r>
      <w:r>
        <w:t>21-22</w:t>
      </w:r>
      <w:r w:rsidRPr="0060737F">
        <w:t xml:space="preserve"> Annual Report</w:t>
      </w:r>
      <w:r>
        <w:t xml:space="preserve"> only</w:t>
      </w:r>
      <w:r w:rsidRPr="0060737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86D35" w14:textId="4ED73781" w:rsidR="002A255D" w:rsidRPr="008A4A8D" w:rsidRDefault="002A255D" w:rsidP="000A6A0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57F0A" w14:textId="77777777" w:rsidR="002A255D" w:rsidRDefault="002A2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A02BC" w14:textId="2A4C2462" w:rsidR="002A255D" w:rsidRPr="008A4A8D" w:rsidRDefault="002A255D" w:rsidP="008A4A8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B7C5A" w14:textId="28F3C152" w:rsidR="002A255D" w:rsidRDefault="002A255D">
    <w:pPr>
      <w:pStyle w:val="Header"/>
    </w:pPr>
    <w:r w:rsidRPr="00A17CA4">
      <w:rPr>
        <w:noProof/>
        <w:color w:val="007B4B"/>
        <w:sz w:val="40"/>
      </w:rPr>
      <w:drawing>
        <wp:anchor distT="0" distB="0" distL="114300" distR="114300" simplePos="0" relativeHeight="251652096" behindDoc="0" locked="0" layoutInCell="1" allowOverlap="1" wp14:anchorId="1597F9F4" wp14:editId="025CBC6B">
          <wp:simplePos x="0" y="0"/>
          <wp:positionH relativeFrom="column">
            <wp:posOffset>-655320</wp:posOffset>
          </wp:positionH>
          <wp:positionV relativeFrom="page">
            <wp:posOffset>304</wp:posOffset>
          </wp:positionV>
          <wp:extent cx="7607300" cy="7404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t="28666" b="28000"/>
                  <a:stretch/>
                </pic:blipFill>
                <pic:spPr bwMode="auto">
                  <a:xfrm>
                    <a:off x="0" y="0"/>
                    <a:ext cx="7607300" cy="740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4D41D" w14:textId="39987600" w:rsidR="002A255D" w:rsidRPr="008A4A8D" w:rsidRDefault="002A255D" w:rsidP="008A4A8D">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48B9A" w14:textId="0FE404CA" w:rsidR="002A255D" w:rsidRDefault="002A255D">
    <w:pPr>
      <w:pStyle w:val="Header"/>
    </w:pPr>
    <w:r w:rsidRPr="00A17CA4">
      <w:rPr>
        <w:noProof/>
        <w:color w:val="007B4B"/>
        <w:sz w:val="40"/>
      </w:rPr>
      <w:drawing>
        <wp:anchor distT="0" distB="0" distL="114300" distR="114300" simplePos="0" relativeHeight="251654144" behindDoc="0" locked="0" layoutInCell="1" allowOverlap="1" wp14:anchorId="55692BA0" wp14:editId="3EBB7EBA">
          <wp:simplePos x="0" y="0"/>
          <wp:positionH relativeFrom="column">
            <wp:posOffset>-655320</wp:posOffset>
          </wp:positionH>
          <wp:positionV relativeFrom="page">
            <wp:posOffset>304</wp:posOffset>
          </wp:positionV>
          <wp:extent cx="7607300" cy="7404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t="28666" b="28000"/>
                  <a:stretch/>
                </pic:blipFill>
                <pic:spPr bwMode="auto">
                  <a:xfrm>
                    <a:off x="0" y="0"/>
                    <a:ext cx="7607300" cy="740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87301"/>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 w15:restartNumberingAfterBreak="0">
    <w:nsid w:val="03A33BE7"/>
    <w:multiLevelType w:val="hybridMultilevel"/>
    <w:tmpl w:val="BAFE33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AF662F"/>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3" w15:restartNumberingAfterBreak="0">
    <w:nsid w:val="04B074AD"/>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4" w15:restartNumberingAfterBreak="0">
    <w:nsid w:val="06EB1042"/>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5" w15:restartNumberingAfterBreak="0">
    <w:nsid w:val="0A132335"/>
    <w:multiLevelType w:val="hybridMultilevel"/>
    <w:tmpl w:val="1A8245C0"/>
    <w:lvl w:ilvl="0" w:tplc="6E589090">
      <w:start w:val="1"/>
      <w:numFmt w:val="lowerLetter"/>
      <w:pStyle w:val="Tablenum"/>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E2211B"/>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7" w15:restartNumberingAfterBreak="0">
    <w:nsid w:val="0F026899"/>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8" w15:restartNumberingAfterBreak="0">
    <w:nsid w:val="0FA864BB"/>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9" w15:restartNumberingAfterBreak="0">
    <w:nsid w:val="11B20F2D"/>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0" w15:restartNumberingAfterBreak="0">
    <w:nsid w:val="122B284C"/>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1" w15:restartNumberingAfterBreak="0">
    <w:nsid w:val="12C71291"/>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2" w15:restartNumberingAfterBreak="0">
    <w:nsid w:val="161C752B"/>
    <w:multiLevelType w:val="multilevel"/>
    <w:tmpl w:val="92962E16"/>
    <w:lvl w:ilvl="0">
      <w:start w:val="1"/>
      <w:numFmt w:val="decimal"/>
      <w:pStyle w:val="Heading1"/>
      <w:lvlText w:val="%1."/>
      <w:lvlJc w:val="left"/>
      <w:pPr>
        <w:tabs>
          <w:tab w:val="num" w:pos="504"/>
        </w:tabs>
        <w:ind w:left="504" w:hanging="504"/>
      </w:pPr>
      <w:rPr>
        <w:rFonts w:asciiTheme="minorHAnsi" w:hAnsiTheme="minorHAnsi" w:hint="default"/>
        <w:b w:val="0"/>
        <w:i w:val="0"/>
        <w:vanish w:val="0"/>
        <w:color w:val="404040"/>
        <w:sz w:val="28"/>
        <w:szCs w:val="28"/>
      </w:rPr>
    </w:lvl>
    <w:lvl w:ilvl="1">
      <w:start w:val="1"/>
      <w:numFmt w:val="decimal"/>
      <w:pStyle w:val="Heading2"/>
      <w:lvlText w:val="%1.%2"/>
      <w:lvlJc w:val="left"/>
      <w:pPr>
        <w:tabs>
          <w:tab w:val="num" w:pos="504"/>
        </w:tabs>
        <w:ind w:left="504" w:hanging="504"/>
      </w:pPr>
      <w:rPr>
        <w:rFonts w:ascii="Calibri" w:hAnsi="Calibri" w:hint="default"/>
        <w:b w:val="0"/>
        <w:i w:val="0"/>
        <w:vanish w:val="0"/>
        <w:color w:val="4D4D4D"/>
        <w:sz w:val="20"/>
        <w:szCs w:val="20"/>
      </w:rPr>
    </w:lvl>
    <w:lvl w:ilvl="2">
      <w:start w:val="1"/>
      <w:numFmt w:val="none"/>
      <w:pStyle w:val="Heading3"/>
      <w:suff w:val="nothing"/>
      <w:lvlText w:val=""/>
      <w:lvlJc w:val="left"/>
      <w:pPr>
        <w:ind w:left="0" w:firstLine="0"/>
      </w:pPr>
      <w:rPr>
        <w:rFonts w:ascii="Calibri" w:hAnsi="Calibri" w:hint="default"/>
        <w:b/>
        <w:i w:val="0"/>
        <w:vanish w:val="0"/>
        <w:color w:val="4D4D4D"/>
        <w:sz w:val="26"/>
      </w:rPr>
    </w:lvl>
    <w:lvl w:ilvl="3">
      <w:start w:val="1"/>
      <w:numFmt w:val="lowerLetter"/>
      <w:lvlRestart w:val="2"/>
      <w:pStyle w:val="Num1"/>
      <w:lvlText w:val="(%4)"/>
      <w:lvlJc w:val="left"/>
      <w:pPr>
        <w:tabs>
          <w:tab w:val="num" w:pos="1008"/>
        </w:tabs>
        <w:ind w:left="1008" w:hanging="504"/>
      </w:pPr>
      <w:rPr>
        <w:rFonts w:ascii="Calibri" w:hAnsi="Calibri" w:hint="default"/>
        <w:b w:val="0"/>
        <w:i w:val="0"/>
        <w:vanish w:val="0"/>
        <w:color w:val="4D4D4D"/>
        <w:sz w:val="20"/>
        <w:szCs w:val="20"/>
      </w:rPr>
    </w:lvl>
    <w:lvl w:ilvl="4">
      <w:start w:val="1"/>
      <w:numFmt w:val="lowerRoman"/>
      <w:pStyle w:val="Num2"/>
      <w:lvlText w:val="(%5)"/>
      <w:lvlJc w:val="left"/>
      <w:pPr>
        <w:tabs>
          <w:tab w:val="num" w:pos="1440"/>
        </w:tabs>
        <w:ind w:left="1440" w:hanging="432"/>
      </w:pPr>
      <w:rPr>
        <w:rFonts w:ascii="Calibri" w:hAnsi="Calibri" w:hint="default"/>
        <w:b w:val="0"/>
        <w:i w:val="0"/>
        <w:vanish w:val="0"/>
        <w:color w:val="404040"/>
        <w:sz w:val="20"/>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3" w15:restartNumberingAfterBreak="0">
    <w:nsid w:val="1BB354FE"/>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4" w15:restartNumberingAfterBreak="0">
    <w:nsid w:val="1BC17AF4"/>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5" w15:restartNumberingAfterBreak="0">
    <w:nsid w:val="1C510E5C"/>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6" w15:restartNumberingAfterBreak="0">
    <w:nsid w:val="1F4965CC"/>
    <w:multiLevelType w:val="multilevel"/>
    <w:tmpl w:val="CACA5F26"/>
    <w:lvl w:ilvl="0">
      <w:start w:val="1"/>
      <w:numFmt w:val="lowerLetter"/>
      <w:lvlText w:val="(%1)"/>
      <w:lvlJc w:val="left"/>
      <w:pPr>
        <w:tabs>
          <w:tab w:val="num" w:pos="787"/>
        </w:tabs>
        <w:ind w:left="787" w:hanging="283"/>
      </w:pPr>
      <w:rPr>
        <w:rFonts w:hint="default"/>
        <w:b w:val="0"/>
        <w:i w:val="0"/>
        <w:vanish w:val="0"/>
        <w:color w:val="auto"/>
        <w:sz w:val="20"/>
        <w:szCs w:val="20"/>
      </w:rPr>
    </w:lvl>
    <w:lvl w:ilvl="1">
      <w:start w:val="1"/>
      <w:numFmt w:val="bullet"/>
      <w:lvlText w:val="–"/>
      <w:lvlJc w:val="left"/>
      <w:pPr>
        <w:tabs>
          <w:tab w:val="num" w:pos="1071"/>
        </w:tabs>
        <w:ind w:left="1071" w:hanging="284"/>
      </w:pPr>
      <w:rPr>
        <w:rFonts w:ascii="Calibri" w:hAnsi="Calibri" w:hint="default"/>
        <w:b w:val="0"/>
        <w:i w:val="0"/>
        <w:vanish w:val="0"/>
        <w:color w:val="auto"/>
        <w:sz w:val="22"/>
      </w:rPr>
    </w:lvl>
    <w:lvl w:ilvl="2">
      <w:start w:val="1"/>
      <w:numFmt w:val="bullet"/>
      <w:lvlText w:val=""/>
      <w:lvlJc w:val="left"/>
      <w:pPr>
        <w:tabs>
          <w:tab w:val="num" w:pos="1354"/>
        </w:tabs>
        <w:ind w:left="1354" w:hanging="283"/>
      </w:pPr>
      <w:rPr>
        <w:rFonts w:ascii="Symbol" w:hAnsi="Symbol" w:hint="default"/>
        <w:b w:val="0"/>
        <w:i w:val="0"/>
        <w:vanish w:val="0"/>
        <w:color w:val="auto"/>
        <w:sz w:val="20"/>
        <w:szCs w:val="20"/>
      </w:rPr>
    </w:lvl>
    <w:lvl w:ilvl="3">
      <w:start w:val="1"/>
      <w:numFmt w:val="bullet"/>
      <w:lvlText w:val=""/>
      <w:lvlJc w:val="left"/>
      <w:pPr>
        <w:tabs>
          <w:tab w:val="num" w:pos="1638"/>
        </w:tabs>
        <w:ind w:left="1638" w:hanging="284"/>
      </w:pPr>
      <w:rPr>
        <w:rFonts w:ascii="Symbol" w:hAnsi="Symbol" w:hint="default"/>
        <w:b w:val="0"/>
        <w:i w:val="0"/>
        <w:vanish w:val="0"/>
        <w:color w:val="auto"/>
        <w:sz w:val="22"/>
      </w:rPr>
    </w:lvl>
    <w:lvl w:ilvl="4">
      <w:start w:val="1"/>
      <w:numFmt w:val="bullet"/>
      <w:lvlText w:val=""/>
      <w:lvlJc w:val="left"/>
      <w:pPr>
        <w:tabs>
          <w:tab w:val="num" w:pos="1921"/>
        </w:tabs>
        <w:ind w:left="1921" w:hanging="283"/>
      </w:pPr>
      <w:rPr>
        <w:rFonts w:ascii="Symbol" w:hAnsi="Symbol" w:hint="default"/>
        <w:b w:val="0"/>
        <w:i w:val="0"/>
        <w:vanish w:val="0"/>
        <w:color w:val="auto"/>
        <w:sz w:val="22"/>
      </w:rPr>
    </w:lvl>
    <w:lvl w:ilvl="5">
      <w:start w:val="1"/>
      <w:numFmt w:val="bullet"/>
      <w:lvlText w:val=""/>
      <w:lvlJc w:val="left"/>
      <w:pPr>
        <w:tabs>
          <w:tab w:val="num" w:pos="2205"/>
        </w:tabs>
        <w:ind w:left="2205" w:hanging="284"/>
      </w:pPr>
      <w:rPr>
        <w:rFonts w:ascii="Symbol" w:hAnsi="Symbol" w:hint="default"/>
        <w:b w:val="0"/>
        <w:i w:val="0"/>
        <w:vanish w:val="0"/>
        <w:color w:val="auto"/>
        <w:sz w:val="22"/>
      </w:rPr>
    </w:lvl>
    <w:lvl w:ilvl="6">
      <w:start w:val="1"/>
      <w:numFmt w:val="bullet"/>
      <w:lvlText w:val=""/>
      <w:lvlJc w:val="left"/>
      <w:pPr>
        <w:tabs>
          <w:tab w:val="num" w:pos="2488"/>
        </w:tabs>
        <w:ind w:left="2488" w:hanging="283"/>
      </w:pPr>
      <w:rPr>
        <w:rFonts w:ascii="Symbol" w:hAnsi="Symbol" w:hint="default"/>
        <w:b w:val="0"/>
        <w:i w:val="0"/>
        <w:vanish w:val="0"/>
        <w:color w:val="auto"/>
        <w:sz w:val="22"/>
      </w:rPr>
    </w:lvl>
    <w:lvl w:ilvl="7">
      <w:start w:val="1"/>
      <w:numFmt w:val="bullet"/>
      <w:lvlText w:val=""/>
      <w:lvlJc w:val="left"/>
      <w:pPr>
        <w:tabs>
          <w:tab w:val="num" w:pos="2772"/>
        </w:tabs>
        <w:ind w:left="2772" w:hanging="284"/>
      </w:pPr>
      <w:rPr>
        <w:rFonts w:ascii="Symbol" w:hAnsi="Symbol" w:hint="default"/>
        <w:b w:val="0"/>
        <w:i w:val="0"/>
        <w:vanish w:val="0"/>
        <w:color w:val="auto"/>
        <w:sz w:val="22"/>
      </w:rPr>
    </w:lvl>
    <w:lvl w:ilvl="8">
      <w:start w:val="1"/>
      <w:numFmt w:val="bullet"/>
      <w:lvlText w:val=""/>
      <w:lvlJc w:val="left"/>
      <w:pPr>
        <w:tabs>
          <w:tab w:val="num" w:pos="3055"/>
        </w:tabs>
        <w:ind w:left="3055" w:hanging="283"/>
      </w:pPr>
      <w:rPr>
        <w:rFonts w:ascii="Symbol" w:hAnsi="Symbol" w:hint="default"/>
        <w:b w:val="0"/>
        <w:i w:val="0"/>
        <w:vanish w:val="0"/>
        <w:color w:val="auto"/>
        <w:sz w:val="22"/>
      </w:rPr>
    </w:lvl>
  </w:abstractNum>
  <w:abstractNum w:abstractNumId="17" w15:restartNumberingAfterBreak="0">
    <w:nsid w:val="1FCB7787"/>
    <w:multiLevelType w:val="multilevel"/>
    <w:tmpl w:val="098A57BC"/>
    <w:lvl w:ilvl="0">
      <w:start w:val="1"/>
      <w:numFmt w:val="decimal"/>
      <w:lvlText w:val="%1."/>
      <w:lvlJc w:val="left"/>
      <w:pPr>
        <w:tabs>
          <w:tab w:val="num" w:pos="1077"/>
        </w:tabs>
        <w:ind w:left="1077" w:hanging="283"/>
      </w:pPr>
      <w:rPr>
        <w:rFonts w:ascii="Calibri" w:hAnsi="Calibri" w:hint="default"/>
        <w:b w:val="0"/>
        <w:i w:val="0"/>
        <w:sz w:val="22"/>
      </w:rPr>
    </w:lvl>
    <w:lvl w:ilvl="1">
      <w:start w:val="1"/>
      <w:numFmt w:val="lowerLetter"/>
      <w:lvlText w:val="%2)"/>
      <w:lvlJc w:val="left"/>
      <w:pPr>
        <w:tabs>
          <w:tab w:val="num" w:pos="1361"/>
        </w:tabs>
        <w:ind w:left="1361" w:hanging="284"/>
      </w:pPr>
      <w:rPr>
        <w:rFonts w:ascii="Calibri" w:hAnsi="Calibri" w:hint="default"/>
        <w:b w:val="0"/>
        <w:i w:val="0"/>
        <w:sz w:val="22"/>
      </w:rPr>
    </w:lvl>
    <w:lvl w:ilvl="2">
      <w:start w:val="1"/>
      <w:numFmt w:val="lowerRoman"/>
      <w:lvlText w:val="%3."/>
      <w:lvlJc w:val="left"/>
      <w:pPr>
        <w:tabs>
          <w:tab w:val="num" w:pos="1080"/>
        </w:tabs>
        <w:ind w:left="1368" w:hanging="288"/>
      </w:pPr>
      <w:rPr>
        <w:rFonts w:ascii="Calibri" w:hAnsi="Calibri" w:hint="default"/>
        <w:b w:val="0"/>
        <w:i w:val="0"/>
        <w:sz w:val="22"/>
      </w:rPr>
    </w:lvl>
    <w:lvl w:ilvl="3">
      <w:start w:val="1"/>
      <w:numFmt w:val="decimal"/>
      <w:lvlText w:val="–"/>
      <w:lvlJc w:val="left"/>
      <w:pPr>
        <w:tabs>
          <w:tab w:val="num" w:pos="1928"/>
        </w:tabs>
        <w:ind w:left="1928" w:hanging="284"/>
      </w:pPr>
      <w:rPr>
        <w:rFonts w:ascii="Calibri" w:hAnsi="Calibri" w:hint="default"/>
        <w:b w:val="0"/>
        <w:i w:val="0"/>
        <w:sz w:val="22"/>
      </w:rPr>
    </w:lvl>
    <w:lvl w:ilvl="4">
      <w:start w:val="1"/>
      <w:numFmt w:val="decimal"/>
      <w:lvlText w:val="–"/>
      <w:lvlJc w:val="left"/>
      <w:pPr>
        <w:tabs>
          <w:tab w:val="num" w:pos="2211"/>
        </w:tabs>
        <w:ind w:left="2211" w:hanging="283"/>
      </w:pPr>
      <w:rPr>
        <w:rFonts w:ascii="Calibri" w:hAnsi="Calibri" w:hint="default"/>
        <w:b w:val="0"/>
        <w:i w:val="0"/>
        <w:sz w:val="22"/>
      </w:rPr>
    </w:lvl>
    <w:lvl w:ilvl="5">
      <w:start w:val="1"/>
      <w:numFmt w:val="decimal"/>
      <w:lvlText w:val="–"/>
      <w:lvlJc w:val="left"/>
      <w:pPr>
        <w:tabs>
          <w:tab w:val="num" w:pos="2495"/>
        </w:tabs>
        <w:ind w:left="2495" w:hanging="284"/>
      </w:pPr>
      <w:rPr>
        <w:rFonts w:ascii="Calibri" w:hAnsi="Calibri" w:hint="default"/>
        <w:b w:val="0"/>
        <w:i w:val="0"/>
        <w:sz w:val="22"/>
      </w:rPr>
    </w:lvl>
    <w:lvl w:ilvl="6">
      <w:start w:val="1"/>
      <w:numFmt w:val="decimal"/>
      <w:lvlText w:val="–"/>
      <w:lvlJc w:val="left"/>
      <w:pPr>
        <w:tabs>
          <w:tab w:val="num" w:pos="2778"/>
        </w:tabs>
        <w:ind w:left="2778" w:hanging="283"/>
      </w:pPr>
      <w:rPr>
        <w:rFonts w:ascii="Calibri" w:hAnsi="Calibri" w:hint="default"/>
        <w:b w:val="0"/>
        <w:i w:val="0"/>
        <w:sz w:val="22"/>
      </w:rPr>
    </w:lvl>
    <w:lvl w:ilvl="7">
      <w:start w:val="1"/>
      <w:numFmt w:val="decimal"/>
      <w:lvlText w:val="–"/>
      <w:lvlJc w:val="left"/>
      <w:pPr>
        <w:tabs>
          <w:tab w:val="num" w:pos="3062"/>
        </w:tabs>
        <w:ind w:left="3062" w:hanging="284"/>
      </w:pPr>
      <w:rPr>
        <w:rFonts w:ascii="Calibri" w:hAnsi="Calibri" w:hint="default"/>
        <w:b w:val="0"/>
        <w:i w:val="0"/>
        <w:sz w:val="22"/>
      </w:rPr>
    </w:lvl>
    <w:lvl w:ilvl="8">
      <w:start w:val="1"/>
      <w:numFmt w:val="decimal"/>
      <w:lvlText w:val="–"/>
      <w:lvlJc w:val="left"/>
      <w:pPr>
        <w:tabs>
          <w:tab w:val="num" w:pos="3345"/>
        </w:tabs>
        <w:ind w:left="3345" w:hanging="283"/>
      </w:pPr>
      <w:rPr>
        <w:rFonts w:ascii="Calibri" w:hAnsi="Calibri" w:hint="default"/>
        <w:b w:val="0"/>
        <w:i w:val="0"/>
        <w:sz w:val="22"/>
      </w:rPr>
    </w:lvl>
  </w:abstractNum>
  <w:abstractNum w:abstractNumId="18" w15:restartNumberingAfterBreak="0">
    <w:nsid w:val="207A2C05"/>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9" w15:restartNumberingAfterBreak="0">
    <w:nsid w:val="22FE181C"/>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20" w15:restartNumberingAfterBreak="0">
    <w:nsid w:val="24394817"/>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21" w15:restartNumberingAfterBreak="0">
    <w:nsid w:val="24687143"/>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22" w15:restartNumberingAfterBreak="0">
    <w:nsid w:val="28865F30"/>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23" w15:restartNumberingAfterBreak="0">
    <w:nsid w:val="370625D7"/>
    <w:multiLevelType w:val="multilevel"/>
    <w:tmpl w:val="CACA5F26"/>
    <w:lvl w:ilvl="0">
      <w:start w:val="1"/>
      <w:numFmt w:val="lowerLetter"/>
      <w:lvlText w:val="(%1)"/>
      <w:lvlJc w:val="left"/>
      <w:pPr>
        <w:tabs>
          <w:tab w:val="num" w:pos="787"/>
        </w:tabs>
        <w:ind w:left="787" w:hanging="283"/>
      </w:pPr>
      <w:rPr>
        <w:rFonts w:hint="default"/>
        <w:b w:val="0"/>
        <w:i w:val="0"/>
        <w:vanish w:val="0"/>
        <w:color w:val="auto"/>
        <w:sz w:val="20"/>
        <w:szCs w:val="20"/>
      </w:rPr>
    </w:lvl>
    <w:lvl w:ilvl="1">
      <w:start w:val="1"/>
      <w:numFmt w:val="bullet"/>
      <w:lvlText w:val="–"/>
      <w:lvlJc w:val="left"/>
      <w:pPr>
        <w:tabs>
          <w:tab w:val="num" w:pos="1071"/>
        </w:tabs>
        <w:ind w:left="1071" w:hanging="284"/>
      </w:pPr>
      <w:rPr>
        <w:rFonts w:ascii="Calibri" w:hAnsi="Calibri" w:hint="default"/>
        <w:b w:val="0"/>
        <w:i w:val="0"/>
        <w:vanish w:val="0"/>
        <w:color w:val="auto"/>
        <w:sz w:val="22"/>
      </w:rPr>
    </w:lvl>
    <w:lvl w:ilvl="2">
      <w:start w:val="1"/>
      <w:numFmt w:val="bullet"/>
      <w:lvlText w:val=""/>
      <w:lvlJc w:val="left"/>
      <w:pPr>
        <w:tabs>
          <w:tab w:val="num" w:pos="1354"/>
        </w:tabs>
        <w:ind w:left="1354" w:hanging="283"/>
      </w:pPr>
      <w:rPr>
        <w:rFonts w:ascii="Symbol" w:hAnsi="Symbol" w:hint="default"/>
        <w:b w:val="0"/>
        <w:i w:val="0"/>
        <w:vanish w:val="0"/>
        <w:color w:val="auto"/>
        <w:sz w:val="20"/>
        <w:szCs w:val="20"/>
      </w:rPr>
    </w:lvl>
    <w:lvl w:ilvl="3">
      <w:start w:val="1"/>
      <w:numFmt w:val="bullet"/>
      <w:lvlText w:val=""/>
      <w:lvlJc w:val="left"/>
      <w:pPr>
        <w:tabs>
          <w:tab w:val="num" w:pos="1638"/>
        </w:tabs>
        <w:ind w:left="1638" w:hanging="284"/>
      </w:pPr>
      <w:rPr>
        <w:rFonts w:ascii="Symbol" w:hAnsi="Symbol" w:hint="default"/>
        <w:b w:val="0"/>
        <w:i w:val="0"/>
        <w:vanish w:val="0"/>
        <w:color w:val="auto"/>
        <w:sz w:val="22"/>
      </w:rPr>
    </w:lvl>
    <w:lvl w:ilvl="4">
      <w:start w:val="1"/>
      <w:numFmt w:val="bullet"/>
      <w:lvlText w:val=""/>
      <w:lvlJc w:val="left"/>
      <w:pPr>
        <w:tabs>
          <w:tab w:val="num" w:pos="1921"/>
        </w:tabs>
        <w:ind w:left="1921" w:hanging="283"/>
      </w:pPr>
      <w:rPr>
        <w:rFonts w:ascii="Symbol" w:hAnsi="Symbol" w:hint="default"/>
        <w:b w:val="0"/>
        <w:i w:val="0"/>
        <w:vanish w:val="0"/>
        <w:color w:val="auto"/>
        <w:sz w:val="22"/>
      </w:rPr>
    </w:lvl>
    <w:lvl w:ilvl="5">
      <w:start w:val="1"/>
      <w:numFmt w:val="bullet"/>
      <w:lvlText w:val=""/>
      <w:lvlJc w:val="left"/>
      <w:pPr>
        <w:tabs>
          <w:tab w:val="num" w:pos="2205"/>
        </w:tabs>
        <w:ind w:left="2205" w:hanging="284"/>
      </w:pPr>
      <w:rPr>
        <w:rFonts w:ascii="Symbol" w:hAnsi="Symbol" w:hint="default"/>
        <w:b w:val="0"/>
        <w:i w:val="0"/>
        <w:vanish w:val="0"/>
        <w:color w:val="auto"/>
        <w:sz w:val="22"/>
      </w:rPr>
    </w:lvl>
    <w:lvl w:ilvl="6">
      <w:start w:val="1"/>
      <w:numFmt w:val="bullet"/>
      <w:lvlText w:val=""/>
      <w:lvlJc w:val="left"/>
      <w:pPr>
        <w:tabs>
          <w:tab w:val="num" w:pos="2488"/>
        </w:tabs>
        <w:ind w:left="2488" w:hanging="283"/>
      </w:pPr>
      <w:rPr>
        <w:rFonts w:ascii="Symbol" w:hAnsi="Symbol" w:hint="default"/>
        <w:b w:val="0"/>
        <w:i w:val="0"/>
        <w:vanish w:val="0"/>
        <w:color w:val="auto"/>
        <w:sz w:val="22"/>
      </w:rPr>
    </w:lvl>
    <w:lvl w:ilvl="7">
      <w:start w:val="1"/>
      <w:numFmt w:val="bullet"/>
      <w:lvlText w:val=""/>
      <w:lvlJc w:val="left"/>
      <w:pPr>
        <w:tabs>
          <w:tab w:val="num" w:pos="2772"/>
        </w:tabs>
        <w:ind w:left="2772" w:hanging="284"/>
      </w:pPr>
      <w:rPr>
        <w:rFonts w:ascii="Symbol" w:hAnsi="Symbol" w:hint="default"/>
        <w:b w:val="0"/>
        <w:i w:val="0"/>
        <w:vanish w:val="0"/>
        <w:color w:val="auto"/>
        <w:sz w:val="22"/>
      </w:rPr>
    </w:lvl>
    <w:lvl w:ilvl="8">
      <w:start w:val="1"/>
      <w:numFmt w:val="bullet"/>
      <w:lvlText w:val=""/>
      <w:lvlJc w:val="left"/>
      <w:pPr>
        <w:tabs>
          <w:tab w:val="num" w:pos="3055"/>
        </w:tabs>
        <w:ind w:left="3055" w:hanging="283"/>
      </w:pPr>
      <w:rPr>
        <w:rFonts w:ascii="Symbol" w:hAnsi="Symbol" w:hint="default"/>
        <w:b w:val="0"/>
        <w:i w:val="0"/>
        <w:vanish w:val="0"/>
        <w:color w:val="auto"/>
        <w:sz w:val="22"/>
      </w:rPr>
    </w:lvl>
  </w:abstractNum>
  <w:abstractNum w:abstractNumId="24" w15:restartNumberingAfterBreak="0">
    <w:nsid w:val="3B710C82"/>
    <w:multiLevelType w:val="multilevel"/>
    <w:tmpl w:val="3F0AEA3E"/>
    <w:lvl w:ilvl="0">
      <w:start w:val="1"/>
      <w:numFmt w:val="decimal"/>
      <w:lvlText w:val="%1."/>
      <w:lvlJc w:val="left"/>
      <w:pPr>
        <w:tabs>
          <w:tab w:val="num" w:pos="504"/>
        </w:tabs>
        <w:ind w:left="504" w:hanging="504"/>
      </w:pPr>
      <w:rPr>
        <w:rFonts w:ascii="Calibri" w:hAnsi="Calibri" w:hint="default"/>
        <w:b w:val="0"/>
        <w:i w:val="0"/>
        <w:vanish w:val="0"/>
        <w:color w:val="404040"/>
        <w:sz w:val="28"/>
        <w:szCs w:val="28"/>
      </w:rPr>
    </w:lvl>
    <w:lvl w:ilvl="1">
      <w:start w:val="1"/>
      <w:numFmt w:val="decimal"/>
      <w:lvlText w:val="%1.%2"/>
      <w:lvlJc w:val="left"/>
      <w:pPr>
        <w:tabs>
          <w:tab w:val="num" w:pos="504"/>
        </w:tabs>
        <w:ind w:left="504" w:hanging="504"/>
      </w:pPr>
      <w:rPr>
        <w:rFonts w:ascii="Calibri" w:hAnsi="Calibri" w:hint="default"/>
        <w:b w:val="0"/>
        <w:i w:val="0"/>
        <w:vanish w:val="0"/>
        <w:color w:val="4D4D4D"/>
        <w:sz w:val="22"/>
        <w:szCs w:val="22"/>
      </w:rPr>
    </w:lvl>
    <w:lvl w:ilvl="2">
      <w:start w:val="1"/>
      <w:numFmt w:val="none"/>
      <w:suff w:val="nothing"/>
      <w:lvlText w:val=""/>
      <w:lvlJc w:val="left"/>
      <w:pPr>
        <w:ind w:left="0" w:firstLine="0"/>
      </w:pPr>
      <w:rPr>
        <w:rFonts w:ascii="Calibri" w:hAnsi="Calibri" w:hint="default"/>
        <w:b/>
        <w:i w:val="0"/>
        <w:vanish w:val="0"/>
        <w:color w:val="4D4D4D"/>
        <w:sz w:val="26"/>
      </w:rPr>
    </w:lvl>
    <w:lvl w:ilvl="3">
      <w:start w:val="1"/>
      <w:numFmt w:val="lowerLetter"/>
      <w:lvlRestart w:val="2"/>
      <w:lvlText w:val="(%4)"/>
      <w:lvlJc w:val="left"/>
      <w:pPr>
        <w:tabs>
          <w:tab w:val="num" w:pos="1008"/>
        </w:tabs>
        <w:ind w:left="1008" w:hanging="504"/>
      </w:pPr>
      <w:rPr>
        <w:rFonts w:ascii="Calibri" w:hAnsi="Calibri" w:hint="default"/>
        <w:b w:val="0"/>
        <w:i w:val="0"/>
        <w:vanish w:val="0"/>
        <w:color w:val="4D4D4D"/>
        <w:sz w:val="20"/>
        <w:szCs w:val="20"/>
      </w:rPr>
    </w:lvl>
    <w:lvl w:ilvl="4">
      <w:start w:val="1"/>
      <w:numFmt w:val="lowerRoman"/>
      <w:lvlText w:val="(%5)"/>
      <w:lvlJc w:val="left"/>
      <w:pPr>
        <w:tabs>
          <w:tab w:val="num" w:pos="1440"/>
        </w:tabs>
        <w:ind w:left="1440" w:hanging="432"/>
      </w:pPr>
      <w:rPr>
        <w:rFonts w:ascii="Calibri" w:hAnsi="Calibri" w:hint="default"/>
        <w:b w:val="0"/>
        <w:i w:val="0"/>
        <w:vanish w:val="0"/>
        <w:color w:val="404040"/>
        <w:sz w:val="20"/>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25" w15:restartNumberingAfterBreak="0">
    <w:nsid w:val="405115EC"/>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26" w15:restartNumberingAfterBreak="0">
    <w:nsid w:val="428815BD"/>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27" w15:restartNumberingAfterBreak="0">
    <w:nsid w:val="446D3A6A"/>
    <w:multiLevelType w:val="multilevel"/>
    <w:tmpl w:val="544C568C"/>
    <w:lvl w:ilvl="0">
      <w:start w:val="1"/>
      <w:numFmt w:val="bullet"/>
      <w:pStyle w:val="Bullet1"/>
      <w:lvlText w:val=""/>
      <w:lvlJc w:val="left"/>
      <w:pPr>
        <w:tabs>
          <w:tab w:val="num" w:pos="1077"/>
        </w:tabs>
        <w:ind w:left="1077" w:hanging="283"/>
      </w:pPr>
      <w:rPr>
        <w:rFonts w:ascii="Symbol" w:hAnsi="Symbol" w:hint="default"/>
        <w:b w:val="0"/>
        <w:i w:val="0"/>
        <w:vanish w:val="0"/>
        <w:color w:val="auto"/>
        <w:sz w:val="20"/>
        <w:szCs w:val="20"/>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0"/>
        <w:szCs w:val="20"/>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8" w15:restartNumberingAfterBreak="0">
    <w:nsid w:val="477925F0"/>
    <w:multiLevelType w:val="hybridMultilevel"/>
    <w:tmpl w:val="4EC2D9A8"/>
    <w:lvl w:ilvl="0" w:tplc="771A8D8C">
      <w:start w:val="1"/>
      <w:numFmt w:val="lowerRoman"/>
      <w:lvlText w:val="(%1)"/>
      <w:lvlJc w:val="right"/>
      <w:pPr>
        <w:ind w:left="1728" w:hanging="360"/>
      </w:pPr>
      <w:rPr>
        <w:rFonts w:hint="default"/>
      </w:rPr>
    </w:lvl>
    <w:lvl w:ilvl="1" w:tplc="0C090019" w:tentative="1">
      <w:start w:val="1"/>
      <w:numFmt w:val="lowerLetter"/>
      <w:lvlText w:val="%2."/>
      <w:lvlJc w:val="left"/>
      <w:pPr>
        <w:ind w:left="2448" w:hanging="360"/>
      </w:pPr>
    </w:lvl>
    <w:lvl w:ilvl="2" w:tplc="0C09001B" w:tentative="1">
      <w:start w:val="1"/>
      <w:numFmt w:val="lowerRoman"/>
      <w:lvlText w:val="%3."/>
      <w:lvlJc w:val="right"/>
      <w:pPr>
        <w:ind w:left="3168" w:hanging="180"/>
      </w:pPr>
    </w:lvl>
    <w:lvl w:ilvl="3" w:tplc="0C09000F" w:tentative="1">
      <w:start w:val="1"/>
      <w:numFmt w:val="decimal"/>
      <w:lvlText w:val="%4."/>
      <w:lvlJc w:val="left"/>
      <w:pPr>
        <w:ind w:left="3888" w:hanging="360"/>
      </w:pPr>
    </w:lvl>
    <w:lvl w:ilvl="4" w:tplc="0C090019" w:tentative="1">
      <w:start w:val="1"/>
      <w:numFmt w:val="lowerLetter"/>
      <w:lvlText w:val="%5."/>
      <w:lvlJc w:val="left"/>
      <w:pPr>
        <w:ind w:left="4608" w:hanging="360"/>
      </w:pPr>
    </w:lvl>
    <w:lvl w:ilvl="5" w:tplc="0C09001B" w:tentative="1">
      <w:start w:val="1"/>
      <w:numFmt w:val="lowerRoman"/>
      <w:lvlText w:val="%6."/>
      <w:lvlJc w:val="right"/>
      <w:pPr>
        <w:ind w:left="5328" w:hanging="180"/>
      </w:pPr>
    </w:lvl>
    <w:lvl w:ilvl="6" w:tplc="0C09000F" w:tentative="1">
      <w:start w:val="1"/>
      <w:numFmt w:val="decimal"/>
      <w:lvlText w:val="%7."/>
      <w:lvlJc w:val="left"/>
      <w:pPr>
        <w:ind w:left="6048" w:hanging="360"/>
      </w:pPr>
    </w:lvl>
    <w:lvl w:ilvl="7" w:tplc="0C090019" w:tentative="1">
      <w:start w:val="1"/>
      <w:numFmt w:val="lowerLetter"/>
      <w:lvlText w:val="%8."/>
      <w:lvlJc w:val="left"/>
      <w:pPr>
        <w:ind w:left="6768" w:hanging="360"/>
      </w:pPr>
    </w:lvl>
    <w:lvl w:ilvl="8" w:tplc="0C09001B" w:tentative="1">
      <w:start w:val="1"/>
      <w:numFmt w:val="lowerRoman"/>
      <w:lvlText w:val="%9."/>
      <w:lvlJc w:val="right"/>
      <w:pPr>
        <w:ind w:left="7488" w:hanging="180"/>
      </w:pPr>
    </w:lvl>
  </w:abstractNum>
  <w:abstractNum w:abstractNumId="29" w15:restartNumberingAfterBreak="0">
    <w:nsid w:val="500A602E"/>
    <w:multiLevelType w:val="multilevel"/>
    <w:tmpl w:val="2F74D22A"/>
    <w:lvl w:ilvl="0">
      <w:start w:val="1"/>
      <w:numFmt w:val="decimal"/>
      <w:lvlText w:val="%1."/>
      <w:lvlJc w:val="left"/>
      <w:pPr>
        <w:tabs>
          <w:tab w:val="num" w:pos="504"/>
        </w:tabs>
        <w:ind w:left="504" w:hanging="504"/>
      </w:pPr>
      <w:rPr>
        <w:rFonts w:ascii="Calibri" w:hAnsi="Calibri" w:hint="default"/>
        <w:b w:val="0"/>
        <w:i w:val="0"/>
        <w:vanish w:val="0"/>
        <w:color w:val="404040"/>
        <w:sz w:val="28"/>
        <w:szCs w:val="28"/>
      </w:rPr>
    </w:lvl>
    <w:lvl w:ilvl="1">
      <w:start w:val="1"/>
      <w:numFmt w:val="decimal"/>
      <w:lvlText w:val="%1.%2"/>
      <w:lvlJc w:val="left"/>
      <w:pPr>
        <w:tabs>
          <w:tab w:val="num" w:pos="504"/>
        </w:tabs>
        <w:ind w:left="50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suff w:val="nothing"/>
      <w:lvlText w:val=""/>
      <w:lvlJc w:val="left"/>
      <w:pPr>
        <w:ind w:left="0" w:firstLine="0"/>
      </w:pPr>
      <w:rPr>
        <w:rFonts w:ascii="Calibri" w:hAnsi="Calibri" w:hint="default"/>
        <w:b/>
        <w:i w:val="0"/>
        <w:vanish w:val="0"/>
        <w:color w:val="4D4D4D"/>
        <w:sz w:val="26"/>
      </w:rPr>
    </w:lvl>
    <w:lvl w:ilvl="3">
      <w:start w:val="1"/>
      <w:numFmt w:val="lowerLetter"/>
      <w:lvlRestart w:val="2"/>
      <w:lvlText w:val="(%4)"/>
      <w:lvlJc w:val="left"/>
      <w:pPr>
        <w:tabs>
          <w:tab w:val="num" w:pos="1008"/>
        </w:tabs>
        <w:ind w:left="1008" w:hanging="504"/>
      </w:pPr>
      <w:rPr>
        <w:rFonts w:ascii="Calibri" w:hAnsi="Calibri" w:hint="default"/>
        <w:b w:val="0"/>
        <w:i w:val="0"/>
        <w:vanish w:val="0"/>
        <w:color w:val="4D4D4D"/>
        <w:sz w:val="20"/>
        <w:szCs w:val="20"/>
      </w:rPr>
    </w:lvl>
    <w:lvl w:ilvl="4">
      <w:start w:val="1"/>
      <w:numFmt w:val="lowerRoman"/>
      <w:lvlText w:val="(%5)"/>
      <w:lvlJc w:val="left"/>
      <w:pPr>
        <w:tabs>
          <w:tab w:val="num" w:pos="1440"/>
        </w:tabs>
        <w:ind w:left="1440" w:hanging="432"/>
      </w:pPr>
      <w:rPr>
        <w:rFonts w:ascii="Calibri" w:hAnsi="Calibri" w:hint="default"/>
        <w:b w:val="0"/>
        <w:i w:val="0"/>
        <w:vanish w:val="0"/>
        <w:color w:val="404040"/>
        <w:sz w:val="20"/>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30" w15:restartNumberingAfterBreak="0">
    <w:nsid w:val="53D900D0"/>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31" w15:restartNumberingAfterBreak="0">
    <w:nsid w:val="54477FE8"/>
    <w:multiLevelType w:val="multilevel"/>
    <w:tmpl w:val="CACA5F26"/>
    <w:lvl w:ilvl="0">
      <w:start w:val="1"/>
      <w:numFmt w:val="lowerLetter"/>
      <w:lvlText w:val="(%1)"/>
      <w:lvlJc w:val="left"/>
      <w:pPr>
        <w:tabs>
          <w:tab w:val="num" w:pos="787"/>
        </w:tabs>
        <w:ind w:left="787" w:hanging="283"/>
      </w:pPr>
      <w:rPr>
        <w:rFonts w:hint="default"/>
        <w:b w:val="0"/>
        <w:i w:val="0"/>
        <w:vanish w:val="0"/>
        <w:color w:val="auto"/>
        <w:sz w:val="20"/>
        <w:szCs w:val="20"/>
      </w:rPr>
    </w:lvl>
    <w:lvl w:ilvl="1">
      <w:start w:val="1"/>
      <w:numFmt w:val="bullet"/>
      <w:lvlText w:val="–"/>
      <w:lvlJc w:val="left"/>
      <w:pPr>
        <w:tabs>
          <w:tab w:val="num" w:pos="1071"/>
        </w:tabs>
        <w:ind w:left="1071" w:hanging="284"/>
      </w:pPr>
      <w:rPr>
        <w:rFonts w:ascii="Calibri" w:hAnsi="Calibri" w:hint="default"/>
        <w:b w:val="0"/>
        <w:i w:val="0"/>
        <w:vanish w:val="0"/>
        <w:color w:val="auto"/>
        <w:sz w:val="22"/>
      </w:rPr>
    </w:lvl>
    <w:lvl w:ilvl="2">
      <w:start w:val="1"/>
      <w:numFmt w:val="bullet"/>
      <w:lvlText w:val=""/>
      <w:lvlJc w:val="left"/>
      <w:pPr>
        <w:tabs>
          <w:tab w:val="num" w:pos="1354"/>
        </w:tabs>
        <w:ind w:left="1354" w:hanging="283"/>
      </w:pPr>
      <w:rPr>
        <w:rFonts w:ascii="Symbol" w:hAnsi="Symbol" w:hint="default"/>
        <w:b w:val="0"/>
        <w:i w:val="0"/>
        <w:vanish w:val="0"/>
        <w:color w:val="auto"/>
        <w:sz w:val="20"/>
        <w:szCs w:val="20"/>
      </w:rPr>
    </w:lvl>
    <w:lvl w:ilvl="3">
      <w:start w:val="1"/>
      <w:numFmt w:val="bullet"/>
      <w:lvlText w:val=""/>
      <w:lvlJc w:val="left"/>
      <w:pPr>
        <w:tabs>
          <w:tab w:val="num" w:pos="1638"/>
        </w:tabs>
        <w:ind w:left="1638" w:hanging="284"/>
      </w:pPr>
      <w:rPr>
        <w:rFonts w:ascii="Symbol" w:hAnsi="Symbol" w:hint="default"/>
        <w:b w:val="0"/>
        <w:i w:val="0"/>
        <w:vanish w:val="0"/>
        <w:color w:val="auto"/>
        <w:sz w:val="22"/>
      </w:rPr>
    </w:lvl>
    <w:lvl w:ilvl="4">
      <w:start w:val="1"/>
      <w:numFmt w:val="bullet"/>
      <w:lvlText w:val=""/>
      <w:lvlJc w:val="left"/>
      <w:pPr>
        <w:tabs>
          <w:tab w:val="num" w:pos="1921"/>
        </w:tabs>
        <w:ind w:left="1921" w:hanging="283"/>
      </w:pPr>
      <w:rPr>
        <w:rFonts w:ascii="Symbol" w:hAnsi="Symbol" w:hint="default"/>
        <w:b w:val="0"/>
        <w:i w:val="0"/>
        <w:vanish w:val="0"/>
        <w:color w:val="auto"/>
        <w:sz w:val="22"/>
      </w:rPr>
    </w:lvl>
    <w:lvl w:ilvl="5">
      <w:start w:val="1"/>
      <w:numFmt w:val="bullet"/>
      <w:lvlText w:val=""/>
      <w:lvlJc w:val="left"/>
      <w:pPr>
        <w:tabs>
          <w:tab w:val="num" w:pos="2205"/>
        </w:tabs>
        <w:ind w:left="2205" w:hanging="284"/>
      </w:pPr>
      <w:rPr>
        <w:rFonts w:ascii="Symbol" w:hAnsi="Symbol" w:hint="default"/>
        <w:b w:val="0"/>
        <w:i w:val="0"/>
        <w:vanish w:val="0"/>
        <w:color w:val="auto"/>
        <w:sz w:val="22"/>
      </w:rPr>
    </w:lvl>
    <w:lvl w:ilvl="6">
      <w:start w:val="1"/>
      <w:numFmt w:val="bullet"/>
      <w:lvlText w:val=""/>
      <w:lvlJc w:val="left"/>
      <w:pPr>
        <w:tabs>
          <w:tab w:val="num" w:pos="2488"/>
        </w:tabs>
        <w:ind w:left="2488" w:hanging="283"/>
      </w:pPr>
      <w:rPr>
        <w:rFonts w:ascii="Symbol" w:hAnsi="Symbol" w:hint="default"/>
        <w:b w:val="0"/>
        <w:i w:val="0"/>
        <w:vanish w:val="0"/>
        <w:color w:val="auto"/>
        <w:sz w:val="22"/>
      </w:rPr>
    </w:lvl>
    <w:lvl w:ilvl="7">
      <w:start w:val="1"/>
      <w:numFmt w:val="bullet"/>
      <w:lvlText w:val=""/>
      <w:lvlJc w:val="left"/>
      <w:pPr>
        <w:tabs>
          <w:tab w:val="num" w:pos="2772"/>
        </w:tabs>
        <w:ind w:left="2772" w:hanging="284"/>
      </w:pPr>
      <w:rPr>
        <w:rFonts w:ascii="Symbol" w:hAnsi="Symbol" w:hint="default"/>
        <w:b w:val="0"/>
        <w:i w:val="0"/>
        <w:vanish w:val="0"/>
        <w:color w:val="auto"/>
        <w:sz w:val="22"/>
      </w:rPr>
    </w:lvl>
    <w:lvl w:ilvl="8">
      <w:start w:val="1"/>
      <w:numFmt w:val="bullet"/>
      <w:lvlText w:val=""/>
      <w:lvlJc w:val="left"/>
      <w:pPr>
        <w:tabs>
          <w:tab w:val="num" w:pos="3055"/>
        </w:tabs>
        <w:ind w:left="3055" w:hanging="283"/>
      </w:pPr>
      <w:rPr>
        <w:rFonts w:ascii="Symbol" w:hAnsi="Symbol" w:hint="default"/>
        <w:b w:val="0"/>
        <w:i w:val="0"/>
        <w:vanish w:val="0"/>
        <w:color w:val="auto"/>
        <w:sz w:val="22"/>
      </w:rPr>
    </w:lvl>
  </w:abstractNum>
  <w:abstractNum w:abstractNumId="32" w15:restartNumberingAfterBreak="0">
    <w:nsid w:val="599622DE"/>
    <w:multiLevelType w:val="multilevel"/>
    <w:tmpl w:val="CACA5F26"/>
    <w:lvl w:ilvl="0">
      <w:start w:val="1"/>
      <w:numFmt w:val="lowerLetter"/>
      <w:lvlText w:val="(%1)"/>
      <w:lvlJc w:val="left"/>
      <w:pPr>
        <w:tabs>
          <w:tab w:val="num" w:pos="787"/>
        </w:tabs>
        <w:ind w:left="787" w:hanging="283"/>
      </w:pPr>
      <w:rPr>
        <w:rFonts w:hint="default"/>
        <w:b w:val="0"/>
        <w:i w:val="0"/>
        <w:vanish w:val="0"/>
        <w:color w:val="auto"/>
        <w:sz w:val="20"/>
        <w:szCs w:val="20"/>
      </w:rPr>
    </w:lvl>
    <w:lvl w:ilvl="1">
      <w:start w:val="1"/>
      <w:numFmt w:val="bullet"/>
      <w:lvlText w:val="–"/>
      <w:lvlJc w:val="left"/>
      <w:pPr>
        <w:tabs>
          <w:tab w:val="num" w:pos="1071"/>
        </w:tabs>
        <w:ind w:left="1071" w:hanging="284"/>
      </w:pPr>
      <w:rPr>
        <w:rFonts w:ascii="Calibri" w:hAnsi="Calibri" w:hint="default"/>
        <w:b w:val="0"/>
        <w:i w:val="0"/>
        <w:vanish w:val="0"/>
        <w:color w:val="auto"/>
        <w:sz w:val="22"/>
      </w:rPr>
    </w:lvl>
    <w:lvl w:ilvl="2">
      <w:start w:val="1"/>
      <w:numFmt w:val="bullet"/>
      <w:lvlText w:val=""/>
      <w:lvlJc w:val="left"/>
      <w:pPr>
        <w:tabs>
          <w:tab w:val="num" w:pos="1354"/>
        </w:tabs>
        <w:ind w:left="1354" w:hanging="283"/>
      </w:pPr>
      <w:rPr>
        <w:rFonts w:ascii="Symbol" w:hAnsi="Symbol" w:hint="default"/>
        <w:b w:val="0"/>
        <w:i w:val="0"/>
        <w:vanish w:val="0"/>
        <w:color w:val="auto"/>
        <w:sz w:val="20"/>
        <w:szCs w:val="20"/>
      </w:rPr>
    </w:lvl>
    <w:lvl w:ilvl="3">
      <w:start w:val="1"/>
      <w:numFmt w:val="bullet"/>
      <w:lvlText w:val=""/>
      <w:lvlJc w:val="left"/>
      <w:pPr>
        <w:tabs>
          <w:tab w:val="num" w:pos="1638"/>
        </w:tabs>
        <w:ind w:left="1638" w:hanging="284"/>
      </w:pPr>
      <w:rPr>
        <w:rFonts w:ascii="Symbol" w:hAnsi="Symbol" w:hint="default"/>
        <w:b w:val="0"/>
        <w:i w:val="0"/>
        <w:vanish w:val="0"/>
        <w:color w:val="auto"/>
        <w:sz w:val="22"/>
      </w:rPr>
    </w:lvl>
    <w:lvl w:ilvl="4">
      <w:start w:val="1"/>
      <w:numFmt w:val="bullet"/>
      <w:lvlText w:val=""/>
      <w:lvlJc w:val="left"/>
      <w:pPr>
        <w:tabs>
          <w:tab w:val="num" w:pos="1921"/>
        </w:tabs>
        <w:ind w:left="1921" w:hanging="283"/>
      </w:pPr>
      <w:rPr>
        <w:rFonts w:ascii="Symbol" w:hAnsi="Symbol" w:hint="default"/>
        <w:b w:val="0"/>
        <w:i w:val="0"/>
        <w:vanish w:val="0"/>
        <w:color w:val="auto"/>
        <w:sz w:val="22"/>
      </w:rPr>
    </w:lvl>
    <w:lvl w:ilvl="5">
      <w:start w:val="1"/>
      <w:numFmt w:val="bullet"/>
      <w:lvlText w:val=""/>
      <w:lvlJc w:val="left"/>
      <w:pPr>
        <w:tabs>
          <w:tab w:val="num" w:pos="2205"/>
        </w:tabs>
        <w:ind w:left="2205" w:hanging="284"/>
      </w:pPr>
      <w:rPr>
        <w:rFonts w:ascii="Symbol" w:hAnsi="Symbol" w:hint="default"/>
        <w:b w:val="0"/>
        <w:i w:val="0"/>
        <w:vanish w:val="0"/>
        <w:color w:val="auto"/>
        <w:sz w:val="22"/>
      </w:rPr>
    </w:lvl>
    <w:lvl w:ilvl="6">
      <w:start w:val="1"/>
      <w:numFmt w:val="bullet"/>
      <w:lvlText w:val=""/>
      <w:lvlJc w:val="left"/>
      <w:pPr>
        <w:tabs>
          <w:tab w:val="num" w:pos="2488"/>
        </w:tabs>
        <w:ind w:left="2488" w:hanging="283"/>
      </w:pPr>
      <w:rPr>
        <w:rFonts w:ascii="Symbol" w:hAnsi="Symbol" w:hint="default"/>
        <w:b w:val="0"/>
        <w:i w:val="0"/>
        <w:vanish w:val="0"/>
        <w:color w:val="auto"/>
        <w:sz w:val="22"/>
      </w:rPr>
    </w:lvl>
    <w:lvl w:ilvl="7">
      <w:start w:val="1"/>
      <w:numFmt w:val="bullet"/>
      <w:lvlText w:val=""/>
      <w:lvlJc w:val="left"/>
      <w:pPr>
        <w:tabs>
          <w:tab w:val="num" w:pos="2772"/>
        </w:tabs>
        <w:ind w:left="2772" w:hanging="284"/>
      </w:pPr>
      <w:rPr>
        <w:rFonts w:ascii="Symbol" w:hAnsi="Symbol" w:hint="default"/>
        <w:b w:val="0"/>
        <w:i w:val="0"/>
        <w:vanish w:val="0"/>
        <w:color w:val="auto"/>
        <w:sz w:val="22"/>
      </w:rPr>
    </w:lvl>
    <w:lvl w:ilvl="8">
      <w:start w:val="1"/>
      <w:numFmt w:val="bullet"/>
      <w:lvlText w:val=""/>
      <w:lvlJc w:val="left"/>
      <w:pPr>
        <w:tabs>
          <w:tab w:val="num" w:pos="3055"/>
        </w:tabs>
        <w:ind w:left="3055" w:hanging="283"/>
      </w:pPr>
      <w:rPr>
        <w:rFonts w:ascii="Symbol" w:hAnsi="Symbol" w:hint="default"/>
        <w:b w:val="0"/>
        <w:i w:val="0"/>
        <w:vanish w:val="0"/>
        <w:color w:val="auto"/>
        <w:sz w:val="22"/>
      </w:rPr>
    </w:lvl>
  </w:abstractNum>
  <w:abstractNum w:abstractNumId="33" w15:restartNumberingAfterBreak="0">
    <w:nsid w:val="59BB35B3"/>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34" w15:restartNumberingAfterBreak="0">
    <w:nsid w:val="59E62656"/>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35" w15:restartNumberingAfterBreak="0">
    <w:nsid w:val="5B314307"/>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36" w15:restartNumberingAfterBreak="0">
    <w:nsid w:val="5BFF1CE6"/>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37" w15:restartNumberingAfterBreak="0">
    <w:nsid w:val="5C334CEA"/>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38" w15:restartNumberingAfterBreak="0">
    <w:nsid w:val="5FB72E0A"/>
    <w:multiLevelType w:val="hybridMultilevel"/>
    <w:tmpl w:val="AE5A323E"/>
    <w:lvl w:ilvl="0" w:tplc="E4E848BA">
      <w:start w:val="1"/>
      <w:numFmt w:val="lowerLetter"/>
      <w:pStyle w:val="NoteNumbered"/>
      <w:lvlText w:val="(%1)"/>
      <w:lvlJc w:val="left"/>
      <w:pPr>
        <w:ind w:left="1224" w:hanging="36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39" w15:restartNumberingAfterBreak="0">
    <w:nsid w:val="61B474EE"/>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40" w15:restartNumberingAfterBreak="0">
    <w:nsid w:val="621B736A"/>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41" w15:restartNumberingAfterBreak="0">
    <w:nsid w:val="637542E8"/>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42" w15:restartNumberingAfterBreak="0">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3" w15:restartNumberingAfterBreak="0">
    <w:nsid w:val="67C24042"/>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44" w15:restartNumberingAfterBreak="0">
    <w:nsid w:val="67E57BEB"/>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45" w15:restartNumberingAfterBreak="0">
    <w:nsid w:val="699E2607"/>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46" w15:restartNumberingAfterBreak="0">
    <w:nsid w:val="6AE81A78"/>
    <w:multiLevelType w:val="multilevel"/>
    <w:tmpl w:val="CACA5F26"/>
    <w:lvl w:ilvl="0">
      <w:start w:val="1"/>
      <w:numFmt w:val="lowerLetter"/>
      <w:lvlText w:val="(%1)"/>
      <w:lvlJc w:val="left"/>
      <w:pPr>
        <w:tabs>
          <w:tab w:val="num" w:pos="787"/>
        </w:tabs>
        <w:ind w:left="787" w:hanging="283"/>
      </w:pPr>
      <w:rPr>
        <w:rFonts w:hint="default"/>
        <w:b w:val="0"/>
        <w:i w:val="0"/>
        <w:vanish w:val="0"/>
        <w:color w:val="auto"/>
        <w:sz w:val="20"/>
        <w:szCs w:val="20"/>
      </w:rPr>
    </w:lvl>
    <w:lvl w:ilvl="1">
      <w:start w:val="1"/>
      <w:numFmt w:val="bullet"/>
      <w:lvlText w:val="–"/>
      <w:lvlJc w:val="left"/>
      <w:pPr>
        <w:tabs>
          <w:tab w:val="num" w:pos="1071"/>
        </w:tabs>
        <w:ind w:left="1071" w:hanging="284"/>
      </w:pPr>
      <w:rPr>
        <w:rFonts w:ascii="Calibri" w:hAnsi="Calibri" w:hint="default"/>
        <w:b w:val="0"/>
        <w:i w:val="0"/>
        <w:vanish w:val="0"/>
        <w:color w:val="auto"/>
        <w:sz w:val="22"/>
      </w:rPr>
    </w:lvl>
    <w:lvl w:ilvl="2">
      <w:start w:val="1"/>
      <w:numFmt w:val="bullet"/>
      <w:lvlText w:val=""/>
      <w:lvlJc w:val="left"/>
      <w:pPr>
        <w:tabs>
          <w:tab w:val="num" w:pos="1354"/>
        </w:tabs>
        <w:ind w:left="1354" w:hanging="283"/>
      </w:pPr>
      <w:rPr>
        <w:rFonts w:ascii="Symbol" w:hAnsi="Symbol" w:hint="default"/>
        <w:b w:val="0"/>
        <w:i w:val="0"/>
        <w:vanish w:val="0"/>
        <w:color w:val="auto"/>
        <w:sz w:val="20"/>
        <w:szCs w:val="20"/>
      </w:rPr>
    </w:lvl>
    <w:lvl w:ilvl="3">
      <w:start w:val="1"/>
      <w:numFmt w:val="bullet"/>
      <w:lvlText w:val=""/>
      <w:lvlJc w:val="left"/>
      <w:pPr>
        <w:tabs>
          <w:tab w:val="num" w:pos="1638"/>
        </w:tabs>
        <w:ind w:left="1638" w:hanging="284"/>
      </w:pPr>
      <w:rPr>
        <w:rFonts w:ascii="Symbol" w:hAnsi="Symbol" w:hint="default"/>
        <w:b w:val="0"/>
        <w:i w:val="0"/>
        <w:vanish w:val="0"/>
        <w:color w:val="auto"/>
        <w:sz w:val="22"/>
      </w:rPr>
    </w:lvl>
    <w:lvl w:ilvl="4">
      <w:start w:val="1"/>
      <w:numFmt w:val="bullet"/>
      <w:lvlText w:val=""/>
      <w:lvlJc w:val="left"/>
      <w:pPr>
        <w:tabs>
          <w:tab w:val="num" w:pos="1921"/>
        </w:tabs>
        <w:ind w:left="1921" w:hanging="283"/>
      </w:pPr>
      <w:rPr>
        <w:rFonts w:ascii="Symbol" w:hAnsi="Symbol" w:hint="default"/>
        <w:b w:val="0"/>
        <w:i w:val="0"/>
        <w:vanish w:val="0"/>
        <w:color w:val="auto"/>
        <w:sz w:val="22"/>
      </w:rPr>
    </w:lvl>
    <w:lvl w:ilvl="5">
      <w:start w:val="1"/>
      <w:numFmt w:val="bullet"/>
      <w:lvlText w:val=""/>
      <w:lvlJc w:val="left"/>
      <w:pPr>
        <w:tabs>
          <w:tab w:val="num" w:pos="2205"/>
        </w:tabs>
        <w:ind w:left="2205" w:hanging="284"/>
      </w:pPr>
      <w:rPr>
        <w:rFonts w:ascii="Symbol" w:hAnsi="Symbol" w:hint="default"/>
        <w:b w:val="0"/>
        <w:i w:val="0"/>
        <w:vanish w:val="0"/>
        <w:color w:val="auto"/>
        <w:sz w:val="22"/>
      </w:rPr>
    </w:lvl>
    <w:lvl w:ilvl="6">
      <w:start w:val="1"/>
      <w:numFmt w:val="bullet"/>
      <w:lvlText w:val=""/>
      <w:lvlJc w:val="left"/>
      <w:pPr>
        <w:tabs>
          <w:tab w:val="num" w:pos="2488"/>
        </w:tabs>
        <w:ind w:left="2488" w:hanging="283"/>
      </w:pPr>
      <w:rPr>
        <w:rFonts w:ascii="Symbol" w:hAnsi="Symbol" w:hint="default"/>
        <w:b w:val="0"/>
        <w:i w:val="0"/>
        <w:vanish w:val="0"/>
        <w:color w:val="auto"/>
        <w:sz w:val="22"/>
      </w:rPr>
    </w:lvl>
    <w:lvl w:ilvl="7">
      <w:start w:val="1"/>
      <w:numFmt w:val="bullet"/>
      <w:lvlText w:val=""/>
      <w:lvlJc w:val="left"/>
      <w:pPr>
        <w:tabs>
          <w:tab w:val="num" w:pos="2772"/>
        </w:tabs>
        <w:ind w:left="2772" w:hanging="284"/>
      </w:pPr>
      <w:rPr>
        <w:rFonts w:ascii="Symbol" w:hAnsi="Symbol" w:hint="default"/>
        <w:b w:val="0"/>
        <w:i w:val="0"/>
        <w:vanish w:val="0"/>
        <w:color w:val="auto"/>
        <w:sz w:val="22"/>
      </w:rPr>
    </w:lvl>
    <w:lvl w:ilvl="8">
      <w:start w:val="1"/>
      <w:numFmt w:val="bullet"/>
      <w:lvlText w:val=""/>
      <w:lvlJc w:val="left"/>
      <w:pPr>
        <w:tabs>
          <w:tab w:val="num" w:pos="3055"/>
        </w:tabs>
        <w:ind w:left="3055" w:hanging="283"/>
      </w:pPr>
      <w:rPr>
        <w:rFonts w:ascii="Symbol" w:hAnsi="Symbol" w:hint="default"/>
        <w:b w:val="0"/>
        <w:i w:val="0"/>
        <w:vanish w:val="0"/>
        <w:color w:val="auto"/>
        <w:sz w:val="22"/>
      </w:rPr>
    </w:lvl>
  </w:abstractNum>
  <w:abstractNum w:abstractNumId="47" w15:restartNumberingAfterBreak="0">
    <w:nsid w:val="713E1787"/>
    <w:multiLevelType w:val="hybridMultilevel"/>
    <w:tmpl w:val="4EC2D9A8"/>
    <w:lvl w:ilvl="0" w:tplc="771A8D8C">
      <w:start w:val="1"/>
      <w:numFmt w:val="lowerRoman"/>
      <w:lvlText w:val="(%1)"/>
      <w:lvlJc w:val="right"/>
      <w:pPr>
        <w:ind w:left="1728" w:hanging="360"/>
      </w:pPr>
      <w:rPr>
        <w:rFonts w:hint="default"/>
      </w:rPr>
    </w:lvl>
    <w:lvl w:ilvl="1" w:tplc="0C090019" w:tentative="1">
      <w:start w:val="1"/>
      <w:numFmt w:val="lowerLetter"/>
      <w:lvlText w:val="%2."/>
      <w:lvlJc w:val="left"/>
      <w:pPr>
        <w:ind w:left="2448" w:hanging="360"/>
      </w:pPr>
    </w:lvl>
    <w:lvl w:ilvl="2" w:tplc="0C09001B" w:tentative="1">
      <w:start w:val="1"/>
      <w:numFmt w:val="lowerRoman"/>
      <w:lvlText w:val="%3."/>
      <w:lvlJc w:val="right"/>
      <w:pPr>
        <w:ind w:left="3168" w:hanging="180"/>
      </w:pPr>
    </w:lvl>
    <w:lvl w:ilvl="3" w:tplc="0C09000F" w:tentative="1">
      <w:start w:val="1"/>
      <w:numFmt w:val="decimal"/>
      <w:lvlText w:val="%4."/>
      <w:lvlJc w:val="left"/>
      <w:pPr>
        <w:ind w:left="3888" w:hanging="360"/>
      </w:pPr>
    </w:lvl>
    <w:lvl w:ilvl="4" w:tplc="0C090019" w:tentative="1">
      <w:start w:val="1"/>
      <w:numFmt w:val="lowerLetter"/>
      <w:lvlText w:val="%5."/>
      <w:lvlJc w:val="left"/>
      <w:pPr>
        <w:ind w:left="4608" w:hanging="360"/>
      </w:pPr>
    </w:lvl>
    <w:lvl w:ilvl="5" w:tplc="0C09001B" w:tentative="1">
      <w:start w:val="1"/>
      <w:numFmt w:val="lowerRoman"/>
      <w:lvlText w:val="%6."/>
      <w:lvlJc w:val="right"/>
      <w:pPr>
        <w:ind w:left="5328" w:hanging="180"/>
      </w:pPr>
    </w:lvl>
    <w:lvl w:ilvl="6" w:tplc="0C09000F" w:tentative="1">
      <w:start w:val="1"/>
      <w:numFmt w:val="decimal"/>
      <w:lvlText w:val="%7."/>
      <w:lvlJc w:val="left"/>
      <w:pPr>
        <w:ind w:left="6048" w:hanging="360"/>
      </w:pPr>
    </w:lvl>
    <w:lvl w:ilvl="7" w:tplc="0C090019" w:tentative="1">
      <w:start w:val="1"/>
      <w:numFmt w:val="lowerLetter"/>
      <w:lvlText w:val="%8."/>
      <w:lvlJc w:val="left"/>
      <w:pPr>
        <w:ind w:left="6768" w:hanging="360"/>
      </w:pPr>
    </w:lvl>
    <w:lvl w:ilvl="8" w:tplc="0C09001B" w:tentative="1">
      <w:start w:val="1"/>
      <w:numFmt w:val="lowerRoman"/>
      <w:lvlText w:val="%9."/>
      <w:lvlJc w:val="right"/>
      <w:pPr>
        <w:ind w:left="7488" w:hanging="180"/>
      </w:pPr>
    </w:lvl>
  </w:abstractNum>
  <w:abstractNum w:abstractNumId="48" w15:restartNumberingAfterBreak="0">
    <w:nsid w:val="74EA18E8"/>
    <w:multiLevelType w:val="multilevel"/>
    <w:tmpl w:val="F4167670"/>
    <w:lvl w:ilvl="0">
      <w:start w:val="1"/>
      <w:numFmt w:val="decimal"/>
      <w:lvlText w:val="%1."/>
      <w:lvlJc w:val="left"/>
      <w:pPr>
        <w:tabs>
          <w:tab w:val="num" w:pos="504"/>
        </w:tabs>
        <w:ind w:left="504" w:hanging="504"/>
      </w:pPr>
      <w:rPr>
        <w:rFonts w:ascii="Calibri" w:hAnsi="Calibri" w:hint="default"/>
        <w:b w:val="0"/>
        <w:i w:val="0"/>
        <w:vanish w:val="0"/>
        <w:color w:val="404040"/>
        <w:sz w:val="28"/>
        <w:szCs w:val="28"/>
      </w:rPr>
    </w:lvl>
    <w:lvl w:ilvl="1">
      <w:start w:val="1"/>
      <w:numFmt w:val="decimal"/>
      <w:lvlText w:val="%1.%2"/>
      <w:lvlJc w:val="left"/>
      <w:pPr>
        <w:tabs>
          <w:tab w:val="num" w:pos="504"/>
        </w:tabs>
        <w:ind w:left="504" w:hanging="504"/>
      </w:pPr>
      <w:rPr>
        <w:rFonts w:ascii="Calibri" w:hAnsi="Calibri" w:hint="default"/>
        <w:b w:val="0"/>
        <w:i w:val="0"/>
        <w:vanish w:val="0"/>
        <w:color w:val="4D4D4D"/>
        <w:sz w:val="22"/>
        <w:szCs w:val="22"/>
      </w:rPr>
    </w:lvl>
    <w:lvl w:ilvl="2">
      <w:start w:val="1"/>
      <w:numFmt w:val="none"/>
      <w:suff w:val="nothing"/>
      <w:lvlText w:val=""/>
      <w:lvlJc w:val="left"/>
      <w:pPr>
        <w:ind w:left="0" w:firstLine="0"/>
      </w:pPr>
      <w:rPr>
        <w:rFonts w:ascii="Calibri" w:hAnsi="Calibri" w:hint="default"/>
        <w:b/>
        <w:i w:val="0"/>
        <w:vanish w:val="0"/>
        <w:color w:val="4D4D4D"/>
        <w:sz w:val="26"/>
      </w:rPr>
    </w:lvl>
    <w:lvl w:ilvl="3">
      <w:start w:val="1"/>
      <w:numFmt w:val="lowerLetter"/>
      <w:lvlRestart w:val="2"/>
      <w:lvlText w:val="(%4)"/>
      <w:lvlJc w:val="left"/>
      <w:pPr>
        <w:tabs>
          <w:tab w:val="num" w:pos="1008"/>
        </w:tabs>
        <w:ind w:left="1008" w:hanging="504"/>
      </w:pPr>
      <w:rPr>
        <w:rFonts w:ascii="Calibri" w:hAnsi="Calibri" w:hint="default"/>
        <w:b w:val="0"/>
        <w:i w:val="0"/>
        <w:vanish w:val="0"/>
        <w:color w:val="4D4D4D"/>
        <w:sz w:val="20"/>
        <w:szCs w:val="20"/>
      </w:rPr>
    </w:lvl>
    <w:lvl w:ilvl="4">
      <w:start w:val="1"/>
      <w:numFmt w:val="lowerRoman"/>
      <w:lvlText w:val="(%5)"/>
      <w:lvlJc w:val="left"/>
      <w:pPr>
        <w:tabs>
          <w:tab w:val="num" w:pos="1440"/>
        </w:tabs>
        <w:ind w:left="1440" w:hanging="432"/>
      </w:pPr>
      <w:rPr>
        <w:rFonts w:ascii="Calibri" w:hAnsi="Calibri" w:hint="default"/>
        <w:b w:val="0"/>
        <w:i w:val="0"/>
        <w:vanish w:val="0"/>
        <w:color w:val="404040"/>
        <w:sz w:val="20"/>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49" w15:restartNumberingAfterBreak="0">
    <w:nsid w:val="7D1D2726"/>
    <w:multiLevelType w:val="hybridMultilevel"/>
    <w:tmpl w:val="407A0B5E"/>
    <w:lvl w:ilvl="0" w:tplc="6E589090">
      <w:start w:val="1"/>
      <w:numFmt w:val="lowerLetter"/>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50" w15:restartNumberingAfterBreak="0">
    <w:nsid w:val="7EF252E3"/>
    <w:multiLevelType w:val="multilevel"/>
    <w:tmpl w:val="3F0AEA3E"/>
    <w:lvl w:ilvl="0">
      <w:start w:val="1"/>
      <w:numFmt w:val="decimal"/>
      <w:lvlText w:val="%1."/>
      <w:lvlJc w:val="left"/>
      <w:pPr>
        <w:tabs>
          <w:tab w:val="num" w:pos="504"/>
        </w:tabs>
        <w:ind w:left="504" w:hanging="504"/>
      </w:pPr>
      <w:rPr>
        <w:rFonts w:ascii="Calibri" w:hAnsi="Calibri" w:hint="default"/>
        <w:b w:val="0"/>
        <w:i w:val="0"/>
        <w:vanish w:val="0"/>
        <w:color w:val="404040"/>
        <w:sz w:val="28"/>
        <w:szCs w:val="28"/>
      </w:rPr>
    </w:lvl>
    <w:lvl w:ilvl="1">
      <w:start w:val="1"/>
      <w:numFmt w:val="decimal"/>
      <w:lvlText w:val="%1.%2"/>
      <w:lvlJc w:val="left"/>
      <w:pPr>
        <w:tabs>
          <w:tab w:val="num" w:pos="504"/>
        </w:tabs>
        <w:ind w:left="504" w:hanging="504"/>
      </w:pPr>
      <w:rPr>
        <w:rFonts w:ascii="Calibri" w:hAnsi="Calibri" w:hint="default"/>
        <w:b w:val="0"/>
        <w:i w:val="0"/>
        <w:vanish w:val="0"/>
        <w:color w:val="4D4D4D"/>
        <w:sz w:val="22"/>
        <w:szCs w:val="22"/>
      </w:rPr>
    </w:lvl>
    <w:lvl w:ilvl="2">
      <w:start w:val="1"/>
      <w:numFmt w:val="none"/>
      <w:suff w:val="nothing"/>
      <w:lvlText w:val=""/>
      <w:lvlJc w:val="left"/>
      <w:pPr>
        <w:ind w:left="0" w:firstLine="0"/>
      </w:pPr>
      <w:rPr>
        <w:rFonts w:ascii="Calibri" w:hAnsi="Calibri" w:hint="default"/>
        <w:b/>
        <w:i w:val="0"/>
        <w:vanish w:val="0"/>
        <w:color w:val="4D4D4D"/>
        <w:sz w:val="26"/>
      </w:rPr>
    </w:lvl>
    <w:lvl w:ilvl="3">
      <w:start w:val="1"/>
      <w:numFmt w:val="lowerLetter"/>
      <w:lvlRestart w:val="2"/>
      <w:lvlText w:val="(%4)"/>
      <w:lvlJc w:val="left"/>
      <w:pPr>
        <w:tabs>
          <w:tab w:val="num" w:pos="1008"/>
        </w:tabs>
        <w:ind w:left="1008" w:hanging="504"/>
      </w:pPr>
      <w:rPr>
        <w:rFonts w:ascii="Calibri" w:hAnsi="Calibri" w:hint="default"/>
        <w:b w:val="0"/>
        <w:i w:val="0"/>
        <w:vanish w:val="0"/>
        <w:color w:val="4D4D4D"/>
        <w:sz w:val="20"/>
        <w:szCs w:val="20"/>
      </w:rPr>
    </w:lvl>
    <w:lvl w:ilvl="4">
      <w:start w:val="1"/>
      <w:numFmt w:val="lowerRoman"/>
      <w:lvlText w:val="(%5)"/>
      <w:lvlJc w:val="left"/>
      <w:pPr>
        <w:tabs>
          <w:tab w:val="num" w:pos="1440"/>
        </w:tabs>
        <w:ind w:left="1440" w:hanging="432"/>
      </w:pPr>
      <w:rPr>
        <w:rFonts w:ascii="Calibri" w:hAnsi="Calibri" w:hint="default"/>
        <w:b w:val="0"/>
        <w:i w:val="0"/>
        <w:vanish w:val="0"/>
        <w:color w:val="404040"/>
        <w:sz w:val="20"/>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num w:numId="1" w16cid:durableId="1920551438">
    <w:abstractNumId w:val="27"/>
  </w:num>
  <w:num w:numId="2" w16cid:durableId="684017697">
    <w:abstractNumId w:val="27"/>
  </w:num>
  <w:num w:numId="3" w16cid:durableId="718431559">
    <w:abstractNumId w:val="12"/>
  </w:num>
  <w:num w:numId="4" w16cid:durableId="1248878576">
    <w:abstractNumId w:val="42"/>
  </w:num>
  <w:num w:numId="5" w16cid:durableId="1294823578">
    <w:abstractNumId w:val="38"/>
  </w:num>
  <w:num w:numId="6" w16cid:durableId="1600217124">
    <w:abstractNumId w:val="5"/>
  </w:num>
  <w:num w:numId="7" w16cid:durableId="357392244">
    <w:abstractNumId w:val="12"/>
  </w:num>
  <w:num w:numId="8" w16cid:durableId="2411814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44866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1765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36084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6822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13906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3346462">
    <w:abstractNumId w:val="45"/>
  </w:num>
  <w:num w:numId="15" w16cid:durableId="1582179176">
    <w:abstractNumId w:val="14"/>
  </w:num>
  <w:num w:numId="16" w16cid:durableId="1153838846">
    <w:abstractNumId w:val="15"/>
  </w:num>
  <w:num w:numId="17" w16cid:durableId="1914196348">
    <w:abstractNumId w:val="49"/>
  </w:num>
  <w:num w:numId="18" w16cid:durableId="1425496748">
    <w:abstractNumId w:val="4"/>
  </w:num>
  <w:num w:numId="19" w16cid:durableId="1847819557">
    <w:abstractNumId w:val="36"/>
  </w:num>
  <w:num w:numId="20" w16cid:durableId="1089961145">
    <w:abstractNumId w:val="33"/>
  </w:num>
  <w:num w:numId="21" w16cid:durableId="2054309289">
    <w:abstractNumId w:val="41"/>
  </w:num>
  <w:num w:numId="22" w16cid:durableId="1952474535">
    <w:abstractNumId w:val="39"/>
  </w:num>
  <w:num w:numId="23" w16cid:durableId="1777748332">
    <w:abstractNumId w:val="22"/>
  </w:num>
  <w:num w:numId="24" w16cid:durableId="1209218322">
    <w:abstractNumId w:val="35"/>
  </w:num>
  <w:num w:numId="25" w16cid:durableId="143860003">
    <w:abstractNumId w:val="9"/>
  </w:num>
  <w:num w:numId="26" w16cid:durableId="1520659097">
    <w:abstractNumId w:val="47"/>
  </w:num>
  <w:num w:numId="27" w16cid:durableId="1108815414">
    <w:abstractNumId w:val="2"/>
  </w:num>
  <w:num w:numId="28" w16cid:durableId="459104895">
    <w:abstractNumId w:val="20"/>
  </w:num>
  <w:num w:numId="29" w16cid:durableId="763500764">
    <w:abstractNumId w:val="19"/>
  </w:num>
  <w:num w:numId="30" w16cid:durableId="2120100194">
    <w:abstractNumId w:val="6"/>
  </w:num>
  <w:num w:numId="31" w16cid:durableId="2044134264">
    <w:abstractNumId w:val="0"/>
  </w:num>
  <w:num w:numId="32" w16cid:durableId="429938313">
    <w:abstractNumId w:val="40"/>
  </w:num>
  <w:num w:numId="33" w16cid:durableId="686252670">
    <w:abstractNumId w:val="25"/>
  </w:num>
  <w:num w:numId="34" w16cid:durableId="14555564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0081003">
    <w:abstractNumId w:val="21"/>
  </w:num>
  <w:num w:numId="36" w16cid:durableId="280890253">
    <w:abstractNumId w:val="3"/>
  </w:num>
  <w:num w:numId="37" w16cid:durableId="1766415698">
    <w:abstractNumId w:val="26"/>
  </w:num>
  <w:num w:numId="38" w16cid:durableId="306517680">
    <w:abstractNumId w:val="37"/>
  </w:num>
  <w:num w:numId="39" w16cid:durableId="1351371337">
    <w:abstractNumId w:val="43"/>
  </w:num>
  <w:num w:numId="40" w16cid:durableId="214590571">
    <w:abstractNumId w:val="8"/>
  </w:num>
  <w:num w:numId="41" w16cid:durableId="778990566">
    <w:abstractNumId w:val="11"/>
  </w:num>
  <w:num w:numId="42" w16cid:durableId="996497117">
    <w:abstractNumId w:val="44"/>
  </w:num>
  <w:num w:numId="43" w16cid:durableId="1153835481">
    <w:abstractNumId w:val="7"/>
  </w:num>
  <w:num w:numId="44" w16cid:durableId="1795096944">
    <w:abstractNumId w:val="18"/>
  </w:num>
  <w:num w:numId="45" w16cid:durableId="1127435326">
    <w:abstractNumId w:val="23"/>
  </w:num>
  <w:num w:numId="46" w16cid:durableId="279343273">
    <w:abstractNumId w:val="17"/>
  </w:num>
  <w:num w:numId="47" w16cid:durableId="473258515">
    <w:abstractNumId w:val="30"/>
  </w:num>
  <w:num w:numId="48" w16cid:durableId="1165899133">
    <w:abstractNumId w:val="13"/>
  </w:num>
  <w:num w:numId="49" w16cid:durableId="732854423">
    <w:abstractNumId w:val="10"/>
  </w:num>
  <w:num w:numId="50" w16cid:durableId="259026222">
    <w:abstractNumId w:val="28"/>
  </w:num>
  <w:num w:numId="51" w16cid:durableId="1028217210">
    <w:abstractNumId w:val="46"/>
  </w:num>
  <w:num w:numId="52" w16cid:durableId="655885903">
    <w:abstractNumId w:val="32"/>
  </w:num>
  <w:num w:numId="53" w16cid:durableId="673142158">
    <w:abstractNumId w:val="34"/>
  </w:num>
  <w:num w:numId="54" w16cid:durableId="2117482677">
    <w:abstractNumId w:val="16"/>
  </w:num>
  <w:num w:numId="55" w16cid:durableId="2099905159">
    <w:abstractNumId w:val="31"/>
  </w:num>
  <w:num w:numId="56" w16cid:durableId="2022314891">
    <w:abstractNumId w:val="1"/>
  </w:num>
  <w:num w:numId="57" w16cid:durableId="1849709845">
    <w:abstractNumId w:val="29"/>
  </w:num>
  <w:num w:numId="58" w16cid:durableId="1268998869">
    <w:abstractNumId w:val="48"/>
  </w:num>
  <w:num w:numId="59" w16cid:durableId="14060315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26034972">
    <w:abstractNumId w:val="29"/>
  </w:num>
  <w:num w:numId="61" w16cid:durableId="2013268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02888344">
    <w:abstractNumId w:val="50"/>
  </w:num>
  <w:num w:numId="63" w16cid:durableId="67194251">
    <w:abstractNumId w:val="48"/>
  </w:num>
  <w:num w:numId="64" w16cid:durableId="1556896141">
    <w:abstractNumId w:val="48"/>
  </w:num>
  <w:num w:numId="65" w16cid:durableId="1011949237">
    <w:abstractNumId w:val="24"/>
  </w:num>
  <w:num w:numId="66" w16cid:durableId="17878516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3847230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767366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475044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044126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63914769">
    <w:abstractNumId w:val="12"/>
  </w:num>
  <w:num w:numId="72" w16cid:durableId="613487690">
    <w:abstractNumId w:val="12"/>
  </w:num>
  <w:num w:numId="73" w16cid:durableId="797605050">
    <w:abstractNumId w:val="12"/>
  </w:num>
  <w:num w:numId="74" w16cid:durableId="433671261">
    <w:abstractNumId w:val="12"/>
  </w:num>
  <w:num w:numId="75" w16cid:durableId="675111261">
    <w:abstractNumId w:val="12"/>
  </w:num>
  <w:num w:numId="76" w16cid:durableId="13622394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4905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64529584">
    <w:abstractNumId w:val="12"/>
  </w:num>
  <w:num w:numId="79" w16cid:durableId="997076625">
    <w:abstractNumId w:val="1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removePersonalInformation/>
  <w:removeDateAndTime/>
  <w:proofState w:spelling="clean" w:grammar="clean"/>
  <w:stylePaneSortMethod w:val="0000"/>
  <w:defaultTabStop w:val="720"/>
  <w:defaultTableStyle w:val="LightShad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21"/>
    <w:rsid w:val="00003DDF"/>
    <w:rsid w:val="0001285A"/>
    <w:rsid w:val="00014665"/>
    <w:rsid w:val="00014C9E"/>
    <w:rsid w:val="00016AF2"/>
    <w:rsid w:val="00021238"/>
    <w:rsid w:val="00027215"/>
    <w:rsid w:val="00034829"/>
    <w:rsid w:val="0003572B"/>
    <w:rsid w:val="00035A5D"/>
    <w:rsid w:val="00035A70"/>
    <w:rsid w:val="00036004"/>
    <w:rsid w:val="00041426"/>
    <w:rsid w:val="00044F31"/>
    <w:rsid w:val="0004512F"/>
    <w:rsid w:val="00047AE7"/>
    <w:rsid w:val="000507F2"/>
    <w:rsid w:val="0005314C"/>
    <w:rsid w:val="00053D2D"/>
    <w:rsid w:val="00057376"/>
    <w:rsid w:val="0006001E"/>
    <w:rsid w:val="0006055B"/>
    <w:rsid w:val="00063C4F"/>
    <w:rsid w:val="00067E92"/>
    <w:rsid w:val="0007151D"/>
    <w:rsid w:val="00071FAC"/>
    <w:rsid w:val="0007235E"/>
    <w:rsid w:val="00073531"/>
    <w:rsid w:val="0007422D"/>
    <w:rsid w:val="000757E3"/>
    <w:rsid w:val="00080664"/>
    <w:rsid w:val="00080E6A"/>
    <w:rsid w:val="000810A5"/>
    <w:rsid w:val="00081C1E"/>
    <w:rsid w:val="00082A51"/>
    <w:rsid w:val="00083E65"/>
    <w:rsid w:val="0008438E"/>
    <w:rsid w:val="00084FF7"/>
    <w:rsid w:val="00085115"/>
    <w:rsid w:val="000858B4"/>
    <w:rsid w:val="00086FB5"/>
    <w:rsid w:val="00090594"/>
    <w:rsid w:val="00094434"/>
    <w:rsid w:val="00095839"/>
    <w:rsid w:val="0009619D"/>
    <w:rsid w:val="00097BB3"/>
    <w:rsid w:val="00097EC2"/>
    <w:rsid w:val="000A1C58"/>
    <w:rsid w:val="000A3C57"/>
    <w:rsid w:val="000A6A01"/>
    <w:rsid w:val="000B6429"/>
    <w:rsid w:val="000B64D3"/>
    <w:rsid w:val="000B6581"/>
    <w:rsid w:val="000B72FA"/>
    <w:rsid w:val="000B7C55"/>
    <w:rsid w:val="000C0645"/>
    <w:rsid w:val="000C438A"/>
    <w:rsid w:val="000C4E95"/>
    <w:rsid w:val="000C74D1"/>
    <w:rsid w:val="000D0353"/>
    <w:rsid w:val="000D1063"/>
    <w:rsid w:val="000D1194"/>
    <w:rsid w:val="000D2075"/>
    <w:rsid w:val="000D5891"/>
    <w:rsid w:val="000D6175"/>
    <w:rsid w:val="000E0DBA"/>
    <w:rsid w:val="000E127F"/>
    <w:rsid w:val="000E56A8"/>
    <w:rsid w:val="000E63F3"/>
    <w:rsid w:val="000E7B45"/>
    <w:rsid w:val="000F2C28"/>
    <w:rsid w:val="000F586B"/>
    <w:rsid w:val="000F5C9F"/>
    <w:rsid w:val="000F6867"/>
    <w:rsid w:val="000F7C3B"/>
    <w:rsid w:val="000F7D70"/>
    <w:rsid w:val="00101A6D"/>
    <w:rsid w:val="00103208"/>
    <w:rsid w:val="001037B5"/>
    <w:rsid w:val="0010395E"/>
    <w:rsid w:val="00103D6F"/>
    <w:rsid w:val="001041BB"/>
    <w:rsid w:val="00104E4A"/>
    <w:rsid w:val="0010673D"/>
    <w:rsid w:val="00107711"/>
    <w:rsid w:val="00115C6C"/>
    <w:rsid w:val="00123FD7"/>
    <w:rsid w:val="00124142"/>
    <w:rsid w:val="00132038"/>
    <w:rsid w:val="00134F3B"/>
    <w:rsid w:val="00135988"/>
    <w:rsid w:val="00135D4A"/>
    <w:rsid w:val="00141670"/>
    <w:rsid w:val="00145262"/>
    <w:rsid w:val="00146E38"/>
    <w:rsid w:val="001477AF"/>
    <w:rsid w:val="00151139"/>
    <w:rsid w:val="00151F54"/>
    <w:rsid w:val="00152100"/>
    <w:rsid w:val="00156F97"/>
    <w:rsid w:val="001640D5"/>
    <w:rsid w:val="001651C2"/>
    <w:rsid w:val="00165AF5"/>
    <w:rsid w:val="001701A1"/>
    <w:rsid w:val="00174B00"/>
    <w:rsid w:val="00177A90"/>
    <w:rsid w:val="00180DFF"/>
    <w:rsid w:val="001825A3"/>
    <w:rsid w:val="0018579B"/>
    <w:rsid w:val="00186412"/>
    <w:rsid w:val="00191364"/>
    <w:rsid w:val="001A09EE"/>
    <w:rsid w:val="001A2340"/>
    <w:rsid w:val="001A6B80"/>
    <w:rsid w:val="001A7359"/>
    <w:rsid w:val="001B1A6A"/>
    <w:rsid w:val="001B3524"/>
    <w:rsid w:val="001B3B07"/>
    <w:rsid w:val="001B54CF"/>
    <w:rsid w:val="001C0B55"/>
    <w:rsid w:val="001C15E5"/>
    <w:rsid w:val="001C18A1"/>
    <w:rsid w:val="001C2BA4"/>
    <w:rsid w:val="001C2C7A"/>
    <w:rsid w:val="001C2FF4"/>
    <w:rsid w:val="001C666D"/>
    <w:rsid w:val="001C74AF"/>
    <w:rsid w:val="001D3659"/>
    <w:rsid w:val="001D53D7"/>
    <w:rsid w:val="001D69B6"/>
    <w:rsid w:val="001D6A5E"/>
    <w:rsid w:val="001D6E9A"/>
    <w:rsid w:val="001E0043"/>
    <w:rsid w:val="001E15F6"/>
    <w:rsid w:val="001E1EC2"/>
    <w:rsid w:val="001E1F21"/>
    <w:rsid w:val="001E36EA"/>
    <w:rsid w:val="001E5F68"/>
    <w:rsid w:val="001F01B4"/>
    <w:rsid w:val="001F26B4"/>
    <w:rsid w:val="002004EC"/>
    <w:rsid w:val="00200A54"/>
    <w:rsid w:val="002020A1"/>
    <w:rsid w:val="00202F8A"/>
    <w:rsid w:val="0020435D"/>
    <w:rsid w:val="0020760E"/>
    <w:rsid w:val="00213216"/>
    <w:rsid w:val="002149B6"/>
    <w:rsid w:val="00215B14"/>
    <w:rsid w:val="00216F67"/>
    <w:rsid w:val="002177BE"/>
    <w:rsid w:val="002204B9"/>
    <w:rsid w:val="00222F56"/>
    <w:rsid w:val="00223CCB"/>
    <w:rsid w:val="00224ADF"/>
    <w:rsid w:val="00226D13"/>
    <w:rsid w:val="00230997"/>
    <w:rsid w:val="0023394A"/>
    <w:rsid w:val="00233F94"/>
    <w:rsid w:val="00235F80"/>
    <w:rsid w:val="00243606"/>
    <w:rsid w:val="00244A4A"/>
    <w:rsid w:val="00247178"/>
    <w:rsid w:val="00251893"/>
    <w:rsid w:val="00254D2A"/>
    <w:rsid w:val="002573FD"/>
    <w:rsid w:val="00267B19"/>
    <w:rsid w:val="00275EF1"/>
    <w:rsid w:val="00276489"/>
    <w:rsid w:val="00277A25"/>
    <w:rsid w:val="00285E9B"/>
    <w:rsid w:val="002872E5"/>
    <w:rsid w:val="002873A2"/>
    <w:rsid w:val="002909DF"/>
    <w:rsid w:val="00292A48"/>
    <w:rsid w:val="00295803"/>
    <w:rsid w:val="00296508"/>
    <w:rsid w:val="00297C6F"/>
    <w:rsid w:val="002A1787"/>
    <w:rsid w:val="002A255D"/>
    <w:rsid w:val="002A4101"/>
    <w:rsid w:val="002A4BEA"/>
    <w:rsid w:val="002B2BD5"/>
    <w:rsid w:val="002B5B3B"/>
    <w:rsid w:val="002B6267"/>
    <w:rsid w:val="002B6C22"/>
    <w:rsid w:val="002C08CE"/>
    <w:rsid w:val="002C1942"/>
    <w:rsid w:val="002C7A8D"/>
    <w:rsid w:val="002D01B5"/>
    <w:rsid w:val="002D3AFE"/>
    <w:rsid w:val="002E0375"/>
    <w:rsid w:val="002E0652"/>
    <w:rsid w:val="002E09AD"/>
    <w:rsid w:val="002E24BC"/>
    <w:rsid w:val="002E25F8"/>
    <w:rsid w:val="002E5999"/>
    <w:rsid w:val="002E5C0A"/>
    <w:rsid w:val="002E6527"/>
    <w:rsid w:val="002E6604"/>
    <w:rsid w:val="002F1461"/>
    <w:rsid w:val="002F3B50"/>
    <w:rsid w:val="002F46D1"/>
    <w:rsid w:val="002F5BA8"/>
    <w:rsid w:val="00302D01"/>
    <w:rsid w:val="003039BB"/>
    <w:rsid w:val="00303DBA"/>
    <w:rsid w:val="00305598"/>
    <w:rsid w:val="003056F4"/>
    <w:rsid w:val="0030686B"/>
    <w:rsid w:val="00310A77"/>
    <w:rsid w:val="0031158C"/>
    <w:rsid w:val="003123F0"/>
    <w:rsid w:val="00322C98"/>
    <w:rsid w:val="00325257"/>
    <w:rsid w:val="0033002B"/>
    <w:rsid w:val="003319CE"/>
    <w:rsid w:val="00331BDF"/>
    <w:rsid w:val="00334F00"/>
    <w:rsid w:val="00334FFF"/>
    <w:rsid w:val="003366B1"/>
    <w:rsid w:val="00337A5F"/>
    <w:rsid w:val="00343589"/>
    <w:rsid w:val="00346844"/>
    <w:rsid w:val="0035233B"/>
    <w:rsid w:val="00355C93"/>
    <w:rsid w:val="00362CCB"/>
    <w:rsid w:val="00364750"/>
    <w:rsid w:val="003650E7"/>
    <w:rsid w:val="00371560"/>
    <w:rsid w:val="00372655"/>
    <w:rsid w:val="00373158"/>
    <w:rsid w:val="0037321C"/>
    <w:rsid w:val="003736C2"/>
    <w:rsid w:val="00373B81"/>
    <w:rsid w:val="0037571A"/>
    <w:rsid w:val="00381042"/>
    <w:rsid w:val="00381F1E"/>
    <w:rsid w:val="00382445"/>
    <w:rsid w:val="00382BCD"/>
    <w:rsid w:val="0038435B"/>
    <w:rsid w:val="003849EA"/>
    <w:rsid w:val="003865F8"/>
    <w:rsid w:val="00387C89"/>
    <w:rsid w:val="00391959"/>
    <w:rsid w:val="00391F57"/>
    <w:rsid w:val="003A3041"/>
    <w:rsid w:val="003A4DEE"/>
    <w:rsid w:val="003B05C5"/>
    <w:rsid w:val="003B0C20"/>
    <w:rsid w:val="003B1F72"/>
    <w:rsid w:val="003B5CCA"/>
    <w:rsid w:val="003C0FC3"/>
    <w:rsid w:val="003C1D77"/>
    <w:rsid w:val="003C2B3F"/>
    <w:rsid w:val="003C2DC5"/>
    <w:rsid w:val="003D0A98"/>
    <w:rsid w:val="003D0E95"/>
    <w:rsid w:val="003D20FE"/>
    <w:rsid w:val="003D25F5"/>
    <w:rsid w:val="003D261A"/>
    <w:rsid w:val="003D270E"/>
    <w:rsid w:val="003D4283"/>
    <w:rsid w:val="003D4594"/>
    <w:rsid w:val="003D51A1"/>
    <w:rsid w:val="003D6AF2"/>
    <w:rsid w:val="003E23A9"/>
    <w:rsid w:val="003E2635"/>
    <w:rsid w:val="003E3275"/>
    <w:rsid w:val="003E32AE"/>
    <w:rsid w:val="003E4680"/>
    <w:rsid w:val="003F1D15"/>
    <w:rsid w:val="003F2B2A"/>
    <w:rsid w:val="003F5E78"/>
    <w:rsid w:val="003F62AD"/>
    <w:rsid w:val="003F67E6"/>
    <w:rsid w:val="003F7F1D"/>
    <w:rsid w:val="00405C8F"/>
    <w:rsid w:val="0040711D"/>
    <w:rsid w:val="00410F60"/>
    <w:rsid w:val="00411F86"/>
    <w:rsid w:val="00416559"/>
    <w:rsid w:val="00420D8E"/>
    <w:rsid w:val="00421836"/>
    <w:rsid w:val="00421E9C"/>
    <w:rsid w:val="0043047D"/>
    <w:rsid w:val="0043458F"/>
    <w:rsid w:val="0043750B"/>
    <w:rsid w:val="00440814"/>
    <w:rsid w:val="004426B0"/>
    <w:rsid w:val="00442F0A"/>
    <w:rsid w:val="00446E6B"/>
    <w:rsid w:val="0045037B"/>
    <w:rsid w:val="00451578"/>
    <w:rsid w:val="004522C8"/>
    <w:rsid w:val="004546DE"/>
    <w:rsid w:val="00456AED"/>
    <w:rsid w:val="004605D6"/>
    <w:rsid w:val="0046289D"/>
    <w:rsid w:val="0046579E"/>
    <w:rsid w:val="004671C4"/>
    <w:rsid w:val="00467874"/>
    <w:rsid w:val="00484733"/>
    <w:rsid w:val="00487167"/>
    <w:rsid w:val="00487808"/>
    <w:rsid w:val="004A1C34"/>
    <w:rsid w:val="004A75A7"/>
    <w:rsid w:val="004B0A85"/>
    <w:rsid w:val="004B163C"/>
    <w:rsid w:val="004B51A4"/>
    <w:rsid w:val="004B6922"/>
    <w:rsid w:val="004B7707"/>
    <w:rsid w:val="004C3191"/>
    <w:rsid w:val="004C3F56"/>
    <w:rsid w:val="004C3FF2"/>
    <w:rsid w:val="004C4E61"/>
    <w:rsid w:val="004D03A9"/>
    <w:rsid w:val="004D0662"/>
    <w:rsid w:val="004E179F"/>
    <w:rsid w:val="004E26DB"/>
    <w:rsid w:val="004E4EF3"/>
    <w:rsid w:val="004E5048"/>
    <w:rsid w:val="004F12BA"/>
    <w:rsid w:val="004F242B"/>
    <w:rsid w:val="0050253A"/>
    <w:rsid w:val="005074C0"/>
    <w:rsid w:val="00510D0E"/>
    <w:rsid w:val="00511A0B"/>
    <w:rsid w:val="00512760"/>
    <w:rsid w:val="00513D07"/>
    <w:rsid w:val="005142DB"/>
    <w:rsid w:val="00514755"/>
    <w:rsid w:val="00521287"/>
    <w:rsid w:val="00521496"/>
    <w:rsid w:val="00521853"/>
    <w:rsid w:val="00523824"/>
    <w:rsid w:val="00523DE9"/>
    <w:rsid w:val="00526479"/>
    <w:rsid w:val="00530B94"/>
    <w:rsid w:val="0053603D"/>
    <w:rsid w:val="005365CF"/>
    <w:rsid w:val="00540475"/>
    <w:rsid w:val="00546A49"/>
    <w:rsid w:val="00547D45"/>
    <w:rsid w:val="00551D57"/>
    <w:rsid w:val="0055402B"/>
    <w:rsid w:val="005549C2"/>
    <w:rsid w:val="00555D15"/>
    <w:rsid w:val="00556C27"/>
    <w:rsid w:val="005576D7"/>
    <w:rsid w:val="00572815"/>
    <w:rsid w:val="0058666C"/>
    <w:rsid w:val="00587DDD"/>
    <w:rsid w:val="005907A2"/>
    <w:rsid w:val="00594BAA"/>
    <w:rsid w:val="005A2095"/>
    <w:rsid w:val="005A45A8"/>
    <w:rsid w:val="005A6537"/>
    <w:rsid w:val="005A66A4"/>
    <w:rsid w:val="005A7180"/>
    <w:rsid w:val="005A734A"/>
    <w:rsid w:val="005B73D3"/>
    <w:rsid w:val="005C3323"/>
    <w:rsid w:val="005C4899"/>
    <w:rsid w:val="005C52CB"/>
    <w:rsid w:val="005C6A18"/>
    <w:rsid w:val="005C6EC6"/>
    <w:rsid w:val="005C73EC"/>
    <w:rsid w:val="005D1BFB"/>
    <w:rsid w:val="005D322C"/>
    <w:rsid w:val="005D385A"/>
    <w:rsid w:val="005D3B32"/>
    <w:rsid w:val="005D468A"/>
    <w:rsid w:val="005D491F"/>
    <w:rsid w:val="005D4F16"/>
    <w:rsid w:val="005E56E2"/>
    <w:rsid w:val="005F0157"/>
    <w:rsid w:val="005F2784"/>
    <w:rsid w:val="00604CEC"/>
    <w:rsid w:val="0060737F"/>
    <w:rsid w:val="006110FB"/>
    <w:rsid w:val="00612621"/>
    <w:rsid w:val="00615519"/>
    <w:rsid w:val="0062139E"/>
    <w:rsid w:val="00622BAB"/>
    <w:rsid w:val="00626F26"/>
    <w:rsid w:val="00627782"/>
    <w:rsid w:val="00633339"/>
    <w:rsid w:val="00637608"/>
    <w:rsid w:val="00640BA8"/>
    <w:rsid w:val="00641A6B"/>
    <w:rsid w:val="00647858"/>
    <w:rsid w:val="00650081"/>
    <w:rsid w:val="00651183"/>
    <w:rsid w:val="00651B28"/>
    <w:rsid w:val="006629C7"/>
    <w:rsid w:val="00667BAC"/>
    <w:rsid w:val="00671A1A"/>
    <w:rsid w:val="00676D30"/>
    <w:rsid w:val="00682CDF"/>
    <w:rsid w:val="00682E21"/>
    <w:rsid w:val="00684BDE"/>
    <w:rsid w:val="00685D11"/>
    <w:rsid w:val="00686970"/>
    <w:rsid w:val="00694786"/>
    <w:rsid w:val="00694DB4"/>
    <w:rsid w:val="00695F74"/>
    <w:rsid w:val="006A0812"/>
    <w:rsid w:val="006A1132"/>
    <w:rsid w:val="006A1398"/>
    <w:rsid w:val="006A252A"/>
    <w:rsid w:val="006A2650"/>
    <w:rsid w:val="006A4B5E"/>
    <w:rsid w:val="006A5C51"/>
    <w:rsid w:val="006B7963"/>
    <w:rsid w:val="006C2D26"/>
    <w:rsid w:val="006C6402"/>
    <w:rsid w:val="006C69DD"/>
    <w:rsid w:val="006C7AA8"/>
    <w:rsid w:val="006D2117"/>
    <w:rsid w:val="006D4097"/>
    <w:rsid w:val="006D444A"/>
    <w:rsid w:val="006E07A1"/>
    <w:rsid w:val="006E7F26"/>
    <w:rsid w:val="006F0214"/>
    <w:rsid w:val="006F04B8"/>
    <w:rsid w:val="006F0811"/>
    <w:rsid w:val="006F5A2C"/>
    <w:rsid w:val="006F696F"/>
    <w:rsid w:val="006F766C"/>
    <w:rsid w:val="007013DC"/>
    <w:rsid w:val="00701EDE"/>
    <w:rsid w:val="007039BD"/>
    <w:rsid w:val="00705185"/>
    <w:rsid w:val="00710C3A"/>
    <w:rsid w:val="007110E5"/>
    <w:rsid w:val="007117A3"/>
    <w:rsid w:val="00712A91"/>
    <w:rsid w:val="0071384D"/>
    <w:rsid w:val="00714838"/>
    <w:rsid w:val="00714FC9"/>
    <w:rsid w:val="007165C5"/>
    <w:rsid w:val="00721116"/>
    <w:rsid w:val="00724E3A"/>
    <w:rsid w:val="00725C77"/>
    <w:rsid w:val="00727E2D"/>
    <w:rsid w:val="0073060B"/>
    <w:rsid w:val="00731778"/>
    <w:rsid w:val="00732422"/>
    <w:rsid w:val="00732B5D"/>
    <w:rsid w:val="0073345E"/>
    <w:rsid w:val="00733D22"/>
    <w:rsid w:val="00735CBE"/>
    <w:rsid w:val="00740AAD"/>
    <w:rsid w:val="0074769C"/>
    <w:rsid w:val="00747BFB"/>
    <w:rsid w:val="00757BBA"/>
    <w:rsid w:val="00760437"/>
    <w:rsid w:val="007618A0"/>
    <w:rsid w:val="00761FF5"/>
    <w:rsid w:val="00766D24"/>
    <w:rsid w:val="00770497"/>
    <w:rsid w:val="0077056E"/>
    <w:rsid w:val="00771687"/>
    <w:rsid w:val="0077267B"/>
    <w:rsid w:val="007732D7"/>
    <w:rsid w:val="00773CA5"/>
    <w:rsid w:val="007765A7"/>
    <w:rsid w:val="007833A0"/>
    <w:rsid w:val="00785009"/>
    <w:rsid w:val="00790662"/>
    <w:rsid w:val="0079200B"/>
    <w:rsid w:val="00795042"/>
    <w:rsid w:val="007961CA"/>
    <w:rsid w:val="007A0856"/>
    <w:rsid w:val="007A2583"/>
    <w:rsid w:val="007B2CFF"/>
    <w:rsid w:val="007B2D7B"/>
    <w:rsid w:val="007B5E4D"/>
    <w:rsid w:val="007C1F1A"/>
    <w:rsid w:val="007C3E42"/>
    <w:rsid w:val="007C584C"/>
    <w:rsid w:val="007C5C04"/>
    <w:rsid w:val="007C5F32"/>
    <w:rsid w:val="007C6BE4"/>
    <w:rsid w:val="007C79B6"/>
    <w:rsid w:val="007D1096"/>
    <w:rsid w:val="007D2C80"/>
    <w:rsid w:val="007D3050"/>
    <w:rsid w:val="007D43C6"/>
    <w:rsid w:val="007E29BF"/>
    <w:rsid w:val="007E6032"/>
    <w:rsid w:val="007F1C65"/>
    <w:rsid w:val="007F3F3E"/>
    <w:rsid w:val="007F51B6"/>
    <w:rsid w:val="007F5BE8"/>
    <w:rsid w:val="007F5F03"/>
    <w:rsid w:val="007F6050"/>
    <w:rsid w:val="007F74B6"/>
    <w:rsid w:val="00801C8F"/>
    <w:rsid w:val="00805BEA"/>
    <w:rsid w:val="008072F9"/>
    <w:rsid w:val="00807932"/>
    <w:rsid w:val="00811C59"/>
    <w:rsid w:val="00813395"/>
    <w:rsid w:val="00813A1A"/>
    <w:rsid w:val="00813BF4"/>
    <w:rsid w:val="00816A99"/>
    <w:rsid w:val="00820DCB"/>
    <w:rsid w:val="008216F2"/>
    <w:rsid w:val="00821BC3"/>
    <w:rsid w:val="00823B36"/>
    <w:rsid w:val="00826168"/>
    <w:rsid w:val="00827537"/>
    <w:rsid w:val="008360AB"/>
    <w:rsid w:val="00841653"/>
    <w:rsid w:val="00842BF8"/>
    <w:rsid w:val="00847878"/>
    <w:rsid w:val="00853216"/>
    <w:rsid w:val="008533A0"/>
    <w:rsid w:val="0085469D"/>
    <w:rsid w:val="008554BD"/>
    <w:rsid w:val="00855D4F"/>
    <w:rsid w:val="00856CE7"/>
    <w:rsid w:val="00857187"/>
    <w:rsid w:val="00857786"/>
    <w:rsid w:val="00857C3B"/>
    <w:rsid w:val="008600F7"/>
    <w:rsid w:val="008624BD"/>
    <w:rsid w:val="008648A7"/>
    <w:rsid w:val="00865A16"/>
    <w:rsid w:val="008734C7"/>
    <w:rsid w:val="00873C55"/>
    <w:rsid w:val="00873E1B"/>
    <w:rsid w:val="00875C0D"/>
    <w:rsid w:val="00882004"/>
    <w:rsid w:val="00882B89"/>
    <w:rsid w:val="008836BB"/>
    <w:rsid w:val="00884B57"/>
    <w:rsid w:val="00892DB7"/>
    <w:rsid w:val="00897B8F"/>
    <w:rsid w:val="008A0333"/>
    <w:rsid w:val="008A1F51"/>
    <w:rsid w:val="008A257D"/>
    <w:rsid w:val="008A4A8D"/>
    <w:rsid w:val="008A58A7"/>
    <w:rsid w:val="008B09D8"/>
    <w:rsid w:val="008B3424"/>
    <w:rsid w:val="008B51D4"/>
    <w:rsid w:val="008C1DB5"/>
    <w:rsid w:val="008C28EB"/>
    <w:rsid w:val="008C3B76"/>
    <w:rsid w:val="008C424A"/>
    <w:rsid w:val="008C62B2"/>
    <w:rsid w:val="008C66E0"/>
    <w:rsid w:val="008C6F0B"/>
    <w:rsid w:val="008C7E91"/>
    <w:rsid w:val="008D2C8A"/>
    <w:rsid w:val="008D4AA3"/>
    <w:rsid w:val="008D523A"/>
    <w:rsid w:val="008D73E7"/>
    <w:rsid w:val="008E2D40"/>
    <w:rsid w:val="008E5096"/>
    <w:rsid w:val="008E50F7"/>
    <w:rsid w:val="008F32F2"/>
    <w:rsid w:val="008F3E4B"/>
    <w:rsid w:val="008F5DB9"/>
    <w:rsid w:val="009014E8"/>
    <w:rsid w:val="00901DC1"/>
    <w:rsid w:val="00901FB9"/>
    <w:rsid w:val="00903A08"/>
    <w:rsid w:val="00906CEA"/>
    <w:rsid w:val="00910546"/>
    <w:rsid w:val="0091382A"/>
    <w:rsid w:val="00914439"/>
    <w:rsid w:val="0092089D"/>
    <w:rsid w:val="009269EA"/>
    <w:rsid w:val="00930399"/>
    <w:rsid w:val="00930796"/>
    <w:rsid w:val="009320B1"/>
    <w:rsid w:val="009324AC"/>
    <w:rsid w:val="0093325A"/>
    <w:rsid w:val="009336DB"/>
    <w:rsid w:val="00933DB9"/>
    <w:rsid w:val="00937F81"/>
    <w:rsid w:val="009478EF"/>
    <w:rsid w:val="0095107A"/>
    <w:rsid w:val="009522B2"/>
    <w:rsid w:val="00952900"/>
    <w:rsid w:val="009545C4"/>
    <w:rsid w:val="009547CB"/>
    <w:rsid w:val="00957C85"/>
    <w:rsid w:val="00960B76"/>
    <w:rsid w:val="00961886"/>
    <w:rsid w:val="0096254F"/>
    <w:rsid w:val="009646BE"/>
    <w:rsid w:val="00967ADA"/>
    <w:rsid w:val="00967BC6"/>
    <w:rsid w:val="00970EC4"/>
    <w:rsid w:val="0097386D"/>
    <w:rsid w:val="009742CC"/>
    <w:rsid w:val="00977E80"/>
    <w:rsid w:val="00980C60"/>
    <w:rsid w:val="00981754"/>
    <w:rsid w:val="009848A6"/>
    <w:rsid w:val="009913B7"/>
    <w:rsid w:val="009A13C7"/>
    <w:rsid w:val="009A1876"/>
    <w:rsid w:val="009A1D45"/>
    <w:rsid w:val="009A3739"/>
    <w:rsid w:val="009A4A64"/>
    <w:rsid w:val="009A520E"/>
    <w:rsid w:val="009A7441"/>
    <w:rsid w:val="009B19A3"/>
    <w:rsid w:val="009B2A10"/>
    <w:rsid w:val="009B4ABF"/>
    <w:rsid w:val="009B4D26"/>
    <w:rsid w:val="009B63FD"/>
    <w:rsid w:val="009C0709"/>
    <w:rsid w:val="009C355A"/>
    <w:rsid w:val="009C40D4"/>
    <w:rsid w:val="009D16F8"/>
    <w:rsid w:val="009D33EB"/>
    <w:rsid w:val="009E13CF"/>
    <w:rsid w:val="009E38E3"/>
    <w:rsid w:val="009E56AD"/>
    <w:rsid w:val="009F1753"/>
    <w:rsid w:val="009F1E34"/>
    <w:rsid w:val="009F7DFC"/>
    <w:rsid w:val="00A03334"/>
    <w:rsid w:val="00A135A3"/>
    <w:rsid w:val="00A1606E"/>
    <w:rsid w:val="00A16B00"/>
    <w:rsid w:val="00A17442"/>
    <w:rsid w:val="00A174D6"/>
    <w:rsid w:val="00A1796D"/>
    <w:rsid w:val="00A17D9E"/>
    <w:rsid w:val="00A17E7A"/>
    <w:rsid w:val="00A21F60"/>
    <w:rsid w:val="00A23FF5"/>
    <w:rsid w:val="00A27D3C"/>
    <w:rsid w:val="00A308AC"/>
    <w:rsid w:val="00A31F69"/>
    <w:rsid w:val="00A34944"/>
    <w:rsid w:val="00A36EB2"/>
    <w:rsid w:val="00A41006"/>
    <w:rsid w:val="00A429C4"/>
    <w:rsid w:val="00A476DC"/>
    <w:rsid w:val="00A51D3D"/>
    <w:rsid w:val="00A53394"/>
    <w:rsid w:val="00A61A36"/>
    <w:rsid w:val="00A64FEE"/>
    <w:rsid w:val="00A665F6"/>
    <w:rsid w:val="00A73525"/>
    <w:rsid w:val="00A737A4"/>
    <w:rsid w:val="00A7576E"/>
    <w:rsid w:val="00A84208"/>
    <w:rsid w:val="00A911A4"/>
    <w:rsid w:val="00A94F43"/>
    <w:rsid w:val="00A9606F"/>
    <w:rsid w:val="00AA53C0"/>
    <w:rsid w:val="00AA64BE"/>
    <w:rsid w:val="00AA7F9E"/>
    <w:rsid w:val="00AB772B"/>
    <w:rsid w:val="00AC6010"/>
    <w:rsid w:val="00AC78EB"/>
    <w:rsid w:val="00AD36F7"/>
    <w:rsid w:val="00AD4242"/>
    <w:rsid w:val="00AE0BAB"/>
    <w:rsid w:val="00AE38FB"/>
    <w:rsid w:val="00AE394F"/>
    <w:rsid w:val="00AE7757"/>
    <w:rsid w:val="00AF2186"/>
    <w:rsid w:val="00AF27A0"/>
    <w:rsid w:val="00AF3493"/>
    <w:rsid w:val="00AF408C"/>
    <w:rsid w:val="00AF62E6"/>
    <w:rsid w:val="00AF7D21"/>
    <w:rsid w:val="00B04651"/>
    <w:rsid w:val="00B04C5C"/>
    <w:rsid w:val="00B06E70"/>
    <w:rsid w:val="00B074BC"/>
    <w:rsid w:val="00B10682"/>
    <w:rsid w:val="00B12060"/>
    <w:rsid w:val="00B13E86"/>
    <w:rsid w:val="00B1439A"/>
    <w:rsid w:val="00B15CCF"/>
    <w:rsid w:val="00B24957"/>
    <w:rsid w:val="00B25A8F"/>
    <w:rsid w:val="00B300CD"/>
    <w:rsid w:val="00B311F7"/>
    <w:rsid w:val="00B32558"/>
    <w:rsid w:val="00B37958"/>
    <w:rsid w:val="00B37BA1"/>
    <w:rsid w:val="00B407E8"/>
    <w:rsid w:val="00B4166A"/>
    <w:rsid w:val="00B42ED5"/>
    <w:rsid w:val="00B43D5F"/>
    <w:rsid w:val="00B458A8"/>
    <w:rsid w:val="00B558C5"/>
    <w:rsid w:val="00B60C67"/>
    <w:rsid w:val="00B610DE"/>
    <w:rsid w:val="00B64D93"/>
    <w:rsid w:val="00B65B69"/>
    <w:rsid w:val="00B67C4E"/>
    <w:rsid w:val="00B67DFC"/>
    <w:rsid w:val="00B7600E"/>
    <w:rsid w:val="00B7639C"/>
    <w:rsid w:val="00B767E0"/>
    <w:rsid w:val="00B76B11"/>
    <w:rsid w:val="00B81295"/>
    <w:rsid w:val="00B85F99"/>
    <w:rsid w:val="00B874A7"/>
    <w:rsid w:val="00B91583"/>
    <w:rsid w:val="00B921C9"/>
    <w:rsid w:val="00B935BC"/>
    <w:rsid w:val="00B9410D"/>
    <w:rsid w:val="00B95104"/>
    <w:rsid w:val="00B9604F"/>
    <w:rsid w:val="00B96156"/>
    <w:rsid w:val="00B964DC"/>
    <w:rsid w:val="00B9798D"/>
    <w:rsid w:val="00BA055E"/>
    <w:rsid w:val="00BA3CD7"/>
    <w:rsid w:val="00BA68A9"/>
    <w:rsid w:val="00BA7A7E"/>
    <w:rsid w:val="00BB0A50"/>
    <w:rsid w:val="00BB275B"/>
    <w:rsid w:val="00BC0D2B"/>
    <w:rsid w:val="00BC2C92"/>
    <w:rsid w:val="00BD0889"/>
    <w:rsid w:val="00BD2863"/>
    <w:rsid w:val="00BD52D3"/>
    <w:rsid w:val="00BD52ED"/>
    <w:rsid w:val="00BE0386"/>
    <w:rsid w:val="00BE1A88"/>
    <w:rsid w:val="00BE3A19"/>
    <w:rsid w:val="00BE3E1E"/>
    <w:rsid w:val="00BE7CEB"/>
    <w:rsid w:val="00BF0DD9"/>
    <w:rsid w:val="00BF5CCF"/>
    <w:rsid w:val="00C00962"/>
    <w:rsid w:val="00C00D28"/>
    <w:rsid w:val="00C1159F"/>
    <w:rsid w:val="00C124C0"/>
    <w:rsid w:val="00C155F1"/>
    <w:rsid w:val="00C15EE0"/>
    <w:rsid w:val="00C2112A"/>
    <w:rsid w:val="00C21D57"/>
    <w:rsid w:val="00C221C4"/>
    <w:rsid w:val="00C239BA"/>
    <w:rsid w:val="00C244E3"/>
    <w:rsid w:val="00C24C63"/>
    <w:rsid w:val="00C27AD2"/>
    <w:rsid w:val="00C33C10"/>
    <w:rsid w:val="00C3519F"/>
    <w:rsid w:val="00C37A5E"/>
    <w:rsid w:val="00C402E5"/>
    <w:rsid w:val="00C43DDD"/>
    <w:rsid w:val="00C467E3"/>
    <w:rsid w:val="00C507DB"/>
    <w:rsid w:val="00C51872"/>
    <w:rsid w:val="00C52BF9"/>
    <w:rsid w:val="00C543D3"/>
    <w:rsid w:val="00C5696D"/>
    <w:rsid w:val="00C6020D"/>
    <w:rsid w:val="00C6083D"/>
    <w:rsid w:val="00C60F0E"/>
    <w:rsid w:val="00C617C9"/>
    <w:rsid w:val="00C63272"/>
    <w:rsid w:val="00C63CA8"/>
    <w:rsid w:val="00C6560D"/>
    <w:rsid w:val="00C70EA4"/>
    <w:rsid w:val="00C73599"/>
    <w:rsid w:val="00C73CDC"/>
    <w:rsid w:val="00C75B31"/>
    <w:rsid w:val="00C76642"/>
    <w:rsid w:val="00C7752E"/>
    <w:rsid w:val="00C8052C"/>
    <w:rsid w:val="00C80E29"/>
    <w:rsid w:val="00C8381A"/>
    <w:rsid w:val="00C851FD"/>
    <w:rsid w:val="00C85A86"/>
    <w:rsid w:val="00C85E4D"/>
    <w:rsid w:val="00C90E50"/>
    <w:rsid w:val="00C94216"/>
    <w:rsid w:val="00C967E0"/>
    <w:rsid w:val="00CA1B29"/>
    <w:rsid w:val="00CA3055"/>
    <w:rsid w:val="00CA3D3B"/>
    <w:rsid w:val="00CA60A9"/>
    <w:rsid w:val="00CA6417"/>
    <w:rsid w:val="00CB0198"/>
    <w:rsid w:val="00CB2DCD"/>
    <w:rsid w:val="00CB3AB2"/>
    <w:rsid w:val="00CB3EE2"/>
    <w:rsid w:val="00CB5ECF"/>
    <w:rsid w:val="00CC0A96"/>
    <w:rsid w:val="00CC0DE6"/>
    <w:rsid w:val="00CC2BA9"/>
    <w:rsid w:val="00CC4A8C"/>
    <w:rsid w:val="00CC5B6C"/>
    <w:rsid w:val="00CC7696"/>
    <w:rsid w:val="00CC7C39"/>
    <w:rsid w:val="00CC7CB7"/>
    <w:rsid w:val="00CD1608"/>
    <w:rsid w:val="00CD24F5"/>
    <w:rsid w:val="00CD32AD"/>
    <w:rsid w:val="00CD3813"/>
    <w:rsid w:val="00CD5A74"/>
    <w:rsid w:val="00CD5F6C"/>
    <w:rsid w:val="00CD6503"/>
    <w:rsid w:val="00CD66BF"/>
    <w:rsid w:val="00CE0CD8"/>
    <w:rsid w:val="00CE2BDD"/>
    <w:rsid w:val="00CE44C6"/>
    <w:rsid w:val="00CF0831"/>
    <w:rsid w:val="00CF20CD"/>
    <w:rsid w:val="00CF2B85"/>
    <w:rsid w:val="00CF30F7"/>
    <w:rsid w:val="00CF40A4"/>
    <w:rsid w:val="00CF48C1"/>
    <w:rsid w:val="00CF4E13"/>
    <w:rsid w:val="00CF6CC0"/>
    <w:rsid w:val="00D02A61"/>
    <w:rsid w:val="00D02AC3"/>
    <w:rsid w:val="00D02F39"/>
    <w:rsid w:val="00D110C8"/>
    <w:rsid w:val="00D11D85"/>
    <w:rsid w:val="00D134D5"/>
    <w:rsid w:val="00D14159"/>
    <w:rsid w:val="00D14502"/>
    <w:rsid w:val="00D14E07"/>
    <w:rsid w:val="00D16172"/>
    <w:rsid w:val="00D1705F"/>
    <w:rsid w:val="00D22E56"/>
    <w:rsid w:val="00D22F8C"/>
    <w:rsid w:val="00D2397E"/>
    <w:rsid w:val="00D25082"/>
    <w:rsid w:val="00D30210"/>
    <w:rsid w:val="00D305CD"/>
    <w:rsid w:val="00D31C46"/>
    <w:rsid w:val="00D31F8D"/>
    <w:rsid w:val="00D34EA8"/>
    <w:rsid w:val="00D44421"/>
    <w:rsid w:val="00D44A3F"/>
    <w:rsid w:val="00D45E4A"/>
    <w:rsid w:val="00D47648"/>
    <w:rsid w:val="00D562DD"/>
    <w:rsid w:val="00D60187"/>
    <w:rsid w:val="00D6030D"/>
    <w:rsid w:val="00D6216B"/>
    <w:rsid w:val="00D6506B"/>
    <w:rsid w:val="00D65359"/>
    <w:rsid w:val="00D66E2B"/>
    <w:rsid w:val="00D70393"/>
    <w:rsid w:val="00D708EA"/>
    <w:rsid w:val="00D75BFF"/>
    <w:rsid w:val="00D82009"/>
    <w:rsid w:val="00D8723F"/>
    <w:rsid w:val="00D909DC"/>
    <w:rsid w:val="00D9594B"/>
    <w:rsid w:val="00DA01E9"/>
    <w:rsid w:val="00DA3D6F"/>
    <w:rsid w:val="00DA5177"/>
    <w:rsid w:val="00DA53F9"/>
    <w:rsid w:val="00DA5B1C"/>
    <w:rsid w:val="00DB2D7D"/>
    <w:rsid w:val="00DB427C"/>
    <w:rsid w:val="00DB6EB4"/>
    <w:rsid w:val="00DB7E15"/>
    <w:rsid w:val="00DC1B5E"/>
    <w:rsid w:val="00DC270D"/>
    <w:rsid w:val="00DC4268"/>
    <w:rsid w:val="00DC488D"/>
    <w:rsid w:val="00DC5A6F"/>
    <w:rsid w:val="00DC6C6D"/>
    <w:rsid w:val="00DD1BED"/>
    <w:rsid w:val="00DD254C"/>
    <w:rsid w:val="00DD5768"/>
    <w:rsid w:val="00DD61DE"/>
    <w:rsid w:val="00DE2350"/>
    <w:rsid w:val="00DE5E85"/>
    <w:rsid w:val="00DF2D42"/>
    <w:rsid w:val="00DF37D4"/>
    <w:rsid w:val="00DF3A90"/>
    <w:rsid w:val="00DF502F"/>
    <w:rsid w:val="00DF5B1B"/>
    <w:rsid w:val="00DF63D8"/>
    <w:rsid w:val="00DF7EE2"/>
    <w:rsid w:val="00E026A0"/>
    <w:rsid w:val="00E043C9"/>
    <w:rsid w:val="00E04594"/>
    <w:rsid w:val="00E04A72"/>
    <w:rsid w:val="00E16E22"/>
    <w:rsid w:val="00E2331C"/>
    <w:rsid w:val="00E23688"/>
    <w:rsid w:val="00E245B5"/>
    <w:rsid w:val="00E267FC"/>
    <w:rsid w:val="00E26FD5"/>
    <w:rsid w:val="00E302DB"/>
    <w:rsid w:val="00E306FE"/>
    <w:rsid w:val="00E30FFB"/>
    <w:rsid w:val="00E3147C"/>
    <w:rsid w:val="00E314E4"/>
    <w:rsid w:val="00E327BE"/>
    <w:rsid w:val="00E32A5E"/>
    <w:rsid w:val="00E32F00"/>
    <w:rsid w:val="00E33F1A"/>
    <w:rsid w:val="00E3442A"/>
    <w:rsid w:val="00E35DC3"/>
    <w:rsid w:val="00E406E1"/>
    <w:rsid w:val="00E46D2B"/>
    <w:rsid w:val="00E52320"/>
    <w:rsid w:val="00E532F0"/>
    <w:rsid w:val="00E54AFE"/>
    <w:rsid w:val="00E6285B"/>
    <w:rsid w:val="00E66E18"/>
    <w:rsid w:val="00E70B8F"/>
    <w:rsid w:val="00E73ABF"/>
    <w:rsid w:val="00E741A8"/>
    <w:rsid w:val="00E7491E"/>
    <w:rsid w:val="00E74CE4"/>
    <w:rsid w:val="00E75DB1"/>
    <w:rsid w:val="00E831CC"/>
    <w:rsid w:val="00E83D18"/>
    <w:rsid w:val="00E8438F"/>
    <w:rsid w:val="00E84D1A"/>
    <w:rsid w:val="00E855D1"/>
    <w:rsid w:val="00E87225"/>
    <w:rsid w:val="00E87A14"/>
    <w:rsid w:val="00E91FC6"/>
    <w:rsid w:val="00E95724"/>
    <w:rsid w:val="00E977E9"/>
    <w:rsid w:val="00EA2777"/>
    <w:rsid w:val="00EA29E2"/>
    <w:rsid w:val="00EA75D1"/>
    <w:rsid w:val="00EB1ADE"/>
    <w:rsid w:val="00EB2A5B"/>
    <w:rsid w:val="00EB2BAF"/>
    <w:rsid w:val="00EB3517"/>
    <w:rsid w:val="00EB36BE"/>
    <w:rsid w:val="00EC256E"/>
    <w:rsid w:val="00EC31ED"/>
    <w:rsid w:val="00EC5295"/>
    <w:rsid w:val="00EC7815"/>
    <w:rsid w:val="00ED192D"/>
    <w:rsid w:val="00ED2078"/>
    <w:rsid w:val="00ED46CB"/>
    <w:rsid w:val="00ED4F9B"/>
    <w:rsid w:val="00ED7E47"/>
    <w:rsid w:val="00EE1B81"/>
    <w:rsid w:val="00EE61A4"/>
    <w:rsid w:val="00EE7FBB"/>
    <w:rsid w:val="00EF4E6E"/>
    <w:rsid w:val="00EF5417"/>
    <w:rsid w:val="00F00814"/>
    <w:rsid w:val="00F01DC0"/>
    <w:rsid w:val="00F02321"/>
    <w:rsid w:val="00F02EAB"/>
    <w:rsid w:val="00F067CF"/>
    <w:rsid w:val="00F10393"/>
    <w:rsid w:val="00F167A8"/>
    <w:rsid w:val="00F23DFC"/>
    <w:rsid w:val="00F24354"/>
    <w:rsid w:val="00F26492"/>
    <w:rsid w:val="00F31DD4"/>
    <w:rsid w:val="00F3290F"/>
    <w:rsid w:val="00F3405C"/>
    <w:rsid w:val="00F34352"/>
    <w:rsid w:val="00F36D38"/>
    <w:rsid w:val="00F372F1"/>
    <w:rsid w:val="00F4050C"/>
    <w:rsid w:val="00F43660"/>
    <w:rsid w:val="00F442CC"/>
    <w:rsid w:val="00F503E8"/>
    <w:rsid w:val="00F54FAE"/>
    <w:rsid w:val="00F552A5"/>
    <w:rsid w:val="00F578AD"/>
    <w:rsid w:val="00F60A3B"/>
    <w:rsid w:val="00F61D35"/>
    <w:rsid w:val="00F668A5"/>
    <w:rsid w:val="00F70347"/>
    <w:rsid w:val="00F71DE1"/>
    <w:rsid w:val="00F71F72"/>
    <w:rsid w:val="00F7236D"/>
    <w:rsid w:val="00F73F97"/>
    <w:rsid w:val="00F740A7"/>
    <w:rsid w:val="00F76151"/>
    <w:rsid w:val="00F779BC"/>
    <w:rsid w:val="00F81911"/>
    <w:rsid w:val="00F83D29"/>
    <w:rsid w:val="00F842EE"/>
    <w:rsid w:val="00F90140"/>
    <w:rsid w:val="00F91121"/>
    <w:rsid w:val="00F9665E"/>
    <w:rsid w:val="00F966E9"/>
    <w:rsid w:val="00FA030D"/>
    <w:rsid w:val="00FA30AA"/>
    <w:rsid w:val="00FA620C"/>
    <w:rsid w:val="00FA7D41"/>
    <w:rsid w:val="00FB3552"/>
    <w:rsid w:val="00FB59D7"/>
    <w:rsid w:val="00FB68A2"/>
    <w:rsid w:val="00FC0EC9"/>
    <w:rsid w:val="00FC0FA9"/>
    <w:rsid w:val="00FC1F1E"/>
    <w:rsid w:val="00FC2A55"/>
    <w:rsid w:val="00FC5FF0"/>
    <w:rsid w:val="00FD6B7A"/>
    <w:rsid w:val="00FE25CB"/>
    <w:rsid w:val="00FE4E13"/>
    <w:rsid w:val="00FE5073"/>
    <w:rsid w:val="00FE6DB1"/>
    <w:rsid w:val="00FF6FAF"/>
    <w:rsid w:val="00FF70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1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49" w:unhideWhenUsed="1"/>
    <w:lsdException w:name="header" w:semiHidden="1" w:unhideWhenUsed="1"/>
    <w:lsdException w:name="footer" w:semiHidden="1" w:uiPriority="24"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uiPriority="7"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6C2"/>
    <w:pPr>
      <w:spacing w:before="100" w:after="100" w:line="240" w:lineRule="auto"/>
    </w:pPr>
    <w:rPr>
      <w:rFonts w:ascii="Calibri" w:eastAsia="Times New Roman" w:hAnsi="Calibri" w:cs="Calibri"/>
      <w:sz w:val="20"/>
      <w:lang w:eastAsia="en-AU"/>
    </w:rPr>
  </w:style>
  <w:style w:type="paragraph" w:styleId="Heading1">
    <w:name w:val="heading 1"/>
    <w:basedOn w:val="Normal"/>
    <w:next w:val="Normal"/>
    <w:link w:val="Heading1Char"/>
    <w:uiPriority w:val="3"/>
    <w:qFormat/>
    <w:rsid w:val="00D1705F"/>
    <w:pPr>
      <w:keepNext/>
      <w:keepLines/>
      <w:numPr>
        <w:numId w:val="7"/>
      </w:numPr>
      <w:spacing w:before="120" w:after="120" w:line="216" w:lineRule="auto"/>
      <w:outlineLvl w:val="0"/>
    </w:pPr>
    <w:rPr>
      <w:color w:val="404040"/>
      <w:sz w:val="28"/>
      <w:szCs w:val="28"/>
    </w:rPr>
  </w:style>
  <w:style w:type="paragraph" w:styleId="Heading2">
    <w:name w:val="heading 2"/>
    <w:basedOn w:val="Heading1"/>
    <w:link w:val="Heading2Char"/>
    <w:uiPriority w:val="3"/>
    <w:qFormat/>
    <w:rsid w:val="006A1132"/>
    <w:pPr>
      <w:keepNext w:val="0"/>
      <w:keepLines w:val="0"/>
      <w:widowControl w:val="0"/>
      <w:numPr>
        <w:ilvl w:val="1"/>
      </w:numPr>
      <w:outlineLvl w:val="1"/>
    </w:pPr>
    <w:rPr>
      <w:color w:val="auto"/>
      <w:sz w:val="20"/>
      <w:szCs w:val="22"/>
    </w:rPr>
  </w:style>
  <w:style w:type="paragraph" w:styleId="Heading3">
    <w:name w:val="heading 3"/>
    <w:basedOn w:val="Heading2"/>
    <w:next w:val="Normal"/>
    <w:link w:val="Heading3Char"/>
    <w:uiPriority w:val="3"/>
    <w:qFormat/>
    <w:rsid w:val="00381042"/>
    <w:pPr>
      <w:numPr>
        <w:ilvl w:val="2"/>
      </w:numPr>
      <w:spacing w:before="100" w:after="100"/>
      <w:outlineLvl w:val="2"/>
    </w:pPr>
    <w:rPr>
      <w:rFonts w:cs="Times New Roman"/>
      <w:b/>
      <w:color w:val="595959" w:themeColor="text1" w:themeTint="A6"/>
      <w:sz w:val="22"/>
      <w:szCs w:val="20"/>
    </w:rPr>
  </w:style>
  <w:style w:type="paragraph" w:styleId="Heading4">
    <w:name w:val="heading 4"/>
    <w:basedOn w:val="Heading3"/>
    <w:next w:val="Normal"/>
    <w:link w:val="Heading4Char"/>
    <w:uiPriority w:val="3"/>
    <w:qFormat/>
    <w:rsid w:val="00381042"/>
    <w:pPr>
      <w:numPr>
        <w:ilvl w:val="0"/>
        <w:numId w:val="0"/>
      </w:numPr>
      <w:spacing w:before="160" w:line="228" w:lineRule="auto"/>
      <w:outlineLvl w:val="3"/>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1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uiPriority w:val="11"/>
    <w:qFormat/>
    <w:rsid w:val="00F91121"/>
    <w:pPr>
      <w:numPr>
        <w:numId w:val="2"/>
      </w:numPr>
      <w:spacing w:before="80" w:after="80"/>
    </w:pPr>
  </w:style>
  <w:style w:type="paragraph" w:customStyle="1" w:styleId="Bullet2">
    <w:name w:val="Bullet 2"/>
    <w:basedOn w:val="Bullet1"/>
    <w:uiPriority w:val="11"/>
    <w:rsid w:val="00F91121"/>
    <w:pPr>
      <w:numPr>
        <w:ilvl w:val="1"/>
      </w:numPr>
    </w:pPr>
  </w:style>
  <w:style w:type="paragraph" w:customStyle="1" w:styleId="Bullet3">
    <w:name w:val="Bullet 3"/>
    <w:basedOn w:val="Bullet2"/>
    <w:uiPriority w:val="11"/>
    <w:rsid w:val="00F91121"/>
    <w:pPr>
      <w:numPr>
        <w:ilvl w:val="2"/>
      </w:numPr>
    </w:pPr>
  </w:style>
  <w:style w:type="paragraph" w:styleId="Caption">
    <w:name w:val="caption"/>
    <w:basedOn w:val="Normal"/>
    <w:next w:val="Normal"/>
    <w:uiPriority w:val="13"/>
    <w:qFormat/>
    <w:rsid w:val="00F91121"/>
    <w:pPr>
      <w:keepNext/>
      <w:keepLines/>
      <w:tabs>
        <w:tab w:val="left" w:pos="851"/>
      </w:tabs>
      <w:spacing w:before="60" w:after="60" w:line="228" w:lineRule="auto"/>
    </w:pPr>
    <w:rPr>
      <w:b/>
    </w:rPr>
  </w:style>
  <w:style w:type="paragraph" w:customStyle="1" w:styleId="CaptionTable">
    <w:name w:val="Caption Table"/>
    <w:basedOn w:val="Normal"/>
    <w:uiPriority w:val="14"/>
    <w:rsid w:val="00F91121"/>
    <w:rPr>
      <w:b/>
    </w:rPr>
  </w:style>
  <w:style w:type="paragraph" w:styleId="Footer">
    <w:name w:val="footer"/>
    <w:link w:val="FooterChar"/>
    <w:uiPriority w:val="24"/>
    <w:semiHidden/>
    <w:rsid w:val="00F91121"/>
    <w:pPr>
      <w:tabs>
        <w:tab w:val="right" w:pos="8220"/>
      </w:tabs>
      <w:spacing w:after="0" w:line="240" w:lineRule="auto"/>
      <w:jc w:val="right"/>
    </w:pPr>
    <w:rPr>
      <w:rFonts w:ascii="Calibri" w:eastAsia="Times New Roman" w:hAnsi="Calibri" w:cs="Calibri"/>
      <w:noProof/>
      <w:color w:val="FFFFFF" w:themeColor="background1"/>
      <w:sz w:val="20"/>
      <w:szCs w:val="20"/>
      <w:lang w:eastAsia="en-AU"/>
    </w:rPr>
  </w:style>
  <w:style w:type="character" w:customStyle="1" w:styleId="FooterChar">
    <w:name w:val="Footer Char"/>
    <w:link w:val="Footer"/>
    <w:uiPriority w:val="24"/>
    <w:semiHidden/>
    <w:rsid w:val="003736C2"/>
    <w:rPr>
      <w:rFonts w:ascii="Calibri" w:eastAsia="Times New Roman" w:hAnsi="Calibri" w:cs="Calibri"/>
      <w:noProof/>
      <w:color w:val="FFFFFF" w:themeColor="background1"/>
      <w:sz w:val="20"/>
      <w:szCs w:val="20"/>
      <w:lang w:eastAsia="en-AU"/>
    </w:rPr>
  </w:style>
  <w:style w:type="character" w:customStyle="1" w:styleId="Heading1Char">
    <w:name w:val="Heading 1 Char"/>
    <w:link w:val="Heading1"/>
    <w:uiPriority w:val="3"/>
    <w:rsid w:val="00D1705F"/>
    <w:rPr>
      <w:rFonts w:ascii="Calibri" w:eastAsia="Times New Roman" w:hAnsi="Calibri" w:cs="Calibri"/>
      <w:color w:val="404040"/>
      <w:sz w:val="28"/>
      <w:szCs w:val="28"/>
      <w:lang w:eastAsia="en-AU"/>
    </w:rPr>
  </w:style>
  <w:style w:type="paragraph" w:customStyle="1" w:styleId="Heading1NoNum">
    <w:name w:val="Heading 1 NoNum"/>
    <w:basedOn w:val="Heading1"/>
    <w:next w:val="Normal"/>
    <w:uiPriority w:val="4"/>
    <w:qFormat/>
    <w:rsid w:val="00086FB5"/>
    <w:pPr>
      <w:numPr>
        <w:numId w:val="0"/>
      </w:numPr>
    </w:pPr>
  </w:style>
  <w:style w:type="character" w:customStyle="1" w:styleId="Heading2Char">
    <w:name w:val="Heading 2 Char"/>
    <w:link w:val="Heading2"/>
    <w:uiPriority w:val="3"/>
    <w:rsid w:val="006A1132"/>
    <w:rPr>
      <w:rFonts w:ascii="Calibri" w:eastAsia="Times New Roman" w:hAnsi="Calibri" w:cs="Calibri"/>
      <w:sz w:val="20"/>
      <w:lang w:eastAsia="en-AU"/>
    </w:rPr>
  </w:style>
  <w:style w:type="paragraph" w:customStyle="1" w:styleId="Heading2NoNum">
    <w:name w:val="Heading 2 NoNum"/>
    <w:next w:val="Normal"/>
    <w:uiPriority w:val="4"/>
    <w:qFormat/>
    <w:rsid w:val="001C2BA4"/>
    <w:pPr>
      <w:keepNext/>
      <w:spacing w:before="120" w:after="120"/>
    </w:pPr>
    <w:rPr>
      <w:rFonts w:ascii="Calibri" w:eastAsia="Times New Roman" w:hAnsi="Calibri" w:cs="Calibri"/>
      <w:color w:val="4D4D4D"/>
      <w:sz w:val="24"/>
      <w:szCs w:val="28"/>
      <w:lang w:eastAsia="en-AU"/>
    </w:rPr>
  </w:style>
  <w:style w:type="character" w:customStyle="1" w:styleId="Heading3Char">
    <w:name w:val="Heading 3 Char"/>
    <w:link w:val="Heading3"/>
    <w:uiPriority w:val="3"/>
    <w:rsid w:val="00381042"/>
    <w:rPr>
      <w:rFonts w:ascii="Calibri" w:eastAsia="Times New Roman" w:hAnsi="Calibri" w:cs="Times New Roman"/>
      <w:b/>
      <w:color w:val="595959" w:themeColor="text1" w:themeTint="A6"/>
      <w:szCs w:val="20"/>
      <w:lang w:eastAsia="en-AU"/>
    </w:rPr>
  </w:style>
  <w:style w:type="paragraph" w:customStyle="1" w:styleId="Heading3NoNum">
    <w:name w:val="Heading 3 NoNum"/>
    <w:basedOn w:val="Heading3"/>
    <w:next w:val="Normal"/>
    <w:uiPriority w:val="4"/>
    <w:qFormat/>
    <w:rsid w:val="00F91121"/>
    <w:pPr>
      <w:numPr>
        <w:ilvl w:val="0"/>
        <w:numId w:val="0"/>
      </w:numPr>
      <w:ind w:left="794"/>
    </w:pPr>
  </w:style>
  <w:style w:type="character" w:customStyle="1" w:styleId="Heading4Char">
    <w:name w:val="Heading 4 Char"/>
    <w:link w:val="Heading4"/>
    <w:uiPriority w:val="3"/>
    <w:rsid w:val="00381042"/>
    <w:rPr>
      <w:rFonts w:ascii="Calibri" w:eastAsia="Times New Roman" w:hAnsi="Calibri" w:cs="Times New Roman"/>
      <w:b/>
      <w:color w:val="595959" w:themeColor="text1" w:themeTint="A6"/>
      <w:sz w:val="20"/>
      <w:szCs w:val="20"/>
      <w:lang w:eastAsia="en-AU"/>
    </w:rPr>
  </w:style>
  <w:style w:type="character" w:styleId="Hyperlink">
    <w:name w:val="Hyperlink"/>
    <w:semiHidden/>
    <w:rsid w:val="00B85F99"/>
    <w:rPr>
      <w:color w:val="595959" w:themeColor="text1" w:themeTint="A6"/>
      <w:u w:val="none"/>
    </w:rPr>
  </w:style>
  <w:style w:type="paragraph" w:styleId="NormalIndent">
    <w:name w:val="Normal Indent"/>
    <w:basedOn w:val="Normal"/>
    <w:rsid w:val="00B85F99"/>
    <w:pPr>
      <w:spacing w:line="240" w:lineRule="exact"/>
      <w:ind w:left="1080"/>
    </w:pPr>
  </w:style>
  <w:style w:type="paragraph" w:customStyle="1" w:styleId="NormalTight">
    <w:name w:val="Normal Tight"/>
    <w:basedOn w:val="Normal"/>
    <w:semiHidden/>
    <w:rsid w:val="00F91121"/>
    <w:pPr>
      <w:spacing w:before="0" w:after="0"/>
    </w:pPr>
  </w:style>
  <w:style w:type="paragraph" w:customStyle="1" w:styleId="NoteNormal">
    <w:name w:val="Note Normal"/>
    <w:basedOn w:val="Normal"/>
    <w:uiPriority w:val="49"/>
    <w:rsid w:val="00F91121"/>
    <w:pPr>
      <w:keepNext/>
      <w:keepLines/>
      <w:spacing w:before="80"/>
    </w:pPr>
    <w:rPr>
      <w:color w:val="000000"/>
      <w:sz w:val="18"/>
      <w:lang w:eastAsia="en-US"/>
    </w:rPr>
  </w:style>
  <w:style w:type="paragraph" w:styleId="Subtitle">
    <w:name w:val="Subtitle"/>
    <w:basedOn w:val="Normal"/>
    <w:link w:val="SubtitleChar"/>
    <w:uiPriority w:val="29"/>
    <w:qFormat/>
    <w:rsid w:val="00123FD7"/>
    <w:pPr>
      <w:spacing w:before="0" w:after="0" w:line="440" w:lineRule="exact"/>
      <w:ind w:left="2160" w:right="216"/>
    </w:pPr>
    <w:rPr>
      <w:noProof/>
      <w:color w:val="FFFFFF" w:themeColor="background1"/>
      <w:sz w:val="40"/>
      <w:szCs w:val="24"/>
    </w:rPr>
  </w:style>
  <w:style w:type="character" w:customStyle="1" w:styleId="SubtitleChar">
    <w:name w:val="Subtitle Char"/>
    <w:basedOn w:val="DefaultParagraphFont"/>
    <w:link w:val="Subtitle"/>
    <w:uiPriority w:val="29"/>
    <w:rsid w:val="00123FD7"/>
    <w:rPr>
      <w:rFonts w:ascii="Calibri" w:eastAsia="Times New Roman" w:hAnsi="Calibri" w:cs="Calibri"/>
      <w:noProof/>
      <w:color w:val="FFFFFF" w:themeColor="background1"/>
      <w:sz w:val="40"/>
      <w:szCs w:val="24"/>
      <w:lang w:eastAsia="en-AU"/>
    </w:rPr>
  </w:style>
  <w:style w:type="paragraph" w:customStyle="1" w:styleId="TableBullet">
    <w:name w:val="Table Bullet"/>
    <w:basedOn w:val="Normal"/>
    <w:uiPriority w:val="10"/>
    <w:qFormat/>
    <w:rsid w:val="009320B1"/>
    <w:pPr>
      <w:numPr>
        <w:numId w:val="4"/>
      </w:numPr>
      <w:spacing w:before="0" w:after="0"/>
    </w:pPr>
    <w:rPr>
      <w:sz w:val="18"/>
    </w:rPr>
  </w:style>
  <w:style w:type="paragraph" w:customStyle="1" w:styleId="TableBulletDash">
    <w:name w:val="Table Bullet Dash"/>
    <w:basedOn w:val="Normal"/>
    <w:uiPriority w:val="10"/>
    <w:rsid w:val="00F91121"/>
    <w:pPr>
      <w:numPr>
        <w:ilvl w:val="1"/>
        <w:numId w:val="4"/>
      </w:numPr>
      <w:spacing w:before="0" w:after="0"/>
    </w:pPr>
  </w:style>
  <w:style w:type="paragraph" w:styleId="Title">
    <w:name w:val="Title"/>
    <w:basedOn w:val="Normal"/>
    <w:link w:val="TitleChar"/>
    <w:uiPriority w:val="28"/>
    <w:qFormat/>
    <w:rsid w:val="00123FD7"/>
    <w:pPr>
      <w:spacing w:before="4000" w:line="560" w:lineRule="exact"/>
      <w:ind w:left="2160" w:right="216"/>
    </w:pPr>
    <w:rPr>
      <w:b/>
      <w:color w:val="FFFFFF" w:themeColor="background1"/>
      <w:sz w:val="60"/>
    </w:rPr>
  </w:style>
  <w:style w:type="character" w:customStyle="1" w:styleId="TitleChar">
    <w:name w:val="Title Char"/>
    <w:basedOn w:val="DefaultParagraphFont"/>
    <w:link w:val="Title"/>
    <w:uiPriority w:val="28"/>
    <w:rsid w:val="00123FD7"/>
    <w:rPr>
      <w:rFonts w:ascii="Calibri" w:eastAsia="Times New Roman" w:hAnsi="Calibri" w:cs="Calibri"/>
      <w:b/>
      <w:color w:val="FFFFFF" w:themeColor="background1"/>
      <w:sz w:val="60"/>
      <w:lang w:eastAsia="en-AU"/>
    </w:rPr>
  </w:style>
  <w:style w:type="table" w:styleId="LightList">
    <w:name w:val="Light List"/>
    <w:basedOn w:val="TableNormal"/>
    <w:uiPriority w:val="61"/>
    <w:rsid w:val="00F9112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F9112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semiHidden/>
    <w:rsid w:val="00F91121"/>
    <w:pPr>
      <w:tabs>
        <w:tab w:val="center" w:pos="4513"/>
        <w:tab w:val="right" w:pos="9026"/>
      </w:tabs>
      <w:spacing w:before="0" w:after="0"/>
    </w:pPr>
  </w:style>
  <w:style w:type="character" w:customStyle="1" w:styleId="HeaderChar">
    <w:name w:val="Header Char"/>
    <w:basedOn w:val="DefaultParagraphFont"/>
    <w:link w:val="Header"/>
    <w:uiPriority w:val="99"/>
    <w:semiHidden/>
    <w:rsid w:val="003736C2"/>
    <w:rPr>
      <w:rFonts w:ascii="Calibri" w:eastAsia="Times New Roman" w:hAnsi="Calibri" w:cs="Calibri"/>
      <w:sz w:val="20"/>
      <w:lang w:eastAsia="en-AU"/>
    </w:rPr>
  </w:style>
  <w:style w:type="paragraph" w:styleId="BalloonText">
    <w:name w:val="Balloon Text"/>
    <w:basedOn w:val="Normal"/>
    <w:link w:val="BalloonTextChar"/>
    <w:uiPriority w:val="99"/>
    <w:semiHidden/>
    <w:rsid w:val="00F9112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121"/>
    <w:rPr>
      <w:rFonts w:ascii="Tahoma" w:eastAsia="Times New Roman" w:hAnsi="Tahoma" w:cs="Tahoma"/>
      <w:sz w:val="16"/>
      <w:szCs w:val="16"/>
      <w:lang w:eastAsia="en-AU"/>
    </w:rPr>
  </w:style>
  <w:style w:type="table" w:styleId="LightShading">
    <w:name w:val="Light Shading"/>
    <w:aliases w:val="Table1"/>
    <w:basedOn w:val="TableNormal"/>
    <w:uiPriority w:val="60"/>
    <w:rsid w:val="00DC270D"/>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styleId="LightList-Accent1">
    <w:name w:val="Light List Accent 1"/>
    <w:aliases w:val="Table2"/>
    <w:basedOn w:val="TableNormal"/>
    <w:uiPriority w:val="61"/>
    <w:rsid w:val="00CC2BA9"/>
    <w:pPr>
      <w:spacing w:after="0" w:line="240" w:lineRule="auto"/>
    </w:pPr>
    <w:tblPr>
      <w:tblStyleRowBandSize w:val="1"/>
      <w:tblStyleColBandSize w:val="1"/>
      <w:tblInd w:w="58" w:type="dxa"/>
      <w:tblBorders>
        <w:top w:val="single" w:sz="6" w:space="0" w:color="007934"/>
        <w:bottom w:val="single" w:sz="6" w:space="0" w:color="007934"/>
        <w:insideH w:val="single" w:sz="6" w:space="0" w:color="007934"/>
      </w:tblBorders>
      <w:tblCellMar>
        <w:left w:w="58" w:type="dxa"/>
        <w:right w:w="58" w:type="dxa"/>
      </w:tblCellMar>
    </w:tblPr>
    <w:trPr>
      <w:cantSplit/>
    </w:trPr>
    <w:tblStylePr w:type="firstRow">
      <w:pPr>
        <w:spacing w:before="0" w:after="0" w:line="240" w:lineRule="auto"/>
      </w:pPr>
      <w:rPr>
        <w:b/>
        <w:bCs/>
        <w:color w:val="FFFFFF" w:themeColor="background1"/>
      </w:rPr>
      <w:tblPr/>
      <w:tcPr>
        <w:tcBorders>
          <w:top w:val="single" w:sz="6" w:space="0" w:color="007934"/>
          <w:left w:val="nil"/>
          <w:bottom w:val="single" w:sz="6" w:space="0" w:color="007934"/>
          <w:right w:val="nil"/>
          <w:insideH w:val="nil"/>
          <w:insideV w:val="nil"/>
          <w:tl2br w:val="nil"/>
          <w:tr2bl w:val="nil"/>
        </w:tcBorders>
        <w:shd w:val="clear" w:color="auto" w:fill="007934"/>
      </w:tcPr>
    </w:tblStylePr>
    <w:tblStylePr w:type="lastRow">
      <w:pPr>
        <w:spacing w:before="0" w:after="0" w:line="240" w:lineRule="auto"/>
      </w:pPr>
      <w:rPr>
        <w:b/>
        <w:bCs/>
      </w:rPr>
      <w:tblPr/>
      <w:tcPr>
        <w:tcBorders>
          <w:top w:val="single" w:sz="6" w:space="0" w:color="007934"/>
          <w:left w:val="nil"/>
          <w:bottom w:val="single" w:sz="12" w:space="0" w:color="007934"/>
          <w:right w:val="nil"/>
          <w:insideH w:val="nil"/>
          <w:insideV w:val="nil"/>
          <w:tl2br w:val="nil"/>
          <w:tr2bl w:val="nil"/>
        </w:tcBorders>
      </w:tcPr>
    </w:tblStylePr>
    <w:tblStylePr w:type="firstCol">
      <w:rPr>
        <w:b w:val="0"/>
        <w:bCs/>
      </w:rPr>
    </w:tblStylePr>
    <w:tblStylePr w:type="lastCol">
      <w:rPr>
        <w:b/>
        <w:bCs/>
      </w:rPr>
    </w:tblStylePr>
    <w:tblStylePr w:type="band1Vert">
      <w:tblPr/>
      <w:tcPr>
        <w:tcBorders>
          <w:top w:val="single" w:sz="6" w:space="0" w:color="007934"/>
          <w:left w:val="single" w:sz="6" w:space="0" w:color="007934"/>
          <w:bottom w:val="single" w:sz="6" w:space="0" w:color="007934"/>
          <w:right w:val="single" w:sz="6" w:space="0" w:color="007934"/>
          <w:insideH w:val="nil"/>
          <w:insideV w:val="nil"/>
          <w:tl2br w:val="nil"/>
          <w:tr2bl w:val="nil"/>
        </w:tcBorders>
      </w:tcPr>
    </w:tblStylePr>
    <w:tblStylePr w:type="band1Horz">
      <w:tblPr/>
      <w:tcPr>
        <w:tcBorders>
          <w:top w:val="single" w:sz="6" w:space="0" w:color="007934"/>
          <w:left w:val="nil"/>
          <w:bottom w:val="single" w:sz="6" w:space="0" w:color="007934"/>
          <w:right w:val="nil"/>
          <w:insideH w:val="nil"/>
          <w:insideV w:val="nil"/>
          <w:tl2br w:val="nil"/>
          <w:tr2bl w:val="nil"/>
        </w:tcBorders>
      </w:tcPr>
    </w:tblStylePr>
    <w:tblStylePr w:type="band2Horz">
      <w:tblPr/>
      <w:tcPr>
        <w:tcBorders>
          <w:top w:val="single" w:sz="6" w:space="0" w:color="007934"/>
          <w:left w:val="nil"/>
          <w:bottom w:val="single" w:sz="6" w:space="0" w:color="007934"/>
          <w:right w:val="nil"/>
          <w:insideH w:val="nil"/>
          <w:insideV w:val="nil"/>
          <w:tl2br w:val="nil"/>
          <w:tr2bl w:val="nil"/>
        </w:tcBorders>
      </w:tcPr>
    </w:tblStylePr>
  </w:style>
  <w:style w:type="paragraph" w:customStyle="1" w:styleId="Tabletext">
    <w:name w:val="Table text"/>
    <w:basedOn w:val="Normal"/>
    <w:uiPriority w:val="6"/>
    <w:qFormat/>
    <w:rsid w:val="009B63FD"/>
    <w:pPr>
      <w:spacing w:before="60" w:after="60" w:line="252" w:lineRule="auto"/>
    </w:pPr>
    <w:rPr>
      <w:rFonts w:cs="Times New Roman"/>
      <w:bCs/>
      <w:sz w:val="18"/>
      <w:szCs w:val="20"/>
    </w:rPr>
  </w:style>
  <w:style w:type="character" w:styleId="CommentReference">
    <w:name w:val="annotation reference"/>
    <w:uiPriority w:val="49"/>
    <w:semiHidden/>
    <w:rsid w:val="00651B28"/>
    <w:rPr>
      <w:rFonts w:ascii="Calibri" w:hAnsi="Calibri"/>
      <w:sz w:val="16"/>
    </w:rPr>
  </w:style>
  <w:style w:type="paragraph" w:styleId="CommentText">
    <w:name w:val="annotation text"/>
    <w:basedOn w:val="Normal"/>
    <w:link w:val="CommentTextChar"/>
    <w:uiPriority w:val="49"/>
    <w:semiHidden/>
    <w:rsid w:val="00651B28"/>
    <w:pPr>
      <w:spacing w:before="120" w:after="120" w:line="240" w:lineRule="atLeast"/>
    </w:pPr>
    <w:rPr>
      <w:rFonts w:cs="Times New Roman"/>
      <w:szCs w:val="20"/>
    </w:rPr>
  </w:style>
  <w:style w:type="character" w:customStyle="1" w:styleId="CommentTextChar">
    <w:name w:val="Comment Text Char"/>
    <w:basedOn w:val="DefaultParagraphFont"/>
    <w:link w:val="CommentText"/>
    <w:uiPriority w:val="49"/>
    <w:semiHidden/>
    <w:rsid w:val="00651B28"/>
    <w:rPr>
      <w:rFonts w:ascii="Calibri" w:eastAsia="Times New Roman" w:hAnsi="Calibri" w:cs="Times New Roman"/>
      <w:sz w:val="20"/>
      <w:szCs w:val="20"/>
      <w:lang w:eastAsia="en-AU"/>
    </w:rPr>
  </w:style>
  <w:style w:type="paragraph" w:customStyle="1" w:styleId="Tableheader">
    <w:name w:val="Table header"/>
    <w:basedOn w:val="Tabletext"/>
    <w:qFormat/>
    <w:rsid w:val="00651B28"/>
    <w:rPr>
      <w:b/>
      <w:bCs w:val="0"/>
      <w:color w:val="000000" w:themeColor="text1" w:themeShade="BF"/>
    </w:rPr>
  </w:style>
  <w:style w:type="paragraph" w:styleId="ListParagraph">
    <w:name w:val="List Paragraph"/>
    <w:basedOn w:val="Normal"/>
    <w:uiPriority w:val="34"/>
    <w:semiHidden/>
    <w:qFormat/>
    <w:rsid w:val="007F5BE8"/>
    <w:pPr>
      <w:ind w:left="720"/>
      <w:contextualSpacing/>
    </w:pPr>
  </w:style>
  <w:style w:type="paragraph" w:customStyle="1" w:styleId="Num1">
    <w:name w:val="Num1"/>
    <w:basedOn w:val="ListParagraph"/>
    <w:qFormat/>
    <w:rsid w:val="004B6922"/>
    <w:pPr>
      <w:numPr>
        <w:ilvl w:val="3"/>
        <w:numId w:val="7"/>
      </w:numPr>
      <w:contextualSpacing w:val="0"/>
    </w:pPr>
  </w:style>
  <w:style w:type="paragraph" w:customStyle="1" w:styleId="NoteNormalindent">
    <w:name w:val="Note Normal indent"/>
    <w:basedOn w:val="NoteNormal"/>
    <w:qFormat/>
    <w:rsid w:val="001C2BA4"/>
    <w:pPr>
      <w:ind w:left="504"/>
    </w:pPr>
  </w:style>
  <w:style w:type="paragraph" w:customStyle="1" w:styleId="NoteNumbered">
    <w:name w:val="Note Numbered"/>
    <w:basedOn w:val="NoteNormalindent"/>
    <w:qFormat/>
    <w:rsid w:val="001C2BA4"/>
    <w:pPr>
      <w:numPr>
        <w:numId w:val="5"/>
      </w:numPr>
      <w:ind w:left="864"/>
    </w:pPr>
  </w:style>
  <w:style w:type="paragraph" w:customStyle="1" w:styleId="Spacer">
    <w:name w:val="Spacer"/>
    <w:basedOn w:val="Normal"/>
    <w:uiPriority w:val="13"/>
    <w:unhideWhenUsed/>
    <w:qFormat/>
    <w:rsid w:val="001C2BA4"/>
    <w:pPr>
      <w:spacing w:before="0" w:after="0" w:line="120" w:lineRule="atLeast"/>
    </w:pPr>
    <w:rPr>
      <w:sz w:val="12"/>
    </w:rPr>
  </w:style>
  <w:style w:type="paragraph" w:customStyle="1" w:styleId="GuidanceTitle">
    <w:name w:val="Guidance Title"/>
    <w:basedOn w:val="Title"/>
    <w:semiHidden/>
    <w:qFormat/>
    <w:rsid w:val="00CC7C39"/>
    <w:rPr>
      <w:color w:val="7F7F7F" w:themeColor="text1" w:themeTint="80"/>
    </w:rPr>
  </w:style>
  <w:style w:type="paragraph" w:customStyle="1" w:styleId="Tablenum">
    <w:name w:val="Table num"/>
    <w:basedOn w:val="Tabletext"/>
    <w:qFormat/>
    <w:rsid w:val="009B63FD"/>
    <w:pPr>
      <w:numPr>
        <w:numId w:val="6"/>
      </w:numPr>
      <w:ind w:left="360"/>
      <w:contextualSpacing/>
    </w:pPr>
    <w:rPr>
      <w:color w:val="000000" w:themeColor="text1" w:themeShade="BF"/>
    </w:rPr>
  </w:style>
  <w:style w:type="paragraph" w:customStyle="1" w:styleId="GuidanceBullet1">
    <w:name w:val="Guidance Bullet 1"/>
    <w:basedOn w:val="Bullet1"/>
    <w:semiHidden/>
    <w:qFormat/>
    <w:rsid w:val="00124142"/>
    <w:pPr>
      <w:tabs>
        <w:tab w:val="clear" w:pos="1077"/>
        <w:tab w:val="num" w:pos="283"/>
      </w:tabs>
      <w:ind w:left="283"/>
    </w:pPr>
  </w:style>
  <w:style w:type="paragraph" w:customStyle="1" w:styleId="GuidanceBullet2">
    <w:name w:val="Guidance Bullet 2"/>
    <w:basedOn w:val="Bullet2"/>
    <w:semiHidden/>
    <w:qFormat/>
    <w:rsid w:val="00124142"/>
    <w:pPr>
      <w:tabs>
        <w:tab w:val="clear" w:pos="1361"/>
        <w:tab w:val="num" w:pos="567"/>
      </w:tabs>
      <w:ind w:left="567"/>
    </w:pPr>
  </w:style>
  <w:style w:type="paragraph" w:customStyle="1" w:styleId="GuidanceBullet3">
    <w:name w:val="Guidance Bullet 3"/>
    <w:basedOn w:val="Bullet3"/>
    <w:semiHidden/>
    <w:qFormat/>
    <w:rsid w:val="00124142"/>
    <w:pPr>
      <w:tabs>
        <w:tab w:val="clear" w:pos="1644"/>
        <w:tab w:val="num" w:pos="1284"/>
      </w:tabs>
      <w:ind w:left="1296" w:hanging="288"/>
      <w:contextualSpacing/>
    </w:pPr>
  </w:style>
  <w:style w:type="paragraph" w:customStyle="1" w:styleId="NormalIndentGuidance">
    <w:name w:val="Normal Indent Guidance"/>
    <w:basedOn w:val="NormalIndent"/>
    <w:semiHidden/>
    <w:qFormat/>
    <w:rsid w:val="00B85F99"/>
    <w:pPr>
      <w:ind w:left="1008"/>
    </w:pPr>
  </w:style>
  <w:style w:type="paragraph" w:customStyle="1" w:styleId="NormalIndent2">
    <w:name w:val="Normal Indent 2"/>
    <w:basedOn w:val="Normal"/>
    <w:qFormat/>
    <w:rsid w:val="009320B1"/>
    <w:pPr>
      <w:ind w:left="504"/>
    </w:pPr>
  </w:style>
  <w:style w:type="paragraph" w:customStyle="1" w:styleId="Bullet4">
    <w:name w:val="Bullet 4"/>
    <w:basedOn w:val="Bullet1"/>
    <w:qFormat/>
    <w:rsid w:val="009320B1"/>
    <w:pPr>
      <w:tabs>
        <w:tab w:val="clear" w:pos="1077"/>
        <w:tab w:val="num" w:pos="823"/>
      </w:tabs>
      <w:ind w:left="823"/>
    </w:pPr>
  </w:style>
  <w:style w:type="paragraph" w:customStyle="1" w:styleId="Num2">
    <w:name w:val="Num2"/>
    <w:basedOn w:val="Normal"/>
    <w:rsid w:val="00D02F39"/>
    <w:pPr>
      <w:numPr>
        <w:ilvl w:val="4"/>
        <w:numId w:val="7"/>
      </w:numPr>
    </w:pPr>
  </w:style>
  <w:style w:type="table" w:customStyle="1" w:styleId="Table11">
    <w:name w:val="Table11"/>
    <w:basedOn w:val="TableNormal"/>
    <w:next w:val="LightShading"/>
    <w:uiPriority w:val="60"/>
    <w:rsid w:val="00DF5B1B"/>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le12">
    <w:name w:val="Table12"/>
    <w:basedOn w:val="TableNormal"/>
    <w:next w:val="LightShading"/>
    <w:uiPriority w:val="60"/>
    <w:rsid w:val="00DF5B1B"/>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le21">
    <w:name w:val="Table21"/>
    <w:basedOn w:val="TableNormal"/>
    <w:next w:val="LightList-Accent1"/>
    <w:uiPriority w:val="61"/>
    <w:rsid w:val="009324AC"/>
    <w:pPr>
      <w:spacing w:after="0" w:line="240" w:lineRule="auto"/>
    </w:pPr>
    <w:tblPr>
      <w:tblStyleRowBandSize w:val="1"/>
      <w:tblStyleColBandSize w:val="1"/>
      <w:tblInd w:w="58" w:type="dxa"/>
      <w:tblBorders>
        <w:top w:val="single" w:sz="6" w:space="0" w:color="007934"/>
        <w:bottom w:val="single" w:sz="6" w:space="0" w:color="007934"/>
        <w:insideH w:val="single" w:sz="6" w:space="0" w:color="007934"/>
      </w:tblBorders>
      <w:tblCellMar>
        <w:left w:w="58" w:type="dxa"/>
        <w:right w:w="58" w:type="dxa"/>
      </w:tblCellMar>
    </w:tblPr>
    <w:trPr>
      <w:cantSplit/>
    </w:trPr>
    <w:tblStylePr w:type="firstRow">
      <w:pPr>
        <w:spacing w:before="0" w:after="0" w:line="240" w:lineRule="auto"/>
      </w:pPr>
      <w:rPr>
        <w:b/>
        <w:bCs/>
        <w:color w:val="FFFFFF" w:themeColor="background1"/>
      </w:rPr>
      <w:tblPr/>
      <w:tcPr>
        <w:tcBorders>
          <w:top w:val="single" w:sz="6" w:space="0" w:color="007934"/>
          <w:left w:val="nil"/>
          <w:bottom w:val="single" w:sz="6" w:space="0" w:color="007934"/>
          <w:right w:val="nil"/>
          <w:insideH w:val="nil"/>
          <w:insideV w:val="nil"/>
          <w:tl2br w:val="nil"/>
          <w:tr2bl w:val="nil"/>
        </w:tcBorders>
        <w:shd w:val="clear" w:color="auto" w:fill="007934"/>
      </w:tcPr>
    </w:tblStylePr>
    <w:tblStylePr w:type="lastRow">
      <w:pPr>
        <w:spacing w:before="0" w:after="0" w:line="240" w:lineRule="auto"/>
      </w:pPr>
      <w:rPr>
        <w:b/>
        <w:bCs/>
      </w:rPr>
      <w:tblPr/>
      <w:tcPr>
        <w:tcBorders>
          <w:top w:val="single" w:sz="6" w:space="0" w:color="007934"/>
          <w:left w:val="nil"/>
          <w:bottom w:val="single" w:sz="12" w:space="0" w:color="007934"/>
          <w:right w:val="nil"/>
          <w:insideH w:val="nil"/>
          <w:insideV w:val="nil"/>
          <w:tl2br w:val="nil"/>
          <w:tr2bl w:val="nil"/>
        </w:tcBorders>
      </w:tcPr>
    </w:tblStylePr>
    <w:tblStylePr w:type="firstCol">
      <w:rPr>
        <w:b w:val="0"/>
        <w:bCs/>
      </w:rPr>
    </w:tblStylePr>
    <w:tblStylePr w:type="lastCol">
      <w:rPr>
        <w:b/>
        <w:bCs/>
      </w:rPr>
    </w:tblStylePr>
    <w:tblStylePr w:type="band1Vert">
      <w:tblPr/>
      <w:tcPr>
        <w:tcBorders>
          <w:top w:val="single" w:sz="6" w:space="0" w:color="007934"/>
          <w:left w:val="single" w:sz="6" w:space="0" w:color="007934"/>
          <w:bottom w:val="single" w:sz="6" w:space="0" w:color="007934"/>
          <w:right w:val="single" w:sz="6" w:space="0" w:color="007934"/>
          <w:insideH w:val="nil"/>
          <w:insideV w:val="nil"/>
          <w:tl2br w:val="nil"/>
          <w:tr2bl w:val="nil"/>
        </w:tcBorders>
      </w:tcPr>
    </w:tblStylePr>
    <w:tblStylePr w:type="band1Horz">
      <w:tblPr/>
      <w:tcPr>
        <w:tcBorders>
          <w:top w:val="single" w:sz="6" w:space="0" w:color="007934"/>
          <w:left w:val="nil"/>
          <w:bottom w:val="single" w:sz="6" w:space="0" w:color="007934"/>
          <w:right w:val="nil"/>
          <w:insideH w:val="nil"/>
          <w:insideV w:val="nil"/>
          <w:tl2br w:val="nil"/>
          <w:tr2bl w:val="nil"/>
        </w:tcBorders>
      </w:tcPr>
    </w:tblStylePr>
    <w:tblStylePr w:type="band2Horz">
      <w:tblPr/>
      <w:tcPr>
        <w:tcBorders>
          <w:top w:val="single" w:sz="6" w:space="0" w:color="007934"/>
          <w:left w:val="nil"/>
          <w:bottom w:val="single" w:sz="6" w:space="0" w:color="007934"/>
          <w:right w:val="nil"/>
          <w:insideH w:val="nil"/>
          <w:insideV w:val="nil"/>
          <w:tl2br w:val="nil"/>
          <w:tr2bl w:val="nil"/>
        </w:tcBorders>
      </w:tcPr>
    </w:tblStylePr>
  </w:style>
  <w:style w:type="table" w:customStyle="1" w:styleId="Table22">
    <w:name w:val="Table22"/>
    <w:basedOn w:val="TableNormal"/>
    <w:next w:val="LightList-Accent1"/>
    <w:uiPriority w:val="61"/>
    <w:rsid w:val="009324AC"/>
    <w:pPr>
      <w:spacing w:after="0" w:line="240" w:lineRule="auto"/>
    </w:pPr>
    <w:tblPr>
      <w:tblStyleRowBandSize w:val="1"/>
      <w:tblStyleColBandSize w:val="1"/>
      <w:tblInd w:w="58" w:type="dxa"/>
      <w:tblBorders>
        <w:top w:val="single" w:sz="6" w:space="0" w:color="007934"/>
        <w:bottom w:val="single" w:sz="6" w:space="0" w:color="007934"/>
        <w:insideH w:val="single" w:sz="6" w:space="0" w:color="007934"/>
      </w:tblBorders>
      <w:tblCellMar>
        <w:left w:w="58" w:type="dxa"/>
        <w:right w:w="58" w:type="dxa"/>
      </w:tblCellMar>
    </w:tblPr>
    <w:trPr>
      <w:cantSplit/>
    </w:trPr>
    <w:tblStylePr w:type="firstRow">
      <w:pPr>
        <w:spacing w:before="0" w:after="0" w:line="240" w:lineRule="auto"/>
      </w:pPr>
      <w:rPr>
        <w:b/>
        <w:bCs/>
        <w:color w:val="FFFFFF" w:themeColor="background1"/>
      </w:rPr>
      <w:tblPr/>
      <w:tcPr>
        <w:tcBorders>
          <w:top w:val="single" w:sz="6" w:space="0" w:color="007934"/>
          <w:left w:val="nil"/>
          <w:bottom w:val="single" w:sz="6" w:space="0" w:color="007934"/>
          <w:right w:val="nil"/>
          <w:insideH w:val="nil"/>
          <w:insideV w:val="nil"/>
          <w:tl2br w:val="nil"/>
          <w:tr2bl w:val="nil"/>
        </w:tcBorders>
        <w:shd w:val="clear" w:color="auto" w:fill="007934"/>
      </w:tcPr>
    </w:tblStylePr>
    <w:tblStylePr w:type="lastRow">
      <w:pPr>
        <w:spacing w:before="0" w:after="0" w:line="240" w:lineRule="auto"/>
      </w:pPr>
      <w:rPr>
        <w:b/>
        <w:bCs/>
      </w:rPr>
      <w:tblPr/>
      <w:tcPr>
        <w:tcBorders>
          <w:top w:val="single" w:sz="6" w:space="0" w:color="007934"/>
          <w:left w:val="nil"/>
          <w:bottom w:val="single" w:sz="12" w:space="0" w:color="007934"/>
          <w:right w:val="nil"/>
          <w:insideH w:val="nil"/>
          <w:insideV w:val="nil"/>
          <w:tl2br w:val="nil"/>
          <w:tr2bl w:val="nil"/>
        </w:tcBorders>
      </w:tcPr>
    </w:tblStylePr>
    <w:tblStylePr w:type="firstCol">
      <w:rPr>
        <w:b w:val="0"/>
        <w:bCs/>
      </w:rPr>
    </w:tblStylePr>
    <w:tblStylePr w:type="lastCol">
      <w:rPr>
        <w:b/>
        <w:bCs/>
      </w:rPr>
    </w:tblStylePr>
    <w:tblStylePr w:type="band1Vert">
      <w:tblPr/>
      <w:tcPr>
        <w:tcBorders>
          <w:top w:val="single" w:sz="6" w:space="0" w:color="007934"/>
          <w:left w:val="single" w:sz="6" w:space="0" w:color="007934"/>
          <w:bottom w:val="single" w:sz="6" w:space="0" w:color="007934"/>
          <w:right w:val="single" w:sz="6" w:space="0" w:color="007934"/>
          <w:insideH w:val="nil"/>
          <w:insideV w:val="nil"/>
          <w:tl2br w:val="nil"/>
          <w:tr2bl w:val="nil"/>
        </w:tcBorders>
      </w:tcPr>
    </w:tblStylePr>
    <w:tblStylePr w:type="band1Horz">
      <w:tblPr/>
      <w:tcPr>
        <w:tcBorders>
          <w:top w:val="single" w:sz="6" w:space="0" w:color="007934"/>
          <w:left w:val="nil"/>
          <w:bottom w:val="single" w:sz="6" w:space="0" w:color="007934"/>
          <w:right w:val="nil"/>
          <w:insideH w:val="nil"/>
          <w:insideV w:val="nil"/>
          <w:tl2br w:val="nil"/>
          <w:tr2bl w:val="nil"/>
        </w:tcBorders>
      </w:tcPr>
    </w:tblStylePr>
    <w:tblStylePr w:type="band2Horz">
      <w:tblPr/>
      <w:tcPr>
        <w:tcBorders>
          <w:top w:val="single" w:sz="6" w:space="0" w:color="007934"/>
          <w:left w:val="nil"/>
          <w:bottom w:val="single" w:sz="6" w:space="0" w:color="007934"/>
          <w:right w:val="nil"/>
          <w:insideH w:val="nil"/>
          <w:insideV w:val="nil"/>
          <w:tl2br w:val="nil"/>
          <w:tr2bl w:val="nil"/>
        </w:tcBorders>
      </w:tcPr>
    </w:tblStylePr>
  </w:style>
  <w:style w:type="table" w:customStyle="1" w:styleId="Table23">
    <w:name w:val="Table23"/>
    <w:basedOn w:val="TableNormal"/>
    <w:next w:val="LightList-Accent1"/>
    <w:uiPriority w:val="61"/>
    <w:rsid w:val="006D2117"/>
    <w:pPr>
      <w:spacing w:after="0" w:line="240" w:lineRule="auto"/>
    </w:pPr>
    <w:tblPr>
      <w:tblStyleRowBandSize w:val="1"/>
      <w:tblStyleColBandSize w:val="1"/>
      <w:tblInd w:w="58" w:type="dxa"/>
      <w:tblBorders>
        <w:top w:val="single" w:sz="6" w:space="0" w:color="007934"/>
        <w:bottom w:val="single" w:sz="6" w:space="0" w:color="007934"/>
        <w:insideH w:val="single" w:sz="6" w:space="0" w:color="007934"/>
      </w:tblBorders>
      <w:tblCellMar>
        <w:left w:w="58" w:type="dxa"/>
        <w:right w:w="58" w:type="dxa"/>
      </w:tblCellMar>
    </w:tblPr>
    <w:trPr>
      <w:cantSplit/>
    </w:trPr>
    <w:tblStylePr w:type="firstRow">
      <w:pPr>
        <w:spacing w:before="0" w:after="0" w:line="240" w:lineRule="auto"/>
      </w:pPr>
      <w:rPr>
        <w:b/>
        <w:bCs/>
        <w:color w:val="FFFFFF" w:themeColor="background1"/>
      </w:rPr>
      <w:tblPr/>
      <w:tcPr>
        <w:tcBorders>
          <w:top w:val="single" w:sz="6" w:space="0" w:color="007934"/>
          <w:left w:val="nil"/>
          <w:bottom w:val="single" w:sz="6" w:space="0" w:color="007934"/>
          <w:right w:val="nil"/>
          <w:insideH w:val="nil"/>
          <w:insideV w:val="nil"/>
          <w:tl2br w:val="nil"/>
          <w:tr2bl w:val="nil"/>
        </w:tcBorders>
        <w:shd w:val="clear" w:color="auto" w:fill="007934"/>
      </w:tcPr>
    </w:tblStylePr>
    <w:tblStylePr w:type="lastRow">
      <w:pPr>
        <w:spacing w:before="0" w:after="0" w:line="240" w:lineRule="auto"/>
      </w:pPr>
      <w:rPr>
        <w:b/>
        <w:bCs/>
      </w:rPr>
      <w:tblPr/>
      <w:tcPr>
        <w:tcBorders>
          <w:top w:val="single" w:sz="6" w:space="0" w:color="007934"/>
          <w:left w:val="nil"/>
          <w:bottom w:val="single" w:sz="12" w:space="0" w:color="007934"/>
          <w:right w:val="nil"/>
          <w:insideH w:val="nil"/>
          <w:insideV w:val="nil"/>
          <w:tl2br w:val="nil"/>
          <w:tr2bl w:val="nil"/>
        </w:tcBorders>
      </w:tcPr>
    </w:tblStylePr>
    <w:tblStylePr w:type="firstCol">
      <w:rPr>
        <w:b w:val="0"/>
        <w:bCs/>
      </w:rPr>
    </w:tblStylePr>
    <w:tblStylePr w:type="lastCol">
      <w:rPr>
        <w:b/>
        <w:bCs/>
      </w:rPr>
    </w:tblStylePr>
    <w:tblStylePr w:type="band1Vert">
      <w:tblPr/>
      <w:tcPr>
        <w:tcBorders>
          <w:top w:val="single" w:sz="6" w:space="0" w:color="007934"/>
          <w:left w:val="single" w:sz="6" w:space="0" w:color="007934"/>
          <w:bottom w:val="single" w:sz="6" w:space="0" w:color="007934"/>
          <w:right w:val="single" w:sz="6" w:space="0" w:color="007934"/>
          <w:insideH w:val="nil"/>
          <w:insideV w:val="nil"/>
          <w:tl2br w:val="nil"/>
          <w:tr2bl w:val="nil"/>
        </w:tcBorders>
      </w:tcPr>
    </w:tblStylePr>
    <w:tblStylePr w:type="band1Horz">
      <w:tblPr/>
      <w:tcPr>
        <w:tcBorders>
          <w:top w:val="single" w:sz="6" w:space="0" w:color="007934"/>
          <w:left w:val="nil"/>
          <w:bottom w:val="single" w:sz="6" w:space="0" w:color="007934"/>
          <w:right w:val="nil"/>
          <w:insideH w:val="nil"/>
          <w:insideV w:val="nil"/>
          <w:tl2br w:val="nil"/>
          <w:tr2bl w:val="nil"/>
        </w:tcBorders>
      </w:tcPr>
    </w:tblStylePr>
    <w:tblStylePr w:type="band2Horz">
      <w:tblPr/>
      <w:tcPr>
        <w:tcBorders>
          <w:top w:val="single" w:sz="6" w:space="0" w:color="007934"/>
          <w:left w:val="nil"/>
          <w:bottom w:val="single" w:sz="6" w:space="0" w:color="007934"/>
          <w:right w:val="nil"/>
          <w:insideH w:val="nil"/>
          <w:insideV w:val="nil"/>
          <w:tl2br w:val="nil"/>
          <w:tr2bl w:val="nil"/>
        </w:tcBorders>
      </w:tcPr>
    </w:tblStylePr>
  </w:style>
  <w:style w:type="table" w:customStyle="1" w:styleId="Table24">
    <w:name w:val="Table24"/>
    <w:basedOn w:val="TableNormal"/>
    <w:next w:val="LightList-Accent1"/>
    <w:uiPriority w:val="61"/>
    <w:rsid w:val="006D2117"/>
    <w:pPr>
      <w:spacing w:after="0" w:line="240" w:lineRule="auto"/>
    </w:pPr>
    <w:tblPr>
      <w:tblStyleRowBandSize w:val="1"/>
      <w:tblStyleColBandSize w:val="1"/>
      <w:tblInd w:w="58" w:type="dxa"/>
      <w:tblBorders>
        <w:top w:val="single" w:sz="6" w:space="0" w:color="007934"/>
        <w:bottom w:val="single" w:sz="6" w:space="0" w:color="007934"/>
        <w:insideH w:val="single" w:sz="6" w:space="0" w:color="007934"/>
      </w:tblBorders>
      <w:tblCellMar>
        <w:left w:w="58" w:type="dxa"/>
        <w:right w:w="58" w:type="dxa"/>
      </w:tblCellMar>
    </w:tblPr>
    <w:trPr>
      <w:cantSplit/>
    </w:trPr>
    <w:tblStylePr w:type="firstRow">
      <w:pPr>
        <w:spacing w:before="0" w:after="0" w:line="240" w:lineRule="auto"/>
      </w:pPr>
      <w:rPr>
        <w:b/>
        <w:bCs/>
        <w:color w:val="FFFFFF" w:themeColor="background1"/>
      </w:rPr>
      <w:tblPr/>
      <w:tcPr>
        <w:tcBorders>
          <w:top w:val="single" w:sz="6" w:space="0" w:color="007934"/>
          <w:left w:val="nil"/>
          <w:bottom w:val="single" w:sz="6" w:space="0" w:color="007934"/>
          <w:right w:val="nil"/>
          <w:insideH w:val="nil"/>
          <w:insideV w:val="nil"/>
          <w:tl2br w:val="nil"/>
          <w:tr2bl w:val="nil"/>
        </w:tcBorders>
        <w:shd w:val="clear" w:color="auto" w:fill="007934"/>
      </w:tcPr>
    </w:tblStylePr>
    <w:tblStylePr w:type="lastRow">
      <w:pPr>
        <w:spacing w:before="0" w:after="0" w:line="240" w:lineRule="auto"/>
      </w:pPr>
      <w:rPr>
        <w:b/>
        <w:bCs/>
      </w:rPr>
      <w:tblPr/>
      <w:tcPr>
        <w:tcBorders>
          <w:top w:val="single" w:sz="6" w:space="0" w:color="007934"/>
          <w:left w:val="nil"/>
          <w:bottom w:val="single" w:sz="12" w:space="0" w:color="007934"/>
          <w:right w:val="nil"/>
          <w:insideH w:val="nil"/>
          <w:insideV w:val="nil"/>
          <w:tl2br w:val="nil"/>
          <w:tr2bl w:val="nil"/>
        </w:tcBorders>
      </w:tcPr>
    </w:tblStylePr>
    <w:tblStylePr w:type="firstCol">
      <w:rPr>
        <w:b w:val="0"/>
        <w:bCs/>
      </w:rPr>
    </w:tblStylePr>
    <w:tblStylePr w:type="lastCol">
      <w:rPr>
        <w:b/>
        <w:bCs/>
      </w:rPr>
    </w:tblStylePr>
    <w:tblStylePr w:type="band1Vert">
      <w:tblPr/>
      <w:tcPr>
        <w:tcBorders>
          <w:top w:val="single" w:sz="6" w:space="0" w:color="007934"/>
          <w:left w:val="single" w:sz="6" w:space="0" w:color="007934"/>
          <w:bottom w:val="single" w:sz="6" w:space="0" w:color="007934"/>
          <w:right w:val="single" w:sz="6" w:space="0" w:color="007934"/>
          <w:insideH w:val="nil"/>
          <w:insideV w:val="nil"/>
          <w:tl2br w:val="nil"/>
          <w:tr2bl w:val="nil"/>
        </w:tcBorders>
      </w:tcPr>
    </w:tblStylePr>
    <w:tblStylePr w:type="band1Horz">
      <w:tblPr/>
      <w:tcPr>
        <w:tcBorders>
          <w:top w:val="single" w:sz="6" w:space="0" w:color="007934"/>
          <w:left w:val="nil"/>
          <w:bottom w:val="single" w:sz="6" w:space="0" w:color="007934"/>
          <w:right w:val="nil"/>
          <w:insideH w:val="nil"/>
          <w:insideV w:val="nil"/>
          <w:tl2br w:val="nil"/>
          <w:tr2bl w:val="nil"/>
        </w:tcBorders>
      </w:tcPr>
    </w:tblStylePr>
    <w:tblStylePr w:type="band2Horz">
      <w:tblPr/>
      <w:tcPr>
        <w:tcBorders>
          <w:top w:val="single" w:sz="6" w:space="0" w:color="007934"/>
          <w:left w:val="nil"/>
          <w:bottom w:val="single" w:sz="6" w:space="0" w:color="007934"/>
          <w:right w:val="nil"/>
          <w:insideH w:val="nil"/>
          <w:insideV w:val="nil"/>
          <w:tl2br w:val="nil"/>
          <w:tr2bl w:val="nil"/>
        </w:tcBorders>
      </w:tcPr>
    </w:tblStylePr>
  </w:style>
  <w:style w:type="table" w:customStyle="1" w:styleId="Table25">
    <w:name w:val="Table25"/>
    <w:basedOn w:val="TableNormal"/>
    <w:next w:val="LightList-Accent1"/>
    <w:uiPriority w:val="61"/>
    <w:rsid w:val="006D2117"/>
    <w:pPr>
      <w:spacing w:after="0" w:line="240" w:lineRule="auto"/>
    </w:pPr>
    <w:tblPr>
      <w:tblStyleRowBandSize w:val="1"/>
      <w:tblStyleColBandSize w:val="1"/>
      <w:tblInd w:w="58" w:type="dxa"/>
      <w:tblBorders>
        <w:top w:val="single" w:sz="6" w:space="0" w:color="007934"/>
        <w:bottom w:val="single" w:sz="6" w:space="0" w:color="007934"/>
        <w:insideH w:val="single" w:sz="6" w:space="0" w:color="007934"/>
      </w:tblBorders>
      <w:tblCellMar>
        <w:left w:w="58" w:type="dxa"/>
        <w:right w:w="58" w:type="dxa"/>
      </w:tblCellMar>
    </w:tblPr>
    <w:trPr>
      <w:cantSplit/>
    </w:trPr>
    <w:tblStylePr w:type="firstRow">
      <w:pPr>
        <w:spacing w:before="0" w:after="0" w:line="240" w:lineRule="auto"/>
      </w:pPr>
      <w:rPr>
        <w:b/>
        <w:bCs/>
        <w:color w:val="FFFFFF" w:themeColor="background1"/>
      </w:rPr>
      <w:tblPr/>
      <w:tcPr>
        <w:tcBorders>
          <w:top w:val="single" w:sz="6" w:space="0" w:color="007934"/>
          <w:left w:val="nil"/>
          <w:bottom w:val="single" w:sz="6" w:space="0" w:color="007934"/>
          <w:right w:val="nil"/>
          <w:insideH w:val="nil"/>
          <w:insideV w:val="nil"/>
          <w:tl2br w:val="nil"/>
          <w:tr2bl w:val="nil"/>
        </w:tcBorders>
        <w:shd w:val="clear" w:color="auto" w:fill="007934"/>
      </w:tcPr>
    </w:tblStylePr>
    <w:tblStylePr w:type="lastRow">
      <w:pPr>
        <w:spacing w:before="0" w:after="0" w:line="240" w:lineRule="auto"/>
      </w:pPr>
      <w:rPr>
        <w:b/>
        <w:bCs/>
      </w:rPr>
      <w:tblPr/>
      <w:tcPr>
        <w:tcBorders>
          <w:top w:val="single" w:sz="6" w:space="0" w:color="007934"/>
          <w:left w:val="nil"/>
          <w:bottom w:val="single" w:sz="12" w:space="0" w:color="007934"/>
          <w:right w:val="nil"/>
          <w:insideH w:val="nil"/>
          <w:insideV w:val="nil"/>
          <w:tl2br w:val="nil"/>
          <w:tr2bl w:val="nil"/>
        </w:tcBorders>
      </w:tcPr>
    </w:tblStylePr>
    <w:tblStylePr w:type="firstCol">
      <w:rPr>
        <w:b w:val="0"/>
        <w:bCs/>
      </w:rPr>
    </w:tblStylePr>
    <w:tblStylePr w:type="lastCol">
      <w:rPr>
        <w:b/>
        <w:bCs/>
      </w:rPr>
    </w:tblStylePr>
    <w:tblStylePr w:type="band1Vert">
      <w:tblPr/>
      <w:tcPr>
        <w:tcBorders>
          <w:top w:val="single" w:sz="6" w:space="0" w:color="007934"/>
          <w:left w:val="single" w:sz="6" w:space="0" w:color="007934"/>
          <w:bottom w:val="single" w:sz="6" w:space="0" w:color="007934"/>
          <w:right w:val="single" w:sz="6" w:space="0" w:color="007934"/>
          <w:insideH w:val="nil"/>
          <w:insideV w:val="nil"/>
          <w:tl2br w:val="nil"/>
          <w:tr2bl w:val="nil"/>
        </w:tcBorders>
      </w:tcPr>
    </w:tblStylePr>
    <w:tblStylePr w:type="band1Horz">
      <w:tblPr/>
      <w:tcPr>
        <w:tcBorders>
          <w:top w:val="single" w:sz="6" w:space="0" w:color="007934"/>
          <w:left w:val="nil"/>
          <w:bottom w:val="single" w:sz="6" w:space="0" w:color="007934"/>
          <w:right w:val="nil"/>
          <w:insideH w:val="nil"/>
          <w:insideV w:val="nil"/>
          <w:tl2br w:val="nil"/>
          <w:tr2bl w:val="nil"/>
        </w:tcBorders>
      </w:tcPr>
    </w:tblStylePr>
    <w:tblStylePr w:type="band2Horz">
      <w:tblPr/>
      <w:tcPr>
        <w:tcBorders>
          <w:top w:val="single" w:sz="6" w:space="0" w:color="007934"/>
          <w:left w:val="nil"/>
          <w:bottom w:val="single" w:sz="6" w:space="0" w:color="007934"/>
          <w:right w:val="nil"/>
          <w:insideH w:val="nil"/>
          <w:insideV w:val="nil"/>
          <w:tl2br w:val="nil"/>
          <w:tr2bl w:val="nil"/>
        </w:tcBorders>
      </w:tcPr>
    </w:tblStylePr>
  </w:style>
  <w:style w:type="paragraph" w:customStyle="1" w:styleId="Num3">
    <w:name w:val="Num3"/>
    <w:basedOn w:val="Normal"/>
    <w:rsid w:val="006D2117"/>
    <w:pPr>
      <w:tabs>
        <w:tab w:val="num" w:pos="504"/>
      </w:tabs>
      <w:ind w:left="504" w:hanging="504"/>
    </w:pPr>
  </w:style>
  <w:style w:type="table" w:customStyle="1" w:styleId="Table26">
    <w:name w:val="Table26"/>
    <w:basedOn w:val="TableNormal"/>
    <w:next w:val="LightList-Accent1"/>
    <w:uiPriority w:val="61"/>
    <w:rsid w:val="006D2117"/>
    <w:pPr>
      <w:spacing w:after="0" w:line="240" w:lineRule="auto"/>
    </w:pPr>
    <w:tblPr>
      <w:tblStyleRowBandSize w:val="1"/>
      <w:tblStyleColBandSize w:val="1"/>
      <w:tblInd w:w="58" w:type="dxa"/>
      <w:tblBorders>
        <w:top w:val="single" w:sz="6" w:space="0" w:color="007934"/>
        <w:bottom w:val="single" w:sz="6" w:space="0" w:color="007934"/>
        <w:insideH w:val="single" w:sz="6" w:space="0" w:color="007934"/>
      </w:tblBorders>
      <w:tblCellMar>
        <w:left w:w="58" w:type="dxa"/>
        <w:right w:w="58" w:type="dxa"/>
      </w:tblCellMar>
    </w:tblPr>
    <w:trPr>
      <w:cantSplit/>
    </w:trPr>
    <w:tblStylePr w:type="firstRow">
      <w:pPr>
        <w:spacing w:before="0" w:after="0" w:line="240" w:lineRule="auto"/>
      </w:pPr>
      <w:rPr>
        <w:b/>
        <w:bCs/>
        <w:color w:val="FFFFFF" w:themeColor="background1"/>
      </w:rPr>
      <w:tblPr/>
      <w:tcPr>
        <w:tcBorders>
          <w:top w:val="single" w:sz="6" w:space="0" w:color="007934"/>
          <w:left w:val="nil"/>
          <w:bottom w:val="single" w:sz="6" w:space="0" w:color="007934"/>
          <w:right w:val="nil"/>
          <w:insideH w:val="nil"/>
          <w:insideV w:val="nil"/>
          <w:tl2br w:val="nil"/>
          <w:tr2bl w:val="nil"/>
        </w:tcBorders>
        <w:shd w:val="clear" w:color="auto" w:fill="007934"/>
      </w:tcPr>
    </w:tblStylePr>
    <w:tblStylePr w:type="lastRow">
      <w:pPr>
        <w:spacing w:before="0" w:after="0" w:line="240" w:lineRule="auto"/>
      </w:pPr>
      <w:rPr>
        <w:b/>
        <w:bCs/>
      </w:rPr>
      <w:tblPr/>
      <w:tcPr>
        <w:tcBorders>
          <w:top w:val="single" w:sz="6" w:space="0" w:color="007934"/>
          <w:left w:val="nil"/>
          <w:bottom w:val="single" w:sz="12" w:space="0" w:color="007934"/>
          <w:right w:val="nil"/>
          <w:insideH w:val="nil"/>
          <w:insideV w:val="nil"/>
          <w:tl2br w:val="nil"/>
          <w:tr2bl w:val="nil"/>
        </w:tcBorders>
      </w:tcPr>
    </w:tblStylePr>
    <w:tblStylePr w:type="firstCol">
      <w:rPr>
        <w:b w:val="0"/>
        <w:bCs/>
      </w:rPr>
    </w:tblStylePr>
    <w:tblStylePr w:type="lastCol">
      <w:rPr>
        <w:b/>
        <w:bCs/>
      </w:rPr>
    </w:tblStylePr>
    <w:tblStylePr w:type="band1Vert">
      <w:tblPr/>
      <w:tcPr>
        <w:tcBorders>
          <w:top w:val="single" w:sz="6" w:space="0" w:color="007934"/>
          <w:left w:val="single" w:sz="6" w:space="0" w:color="007934"/>
          <w:bottom w:val="single" w:sz="6" w:space="0" w:color="007934"/>
          <w:right w:val="single" w:sz="6" w:space="0" w:color="007934"/>
          <w:insideH w:val="nil"/>
          <w:insideV w:val="nil"/>
          <w:tl2br w:val="nil"/>
          <w:tr2bl w:val="nil"/>
        </w:tcBorders>
      </w:tcPr>
    </w:tblStylePr>
    <w:tblStylePr w:type="band1Horz">
      <w:tblPr/>
      <w:tcPr>
        <w:tcBorders>
          <w:top w:val="single" w:sz="6" w:space="0" w:color="007934"/>
          <w:left w:val="nil"/>
          <w:bottom w:val="single" w:sz="6" w:space="0" w:color="007934"/>
          <w:right w:val="nil"/>
          <w:insideH w:val="nil"/>
          <w:insideV w:val="nil"/>
          <w:tl2br w:val="nil"/>
          <w:tr2bl w:val="nil"/>
        </w:tcBorders>
      </w:tcPr>
    </w:tblStylePr>
    <w:tblStylePr w:type="band2Horz">
      <w:tblPr/>
      <w:tcPr>
        <w:tcBorders>
          <w:top w:val="single" w:sz="6" w:space="0" w:color="007934"/>
          <w:left w:val="nil"/>
          <w:bottom w:val="single" w:sz="6" w:space="0" w:color="007934"/>
          <w:right w:val="nil"/>
          <w:insideH w:val="nil"/>
          <w:insideV w:val="nil"/>
          <w:tl2br w:val="nil"/>
          <w:tr2bl w:val="nil"/>
        </w:tcBorders>
      </w:tcPr>
    </w:tblStylePr>
  </w:style>
  <w:style w:type="table" w:customStyle="1" w:styleId="Table27">
    <w:name w:val="Table27"/>
    <w:basedOn w:val="TableNormal"/>
    <w:next w:val="LightList-Accent1"/>
    <w:uiPriority w:val="61"/>
    <w:rsid w:val="006D2117"/>
    <w:pPr>
      <w:spacing w:after="0" w:line="240" w:lineRule="auto"/>
    </w:pPr>
    <w:tblPr>
      <w:tblStyleRowBandSize w:val="1"/>
      <w:tblStyleColBandSize w:val="1"/>
      <w:tblInd w:w="58" w:type="dxa"/>
      <w:tblBorders>
        <w:top w:val="single" w:sz="6" w:space="0" w:color="007934"/>
        <w:bottom w:val="single" w:sz="6" w:space="0" w:color="007934"/>
        <w:insideH w:val="single" w:sz="6" w:space="0" w:color="007934"/>
      </w:tblBorders>
      <w:tblCellMar>
        <w:left w:w="58" w:type="dxa"/>
        <w:right w:w="58" w:type="dxa"/>
      </w:tblCellMar>
    </w:tblPr>
    <w:trPr>
      <w:cantSplit/>
    </w:trPr>
    <w:tblStylePr w:type="firstRow">
      <w:pPr>
        <w:spacing w:before="0" w:after="0" w:line="240" w:lineRule="auto"/>
      </w:pPr>
      <w:rPr>
        <w:b/>
        <w:bCs/>
        <w:color w:val="FFFFFF" w:themeColor="background1"/>
      </w:rPr>
      <w:tblPr/>
      <w:tcPr>
        <w:tcBorders>
          <w:top w:val="single" w:sz="6" w:space="0" w:color="007934"/>
          <w:left w:val="nil"/>
          <w:bottom w:val="single" w:sz="6" w:space="0" w:color="007934"/>
          <w:right w:val="nil"/>
          <w:insideH w:val="nil"/>
          <w:insideV w:val="nil"/>
          <w:tl2br w:val="nil"/>
          <w:tr2bl w:val="nil"/>
        </w:tcBorders>
        <w:shd w:val="clear" w:color="auto" w:fill="007934"/>
      </w:tcPr>
    </w:tblStylePr>
    <w:tblStylePr w:type="lastRow">
      <w:pPr>
        <w:spacing w:before="0" w:after="0" w:line="240" w:lineRule="auto"/>
      </w:pPr>
      <w:rPr>
        <w:b/>
        <w:bCs/>
      </w:rPr>
      <w:tblPr/>
      <w:tcPr>
        <w:tcBorders>
          <w:top w:val="single" w:sz="6" w:space="0" w:color="007934"/>
          <w:left w:val="nil"/>
          <w:bottom w:val="single" w:sz="12" w:space="0" w:color="007934"/>
          <w:right w:val="nil"/>
          <w:insideH w:val="nil"/>
          <w:insideV w:val="nil"/>
          <w:tl2br w:val="nil"/>
          <w:tr2bl w:val="nil"/>
        </w:tcBorders>
      </w:tcPr>
    </w:tblStylePr>
    <w:tblStylePr w:type="firstCol">
      <w:rPr>
        <w:b w:val="0"/>
        <w:bCs/>
      </w:rPr>
    </w:tblStylePr>
    <w:tblStylePr w:type="lastCol">
      <w:rPr>
        <w:b/>
        <w:bCs/>
      </w:rPr>
    </w:tblStylePr>
    <w:tblStylePr w:type="band1Vert">
      <w:tblPr/>
      <w:tcPr>
        <w:tcBorders>
          <w:top w:val="single" w:sz="6" w:space="0" w:color="007934"/>
          <w:left w:val="single" w:sz="6" w:space="0" w:color="007934"/>
          <w:bottom w:val="single" w:sz="6" w:space="0" w:color="007934"/>
          <w:right w:val="single" w:sz="6" w:space="0" w:color="007934"/>
          <w:insideH w:val="nil"/>
          <w:insideV w:val="nil"/>
          <w:tl2br w:val="nil"/>
          <w:tr2bl w:val="nil"/>
        </w:tcBorders>
      </w:tcPr>
    </w:tblStylePr>
    <w:tblStylePr w:type="band1Horz">
      <w:tblPr/>
      <w:tcPr>
        <w:tcBorders>
          <w:top w:val="single" w:sz="6" w:space="0" w:color="007934"/>
          <w:left w:val="nil"/>
          <w:bottom w:val="single" w:sz="6" w:space="0" w:color="007934"/>
          <w:right w:val="nil"/>
          <w:insideH w:val="nil"/>
          <w:insideV w:val="nil"/>
          <w:tl2br w:val="nil"/>
          <w:tr2bl w:val="nil"/>
        </w:tcBorders>
      </w:tcPr>
    </w:tblStylePr>
    <w:tblStylePr w:type="band2Horz">
      <w:tblPr/>
      <w:tcPr>
        <w:tcBorders>
          <w:top w:val="single" w:sz="6" w:space="0" w:color="007934"/>
          <w:left w:val="nil"/>
          <w:bottom w:val="single" w:sz="6" w:space="0" w:color="007934"/>
          <w:right w:val="nil"/>
          <w:insideH w:val="nil"/>
          <w:insideV w:val="nil"/>
          <w:tl2br w:val="nil"/>
          <w:tr2bl w:val="nil"/>
        </w:tcBorders>
      </w:tcPr>
    </w:tblStylePr>
  </w:style>
  <w:style w:type="table" w:customStyle="1" w:styleId="Table28">
    <w:name w:val="Table28"/>
    <w:basedOn w:val="TableNormal"/>
    <w:next w:val="LightList-Accent1"/>
    <w:uiPriority w:val="61"/>
    <w:rsid w:val="006D2117"/>
    <w:pPr>
      <w:spacing w:after="0" w:line="240" w:lineRule="auto"/>
    </w:pPr>
    <w:tblPr>
      <w:tblStyleRowBandSize w:val="1"/>
      <w:tblStyleColBandSize w:val="1"/>
      <w:tblInd w:w="58" w:type="dxa"/>
      <w:tblBorders>
        <w:top w:val="single" w:sz="6" w:space="0" w:color="007934"/>
        <w:bottom w:val="single" w:sz="6" w:space="0" w:color="007934"/>
        <w:insideH w:val="single" w:sz="6" w:space="0" w:color="007934"/>
      </w:tblBorders>
      <w:tblCellMar>
        <w:left w:w="58" w:type="dxa"/>
        <w:right w:w="58" w:type="dxa"/>
      </w:tblCellMar>
    </w:tblPr>
    <w:trPr>
      <w:cantSplit/>
    </w:trPr>
    <w:tblStylePr w:type="firstRow">
      <w:pPr>
        <w:spacing w:before="0" w:after="0" w:line="240" w:lineRule="auto"/>
      </w:pPr>
      <w:rPr>
        <w:b/>
        <w:bCs/>
        <w:color w:val="FFFFFF" w:themeColor="background1"/>
      </w:rPr>
      <w:tblPr/>
      <w:tcPr>
        <w:tcBorders>
          <w:top w:val="single" w:sz="6" w:space="0" w:color="007934"/>
          <w:left w:val="nil"/>
          <w:bottom w:val="single" w:sz="6" w:space="0" w:color="007934"/>
          <w:right w:val="nil"/>
          <w:insideH w:val="nil"/>
          <w:insideV w:val="nil"/>
          <w:tl2br w:val="nil"/>
          <w:tr2bl w:val="nil"/>
        </w:tcBorders>
        <w:shd w:val="clear" w:color="auto" w:fill="007934"/>
      </w:tcPr>
    </w:tblStylePr>
    <w:tblStylePr w:type="lastRow">
      <w:pPr>
        <w:spacing w:before="0" w:after="0" w:line="240" w:lineRule="auto"/>
      </w:pPr>
      <w:rPr>
        <w:b/>
        <w:bCs/>
      </w:rPr>
      <w:tblPr/>
      <w:tcPr>
        <w:tcBorders>
          <w:top w:val="single" w:sz="6" w:space="0" w:color="007934"/>
          <w:left w:val="nil"/>
          <w:bottom w:val="single" w:sz="12" w:space="0" w:color="007934"/>
          <w:right w:val="nil"/>
          <w:insideH w:val="nil"/>
          <w:insideV w:val="nil"/>
          <w:tl2br w:val="nil"/>
          <w:tr2bl w:val="nil"/>
        </w:tcBorders>
      </w:tcPr>
    </w:tblStylePr>
    <w:tblStylePr w:type="firstCol">
      <w:rPr>
        <w:b w:val="0"/>
        <w:bCs/>
      </w:rPr>
    </w:tblStylePr>
    <w:tblStylePr w:type="lastCol">
      <w:rPr>
        <w:b/>
        <w:bCs/>
      </w:rPr>
    </w:tblStylePr>
    <w:tblStylePr w:type="band1Vert">
      <w:tblPr/>
      <w:tcPr>
        <w:tcBorders>
          <w:top w:val="single" w:sz="6" w:space="0" w:color="007934"/>
          <w:left w:val="single" w:sz="6" w:space="0" w:color="007934"/>
          <w:bottom w:val="single" w:sz="6" w:space="0" w:color="007934"/>
          <w:right w:val="single" w:sz="6" w:space="0" w:color="007934"/>
          <w:insideH w:val="nil"/>
          <w:insideV w:val="nil"/>
          <w:tl2br w:val="nil"/>
          <w:tr2bl w:val="nil"/>
        </w:tcBorders>
      </w:tcPr>
    </w:tblStylePr>
    <w:tblStylePr w:type="band1Horz">
      <w:tblPr/>
      <w:tcPr>
        <w:tcBorders>
          <w:top w:val="single" w:sz="6" w:space="0" w:color="007934"/>
          <w:left w:val="nil"/>
          <w:bottom w:val="single" w:sz="6" w:space="0" w:color="007934"/>
          <w:right w:val="nil"/>
          <w:insideH w:val="nil"/>
          <w:insideV w:val="nil"/>
          <w:tl2br w:val="nil"/>
          <w:tr2bl w:val="nil"/>
        </w:tcBorders>
      </w:tcPr>
    </w:tblStylePr>
    <w:tblStylePr w:type="band2Horz">
      <w:tblPr/>
      <w:tcPr>
        <w:tcBorders>
          <w:top w:val="single" w:sz="6" w:space="0" w:color="007934"/>
          <w:left w:val="nil"/>
          <w:bottom w:val="single" w:sz="6" w:space="0" w:color="007934"/>
          <w:right w:val="nil"/>
          <w:insideH w:val="nil"/>
          <w:insideV w:val="nil"/>
          <w:tl2br w:val="nil"/>
          <w:tr2bl w:val="nil"/>
        </w:tcBorders>
      </w:tcPr>
    </w:tblStylePr>
  </w:style>
  <w:style w:type="table" w:customStyle="1" w:styleId="Table29">
    <w:name w:val="Table29"/>
    <w:basedOn w:val="TableNormal"/>
    <w:next w:val="LightList-Accent1"/>
    <w:uiPriority w:val="61"/>
    <w:rsid w:val="00372655"/>
    <w:pPr>
      <w:spacing w:after="0" w:line="240" w:lineRule="auto"/>
    </w:pPr>
    <w:tblPr>
      <w:tblStyleRowBandSize w:val="1"/>
      <w:tblStyleColBandSize w:val="1"/>
      <w:tblInd w:w="58" w:type="dxa"/>
      <w:tblBorders>
        <w:top w:val="single" w:sz="6" w:space="0" w:color="007934"/>
        <w:bottom w:val="single" w:sz="6" w:space="0" w:color="007934"/>
        <w:insideH w:val="single" w:sz="6" w:space="0" w:color="007934"/>
      </w:tblBorders>
      <w:tblCellMar>
        <w:left w:w="58" w:type="dxa"/>
        <w:right w:w="58" w:type="dxa"/>
      </w:tblCellMar>
    </w:tblPr>
    <w:trPr>
      <w:cantSplit/>
    </w:trPr>
    <w:tblStylePr w:type="firstRow">
      <w:pPr>
        <w:spacing w:before="0" w:after="0" w:line="240" w:lineRule="auto"/>
      </w:pPr>
      <w:rPr>
        <w:b/>
        <w:bCs/>
        <w:color w:val="FFFFFF" w:themeColor="background1"/>
      </w:rPr>
      <w:tblPr/>
      <w:tcPr>
        <w:tcBorders>
          <w:top w:val="single" w:sz="6" w:space="0" w:color="007934"/>
          <w:left w:val="nil"/>
          <w:bottom w:val="single" w:sz="6" w:space="0" w:color="007934"/>
          <w:right w:val="nil"/>
          <w:insideH w:val="nil"/>
          <w:insideV w:val="nil"/>
          <w:tl2br w:val="nil"/>
          <w:tr2bl w:val="nil"/>
        </w:tcBorders>
        <w:shd w:val="clear" w:color="auto" w:fill="007934"/>
      </w:tcPr>
    </w:tblStylePr>
    <w:tblStylePr w:type="lastRow">
      <w:pPr>
        <w:spacing w:before="0" w:after="0" w:line="240" w:lineRule="auto"/>
      </w:pPr>
      <w:rPr>
        <w:b/>
        <w:bCs/>
      </w:rPr>
      <w:tblPr/>
      <w:tcPr>
        <w:tcBorders>
          <w:top w:val="single" w:sz="6" w:space="0" w:color="007934"/>
          <w:left w:val="nil"/>
          <w:bottom w:val="single" w:sz="12" w:space="0" w:color="007934"/>
          <w:right w:val="nil"/>
          <w:insideH w:val="nil"/>
          <w:insideV w:val="nil"/>
          <w:tl2br w:val="nil"/>
          <w:tr2bl w:val="nil"/>
        </w:tcBorders>
      </w:tcPr>
    </w:tblStylePr>
    <w:tblStylePr w:type="firstCol">
      <w:rPr>
        <w:b w:val="0"/>
        <w:bCs/>
      </w:rPr>
    </w:tblStylePr>
    <w:tblStylePr w:type="lastCol">
      <w:rPr>
        <w:b/>
        <w:bCs/>
      </w:rPr>
    </w:tblStylePr>
    <w:tblStylePr w:type="band1Vert">
      <w:tblPr/>
      <w:tcPr>
        <w:tcBorders>
          <w:top w:val="single" w:sz="6" w:space="0" w:color="007934"/>
          <w:left w:val="single" w:sz="6" w:space="0" w:color="007934"/>
          <w:bottom w:val="single" w:sz="6" w:space="0" w:color="007934"/>
          <w:right w:val="single" w:sz="6" w:space="0" w:color="007934"/>
          <w:insideH w:val="nil"/>
          <w:insideV w:val="nil"/>
          <w:tl2br w:val="nil"/>
          <w:tr2bl w:val="nil"/>
        </w:tcBorders>
      </w:tcPr>
    </w:tblStylePr>
    <w:tblStylePr w:type="band1Horz">
      <w:tblPr/>
      <w:tcPr>
        <w:tcBorders>
          <w:top w:val="single" w:sz="6" w:space="0" w:color="007934"/>
          <w:left w:val="nil"/>
          <w:bottom w:val="single" w:sz="6" w:space="0" w:color="007934"/>
          <w:right w:val="nil"/>
          <w:insideH w:val="nil"/>
          <w:insideV w:val="nil"/>
          <w:tl2br w:val="nil"/>
          <w:tr2bl w:val="nil"/>
        </w:tcBorders>
      </w:tcPr>
    </w:tblStylePr>
    <w:tblStylePr w:type="band2Horz">
      <w:tblPr/>
      <w:tcPr>
        <w:tcBorders>
          <w:top w:val="single" w:sz="6" w:space="0" w:color="007934"/>
          <w:left w:val="nil"/>
          <w:bottom w:val="single" w:sz="6" w:space="0" w:color="007934"/>
          <w:right w:val="nil"/>
          <w:insideH w:val="nil"/>
          <w:insideV w:val="nil"/>
          <w:tl2br w:val="nil"/>
          <w:tr2bl w:val="nil"/>
        </w:tcBorders>
      </w:tcPr>
    </w:tblStylePr>
  </w:style>
  <w:style w:type="table" w:customStyle="1" w:styleId="Table210">
    <w:name w:val="Table210"/>
    <w:basedOn w:val="TableNormal"/>
    <w:next w:val="LightList-Accent1"/>
    <w:uiPriority w:val="61"/>
    <w:rsid w:val="00391F57"/>
    <w:pPr>
      <w:spacing w:after="0" w:line="240" w:lineRule="auto"/>
    </w:pPr>
    <w:tblPr>
      <w:tblStyleRowBandSize w:val="1"/>
      <w:tblStyleColBandSize w:val="1"/>
      <w:tblInd w:w="58" w:type="dxa"/>
      <w:tblBorders>
        <w:top w:val="single" w:sz="6" w:space="0" w:color="007934"/>
        <w:bottom w:val="single" w:sz="6" w:space="0" w:color="007934"/>
        <w:insideH w:val="single" w:sz="6" w:space="0" w:color="007934"/>
      </w:tblBorders>
      <w:tblCellMar>
        <w:left w:w="58" w:type="dxa"/>
        <w:right w:w="58" w:type="dxa"/>
      </w:tblCellMar>
    </w:tblPr>
    <w:trPr>
      <w:cantSplit/>
    </w:trPr>
    <w:tblStylePr w:type="firstRow">
      <w:pPr>
        <w:spacing w:before="0" w:after="0" w:line="240" w:lineRule="auto"/>
      </w:pPr>
      <w:rPr>
        <w:b/>
        <w:bCs/>
        <w:color w:val="FFFFFF" w:themeColor="background1"/>
      </w:rPr>
      <w:tblPr/>
      <w:tcPr>
        <w:shd w:val="clear" w:color="auto" w:fill="007934"/>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6" w:space="0" w:color="007934"/>
          <w:left w:val="nil"/>
          <w:bottom w:val="single" w:sz="6" w:space="0" w:color="007934"/>
          <w:right w:val="nil"/>
          <w:insideH w:val="nil"/>
          <w:insideV w:val="nil"/>
          <w:tl2br w:val="nil"/>
          <w:tr2bl w:val="nil"/>
        </w:tcBorders>
      </w:tcPr>
    </w:tblStylePr>
    <w:tblStylePr w:type="band2Horz">
      <w:tblPr/>
      <w:tcPr>
        <w:tcBorders>
          <w:top w:val="single" w:sz="6" w:space="0" w:color="4F81BD" w:themeColor="accent1"/>
          <w:left w:val="nil"/>
          <w:bottom w:val="single" w:sz="6" w:space="0" w:color="4F81BD" w:themeColor="accent1"/>
          <w:right w:val="nil"/>
          <w:insideH w:val="nil"/>
          <w:insideV w:val="nil"/>
          <w:tl2br w:val="nil"/>
          <w:tr2bl w:val="nil"/>
        </w:tcBorders>
      </w:tcPr>
    </w:tblStylePr>
  </w:style>
  <w:style w:type="table" w:customStyle="1" w:styleId="Table13">
    <w:name w:val="Table13"/>
    <w:basedOn w:val="TableNormal"/>
    <w:next w:val="LightShading"/>
    <w:uiPriority w:val="60"/>
    <w:rsid w:val="00391F57"/>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le211">
    <w:name w:val="Table211"/>
    <w:basedOn w:val="TableNormal"/>
    <w:next w:val="LightList-Accent1"/>
    <w:uiPriority w:val="61"/>
    <w:rsid w:val="00391F57"/>
    <w:pPr>
      <w:spacing w:after="0" w:line="240" w:lineRule="auto"/>
    </w:pPr>
    <w:tblPr>
      <w:tblStyleRowBandSize w:val="1"/>
      <w:tblStyleColBandSize w:val="1"/>
      <w:tblInd w:w="58" w:type="dxa"/>
      <w:tblBorders>
        <w:top w:val="single" w:sz="6" w:space="0" w:color="007934"/>
        <w:bottom w:val="single" w:sz="6" w:space="0" w:color="007934"/>
        <w:insideH w:val="single" w:sz="6" w:space="0" w:color="007934"/>
      </w:tblBorders>
      <w:tblCellMar>
        <w:left w:w="58" w:type="dxa"/>
        <w:right w:w="58" w:type="dxa"/>
      </w:tblCellMar>
    </w:tblPr>
    <w:trPr>
      <w:cantSplit/>
    </w:trPr>
    <w:tblStylePr w:type="firstRow">
      <w:pPr>
        <w:spacing w:before="0" w:after="0" w:line="240" w:lineRule="auto"/>
      </w:pPr>
      <w:rPr>
        <w:b/>
        <w:bCs/>
        <w:color w:val="FFFFFF" w:themeColor="background1"/>
      </w:rPr>
      <w:tblPr/>
      <w:tcPr>
        <w:tcBorders>
          <w:top w:val="single" w:sz="6" w:space="0" w:color="1665A1"/>
          <w:left w:val="single" w:sz="6" w:space="0" w:color="1665A1"/>
          <w:bottom w:val="single" w:sz="6" w:space="0" w:color="1665A1"/>
          <w:right w:val="single" w:sz="6" w:space="0" w:color="1665A1"/>
          <w:insideH w:val="nil"/>
          <w:insideV w:val="nil"/>
          <w:tl2br w:val="nil"/>
          <w:tr2bl w:val="nil"/>
        </w:tcBorders>
        <w:shd w:val="clear" w:color="auto" w:fill="1665A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6" w:space="0" w:color="4F81BD" w:themeColor="accent1"/>
          <w:left w:val="nil"/>
          <w:bottom w:val="single" w:sz="6" w:space="0" w:color="4F81BD" w:themeColor="accent1"/>
          <w:right w:val="nil"/>
          <w:insideH w:val="nil"/>
          <w:insideV w:val="nil"/>
          <w:tl2br w:val="nil"/>
          <w:tr2bl w:val="nil"/>
        </w:tcBorders>
      </w:tcPr>
    </w:tblStylePr>
    <w:tblStylePr w:type="band2Horz">
      <w:tblPr/>
      <w:tcPr>
        <w:tcBorders>
          <w:top w:val="single" w:sz="6" w:space="0" w:color="4F81BD" w:themeColor="accent1"/>
          <w:left w:val="nil"/>
          <w:bottom w:val="single" w:sz="6" w:space="0" w:color="4F81BD" w:themeColor="accent1"/>
          <w:right w:val="nil"/>
          <w:insideH w:val="nil"/>
          <w:insideV w:val="nil"/>
          <w:tl2br w:val="nil"/>
          <w:tr2bl w:val="nil"/>
        </w:tcBorders>
      </w:tcPr>
    </w:tblStylePr>
  </w:style>
  <w:style w:type="paragraph" w:customStyle="1" w:styleId="TertiaryTitle">
    <w:name w:val="Tertiary Title"/>
    <w:basedOn w:val="Normal"/>
    <w:rsid w:val="00123FD7"/>
    <w:pPr>
      <w:spacing w:before="0" w:after="0" w:line="440" w:lineRule="exact"/>
      <w:ind w:left="2160" w:right="216"/>
    </w:pPr>
    <w:rPr>
      <w:color w:val="FFFFFF" w:themeColor="background1"/>
      <w:sz w:val="36"/>
      <w:szCs w:val="40"/>
      <w:lang w:eastAsia="en-US"/>
    </w:rPr>
  </w:style>
  <w:style w:type="paragraph" w:styleId="CommentSubject">
    <w:name w:val="annotation subject"/>
    <w:basedOn w:val="CommentText"/>
    <w:next w:val="CommentText"/>
    <w:link w:val="CommentSubjectChar"/>
    <w:uiPriority w:val="99"/>
    <w:semiHidden/>
    <w:rsid w:val="00373158"/>
    <w:pPr>
      <w:spacing w:before="100" w:after="100" w:line="240" w:lineRule="auto"/>
    </w:pPr>
    <w:rPr>
      <w:rFonts w:cs="Calibri"/>
      <w:b/>
      <w:bCs/>
    </w:rPr>
  </w:style>
  <w:style w:type="character" w:customStyle="1" w:styleId="CommentSubjectChar">
    <w:name w:val="Comment Subject Char"/>
    <w:basedOn w:val="CommentTextChar"/>
    <w:link w:val="CommentSubject"/>
    <w:uiPriority w:val="99"/>
    <w:semiHidden/>
    <w:rsid w:val="00373158"/>
    <w:rPr>
      <w:rFonts w:ascii="Calibri" w:eastAsia="Times New Roman" w:hAnsi="Calibri" w:cs="Calibri"/>
      <w:b/>
      <w:bCs/>
      <w:sz w:val="20"/>
      <w:szCs w:val="20"/>
      <w:lang w:eastAsia="en-AU"/>
    </w:rPr>
  </w:style>
  <w:style w:type="paragraph" w:customStyle="1" w:styleId="Heading4NoNum">
    <w:name w:val="Heading 4 NoNum"/>
    <w:basedOn w:val="Heading4"/>
    <w:uiPriority w:val="4"/>
    <w:qFormat/>
    <w:rsid w:val="00FC5FF0"/>
    <w:pPr>
      <w:keepNext/>
      <w:keepLines/>
      <w:spacing w:after="120"/>
      <w:ind w:left="794"/>
    </w:pPr>
    <w:rPr>
      <w:rFonts w:cs="Calibri"/>
      <w:color w:val="4D4D4D"/>
      <w:kern w:val="28"/>
      <w:sz w:val="22"/>
      <w:szCs w:val="22"/>
      <w:lang w:eastAsia="en-US"/>
    </w:rPr>
  </w:style>
  <w:style w:type="paragraph" w:styleId="FootnoteText">
    <w:name w:val="footnote text"/>
    <w:basedOn w:val="Normal"/>
    <w:link w:val="FootnoteTextChar"/>
    <w:rsid w:val="006A4B5E"/>
    <w:pPr>
      <w:spacing w:before="0" w:after="0"/>
    </w:pPr>
    <w:rPr>
      <w:sz w:val="18"/>
      <w:szCs w:val="20"/>
    </w:rPr>
  </w:style>
  <w:style w:type="character" w:customStyle="1" w:styleId="FootnoteTextChar">
    <w:name w:val="Footnote Text Char"/>
    <w:basedOn w:val="DefaultParagraphFont"/>
    <w:link w:val="FootnoteText"/>
    <w:rsid w:val="006A4B5E"/>
    <w:rPr>
      <w:rFonts w:ascii="Calibri" w:eastAsia="Times New Roman" w:hAnsi="Calibri" w:cs="Calibri"/>
      <w:sz w:val="18"/>
      <w:szCs w:val="20"/>
      <w:lang w:eastAsia="en-AU"/>
    </w:rPr>
  </w:style>
  <w:style w:type="character" w:styleId="FootnoteReference">
    <w:name w:val="footnote reference"/>
    <w:basedOn w:val="DefaultParagraphFont"/>
    <w:uiPriority w:val="99"/>
    <w:semiHidden/>
    <w:rsid w:val="002177BE"/>
    <w:rPr>
      <w:vertAlign w:val="superscript"/>
    </w:rPr>
  </w:style>
  <w:style w:type="paragraph" w:styleId="Revision">
    <w:name w:val="Revision"/>
    <w:hidden/>
    <w:uiPriority w:val="99"/>
    <w:semiHidden/>
    <w:rsid w:val="008D2C8A"/>
    <w:pPr>
      <w:spacing w:after="0" w:line="240" w:lineRule="auto"/>
    </w:pPr>
    <w:rPr>
      <w:rFonts w:ascii="Calibri" w:eastAsia="Times New Roman" w:hAnsi="Calibri" w:cs="Calibri"/>
      <w:sz w:val="20"/>
      <w:lang w:eastAsia="en-AU"/>
    </w:rPr>
  </w:style>
  <w:style w:type="paragraph" w:styleId="HTMLPreformatted">
    <w:name w:val="HTML Preformatted"/>
    <w:basedOn w:val="Normal"/>
    <w:link w:val="HTMLPreformattedChar"/>
    <w:uiPriority w:val="99"/>
    <w:semiHidden/>
    <w:unhideWhenUsed/>
    <w:rsid w:val="000C4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0C4E95"/>
    <w:rPr>
      <w:rFonts w:ascii="Courier New" w:eastAsia="Times New Roman" w:hAnsi="Courier New" w:cs="Courier New"/>
      <w:sz w:val="20"/>
      <w:szCs w:val="20"/>
      <w:lang w:eastAsia="en-AU"/>
    </w:rPr>
  </w:style>
  <w:style w:type="paragraph" w:styleId="BodyText">
    <w:name w:val="Body Text"/>
    <w:basedOn w:val="Normal"/>
    <w:link w:val="BodyTextChar"/>
    <w:uiPriority w:val="49"/>
    <w:semiHidden/>
    <w:rsid w:val="00523824"/>
    <w:pPr>
      <w:ind w:left="794"/>
    </w:pPr>
    <w:rPr>
      <w:sz w:val="22"/>
    </w:rPr>
  </w:style>
  <w:style w:type="character" w:customStyle="1" w:styleId="BodyTextChar">
    <w:name w:val="Body Text Char"/>
    <w:basedOn w:val="DefaultParagraphFont"/>
    <w:link w:val="BodyText"/>
    <w:uiPriority w:val="49"/>
    <w:semiHidden/>
    <w:rsid w:val="00523824"/>
    <w:rPr>
      <w:rFonts w:ascii="Calibri" w:eastAsia="Times New Roman" w:hAnsi="Calibri" w:cs="Calibri"/>
      <w:lang w:eastAsia="en-AU"/>
    </w:rPr>
  </w:style>
  <w:style w:type="character" w:styleId="FollowedHyperlink">
    <w:name w:val="FollowedHyperlink"/>
    <w:basedOn w:val="DefaultParagraphFont"/>
    <w:uiPriority w:val="99"/>
    <w:semiHidden/>
    <w:rsid w:val="000C74D1"/>
    <w:rPr>
      <w:color w:val="800080" w:themeColor="followedHyperlink"/>
      <w:u w:val="single"/>
    </w:rPr>
  </w:style>
  <w:style w:type="paragraph" w:customStyle="1" w:styleId="Instruction">
    <w:name w:val="Instruction"/>
    <w:basedOn w:val="Normal"/>
    <w:qFormat/>
    <w:rsid w:val="00B32558"/>
    <w:pPr>
      <w:spacing w:before="0" w:after="300" w:line="252" w:lineRule="auto"/>
    </w:pPr>
    <w:rPr>
      <w:color w:val="007934"/>
      <w:sz w:val="40"/>
      <w:szCs w:val="40"/>
    </w:rPr>
  </w:style>
  <w:style w:type="paragraph" w:customStyle="1" w:styleId="Instructionstitle">
    <w:name w:val="Instructions title"/>
    <w:qFormat/>
    <w:rsid w:val="00123FD7"/>
    <w:rPr>
      <w:rFonts w:ascii="Calibri" w:eastAsia="Times New Roman" w:hAnsi="Calibri" w:cs="Calibri"/>
      <w:b/>
      <w:color w:val="007B4B"/>
      <w:sz w:val="60"/>
      <w:lang w:eastAsia="en-AU"/>
    </w:rPr>
  </w:style>
  <w:style w:type="table" w:styleId="ColourfulListAccent1">
    <w:name w:val="Colorful List Accent 1"/>
    <w:basedOn w:val="TableNormal"/>
    <w:uiPriority w:val="72"/>
    <w:rsid w:val="001E15F6"/>
    <w:pPr>
      <w:spacing w:after="0" w:line="240" w:lineRule="auto"/>
    </w:pPr>
    <w:rPr>
      <w:rFonts w:ascii="Arial" w:eastAsia="Times New Roman" w:hAnsi="Arial" w:cs="Times New Roman"/>
      <w:color w:val="000000"/>
      <w:sz w:val="20"/>
      <w:szCs w:val="20"/>
      <w:lang w:eastAsia="en-AU"/>
    </w:rPr>
    <w:tblPr>
      <w:tblStyleRowBandSize w:val="1"/>
      <w:tblStyleColBandSize w:val="1"/>
      <w:tblBorders>
        <w:bottom w:val="single" w:sz="12" w:space="0" w:color="8A2A2B"/>
      </w:tblBorders>
    </w:tblPr>
    <w:tcPr>
      <w:shd w:val="clear" w:color="auto" w:fill="auto"/>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Pr/>
      <w:tcPr>
        <w:shd w:val="clear" w:color="auto" w:fill="F2DBDB" w:themeFill="accent2" w:themeFillTint="33"/>
      </w:tc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uiPriority w:val="99"/>
    <w:semiHidden/>
    <w:rsid w:val="001E15F6"/>
    <w:rPr>
      <w:color w:val="808080"/>
    </w:rPr>
  </w:style>
  <w:style w:type="table" w:styleId="ColourfulList">
    <w:name w:val="Colorful List"/>
    <w:basedOn w:val="TableNormal"/>
    <w:uiPriority w:val="72"/>
    <w:rsid w:val="001E15F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2">
    <w:name w:val="Colorful List Accent 2"/>
    <w:basedOn w:val="TableNormal"/>
    <w:uiPriority w:val="72"/>
    <w:rsid w:val="001E15F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871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9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tf.vic.gov.au/standing-directions-2018-under-financial-management-act-1994" TargetMode="External"/><Relationship Id="rId21" Type="http://schemas.openxmlformats.org/officeDocument/2006/relationships/header" Target="header3.xml"/><Relationship Id="rId42" Type="http://schemas.openxmlformats.org/officeDocument/2006/relationships/hyperlink" Target="https://www.dtf.vic.gov.au/standing-directions-2018-under-financial-management-act-1994" TargetMode="External"/><Relationship Id="rId47" Type="http://schemas.openxmlformats.org/officeDocument/2006/relationships/hyperlink" Target="https://www.dtf.vic.gov.au/standing-directions-2018-under-financial-management-act-1994" TargetMode="External"/><Relationship Id="rId63" Type="http://schemas.openxmlformats.org/officeDocument/2006/relationships/hyperlink" Target="https://www.dtf.vic.gov.au/standing-directions-2018-under-financial-management-act-1994" TargetMode="External"/><Relationship Id="rId68" Type="http://schemas.openxmlformats.org/officeDocument/2006/relationships/hyperlink" Target="https://www.dtf.vic.gov.au/standing-directions-2018-under-financial-management-act-1994" TargetMode="External"/><Relationship Id="rId84" Type="http://schemas.openxmlformats.org/officeDocument/2006/relationships/glossaryDocument" Target="glossary/document.xml"/><Relationship Id="rId16" Type="http://schemas.openxmlformats.org/officeDocument/2006/relationships/hyperlink" Target="https://www.dtf.vic.gov.au/sites/default/files/document/Standing-Directions-2018.docx" TargetMode="External"/><Relationship Id="rId11" Type="http://schemas.openxmlformats.org/officeDocument/2006/relationships/endnotes" Target="endnotes.xml"/><Relationship Id="rId32" Type="http://schemas.openxmlformats.org/officeDocument/2006/relationships/hyperlink" Target="https://www.dtf.vic.gov.au/standing-directions-2018-under-financial-management-act-1994" TargetMode="External"/><Relationship Id="rId37" Type="http://schemas.openxmlformats.org/officeDocument/2006/relationships/hyperlink" Target="https://www.dtf.vic.gov.au/standing-directions-2018-under-financial-management-act-1994" TargetMode="External"/><Relationship Id="rId53" Type="http://schemas.openxmlformats.org/officeDocument/2006/relationships/hyperlink" Target="https://www.dtf.vic.gov.au/standing-directions-2018-under-financial-management-act-1994" TargetMode="External"/><Relationship Id="rId58" Type="http://schemas.openxmlformats.org/officeDocument/2006/relationships/hyperlink" Target="https://www.dtf.vic.gov.au/standing-directions-2018-under-financial-management-act-1994" TargetMode="External"/><Relationship Id="rId74" Type="http://schemas.openxmlformats.org/officeDocument/2006/relationships/hyperlink" Target="https://www.dtf.vic.gov.au/standing-directions-2018-under-financial-management-act-1994" TargetMode="External"/><Relationship Id="rId79" Type="http://schemas.openxmlformats.org/officeDocument/2006/relationships/image" Target="media/image5.png"/><Relationship Id="rId5" Type="http://schemas.openxmlformats.org/officeDocument/2006/relationships/customXml" Target="../customXml/item5.xml"/><Relationship Id="rId1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hyperlink" Target="https://www.dtf.vic.gov.au/standing-directions-2018-under-financial-management-act-1994" TargetMode="External"/><Relationship Id="rId30" Type="http://schemas.openxmlformats.org/officeDocument/2006/relationships/hyperlink" Target="https://www.dtf.vic.gov.au/standing-directions-2018-under-financial-management-act-1994" TargetMode="External"/><Relationship Id="rId35" Type="http://schemas.openxmlformats.org/officeDocument/2006/relationships/hyperlink" Target="https://www.dtf.vic.gov.au/standing-directions-2018-under-financial-management-act-1994" TargetMode="External"/><Relationship Id="rId43" Type="http://schemas.openxmlformats.org/officeDocument/2006/relationships/hyperlink" Target="https://www.dtf.vic.gov.au/standing-directions-2018-under-financial-management-act-1994" TargetMode="External"/><Relationship Id="rId48" Type="http://schemas.openxmlformats.org/officeDocument/2006/relationships/hyperlink" Target="https://www.dtf.vic.gov.au/standing-directions-2018-under-financial-management-act-1994" TargetMode="External"/><Relationship Id="rId56" Type="http://schemas.openxmlformats.org/officeDocument/2006/relationships/hyperlink" Target="https://www.dtf.vic.gov.au/standing-directions-2018-under-financial-management-act-1994" TargetMode="External"/><Relationship Id="rId64" Type="http://schemas.openxmlformats.org/officeDocument/2006/relationships/hyperlink" Target="https://www.dtf.vic.gov.au/standing-directions-2018-under-financial-management-act-1994" TargetMode="External"/><Relationship Id="rId69" Type="http://schemas.openxmlformats.org/officeDocument/2006/relationships/hyperlink" Target="https://www.dtf.vic.gov.au/standing-directions-2018-under-financial-management-act-1994" TargetMode="External"/><Relationship Id="rId77" Type="http://schemas.openxmlformats.org/officeDocument/2006/relationships/hyperlink" Target="https://www.dtf.vic.gov.au/standing-directions-2018-under-financial-management-act-1994" TargetMode="External"/><Relationship Id="rId8" Type="http://schemas.openxmlformats.org/officeDocument/2006/relationships/settings" Target="settings.xml"/><Relationship Id="rId51" Type="http://schemas.openxmlformats.org/officeDocument/2006/relationships/hyperlink" Target="https://www.dtf.vic.gov.au/standing-directions-2018-under-financial-management-act-1994" TargetMode="External"/><Relationship Id="rId72" Type="http://schemas.openxmlformats.org/officeDocument/2006/relationships/hyperlink" Target="https://www.dtf.vic.gov.au/standing-directions-2018-under-financial-management-act-1994" TargetMode="External"/><Relationship Id="rId80" Type="http://schemas.openxmlformats.org/officeDocument/2006/relationships/header" Target="header5.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dtf.vic.gov.au/sites/default/files/document/Standing-Directions-2018.docx" TargetMode="External"/><Relationship Id="rId25" Type="http://schemas.openxmlformats.org/officeDocument/2006/relationships/hyperlink" Target="mailto:information@dtf.vic.gov.au" TargetMode="External"/><Relationship Id="rId33" Type="http://schemas.openxmlformats.org/officeDocument/2006/relationships/hyperlink" Target="https://www.dtf.vic.gov.au/standing-directions-2018-under-financial-management-act-1994" TargetMode="External"/><Relationship Id="rId38" Type="http://schemas.openxmlformats.org/officeDocument/2006/relationships/hyperlink" Target="https://www.dtf.vic.gov.au/standing-directions-2018-under-financial-management-act-1994" TargetMode="External"/><Relationship Id="rId46" Type="http://schemas.openxmlformats.org/officeDocument/2006/relationships/hyperlink" Target="https://www.dtf.vic.gov.au/standing-directions-2018-under-financial-management-act-1994" TargetMode="External"/><Relationship Id="rId59" Type="http://schemas.openxmlformats.org/officeDocument/2006/relationships/hyperlink" Target="https://www.dtf.vic.gov.au/standing-directions-2018-under-financial-management-act-1994" TargetMode="External"/><Relationship Id="rId67" Type="http://schemas.openxmlformats.org/officeDocument/2006/relationships/hyperlink" Target="https://www.dtf.vic.gov.au/standing-directions-2018-under-financial-management-act-1994" TargetMode="External"/><Relationship Id="rId20" Type="http://schemas.openxmlformats.org/officeDocument/2006/relationships/header" Target="header2.xml"/><Relationship Id="rId41" Type="http://schemas.openxmlformats.org/officeDocument/2006/relationships/hyperlink" Target="https://www..vic.gov.au/gifts-benefits-and-hospitality-register" TargetMode="External"/><Relationship Id="rId54" Type="http://schemas.openxmlformats.org/officeDocument/2006/relationships/hyperlink" Target="https://www.dtf.vic.gov.au/sites/default/files/document/Standing-Directions-2018.docx" TargetMode="External"/><Relationship Id="rId62" Type="http://schemas.openxmlformats.org/officeDocument/2006/relationships/hyperlink" Target="https://www.dtf.vic.gov.au/standing-directions-2018-under-financial-management-act-1994" TargetMode="External"/><Relationship Id="rId70" Type="http://schemas.openxmlformats.org/officeDocument/2006/relationships/hyperlink" Target="https://www.dtf.vic.gov.au/standing-directions-2018-under-financial-management-act-1994" TargetMode="External"/><Relationship Id="rId75" Type="http://schemas.openxmlformats.org/officeDocument/2006/relationships/hyperlink" Target="https://www.dtf.vic.gov.au/standing-directions-2018-under-financial-management-act-1994"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dtf.vic.gov.au/sites/default/files/document/Standing-Directions-2018.docx" TargetMode="External"/><Relationship Id="rId23" Type="http://schemas.openxmlformats.org/officeDocument/2006/relationships/header" Target="header4.xml"/><Relationship Id="rId28" Type="http://schemas.openxmlformats.org/officeDocument/2006/relationships/hyperlink" Target="https://www.dtf.vic.gov.au/standing-directions-2018-under-financial-management-act-1994" TargetMode="External"/><Relationship Id="rId36" Type="http://schemas.openxmlformats.org/officeDocument/2006/relationships/hyperlink" Target="https://www.dtf.vic.gov.au/standing-directions-2018-under-financial-management-act-1994" TargetMode="External"/><Relationship Id="rId49" Type="http://schemas.openxmlformats.org/officeDocument/2006/relationships/hyperlink" Target="https://www.dtf.vic.gov.au/standing-directions-2018-under-financial-management-act-1994" TargetMode="External"/><Relationship Id="rId57" Type="http://schemas.openxmlformats.org/officeDocument/2006/relationships/hyperlink" Target="https://www.dtf.vic.gov.au/standing-directions-2018-under-financial-management-act-1994" TargetMode="External"/><Relationship Id="rId10" Type="http://schemas.openxmlformats.org/officeDocument/2006/relationships/footnotes" Target="footnotes.xml"/><Relationship Id="rId31" Type="http://schemas.openxmlformats.org/officeDocument/2006/relationships/hyperlink" Target="https://www.dtf.vic.gov.au/standing-directions-2018-under-financial-management-act-1994" TargetMode="External"/><Relationship Id="rId44" Type="http://schemas.openxmlformats.org/officeDocument/2006/relationships/hyperlink" Target="https://www.dtf.vic.gov.au/standing-directions-2018-under-financial-management-act-1994" TargetMode="External"/><Relationship Id="rId52" Type="http://schemas.openxmlformats.org/officeDocument/2006/relationships/hyperlink" Target="https://www.dtf.vic.gov.au/standing-directions-2018-under-financial-management-act-1994" TargetMode="External"/><Relationship Id="rId60" Type="http://schemas.openxmlformats.org/officeDocument/2006/relationships/hyperlink" Target="https://www.dtf.vic.gov.au/standing-directions-2018-under-financial-management-act-1994" TargetMode="External"/><Relationship Id="rId65" Type="http://schemas.openxmlformats.org/officeDocument/2006/relationships/hyperlink" Target="https://www.dtf.vic.gov.au/standing-directions-2018-under-financial-management-act-1994" TargetMode="External"/><Relationship Id="rId73" Type="http://schemas.openxmlformats.org/officeDocument/2006/relationships/hyperlink" Target="https://www.dtf.vic.gov.au/standing-directions-2018-under-financial-management-act-1994" TargetMode="External"/><Relationship Id="rId78" Type="http://schemas.openxmlformats.org/officeDocument/2006/relationships/footer" Target="footer3.xml"/><Relationship Id="rId8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dtf.vic.gov.au/sites/default/files/document/Standing-Directions-2018.docx" TargetMode="External"/><Relationship Id="rId18" Type="http://schemas.openxmlformats.org/officeDocument/2006/relationships/hyperlink" Target="https://www.dtf.vic.gov.au/sites/default/files/document/Standing-Directions-2018.docx" TargetMode="External"/><Relationship Id="rId39" Type="http://schemas.openxmlformats.org/officeDocument/2006/relationships/hyperlink" Target="https://www.dtf.vic.gov.au/standing-directions-2018-under-financial-management-act-1994" TargetMode="External"/><Relationship Id="rId34" Type="http://schemas.openxmlformats.org/officeDocument/2006/relationships/hyperlink" Target="https://www.dtf.vic.gov.au/standing-directions-2018-under-financial-management-act-1994" TargetMode="External"/><Relationship Id="rId50" Type="http://schemas.openxmlformats.org/officeDocument/2006/relationships/hyperlink" Target="https://www.dtf.vic.gov.au/standing-directions-2018-under-financial-management-act-1994" TargetMode="External"/><Relationship Id="rId55" Type="http://schemas.openxmlformats.org/officeDocument/2006/relationships/hyperlink" Target="https://www.dtf.vic.gov.au/standing-directions-2018-under-financial-management-act-1994" TargetMode="External"/><Relationship Id="rId76" Type="http://schemas.openxmlformats.org/officeDocument/2006/relationships/hyperlink" Target="https://www.dtf.vic.gov.au/standing-directions-2018-under-financial-management-act-1994" TargetMode="External"/><Relationship Id="rId7" Type="http://schemas.openxmlformats.org/officeDocument/2006/relationships/styles" Target="styles.xml"/><Relationship Id="rId71" Type="http://schemas.openxmlformats.org/officeDocument/2006/relationships/hyperlink" Target="https://www.dtf.vic.gov.au/standing-directions-2018-under-financial-management-act-1994" TargetMode="External"/><Relationship Id="rId2" Type="http://schemas.openxmlformats.org/officeDocument/2006/relationships/customXml" Target="../customXml/item2.xml"/><Relationship Id="rId29" Type="http://schemas.openxmlformats.org/officeDocument/2006/relationships/hyperlink" Target="https://www.dtf.vic.gov.au/standing-directions-2018-under-financial-management-act-1994" TargetMode="External"/><Relationship Id="rId24" Type="http://schemas.openxmlformats.org/officeDocument/2006/relationships/footer" Target="footer2.xml"/><Relationship Id="rId40" Type="http://schemas.openxmlformats.org/officeDocument/2006/relationships/hyperlink" Target="https://www.dtf.vic.gov.au/standing-directions-2018-under-financial-management-act-1994" TargetMode="External"/><Relationship Id="rId45" Type="http://schemas.openxmlformats.org/officeDocument/2006/relationships/hyperlink" Target="https://www.dtf.vic.gov.au/standing-directions-2018-under-financial-management-act-1994" TargetMode="External"/><Relationship Id="rId66" Type="http://schemas.openxmlformats.org/officeDocument/2006/relationships/hyperlink" Target="https://www.dtf.vic.gov.au/standing-directions-2018-under-financial-management-act-1994" TargetMode="External"/><Relationship Id="rId61" Type="http://schemas.openxmlformats.org/officeDocument/2006/relationships/hyperlink" Target="https://www.dtf.vic.gov.au/standing-directions-2018-under-financial-management-act-1994" TargetMode="External"/><Relationship Id="rId8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dtf.vic.gov.au/standing-directions-2018-under-financial-management-act-1994" TargetMode="External"/><Relationship Id="rId13" Type="http://schemas.openxmlformats.org/officeDocument/2006/relationships/hyperlink" Target="https://www.dtf.vic.gov.au/standing-directions-2018-under-financial-management-act-1994" TargetMode="External"/><Relationship Id="rId18" Type="http://schemas.openxmlformats.org/officeDocument/2006/relationships/hyperlink" Target="https://www.dtf.vic.gov.au/standing-directions-2018-under-financial-management-act-1994" TargetMode="External"/><Relationship Id="rId3" Type="http://schemas.openxmlformats.org/officeDocument/2006/relationships/hyperlink" Target="https://www.dtf.vic.gov.au/standing-directions-2018-under-financial-management-act-1994" TargetMode="External"/><Relationship Id="rId7" Type="http://schemas.openxmlformats.org/officeDocument/2006/relationships/hyperlink" Target="https://www.dtf.vic.gov.au/standing-directions-2018-under-financial-management-act-1994" TargetMode="External"/><Relationship Id="rId12" Type="http://schemas.openxmlformats.org/officeDocument/2006/relationships/hyperlink" Target="https://www.dtf.vic.gov.au/standing-directions-2018-under-financial-management-act-1994" TargetMode="External"/><Relationship Id="rId17" Type="http://schemas.openxmlformats.org/officeDocument/2006/relationships/hyperlink" Target="https://www.dtf.vic.gov.au/standing-directions-2018-under-financial-management-act-1994" TargetMode="External"/><Relationship Id="rId2" Type="http://schemas.openxmlformats.org/officeDocument/2006/relationships/hyperlink" Target="https://www.dtf.vic.gov.au/standing-directions-2018-under-financial-management-act-1994" TargetMode="External"/><Relationship Id="rId16" Type="http://schemas.openxmlformats.org/officeDocument/2006/relationships/hyperlink" Target="https://www.dtf.vic.gov.au/standing-directions-2018-under-financial-management-act-1994" TargetMode="External"/><Relationship Id="rId1" Type="http://schemas.openxmlformats.org/officeDocument/2006/relationships/hyperlink" Target="https://www.dtf.vic.gov.au/standing-directions-2018-under-financial-management-act-1994" TargetMode="External"/><Relationship Id="rId6" Type="http://schemas.openxmlformats.org/officeDocument/2006/relationships/hyperlink" Target="https://www.dtf.vic.gov.au/standing-directions-2018-under-financial-management-act-1994" TargetMode="External"/><Relationship Id="rId11" Type="http://schemas.openxmlformats.org/officeDocument/2006/relationships/hyperlink" Target="https://buyingfor.vic.gov.au/banking-and-financial-services-contract" TargetMode="External"/><Relationship Id="rId5" Type="http://schemas.openxmlformats.org/officeDocument/2006/relationships/hyperlink" Target="https://www.dtf.vic.gov.au/standing-directions-2018-under-financial-management-act-1994" TargetMode="External"/><Relationship Id="rId15" Type="http://schemas.openxmlformats.org/officeDocument/2006/relationships/hyperlink" Target="https://www.dtf.vic.gov.au/standing-directions-2018-under-financial-management-act-1994" TargetMode="External"/><Relationship Id="rId10" Type="http://schemas.openxmlformats.org/officeDocument/2006/relationships/hyperlink" Target="https://www.dtf.vic.gov.au/standing-directions-2018-under-financial-management-act-1994" TargetMode="External"/><Relationship Id="rId4" Type="http://schemas.openxmlformats.org/officeDocument/2006/relationships/hyperlink" Target="https://www.dtf.vic.gov.au/standing-directions-2018-under-financial-management-act-1994" TargetMode="External"/><Relationship Id="rId9" Type="http://schemas.openxmlformats.org/officeDocument/2006/relationships/hyperlink" Target="https://vpsc.vic.gov.au/resources/gifts-benefits-and-hospitality-resource-suite/" TargetMode="External"/><Relationship Id="rId14" Type="http://schemas.openxmlformats.org/officeDocument/2006/relationships/hyperlink" Target="https://www.dtf.vic.gov.au/standing-directions-2018-under-financial-management-act-1994"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4.emf"/></Relationships>
</file>

<file path=word/_rels/header6.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CE8E699C57468BB0669DFC21A3E146"/>
        <w:category>
          <w:name w:val="General"/>
          <w:gallery w:val="placeholder"/>
        </w:category>
        <w:types>
          <w:type w:val="bbPlcHdr"/>
        </w:types>
        <w:behaviors>
          <w:behavior w:val="content"/>
        </w:behaviors>
        <w:guid w:val="{B09F9C01-BC53-446C-AD0A-CC5FD445F3A0}"/>
      </w:docPartPr>
      <w:docPartBody>
        <w:p w:rsidR="00BD1609" w:rsidRDefault="00BD1609">
          <w:pPr>
            <w:pStyle w:val="0ACE8E699C57468BB0669DFC21A3E146"/>
          </w:pPr>
          <w:r w:rsidRPr="00D32539">
            <w:rPr>
              <w:rStyle w:val="PlaceholderText"/>
            </w:rPr>
            <w:t>Click here to enter a date.</w:t>
          </w:r>
        </w:p>
      </w:docPartBody>
    </w:docPart>
    <w:docPart>
      <w:docPartPr>
        <w:name w:val="69BEEFEE399E409EB1C961E2BCF886E4"/>
        <w:category>
          <w:name w:val="General"/>
          <w:gallery w:val="placeholder"/>
        </w:category>
        <w:types>
          <w:type w:val="bbPlcHdr"/>
        </w:types>
        <w:behaviors>
          <w:behavior w:val="content"/>
        </w:behaviors>
        <w:guid w:val="{96E01A3F-F8BE-4070-9D36-997E26F5D120}"/>
      </w:docPartPr>
      <w:docPartBody>
        <w:p w:rsidR="00BD1609" w:rsidRDefault="00BD1609">
          <w:pPr>
            <w:pStyle w:val="69BEEFEE399E409EB1C961E2BCF886E4"/>
          </w:pPr>
          <w:r w:rsidRPr="00D32539">
            <w:rPr>
              <w:rStyle w:val="PlaceholderText"/>
            </w:rPr>
            <w:t>Click here to enter a date.</w:t>
          </w:r>
        </w:p>
      </w:docPartBody>
    </w:docPart>
    <w:docPart>
      <w:docPartPr>
        <w:name w:val="029FA114E019417CBDE8D400EF97F5F0"/>
        <w:category>
          <w:name w:val="General"/>
          <w:gallery w:val="placeholder"/>
        </w:category>
        <w:types>
          <w:type w:val="bbPlcHdr"/>
        </w:types>
        <w:behaviors>
          <w:behavior w:val="content"/>
        </w:behaviors>
        <w:guid w:val="{F9CDEC95-5459-4430-B08A-990DDE404DCE}"/>
      </w:docPartPr>
      <w:docPartBody>
        <w:p w:rsidR="008F1D99" w:rsidRDefault="00E75553" w:rsidP="00E75553">
          <w:pPr>
            <w:pStyle w:val="029FA114E019417CBDE8D400EF97F5F0"/>
          </w:pPr>
          <w:r w:rsidRPr="00D32539">
            <w:rPr>
              <w:rStyle w:val="PlaceholderText"/>
            </w:rPr>
            <w:t>Click here to enter a date.</w:t>
          </w:r>
        </w:p>
      </w:docPartBody>
    </w:docPart>
    <w:docPart>
      <w:docPartPr>
        <w:name w:val="7E3D572994084740B7C4BB22AB8A69E9"/>
        <w:category>
          <w:name w:val="General"/>
          <w:gallery w:val="placeholder"/>
        </w:category>
        <w:types>
          <w:type w:val="bbPlcHdr"/>
        </w:types>
        <w:behaviors>
          <w:behavior w:val="content"/>
        </w:behaviors>
        <w:guid w:val="{239051B3-8DE4-46AB-9C00-5305A7E8C766}"/>
      </w:docPartPr>
      <w:docPartBody>
        <w:p w:rsidR="008F1D99" w:rsidRDefault="00E75553" w:rsidP="00E75553">
          <w:pPr>
            <w:pStyle w:val="7E3D572994084740B7C4BB22AB8A69E9"/>
          </w:pPr>
          <w:r w:rsidRPr="00D32539">
            <w:rPr>
              <w:rStyle w:val="PlaceholderText"/>
            </w:rPr>
            <w:t>Click here to enter a date.</w:t>
          </w:r>
        </w:p>
      </w:docPartBody>
    </w:docPart>
    <w:docPart>
      <w:docPartPr>
        <w:name w:val="59516978A8AF4CA8B887C0AF38B6B299"/>
        <w:category>
          <w:name w:val="General"/>
          <w:gallery w:val="placeholder"/>
        </w:category>
        <w:types>
          <w:type w:val="bbPlcHdr"/>
        </w:types>
        <w:behaviors>
          <w:behavior w:val="content"/>
        </w:behaviors>
        <w:guid w:val="{57C33DD0-0A62-4BBE-A607-2014110961F4}"/>
      </w:docPartPr>
      <w:docPartBody>
        <w:p w:rsidR="008F1D99" w:rsidRDefault="00E75553" w:rsidP="00E75553">
          <w:pPr>
            <w:pStyle w:val="59516978A8AF4CA8B887C0AF38B6B299"/>
          </w:pPr>
          <w:r w:rsidRPr="00D32539">
            <w:rPr>
              <w:rStyle w:val="PlaceholderText"/>
            </w:rPr>
            <w:t>Click here to enter a date.</w:t>
          </w:r>
        </w:p>
      </w:docPartBody>
    </w:docPart>
    <w:docPart>
      <w:docPartPr>
        <w:name w:val="BBF4374143F74F8EAFC7077B62929F47"/>
        <w:category>
          <w:name w:val="General"/>
          <w:gallery w:val="placeholder"/>
        </w:category>
        <w:types>
          <w:type w:val="bbPlcHdr"/>
        </w:types>
        <w:behaviors>
          <w:behavior w:val="content"/>
        </w:behaviors>
        <w:guid w:val="{832DFD0A-63B6-4A87-A64C-28103CFF92A0}"/>
      </w:docPartPr>
      <w:docPartBody>
        <w:p w:rsidR="008F1D99" w:rsidRDefault="00E75553" w:rsidP="00E75553">
          <w:pPr>
            <w:pStyle w:val="BBF4374143F74F8EAFC7077B62929F47"/>
          </w:pPr>
          <w:r w:rsidRPr="00D32539">
            <w:rPr>
              <w:rStyle w:val="PlaceholderText"/>
            </w:rPr>
            <w:t>Click here to enter a date.</w:t>
          </w:r>
        </w:p>
      </w:docPartBody>
    </w:docPart>
    <w:docPart>
      <w:docPartPr>
        <w:name w:val="FC0BF60CF656409FBE118915F8BE1DF8"/>
        <w:category>
          <w:name w:val="General"/>
          <w:gallery w:val="placeholder"/>
        </w:category>
        <w:types>
          <w:type w:val="bbPlcHdr"/>
        </w:types>
        <w:behaviors>
          <w:behavior w:val="content"/>
        </w:behaviors>
        <w:guid w:val="{FA4EA450-CC9B-4A63-A00D-26FF7F5654CE}"/>
      </w:docPartPr>
      <w:docPartBody>
        <w:p w:rsidR="003C3F4A" w:rsidRDefault="001C2B0D" w:rsidP="001C2B0D">
          <w:pPr>
            <w:pStyle w:val="FC0BF60CF656409FBE118915F8BE1DF8"/>
          </w:pPr>
          <w:r w:rsidRPr="00D32539">
            <w:rPr>
              <w:rStyle w:val="PlaceholderText"/>
            </w:rPr>
            <w:t>Click here to enter a date.</w:t>
          </w:r>
        </w:p>
      </w:docPartBody>
    </w:docPart>
    <w:docPart>
      <w:docPartPr>
        <w:name w:val="18396657D89242809DE4B906E782B439"/>
        <w:category>
          <w:name w:val="General"/>
          <w:gallery w:val="placeholder"/>
        </w:category>
        <w:types>
          <w:type w:val="bbPlcHdr"/>
        </w:types>
        <w:behaviors>
          <w:behavior w:val="content"/>
        </w:behaviors>
        <w:guid w:val="{D7E22190-6493-4FD9-99D2-A27AA061CA0A}"/>
      </w:docPartPr>
      <w:docPartBody>
        <w:p w:rsidR="00361911" w:rsidRDefault="00361911" w:rsidP="00361911">
          <w:pPr>
            <w:pStyle w:val="18396657D89242809DE4B906E782B439"/>
          </w:pPr>
          <w:r w:rsidRPr="00D3253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609"/>
    <w:rsid w:val="00080405"/>
    <w:rsid w:val="000D1A80"/>
    <w:rsid w:val="000E0F27"/>
    <w:rsid w:val="00107A3C"/>
    <w:rsid w:val="00184FC2"/>
    <w:rsid w:val="0018590D"/>
    <w:rsid w:val="001B4962"/>
    <w:rsid w:val="001C2B0D"/>
    <w:rsid w:val="001D197B"/>
    <w:rsid w:val="00211687"/>
    <w:rsid w:val="002B6280"/>
    <w:rsid w:val="002C7AF5"/>
    <w:rsid w:val="00320787"/>
    <w:rsid w:val="00361911"/>
    <w:rsid w:val="00380D47"/>
    <w:rsid w:val="003C3F4A"/>
    <w:rsid w:val="00492C42"/>
    <w:rsid w:val="005841A4"/>
    <w:rsid w:val="005C59E4"/>
    <w:rsid w:val="006F0B9E"/>
    <w:rsid w:val="0075606A"/>
    <w:rsid w:val="00770691"/>
    <w:rsid w:val="007A0C34"/>
    <w:rsid w:val="007A424F"/>
    <w:rsid w:val="008216F6"/>
    <w:rsid w:val="008534C1"/>
    <w:rsid w:val="008D4E84"/>
    <w:rsid w:val="008F1D99"/>
    <w:rsid w:val="00967884"/>
    <w:rsid w:val="009A2139"/>
    <w:rsid w:val="009E477B"/>
    <w:rsid w:val="00AB78B7"/>
    <w:rsid w:val="00AD7128"/>
    <w:rsid w:val="00B45665"/>
    <w:rsid w:val="00BD1609"/>
    <w:rsid w:val="00BE2571"/>
    <w:rsid w:val="00C22EFF"/>
    <w:rsid w:val="00C32825"/>
    <w:rsid w:val="00C71751"/>
    <w:rsid w:val="00C80E29"/>
    <w:rsid w:val="00C8143F"/>
    <w:rsid w:val="00CB04F9"/>
    <w:rsid w:val="00CE7C21"/>
    <w:rsid w:val="00D435B9"/>
    <w:rsid w:val="00D95331"/>
    <w:rsid w:val="00DA3159"/>
    <w:rsid w:val="00DB545E"/>
    <w:rsid w:val="00DC2D7C"/>
    <w:rsid w:val="00DC7B1A"/>
    <w:rsid w:val="00DD35AB"/>
    <w:rsid w:val="00E246D7"/>
    <w:rsid w:val="00E75553"/>
    <w:rsid w:val="00EA7931"/>
    <w:rsid w:val="00EB1411"/>
    <w:rsid w:val="00EF06A1"/>
    <w:rsid w:val="00F80FD3"/>
    <w:rsid w:val="00F833C2"/>
    <w:rsid w:val="00F933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61911"/>
    <w:rPr>
      <w:color w:val="808080"/>
    </w:rPr>
  </w:style>
  <w:style w:type="paragraph" w:customStyle="1" w:styleId="0ACE8E699C57468BB0669DFC21A3E146">
    <w:name w:val="0ACE8E699C57468BB0669DFC21A3E146"/>
  </w:style>
  <w:style w:type="paragraph" w:customStyle="1" w:styleId="69BEEFEE399E409EB1C961E2BCF886E4">
    <w:name w:val="69BEEFEE399E409EB1C961E2BCF886E4"/>
  </w:style>
  <w:style w:type="paragraph" w:customStyle="1" w:styleId="18396657D89242809DE4B906E782B439">
    <w:name w:val="18396657D89242809DE4B906E782B439"/>
    <w:rsid w:val="00361911"/>
  </w:style>
  <w:style w:type="paragraph" w:customStyle="1" w:styleId="029FA114E019417CBDE8D400EF97F5F0">
    <w:name w:val="029FA114E019417CBDE8D400EF97F5F0"/>
    <w:rsid w:val="00E75553"/>
  </w:style>
  <w:style w:type="paragraph" w:customStyle="1" w:styleId="7E3D572994084740B7C4BB22AB8A69E9">
    <w:name w:val="7E3D572994084740B7C4BB22AB8A69E9"/>
    <w:rsid w:val="00E75553"/>
  </w:style>
  <w:style w:type="paragraph" w:customStyle="1" w:styleId="59516978A8AF4CA8B887C0AF38B6B299">
    <w:name w:val="59516978A8AF4CA8B887C0AF38B6B299"/>
    <w:rsid w:val="00E75553"/>
  </w:style>
  <w:style w:type="paragraph" w:customStyle="1" w:styleId="BBF4374143F74F8EAFC7077B62929F47">
    <w:name w:val="BBF4374143F74F8EAFC7077B62929F47"/>
    <w:rsid w:val="00E75553"/>
  </w:style>
  <w:style w:type="paragraph" w:customStyle="1" w:styleId="FC0BF60CF656409FBE118915F8BE1DF8">
    <w:name w:val="FC0BF60CF656409FBE118915F8BE1DF8"/>
    <w:rsid w:val="001C2B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51fffbad-fc14-48aa-b0d1-9be411fd36c8">Unallocated</Status>
    <Business_x0020_Area xmlns="51fffbad-fc14-48aa-b0d1-9be411fd36c8" xsi:nil="true"/>
    <List_x0020_Item xmlns="51fffbad-fc14-48aa-b0d1-9be411fd36c8" xsi:nil="true"/>
    <AssignedTo xmlns="http://schemas.microsoft.com/sharepoint/v3">
      <UserInfo>
        <DisplayName/>
        <AccountId xsi:nil="true"/>
        <AccountType/>
      </UserInfo>
    </AssignedTo>
    <IconOverlay xmlns="http://schemas.microsoft.com/sharepoint/v4" xsi:nil="true"/>
    <TaxCatchAll xmlns="15b0d6e9-e99b-40a9-aaa3-9b8d7d95b219" xsi:nil="true"/>
    <lcf76f155ced4ddcb4097134ff3c332f xmlns="51fffbad-fc14-48aa-b0d1-9be411fd36c8">
      <Terms xmlns="http://schemas.microsoft.com/office/infopath/2007/PartnerControls"/>
    </lcf76f155ced4ddcb4097134ff3c332f>
    <SharedWithUsers xmlns="15b0d6e9-e99b-40a9-aaa3-9b8d7d95b219">
      <UserInfo>
        <DisplayName>Tommy Wong (DTF)</DisplayName>
        <AccountId>1463</AccountId>
        <AccountType/>
      </UserInfo>
      <UserInfo>
        <DisplayName>Conor Murtagh (DTF)</DisplayName>
        <AccountId>1093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90C5CF1D5BBA04DAA218BE598E345AC" ma:contentTypeVersion="28" ma:contentTypeDescription="Create a new document." ma:contentTypeScope="" ma:versionID="c9c68b040bd48731cdae6758973dbdfa">
  <xsd:schema xmlns:xsd="http://www.w3.org/2001/XMLSchema" xmlns:xs="http://www.w3.org/2001/XMLSchema" xmlns:p="http://schemas.microsoft.com/office/2006/metadata/properties" xmlns:ns1="http://schemas.microsoft.com/sharepoint/v3" xmlns:ns2="51fffbad-fc14-48aa-b0d1-9be411fd36c8" xmlns:ns3="http://schemas.microsoft.com/sharepoint/v4" xmlns:ns4="15b0d6e9-e99b-40a9-aaa3-9b8d7d95b219" targetNamespace="http://schemas.microsoft.com/office/2006/metadata/properties" ma:root="true" ma:fieldsID="59b6e12f9c41e4847285b3153f182a5f" ns1:_="" ns2:_="" ns3:_="" ns4:_="">
    <xsd:import namespace="http://schemas.microsoft.com/sharepoint/v3"/>
    <xsd:import namespace="51fffbad-fc14-48aa-b0d1-9be411fd36c8"/>
    <xsd:import namespace="http://schemas.microsoft.com/sharepoint/v4"/>
    <xsd:import namespace="15b0d6e9-e99b-40a9-aaa3-9b8d7d95b219"/>
    <xsd:element name="properties">
      <xsd:complexType>
        <xsd:sequence>
          <xsd:element name="documentManagement">
            <xsd:complexType>
              <xsd:all>
                <xsd:element ref="ns2:Status" minOccurs="0"/>
                <xsd:element ref="ns2:Business_x0020_Area" minOccurs="0"/>
                <xsd:element ref="ns2:List_x0020_Item"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IconOverlay" minOccurs="0"/>
                <xsd:element ref="ns4:SharedWithUsers" minOccurs="0"/>
                <xsd:element ref="ns4:SharedWithDetails" minOccurs="0"/>
                <xsd:element ref="ns1:AssignedTo"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2"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ffbad-fc14-48aa-b0d1-9be411fd36c8" elementFormDefault="qualified">
    <xsd:import namespace="http://schemas.microsoft.com/office/2006/documentManagement/types"/>
    <xsd:import namespace="http://schemas.microsoft.com/office/infopath/2007/PartnerControls"/>
    <xsd:element name="Status" ma:index="8" nillable="true" ma:displayName="Status" ma:default="Unallocated" ma:format="Dropdown" ma:internalName="Status">
      <xsd:simpleType>
        <xsd:restriction base="dms:Choice">
          <xsd:enumeration value="Unallocated"/>
          <xsd:enumeration value="New"/>
          <xsd:enumeration value="On Hold"/>
          <xsd:enumeration value="Completed"/>
          <xsd:enumeration value="Archived"/>
        </xsd:restriction>
      </xsd:simpleType>
    </xsd:element>
    <xsd:element name="Business_x0020_Area" ma:index="9" nillable="true" ma:displayName="Business Area" ma:description="The DTF business area of the user that submitted this job request." ma:list="{66df8ae6-924e-4ddf-afb9-758d67cdcb74}" ma:internalName="Business_x0020_Area" ma:readOnly="false" ma:showField="Title">
      <xsd:simpleType>
        <xsd:restriction base="dms:Lookup"/>
      </xsd:simpleType>
    </xsd:element>
    <xsd:element name="List_x0020_Item" ma:index="10" nillable="true" ma:displayName="List Item" ma:description="Link to the Production Request List item for this job." ma:indexed="true" ma:list="{45e91031-0f06-4a2e-bc29-c611df0012cc}" ma:internalName="List_x0020_Item" ma:readOnly="false" ma:showField="Job_x0020_Number">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5daf189-de59-48f6-89f9-2bbe255eeff1}" ma:internalName="TaxCatchAll" ma:showField="CatchAllData" ma:web="15b0d6e9-e99b-40a9-aaa3-9b8d7d95b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602ED-A118-4FD5-9647-2BC84634FFB6}">
  <ds:schemaRefs>
    <ds:schemaRef ds:uri="http://schemas.microsoft.com/office/2006/metadata/properties"/>
    <ds:schemaRef ds:uri="http://schemas.microsoft.com/office/infopath/2007/PartnerControls"/>
    <ds:schemaRef ds:uri="51fffbad-fc14-48aa-b0d1-9be411fd36c8"/>
    <ds:schemaRef ds:uri="http://schemas.microsoft.com/sharepoint/v3"/>
    <ds:schemaRef ds:uri="http://schemas.microsoft.com/sharepoint/v4"/>
    <ds:schemaRef ds:uri="15b0d6e9-e99b-40a9-aaa3-9b8d7d95b219"/>
  </ds:schemaRefs>
</ds:datastoreItem>
</file>

<file path=customXml/itemProps2.xml><?xml version="1.0" encoding="utf-8"?>
<ds:datastoreItem xmlns:ds="http://schemas.openxmlformats.org/officeDocument/2006/customXml" ds:itemID="{C8495481-BEF7-46B2-9396-CEB77EC23FD0}">
  <ds:schemaRefs>
    <ds:schemaRef ds:uri="http://schemas.microsoft.com/sharepoint/v3/contenttype/forms"/>
  </ds:schemaRefs>
</ds:datastoreItem>
</file>

<file path=customXml/itemProps3.xml><?xml version="1.0" encoding="utf-8"?>
<ds:datastoreItem xmlns:ds="http://schemas.openxmlformats.org/officeDocument/2006/customXml" ds:itemID="{253997E0-6ABE-4555-B7EC-60C897B82FE9}">
  <ds:schemaRefs>
    <ds:schemaRef ds:uri="http://www.w3.org/2001/XMLSchema"/>
  </ds:schemaRefs>
</ds:datastoreItem>
</file>

<file path=customXml/itemProps4.xml><?xml version="1.0" encoding="utf-8"?>
<ds:datastoreItem xmlns:ds="http://schemas.openxmlformats.org/officeDocument/2006/customXml" ds:itemID="{77405914-52A7-40C3-B1FF-D7BD7AD65953}">
  <ds:schemaRefs>
    <ds:schemaRef ds:uri="http://schemas.openxmlformats.org/officeDocument/2006/bibliography"/>
  </ds:schemaRefs>
</ds:datastoreItem>
</file>

<file path=customXml/itemProps5.xml><?xml version="1.0" encoding="utf-8"?>
<ds:datastoreItem xmlns:ds="http://schemas.openxmlformats.org/officeDocument/2006/customXml" ds:itemID="{DAB10467-3851-4D99-8E61-179657E48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ffbad-fc14-48aa-b0d1-9be411fd36c8"/>
    <ds:schemaRef ds:uri="http://schemas.microsoft.com/sharepoint/v4"/>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7695</Words>
  <Characters>43868</Characters>
  <Application>Microsoft Office Word</Application>
  <DocSecurity>0</DocSecurity>
  <Lines>365</Lines>
  <Paragraphs>102</Paragraphs>
  <ScaleCrop>false</ScaleCrop>
  <Manager/>
  <Company/>
  <LinksUpToDate>false</LinksUpToDate>
  <CharactersWithSpaces>51461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Directions 2018 Instructions</dc:title>
  <dc:subject>Standing Directions 2018</dc:subject>
  <dc:creator/>
  <cp:lastModifiedBy/>
  <cp:revision>1</cp:revision>
  <dcterms:created xsi:type="dcterms:W3CDTF">2024-10-31T04:27:00Z</dcterms:created>
  <dcterms:modified xsi:type="dcterms:W3CDTF">2024-10-31T04:27:00Z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4ee517-5ca4-4fff-98d2-ed4f906edd6d_Enabled">
    <vt:lpwstr>true</vt:lpwstr>
  </property>
  <property fmtid="{D5CDD505-2E9C-101B-9397-08002B2CF9AE}" pid="3" name="MSIP_Label_bb4ee517-5ca4-4fff-98d2-ed4f906edd6d_SetDate">
    <vt:lpwstr>2024-05-27T04:54:37Z</vt:lpwstr>
  </property>
  <property fmtid="{D5CDD505-2E9C-101B-9397-08002B2CF9AE}" pid="4" name="MSIP_Label_bb4ee517-5ca4-4fff-98d2-ed4f906edd6d_Method">
    <vt:lpwstr>Privileged</vt:lpwstr>
  </property>
  <property fmtid="{D5CDD505-2E9C-101B-9397-08002B2CF9AE}" pid="5" name="MSIP_Label_bb4ee517-5ca4-4fff-98d2-ed4f906edd6d_Name">
    <vt:lpwstr>bb4ee517-5ca4-4fff-98d2-ed4f906edd6d</vt:lpwstr>
  </property>
  <property fmtid="{D5CDD505-2E9C-101B-9397-08002B2CF9AE}" pid="6" name="MSIP_Label_bb4ee517-5ca4-4fff-98d2-ed4f906edd6d_SiteId">
    <vt:lpwstr>722ea0be-3e1c-4b11-ad6f-9401d6856e24</vt:lpwstr>
  </property>
  <property fmtid="{D5CDD505-2E9C-101B-9397-08002B2CF9AE}" pid="7" name="MSIP_Label_bb4ee517-5ca4-4fff-98d2-ed4f906edd6d_ActionId">
    <vt:lpwstr>c4a76a05-85a4-42e3-b593-e39d535616e4</vt:lpwstr>
  </property>
  <property fmtid="{D5CDD505-2E9C-101B-9397-08002B2CF9AE}" pid="8" name="MSIP_Label_bb4ee517-5ca4-4fff-98d2-ed4f906edd6d_ContentBits">
    <vt:lpwstr>0</vt:lpwstr>
  </property>
  <property fmtid="{D5CDD505-2E9C-101B-9397-08002B2CF9AE}" pid="9" name="ContentTypeId">
    <vt:lpwstr>0x010100B90C5CF1D5BBA04DAA218BE598E345AC</vt:lpwstr>
  </property>
  <property fmtid="{D5CDD505-2E9C-101B-9397-08002B2CF9AE}" pid="10" name="MediaServiceImageTags">
    <vt:lpwstr/>
  </property>
</Properties>
</file>