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3.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46.xml" ContentType="application/vnd.openxmlformats-officedocument.wordprocessingml.footer+xml"/>
  <Override PartName="/word/header17.xml" ContentType="application/vnd.openxmlformats-officedocument.wordprocessingml.head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233B">
      <w:pPr>
        <w:jc w:val="center"/>
        <w:rPr>
          <w:rFonts w:ascii="Arial" w:hAnsi="Arial"/>
          <w:sz w:val="48"/>
        </w:rPr>
      </w:pPr>
      <w:bookmarkStart w:id="0" w:name="_GoBack"/>
      <w:bookmarkEnd w:id="0"/>
    </w:p>
    <w:p w:rsidR="00000000" w:rsidRDefault="001F233B">
      <w:pPr>
        <w:jc w:val="center"/>
        <w:rPr>
          <w:rFonts w:ascii="Arial" w:hAnsi="Arial"/>
          <w:sz w:val="48"/>
        </w:rPr>
      </w:pPr>
    </w:p>
    <w:p w:rsidR="00000000" w:rsidRDefault="001F233B">
      <w:pPr>
        <w:jc w:val="center"/>
        <w:rPr>
          <w:rFonts w:ascii="Arial" w:hAnsi="Arial"/>
          <w:sz w:val="48"/>
        </w:rPr>
      </w:pPr>
    </w:p>
    <w:p w:rsidR="00000000" w:rsidRDefault="001F233B">
      <w:pPr>
        <w:pBdr>
          <w:bottom w:val="single" w:sz="12" w:space="1" w:color="auto"/>
        </w:pBdr>
        <w:jc w:val="center"/>
        <w:rPr>
          <w:rFonts w:ascii="Arial" w:hAnsi="Arial"/>
          <w:b/>
          <w:sz w:val="48"/>
        </w:rPr>
      </w:pPr>
      <w:r>
        <w:rPr>
          <w:rFonts w:ascii="Arial" w:hAnsi="Arial"/>
          <w:b/>
          <w:sz w:val="48"/>
        </w:rPr>
        <w:t>Budget Statement</w:t>
      </w:r>
    </w:p>
    <w:p w:rsidR="00000000" w:rsidRDefault="001F233B">
      <w:pPr>
        <w:jc w:val="center"/>
        <w:rPr>
          <w:rFonts w:ascii="Arial" w:hAnsi="Arial"/>
          <w:b/>
          <w:sz w:val="48"/>
        </w:rPr>
      </w:pPr>
      <w:r>
        <w:rPr>
          <w:rFonts w:ascii="Arial" w:hAnsi="Arial"/>
          <w:b/>
          <w:sz w:val="48"/>
        </w:rPr>
        <w:t>1998-99</w:t>
      </w:r>
    </w:p>
    <w:p w:rsidR="00000000" w:rsidRDefault="001F233B">
      <w:pPr>
        <w:jc w:val="center"/>
      </w:pPr>
      <w:r>
        <w:rPr>
          <w:sz w:val="20"/>
        </w:rPr>
        <w:object w:dxaOrig="7261" w:dyaOrig="9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94.5pt" o:ole="">
            <v:imagedata r:id="rId8" o:title=""/>
          </v:shape>
          <o:OLEObject Type="Embed" ProgID="Unknown" ShapeID="_x0000_i1025" DrawAspect="Content" ObjectID="_1482849957" r:id="rId9">
            <o:FieldCodes>\* MERGEFORMAT</o:FieldCodes>
          </o:OLEObject>
        </w:object>
      </w:r>
    </w:p>
    <w:p w:rsidR="00000000" w:rsidRDefault="001F233B"/>
    <w:p w:rsidR="00000000" w:rsidRDefault="001F233B"/>
    <w:p w:rsidR="00000000" w:rsidRDefault="001F233B"/>
    <w:p w:rsidR="00000000" w:rsidRDefault="001F233B"/>
    <w:p w:rsidR="00000000" w:rsidRDefault="001F233B">
      <w:pPr>
        <w:jc w:val="center"/>
        <w:rPr>
          <w:rFonts w:ascii="Arial" w:hAnsi="Arial"/>
          <w:sz w:val="24"/>
        </w:rPr>
      </w:pPr>
      <w:r>
        <w:rPr>
          <w:rFonts w:ascii="Arial" w:hAnsi="Arial"/>
          <w:sz w:val="24"/>
        </w:rPr>
        <w:t xml:space="preserve">Presented by </w:t>
      </w:r>
    </w:p>
    <w:p w:rsidR="00000000" w:rsidRDefault="001F233B">
      <w:pPr>
        <w:jc w:val="center"/>
        <w:rPr>
          <w:rFonts w:ascii="Arial" w:hAnsi="Arial"/>
          <w:b/>
          <w:sz w:val="36"/>
        </w:rPr>
      </w:pPr>
      <w:r>
        <w:rPr>
          <w:rFonts w:ascii="Arial" w:hAnsi="Arial"/>
          <w:b/>
          <w:sz w:val="36"/>
        </w:rPr>
        <w:t>The Honourable Alan Stockdale, M.P.</w:t>
      </w:r>
    </w:p>
    <w:p w:rsidR="00000000" w:rsidRDefault="001F233B">
      <w:pPr>
        <w:jc w:val="center"/>
        <w:rPr>
          <w:rFonts w:ascii="Arial" w:hAnsi="Arial"/>
          <w:sz w:val="32"/>
        </w:rPr>
      </w:pPr>
      <w:r>
        <w:rPr>
          <w:rFonts w:ascii="Arial" w:hAnsi="Arial"/>
          <w:sz w:val="32"/>
        </w:rPr>
        <w:t>Treasurer of the State of Victoria</w:t>
      </w:r>
    </w:p>
    <w:p w:rsidR="00000000" w:rsidRDefault="001F233B">
      <w:pPr>
        <w:jc w:val="center"/>
      </w:pPr>
      <w:r>
        <w:rPr>
          <w:rFonts w:ascii="Arial" w:hAnsi="Arial"/>
        </w:rPr>
        <w:t>for the information of Honourable Members</w:t>
      </w:r>
    </w:p>
    <w:p w:rsidR="00000000" w:rsidRDefault="001F233B"/>
    <w:p w:rsidR="00000000" w:rsidRDefault="001F233B"/>
    <w:p w:rsidR="00000000" w:rsidRDefault="001F233B">
      <w:pPr>
        <w:jc w:val="center"/>
        <w:rPr>
          <w:rFonts w:ascii="Arial" w:hAnsi="Arial"/>
          <w:b/>
          <w:sz w:val="28"/>
        </w:rPr>
      </w:pPr>
      <w:r>
        <w:rPr>
          <w:rFonts w:ascii="Arial" w:hAnsi="Arial"/>
          <w:b/>
          <w:sz w:val="28"/>
        </w:rPr>
        <w:t>Budget Paper No.2</w:t>
      </w:r>
    </w:p>
    <w:p w:rsidR="00000000" w:rsidRDefault="001F233B">
      <w:r>
        <w:br w:type="page"/>
      </w:r>
    </w:p>
    <w:p w:rsidR="00000000" w:rsidRDefault="001F233B"/>
    <w:p w:rsidR="00000000" w:rsidRDefault="001F233B"/>
    <w:p w:rsidR="00000000" w:rsidRDefault="001F233B"/>
    <w:p w:rsidR="00000000" w:rsidRDefault="001F233B">
      <w:pPr>
        <w:rPr>
          <w:rFonts w:ascii="Arial" w:hAnsi="Arial"/>
          <w:b/>
          <w:sz w:val="24"/>
        </w:rPr>
      </w:pPr>
      <w:r>
        <w:rPr>
          <w:rFonts w:ascii="Arial" w:hAnsi="Arial"/>
          <w:b/>
          <w:sz w:val="24"/>
        </w:rPr>
        <w:t>Budget Statement 1998-99</w:t>
      </w:r>
    </w:p>
    <w:p w:rsidR="00000000" w:rsidRDefault="001F233B">
      <w:pPr>
        <w:rPr>
          <w:rFonts w:ascii="Arial" w:hAnsi="Arial"/>
          <w:b/>
          <w:sz w:val="24"/>
        </w:rPr>
      </w:pPr>
      <w:r>
        <w:rPr>
          <w:rFonts w:ascii="Arial" w:hAnsi="Arial"/>
          <w:b/>
          <w:sz w:val="24"/>
        </w:rPr>
        <w:t>(1998</w:t>
      </w:r>
      <w:r>
        <w:rPr>
          <w:rFonts w:ascii="Arial" w:hAnsi="Arial"/>
          <w:b/>
          <w:sz w:val="24"/>
        </w:rPr>
        <w:noBreakHyphen/>
        <w:t>99 Budg</w:t>
      </w:r>
      <w:r>
        <w:rPr>
          <w:rFonts w:ascii="Arial" w:hAnsi="Arial"/>
          <w:b/>
          <w:sz w:val="24"/>
        </w:rPr>
        <w:t>et Paper No.2)</w:t>
      </w:r>
    </w:p>
    <w:p w:rsidR="00000000" w:rsidRDefault="001F233B">
      <w:pPr>
        <w:rPr>
          <w:rFonts w:ascii="Arial" w:hAnsi="Arial"/>
        </w:rPr>
      </w:pPr>
      <w:r>
        <w:rPr>
          <w:rFonts w:ascii="Arial" w:hAnsi="Arial"/>
        </w:rPr>
        <w:t>Published by</w:t>
      </w:r>
    </w:p>
    <w:p w:rsidR="00000000" w:rsidRDefault="001F233B">
      <w:pPr>
        <w:rPr>
          <w:rFonts w:ascii="Arial" w:hAnsi="Arial"/>
        </w:rPr>
      </w:pPr>
      <w:r>
        <w:rPr>
          <w:rFonts w:ascii="Arial" w:hAnsi="Arial"/>
        </w:rPr>
        <w:t>The Department of Treasury and Finance</w:t>
      </w:r>
    </w:p>
    <w:p w:rsidR="00000000" w:rsidRDefault="001F233B">
      <w:pPr>
        <w:rPr>
          <w:rFonts w:ascii="Arial" w:hAnsi="Arial"/>
        </w:rPr>
      </w:pPr>
      <w:r>
        <w:rPr>
          <w:rFonts w:ascii="Arial" w:hAnsi="Arial"/>
        </w:rPr>
        <w:t>© State of Victoria1998</w:t>
      </w:r>
    </w:p>
    <w:p w:rsidR="00000000" w:rsidRDefault="001F233B">
      <w:pPr>
        <w:rPr>
          <w:rFonts w:ascii="Arial" w:hAnsi="Arial"/>
        </w:rPr>
      </w:pPr>
    </w:p>
    <w:p w:rsidR="00000000" w:rsidRDefault="001F233B">
      <w:pPr>
        <w:rPr>
          <w:rFonts w:ascii="Arial" w:hAnsi="Arial"/>
        </w:rPr>
      </w:pPr>
    </w:p>
    <w:p w:rsidR="00000000" w:rsidRDefault="001F233B">
      <w:pPr>
        <w:rPr>
          <w:rFonts w:ascii="Arial" w:hAnsi="Arial"/>
        </w:rPr>
      </w:pPr>
    </w:p>
    <w:p w:rsidR="00000000" w:rsidRDefault="001F233B">
      <w:pPr>
        <w:rPr>
          <w:rFonts w:ascii="Arial" w:hAnsi="Arial"/>
        </w:rPr>
      </w:pPr>
    </w:p>
    <w:p w:rsidR="00000000" w:rsidRDefault="001F233B">
      <w:pPr>
        <w:rPr>
          <w:rFonts w:ascii="Arial" w:hAnsi="Arial"/>
        </w:rPr>
      </w:pPr>
    </w:p>
    <w:p w:rsidR="00000000" w:rsidRDefault="001F233B">
      <w:pPr>
        <w:rPr>
          <w:rFonts w:ascii="Arial" w:hAnsi="Arial"/>
        </w:rPr>
      </w:pPr>
    </w:p>
    <w:p w:rsidR="00000000" w:rsidRDefault="001F233B">
      <w:pPr>
        <w:jc w:val="left"/>
        <w:rPr>
          <w:rFonts w:ascii="Arial" w:hAnsi="Arial"/>
          <w:sz w:val="18"/>
        </w:rPr>
      </w:pPr>
      <w:r>
        <w:rPr>
          <w:rFonts w:ascii="Arial" w:hAnsi="Arial"/>
          <w:sz w:val="18"/>
        </w:rPr>
        <w:t xml:space="preserve">This book is copyright. No part may be reproduced by any process except in accordance with the provisions of the Copyright Act.  </w:t>
      </w:r>
    </w:p>
    <w:p w:rsidR="00000000" w:rsidRDefault="001F233B">
      <w:pPr>
        <w:jc w:val="left"/>
        <w:rPr>
          <w:rFonts w:ascii="Arial" w:hAnsi="Arial"/>
          <w:sz w:val="18"/>
        </w:rPr>
      </w:pPr>
      <w:r>
        <w:rPr>
          <w:rFonts w:ascii="Arial" w:hAnsi="Arial"/>
          <w:sz w:val="18"/>
        </w:rPr>
        <w:t>Address all inquiries to:</w:t>
      </w:r>
    </w:p>
    <w:p w:rsidR="00000000" w:rsidRDefault="001F233B">
      <w:pPr>
        <w:jc w:val="left"/>
        <w:rPr>
          <w:rFonts w:ascii="Arial" w:hAnsi="Arial"/>
          <w:sz w:val="18"/>
        </w:rPr>
      </w:pPr>
      <w:r>
        <w:rPr>
          <w:rFonts w:ascii="Arial" w:hAnsi="Arial"/>
          <w:sz w:val="18"/>
        </w:rPr>
        <w:t>The Secretary</w:t>
      </w:r>
    </w:p>
    <w:p w:rsidR="00000000" w:rsidRDefault="001F233B">
      <w:pPr>
        <w:jc w:val="left"/>
        <w:rPr>
          <w:rFonts w:ascii="Arial" w:hAnsi="Arial"/>
          <w:sz w:val="18"/>
        </w:rPr>
      </w:pPr>
      <w:r>
        <w:rPr>
          <w:rFonts w:ascii="Arial" w:hAnsi="Arial"/>
          <w:sz w:val="18"/>
        </w:rPr>
        <w:t xml:space="preserve">The Department of Treasury and Finance </w:t>
      </w:r>
    </w:p>
    <w:p w:rsidR="00000000" w:rsidRDefault="001F233B">
      <w:pPr>
        <w:jc w:val="left"/>
        <w:rPr>
          <w:rFonts w:ascii="Arial" w:hAnsi="Arial"/>
          <w:sz w:val="18"/>
        </w:rPr>
      </w:pPr>
      <w:r>
        <w:rPr>
          <w:rFonts w:ascii="Arial" w:hAnsi="Arial"/>
          <w:sz w:val="18"/>
        </w:rPr>
        <w:t>1 Treasury Place</w:t>
      </w:r>
    </w:p>
    <w:p w:rsidR="00000000" w:rsidRDefault="001F233B">
      <w:pPr>
        <w:jc w:val="left"/>
        <w:rPr>
          <w:rFonts w:ascii="Arial" w:hAnsi="Arial"/>
          <w:sz w:val="18"/>
        </w:rPr>
      </w:pPr>
      <w:r>
        <w:rPr>
          <w:rFonts w:ascii="Arial" w:hAnsi="Arial"/>
          <w:sz w:val="18"/>
        </w:rPr>
        <w:t>Melbourne   Vic   3002</w:t>
      </w:r>
    </w:p>
    <w:p w:rsidR="00000000" w:rsidRDefault="001F233B">
      <w:pPr>
        <w:jc w:val="left"/>
        <w:rPr>
          <w:rFonts w:ascii="Arial" w:hAnsi="Arial"/>
          <w:sz w:val="18"/>
        </w:rPr>
      </w:pPr>
      <w:r>
        <w:rPr>
          <w:rFonts w:ascii="Arial" w:hAnsi="Arial"/>
          <w:sz w:val="18"/>
        </w:rPr>
        <w:t>Australia</w:t>
      </w:r>
    </w:p>
    <w:p w:rsidR="00000000" w:rsidRDefault="001F233B">
      <w:pPr>
        <w:jc w:val="left"/>
        <w:rPr>
          <w:rFonts w:ascii="Arial" w:hAnsi="Arial"/>
          <w:sz w:val="18"/>
        </w:rPr>
      </w:pPr>
    </w:p>
    <w:p w:rsidR="00000000" w:rsidRDefault="001F233B">
      <w:pPr>
        <w:jc w:val="left"/>
        <w:rPr>
          <w:rFonts w:ascii="Arial" w:hAnsi="Arial"/>
          <w:sz w:val="18"/>
        </w:rPr>
      </w:pPr>
      <w:r>
        <w:rPr>
          <w:rFonts w:ascii="Arial" w:hAnsi="Arial"/>
          <w:sz w:val="18"/>
        </w:rPr>
        <w:t>ISSN 1329-0088</w:t>
      </w:r>
    </w:p>
    <w:p w:rsidR="00000000" w:rsidRDefault="001F233B">
      <w:pPr>
        <w:jc w:val="left"/>
        <w:rPr>
          <w:rFonts w:ascii="Arial" w:hAnsi="Arial"/>
          <w:sz w:val="18"/>
        </w:rPr>
      </w:pPr>
      <w:r>
        <w:rPr>
          <w:rFonts w:ascii="Arial" w:hAnsi="Arial"/>
          <w:sz w:val="18"/>
        </w:rPr>
        <w:t>Published April 1998 by authority</w:t>
      </w:r>
    </w:p>
    <w:p w:rsidR="00000000" w:rsidRDefault="001F233B">
      <w:pPr>
        <w:jc w:val="left"/>
      </w:pPr>
    </w:p>
    <w:p w:rsidR="00000000" w:rsidRDefault="001F233B">
      <w:pPr>
        <w:jc w:val="left"/>
        <w:rPr>
          <w:rFonts w:ascii="Arial" w:hAnsi="Arial"/>
          <w:sz w:val="18"/>
        </w:rPr>
      </w:pPr>
      <w:r>
        <w:rPr>
          <w:rFonts w:ascii="Arial" w:hAnsi="Arial"/>
          <w:sz w:val="18"/>
        </w:rPr>
        <w:t>Printed by</w:t>
      </w:r>
    </w:p>
    <w:p w:rsidR="00000000" w:rsidRDefault="001F233B">
      <w:pPr>
        <w:jc w:val="left"/>
        <w:rPr>
          <w:rFonts w:ascii="Arial" w:hAnsi="Arial"/>
          <w:sz w:val="18"/>
        </w:rPr>
      </w:pPr>
      <w:r>
        <w:rPr>
          <w:rFonts w:ascii="Arial" w:hAnsi="Arial"/>
          <w:sz w:val="18"/>
        </w:rPr>
        <w:t>McPherson’s Publishing Group</w:t>
      </w:r>
    </w:p>
    <w:p w:rsidR="00000000" w:rsidRDefault="001F233B">
      <w:pPr>
        <w:sectPr w:rsidR="00000000">
          <w:footerReference w:type="even" r:id="rId10"/>
          <w:footerReference w:type="default" r:id="rId11"/>
          <w:footerReference w:type="first" r:id="rId12"/>
          <w:type w:val="nextColumn"/>
          <w:pgSz w:w="11907" w:h="16840" w:code="9"/>
          <w:pgMar w:top="1440" w:right="3402" w:bottom="4082" w:left="1418" w:header="720" w:footer="4253" w:gutter="0"/>
          <w:cols w:space="720"/>
          <w:titlePg/>
        </w:sectPr>
      </w:pPr>
    </w:p>
    <w:p w:rsidR="00000000" w:rsidRDefault="001F233B">
      <w:pPr>
        <w:pStyle w:val="TableofContentsheading"/>
      </w:pPr>
      <w:r>
        <w:lastRenderedPageBreak/>
        <w:t>Table of Contents</w:t>
      </w:r>
    </w:p>
    <w:p w:rsidR="00000000" w:rsidRDefault="001F233B">
      <w:pPr>
        <w:pStyle w:val="TOC1"/>
        <w:rPr>
          <w:noProof/>
        </w:rPr>
      </w:pPr>
      <w:r>
        <w:fldChar w:fldCharType="begin"/>
      </w:r>
      <w:r>
        <w:instrText xml:space="preserve"> TOC \o "1-2" </w:instrText>
      </w:r>
      <w:r>
        <w:fldChar w:fldCharType="separate"/>
      </w:r>
      <w:r>
        <w:rPr>
          <w:noProof/>
        </w:rPr>
        <w:t>Acronyms and Abbreviations</w:t>
      </w:r>
      <w:r>
        <w:rPr>
          <w:noProof/>
        </w:rPr>
        <w:tab/>
      </w:r>
      <w:r>
        <w:rPr>
          <w:noProof/>
        </w:rPr>
        <w:fldChar w:fldCharType="begin"/>
      </w:r>
      <w:r>
        <w:rPr>
          <w:noProof/>
        </w:rPr>
        <w:instrText xml:space="preserve"> </w:instrText>
      </w:r>
      <w:r>
        <w:rPr>
          <w:noProof/>
        </w:rPr>
        <w:instrText xml:space="preserve">PAGEREF _Toc417552060 \h </w:instrText>
      </w:r>
      <w:r>
        <w:rPr>
          <w:noProof/>
        </w:rPr>
      </w:r>
      <w:r>
        <w:rPr>
          <w:noProof/>
        </w:rPr>
        <w:fldChar w:fldCharType="separate"/>
      </w:r>
      <w:r>
        <w:rPr>
          <w:noProof/>
        </w:rPr>
        <w:t>vi</w:t>
      </w:r>
      <w:r>
        <w:rPr>
          <w:noProof/>
        </w:rPr>
        <w:fldChar w:fldCharType="end"/>
      </w:r>
    </w:p>
    <w:p w:rsidR="00000000" w:rsidRDefault="001F233B">
      <w:pPr>
        <w:pStyle w:val="TOC1"/>
        <w:rPr>
          <w:noProof/>
        </w:rPr>
      </w:pPr>
      <w:r>
        <w:rPr>
          <w:noProof/>
        </w:rPr>
        <w:t>Style Conventions for Charts and Tables in the Budget Statement</w:t>
      </w:r>
      <w:r>
        <w:rPr>
          <w:noProof/>
        </w:rPr>
        <w:tab/>
      </w:r>
      <w:r>
        <w:rPr>
          <w:noProof/>
        </w:rPr>
        <w:fldChar w:fldCharType="begin"/>
      </w:r>
      <w:r>
        <w:rPr>
          <w:noProof/>
        </w:rPr>
        <w:instrText xml:space="preserve"> PAGEREF _Toc417552061 \h </w:instrText>
      </w:r>
      <w:r>
        <w:rPr>
          <w:noProof/>
        </w:rPr>
      </w:r>
      <w:r>
        <w:rPr>
          <w:noProof/>
        </w:rPr>
        <w:fldChar w:fldCharType="separate"/>
      </w:r>
      <w:r>
        <w:rPr>
          <w:noProof/>
        </w:rPr>
        <w:t>vi</w:t>
      </w:r>
      <w:r>
        <w:rPr>
          <w:noProof/>
        </w:rPr>
        <w:fldChar w:fldCharType="end"/>
      </w:r>
    </w:p>
    <w:p w:rsidR="00000000" w:rsidRDefault="001F233B">
      <w:pPr>
        <w:pStyle w:val="TOC1"/>
        <w:rPr>
          <w:noProof/>
        </w:rPr>
      </w:pPr>
      <w:r>
        <w:rPr>
          <w:noProof/>
        </w:rPr>
        <w:t>Chapter 1: Highlights</w:t>
      </w:r>
      <w:r>
        <w:rPr>
          <w:noProof/>
        </w:rPr>
        <w:tab/>
      </w:r>
      <w:r>
        <w:rPr>
          <w:noProof/>
        </w:rPr>
        <w:fldChar w:fldCharType="begin"/>
      </w:r>
      <w:r>
        <w:rPr>
          <w:noProof/>
        </w:rPr>
        <w:instrText xml:space="preserve"> PAGEREF _Toc417552062 \h </w:instrText>
      </w:r>
      <w:r>
        <w:rPr>
          <w:noProof/>
        </w:rPr>
      </w:r>
      <w:r>
        <w:rPr>
          <w:noProof/>
        </w:rPr>
        <w:fldChar w:fldCharType="separate"/>
      </w:r>
      <w:r>
        <w:rPr>
          <w:noProof/>
        </w:rPr>
        <w:t>6</w:t>
      </w:r>
      <w:r>
        <w:rPr>
          <w:noProof/>
        </w:rPr>
        <w:fldChar w:fldCharType="end"/>
      </w:r>
    </w:p>
    <w:p w:rsidR="00000000" w:rsidRDefault="001F233B">
      <w:pPr>
        <w:pStyle w:val="TOC2"/>
        <w:rPr>
          <w:noProof/>
        </w:rPr>
      </w:pPr>
      <w:r>
        <w:rPr>
          <w:noProof/>
        </w:rPr>
        <w:t>Budget summary</w:t>
      </w:r>
      <w:r>
        <w:rPr>
          <w:noProof/>
        </w:rPr>
        <w:tab/>
      </w:r>
      <w:r>
        <w:rPr>
          <w:noProof/>
        </w:rPr>
        <w:fldChar w:fldCharType="begin"/>
      </w:r>
      <w:r>
        <w:rPr>
          <w:noProof/>
        </w:rPr>
        <w:instrText xml:space="preserve"> PAGEREF _Toc417552063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Key initiatives</w:t>
      </w:r>
      <w:r>
        <w:rPr>
          <w:noProof/>
        </w:rPr>
        <w:tab/>
      </w:r>
      <w:r>
        <w:rPr>
          <w:noProof/>
        </w:rPr>
        <w:fldChar w:fldCharType="begin"/>
      </w:r>
      <w:r>
        <w:rPr>
          <w:noProof/>
        </w:rPr>
        <w:instrText xml:space="preserve"> PAGEREF _Toc417552064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Priority to key service delivery responsibilities</w:t>
      </w:r>
      <w:r>
        <w:rPr>
          <w:noProof/>
        </w:rPr>
        <w:tab/>
      </w:r>
      <w:r>
        <w:rPr>
          <w:noProof/>
        </w:rPr>
        <w:fldChar w:fldCharType="begin"/>
      </w:r>
      <w:r>
        <w:rPr>
          <w:noProof/>
        </w:rPr>
        <w:instrText xml:space="preserve"> PAGEREF _Toc417552065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Benefits of the Government’s fiscal strategy</w:t>
      </w:r>
      <w:r>
        <w:rPr>
          <w:noProof/>
        </w:rPr>
        <w:tab/>
      </w:r>
      <w:r>
        <w:rPr>
          <w:noProof/>
        </w:rPr>
        <w:fldChar w:fldCharType="begin"/>
      </w:r>
      <w:r>
        <w:rPr>
          <w:noProof/>
        </w:rPr>
        <w:instrText xml:space="preserve"> PAGEREF _Toc417552066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Benefits of competition and service delivery reforms</w:t>
      </w:r>
      <w:r>
        <w:rPr>
          <w:noProof/>
        </w:rPr>
        <w:tab/>
      </w:r>
      <w:r>
        <w:rPr>
          <w:noProof/>
        </w:rPr>
        <w:fldChar w:fldCharType="begin"/>
      </w:r>
      <w:r>
        <w:rPr>
          <w:noProof/>
        </w:rPr>
        <w:instrText xml:space="preserve"> PAGEREF _Toc417552067</w:instrText>
      </w:r>
      <w:r>
        <w:rPr>
          <w:noProof/>
        </w:rPr>
        <w:instrText xml:space="preserve">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National tax reform</w:t>
      </w:r>
      <w:r>
        <w:rPr>
          <w:noProof/>
        </w:rPr>
        <w:tab/>
      </w:r>
      <w:r>
        <w:rPr>
          <w:noProof/>
        </w:rPr>
        <w:fldChar w:fldCharType="begin"/>
      </w:r>
      <w:r>
        <w:rPr>
          <w:noProof/>
        </w:rPr>
        <w:instrText xml:space="preserve"> PAGEREF _Toc417552068 \h </w:instrText>
      </w:r>
      <w:r>
        <w:rPr>
          <w:noProof/>
          <w:sz w:val="20"/>
        </w:rPr>
      </w:r>
      <w:r>
        <w:rPr>
          <w:noProof/>
        </w:rPr>
        <w:fldChar w:fldCharType="separate"/>
      </w:r>
      <w:r>
        <w:rPr>
          <w:noProof/>
        </w:rPr>
        <w:t>6</w:t>
      </w:r>
      <w:r>
        <w:rPr>
          <w:noProof/>
        </w:rPr>
        <w:fldChar w:fldCharType="end"/>
      </w:r>
    </w:p>
    <w:p w:rsidR="00000000" w:rsidRDefault="001F233B">
      <w:pPr>
        <w:pStyle w:val="TOC1"/>
        <w:rPr>
          <w:noProof/>
        </w:rPr>
      </w:pPr>
      <w:r>
        <w:rPr>
          <w:noProof/>
        </w:rPr>
        <w:t>Chapter 2: Budget Strategy</w:t>
      </w:r>
      <w:r>
        <w:rPr>
          <w:noProof/>
        </w:rPr>
        <w:tab/>
      </w:r>
      <w:r>
        <w:rPr>
          <w:noProof/>
        </w:rPr>
        <w:fldChar w:fldCharType="begin"/>
      </w:r>
      <w:r>
        <w:rPr>
          <w:noProof/>
        </w:rPr>
        <w:instrText xml:space="preserve"> PAGEREF _Toc417552069 \h </w:instrText>
      </w:r>
      <w:r>
        <w:rPr>
          <w:noProof/>
        </w:rPr>
      </w:r>
      <w:r>
        <w:rPr>
          <w:noProof/>
        </w:rPr>
        <w:fldChar w:fldCharType="separate"/>
      </w:r>
      <w:r>
        <w:rPr>
          <w:noProof/>
        </w:rPr>
        <w:t>6</w:t>
      </w:r>
      <w:r>
        <w:rPr>
          <w:noProof/>
        </w:rPr>
        <w:fldChar w:fldCharType="end"/>
      </w:r>
    </w:p>
    <w:p w:rsidR="00000000" w:rsidRDefault="001F233B">
      <w:pPr>
        <w:pStyle w:val="TOC2"/>
        <w:rPr>
          <w:noProof/>
        </w:rPr>
      </w:pPr>
      <w:r>
        <w:rPr>
          <w:noProof/>
        </w:rPr>
        <w:t>Introduction</w:t>
      </w:r>
      <w:r>
        <w:rPr>
          <w:noProof/>
        </w:rPr>
        <w:tab/>
      </w:r>
      <w:r>
        <w:rPr>
          <w:noProof/>
        </w:rPr>
        <w:fldChar w:fldCharType="begin"/>
      </w:r>
      <w:r>
        <w:rPr>
          <w:noProof/>
        </w:rPr>
        <w:instrText xml:space="preserve"> PAGEREF _Toc417552070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Long-term budget objectives</w:t>
      </w:r>
      <w:r>
        <w:rPr>
          <w:noProof/>
        </w:rPr>
        <w:tab/>
      </w:r>
      <w:r>
        <w:rPr>
          <w:noProof/>
        </w:rPr>
        <w:fldChar w:fldCharType="begin"/>
      </w:r>
      <w:r>
        <w:rPr>
          <w:noProof/>
        </w:rPr>
        <w:instrText xml:space="preserve"> PAGEREF _Toc417552071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Service delivery</w:t>
      </w:r>
      <w:r>
        <w:rPr>
          <w:noProof/>
        </w:rPr>
        <w:tab/>
      </w:r>
      <w:r>
        <w:rPr>
          <w:noProof/>
        </w:rPr>
        <w:fldChar w:fldCharType="begin"/>
      </w:r>
      <w:r>
        <w:rPr>
          <w:noProof/>
        </w:rPr>
        <w:instrText xml:space="preserve"> PAGEREF _Toc417552072 \h </w:instrText>
      </w:r>
      <w:r>
        <w:rPr>
          <w:noProof/>
          <w:sz w:val="20"/>
        </w:rPr>
      </w:r>
      <w:r>
        <w:rPr>
          <w:noProof/>
        </w:rPr>
        <w:fldChar w:fldCharType="separate"/>
      </w:r>
      <w:r>
        <w:rPr>
          <w:noProof/>
        </w:rPr>
        <w:t>6</w:t>
      </w:r>
      <w:r>
        <w:rPr>
          <w:noProof/>
        </w:rPr>
        <w:fldChar w:fldCharType="end"/>
      </w:r>
    </w:p>
    <w:p w:rsidR="00000000" w:rsidRDefault="001F233B">
      <w:pPr>
        <w:pStyle w:val="TOC1"/>
        <w:rPr>
          <w:noProof/>
        </w:rPr>
      </w:pPr>
      <w:r>
        <w:rPr>
          <w:noProof/>
        </w:rPr>
        <w:t>Chapter 3: Fiscal Position and Outlook</w:t>
      </w:r>
      <w:r>
        <w:rPr>
          <w:noProof/>
        </w:rPr>
        <w:tab/>
      </w:r>
      <w:r>
        <w:rPr>
          <w:noProof/>
        </w:rPr>
        <w:fldChar w:fldCharType="begin"/>
      </w:r>
      <w:r>
        <w:rPr>
          <w:noProof/>
        </w:rPr>
        <w:instrText xml:space="preserve"> PAGEREF _Toc417552073 \h </w:instrText>
      </w:r>
      <w:r>
        <w:rPr>
          <w:noProof/>
        </w:rPr>
      </w:r>
      <w:r>
        <w:rPr>
          <w:noProof/>
        </w:rPr>
        <w:fldChar w:fldCharType="separate"/>
      </w:r>
      <w:r>
        <w:rPr>
          <w:noProof/>
        </w:rPr>
        <w:t>6</w:t>
      </w:r>
      <w:r>
        <w:rPr>
          <w:noProof/>
        </w:rPr>
        <w:fldChar w:fldCharType="end"/>
      </w:r>
    </w:p>
    <w:p w:rsidR="00000000" w:rsidRDefault="001F233B">
      <w:pPr>
        <w:pStyle w:val="TOC2"/>
        <w:rPr>
          <w:noProof/>
        </w:rPr>
      </w:pPr>
      <w:r>
        <w:rPr>
          <w:noProof/>
        </w:rPr>
        <w:t>An accrual output</w:t>
      </w:r>
      <w:r>
        <w:rPr>
          <w:noProof/>
        </w:rPr>
        <w:noBreakHyphen/>
        <w:t>based budget</w:t>
      </w:r>
      <w:r>
        <w:rPr>
          <w:noProof/>
        </w:rPr>
        <w:tab/>
      </w:r>
      <w:r>
        <w:rPr>
          <w:noProof/>
        </w:rPr>
        <w:fldChar w:fldCharType="begin"/>
      </w:r>
      <w:r>
        <w:rPr>
          <w:noProof/>
        </w:rPr>
        <w:instrText xml:space="preserve"> PAGEREF _Toc417552074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Revised 1997</w:t>
      </w:r>
      <w:r>
        <w:rPr>
          <w:noProof/>
        </w:rPr>
        <w:noBreakHyphen/>
        <w:t>98 budget outcome</w:t>
      </w:r>
      <w:r>
        <w:rPr>
          <w:noProof/>
        </w:rPr>
        <w:tab/>
      </w:r>
      <w:r>
        <w:rPr>
          <w:noProof/>
        </w:rPr>
        <w:fldChar w:fldCharType="begin"/>
      </w:r>
      <w:r>
        <w:rPr>
          <w:noProof/>
        </w:rPr>
        <w:instrText xml:space="preserve"> PAGEREF _Toc417552075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1998</w:t>
      </w:r>
      <w:r>
        <w:rPr>
          <w:noProof/>
        </w:rPr>
        <w:noBreakHyphen/>
        <w:t>99 Budget estimates</w:t>
      </w:r>
      <w:r>
        <w:rPr>
          <w:noProof/>
        </w:rPr>
        <w:tab/>
      </w:r>
      <w:r>
        <w:rPr>
          <w:noProof/>
        </w:rPr>
        <w:fldChar w:fldCharType="begin"/>
      </w:r>
      <w:r>
        <w:rPr>
          <w:noProof/>
        </w:rPr>
        <w:instrText xml:space="preserve"> PAGEREF _Toc41</w:instrText>
      </w:r>
      <w:r>
        <w:rPr>
          <w:noProof/>
        </w:rPr>
        <w:instrText xml:space="preserve">7552076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1998</w:t>
      </w:r>
      <w:r>
        <w:rPr>
          <w:noProof/>
        </w:rPr>
        <w:noBreakHyphen/>
        <w:t>99 Budget initiatives</w:t>
      </w:r>
      <w:r>
        <w:rPr>
          <w:noProof/>
        </w:rPr>
        <w:tab/>
      </w:r>
      <w:r>
        <w:rPr>
          <w:noProof/>
        </w:rPr>
        <w:fldChar w:fldCharType="begin"/>
      </w:r>
      <w:r>
        <w:rPr>
          <w:noProof/>
        </w:rPr>
        <w:instrText xml:space="preserve"> PAGEREF _Toc417552077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Cash flow statement</w:t>
      </w:r>
      <w:r>
        <w:rPr>
          <w:noProof/>
        </w:rPr>
        <w:tab/>
      </w:r>
      <w:r>
        <w:rPr>
          <w:noProof/>
        </w:rPr>
        <w:fldChar w:fldCharType="begin"/>
      </w:r>
      <w:r>
        <w:rPr>
          <w:noProof/>
        </w:rPr>
        <w:instrText xml:space="preserve"> PAGEREF _Toc417552078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Forward estimates 1999</w:t>
      </w:r>
      <w:r>
        <w:rPr>
          <w:noProof/>
        </w:rPr>
        <w:noBreakHyphen/>
        <w:t>00 to 2001</w:t>
      </w:r>
      <w:r>
        <w:rPr>
          <w:noProof/>
        </w:rPr>
        <w:noBreakHyphen/>
        <w:t>02</w:t>
      </w:r>
      <w:r>
        <w:rPr>
          <w:noProof/>
        </w:rPr>
        <w:tab/>
      </w:r>
      <w:r>
        <w:rPr>
          <w:noProof/>
        </w:rPr>
        <w:fldChar w:fldCharType="begin"/>
      </w:r>
      <w:r>
        <w:rPr>
          <w:noProof/>
        </w:rPr>
        <w:instrText xml:space="preserve"> PAGEREF _Toc417552079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The sustainable budget planning position</w:t>
      </w:r>
      <w:r>
        <w:rPr>
          <w:noProof/>
        </w:rPr>
        <w:tab/>
      </w:r>
      <w:r>
        <w:rPr>
          <w:noProof/>
        </w:rPr>
        <w:fldChar w:fldCharType="begin"/>
      </w:r>
      <w:r>
        <w:rPr>
          <w:noProof/>
        </w:rPr>
        <w:instrText xml:space="preserve"> PAGEREF _Toc417552080 \h </w:instrText>
      </w:r>
      <w:r>
        <w:rPr>
          <w:noProof/>
          <w:sz w:val="20"/>
        </w:rPr>
      </w:r>
      <w:r>
        <w:rPr>
          <w:noProof/>
        </w:rPr>
        <w:fldChar w:fldCharType="separate"/>
      </w:r>
      <w:r>
        <w:rPr>
          <w:noProof/>
        </w:rPr>
        <w:t>6</w:t>
      </w:r>
      <w:r>
        <w:rPr>
          <w:noProof/>
        </w:rPr>
        <w:fldChar w:fldCharType="end"/>
      </w:r>
    </w:p>
    <w:p w:rsidR="00000000" w:rsidRDefault="001F233B">
      <w:pPr>
        <w:pStyle w:val="TOC1"/>
        <w:rPr>
          <w:noProof/>
        </w:rPr>
      </w:pPr>
      <w:r>
        <w:rPr>
          <w:noProof/>
        </w:rPr>
        <w:t>Chapter 4: Service Delivery</w:t>
      </w:r>
      <w:r>
        <w:rPr>
          <w:noProof/>
        </w:rPr>
        <w:tab/>
      </w:r>
      <w:r>
        <w:rPr>
          <w:noProof/>
        </w:rPr>
        <w:fldChar w:fldCharType="begin"/>
      </w:r>
      <w:r>
        <w:rPr>
          <w:noProof/>
        </w:rPr>
        <w:instrText xml:space="preserve"> PAGEREF _Toc417552081 \h </w:instrText>
      </w:r>
      <w:r>
        <w:rPr>
          <w:noProof/>
        </w:rPr>
      </w:r>
      <w:r>
        <w:rPr>
          <w:noProof/>
        </w:rPr>
        <w:fldChar w:fldCharType="separate"/>
      </w:r>
      <w:r>
        <w:rPr>
          <w:noProof/>
        </w:rPr>
        <w:t>6</w:t>
      </w:r>
      <w:r>
        <w:rPr>
          <w:noProof/>
        </w:rPr>
        <w:fldChar w:fldCharType="end"/>
      </w:r>
    </w:p>
    <w:p w:rsidR="00000000" w:rsidRDefault="001F233B">
      <w:pPr>
        <w:pStyle w:val="TOC2"/>
        <w:rPr>
          <w:noProof/>
        </w:rPr>
      </w:pPr>
      <w:r>
        <w:rPr>
          <w:noProof/>
        </w:rPr>
        <w:t>Introduction</w:t>
      </w:r>
      <w:r>
        <w:rPr>
          <w:noProof/>
        </w:rPr>
        <w:tab/>
      </w:r>
      <w:r>
        <w:rPr>
          <w:noProof/>
        </w:rPr>
        <w:fldChar w:fldCharType="begin"/>
      </w:r>
      <w:r>
        <w:rPr>
          <w:noProof/>
        </w:rPr>
        <w:instrText xml:space="preserve"> PAGEREF _Toc417552082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Departmental initiatives</w:t>
      </w:r>
      <w:r>
        <w:rPr>
          <w:noProof/>
        </w:rPr>
        <w:tab/>
      </w:r>
      <w:r>
        <w:rPr>
          <w:noProof/>
        </w:rPr>
        <w:fldChar w:fldCharType="begin"/>
      </w:r>
      <w:r>
        <w:rPr>
          <w:noProof/>
        </w:rPr>
        <w:instrText xml:space="preserve"> PAGEREF _Toc417552083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Service delivery performance and benchmarks</w:t>
      </w:r>
      <w:r>
        <w:rPr>
          <w:noProof/>
        </w:rPr>
        <w:tab/>
      </w:r>
      <w:r>
        <w:rPr>
          <w:noProof/>
        </w:rPr>
        <w:fldChar w:fldCharType="begin"/>
      </w:r>
      <w:r>
        <w:rPr>
          <w:noProof/>
        </w:rPr>
        <w:instrText xml:space="preserve"> PAGEREF _Toc417552084 \h </w:instrText>
      </w:r>
      <w:r>
        <w:rPr>
          <w:noProof/>
          <w:sz w:val="20"/>
        </w:rPr>
      </w:r>
      <w:r>
        <w:rPr>
          <w:noProof/>
        </w:rPr>
        <w:fldChar w:fldCharType="separate"/>
      </w:r>
      <w:r>
        <w:rPr>
          <w:noProof/>
        </w:rPr>
        <w:t>6</w:t>
      </w:r>
      <w:r>
        <w:rPr>
          <w:noProof/>
        </w:rPr>
        <w:fldChar w:fldCharType="end"/>
      </w:r>
    </w:p>
    <w:p w:rsidR="00000000" w:rsidRDefault="001F233B">
      <w:pPr>
        <w:pStyle w:val="TOC1"/>
        <w:rPr>
          <w:noProof/>
        </w:rPr>
      </w:pPr>
      <w:r>
        <w:rPr>
          <w:noProof/>
        </w:rPr>
        <w:br w:type="page"/>
      </w:r>
      <w:r>
        <w:rPr>
          <w:noProof/>
        </w:rPr>
        <w:lastRenderedPageBreak/>
        <w:br/>
      </w:r>
    </w:p>
    <w:p w:rsidR="00000000" w:rsidRDefault="001F233B">
      <w:pPr>
        <w:pStyle w:val="TOC1"/>
        <w:rPr>
          <w:i/>
          <w:noProof/>
        </w:rPr>
      </w:pPr>
      <w:r>
        <w:rPr>
          <w:noProof/>
        </w:rPr>
        <w:t>Ta</w:t>
      </w:r>
      <w:r>
        <w:rPr>
          <w:noProof/>
        </w:rPr>
        <w:t xml:space="preserve">ble of Contents - </w:t>
      </w:r>
      <w:r>
        <w:rPr>
          <w:i/>
          <w:noProof/>
        </w:rPr>
        <w:t>continued</w:t>
      </w:r>
    </w:p>
    <w:p w:rsidR="00000000" w:rsidRDefault="001F233B">
      <w:pPr>
        <w:pStyle w:val="TOC1"/>
        <w:rPr>
          <w:noProof/>
        </w:rPr>
      </w:pPr>
      <w:r>
        <w:rPr>
          <w:noProof/>
        </w:rPr>
        <w:t>Chapter 5: Revenue</w:t>
      </w:r>
      <w:r>
        <w:rPr>
          <w:noProof/>
        </w:rPr>
        <w:tab/>
      </w:r>
      <w:r>
        <w:rPr>
          <w:noProof/>
        </w:rPr>
        <w:fldChar w:fldCharType="begin"/>
      </w:r>
      <w:r>
        <w:rPr>
          <w:noProof/>
        </w:rPr>
        <w:instrText xml:space="preserve"> PAGEREF _Toc417552085 \h </w:instrText>
      </w:r>
      <w:r>
        <w:rPr>
          <w:noProof/>
        </w:rPr>
      </w:r>
      <w:r>
        <w:rPr>
          <w:noProof/>
        </w:rPr>
        <w:fldChar w:fldCharType="separate"/>
      </w:r>
      <w:r>
        <w:rPr>
          <w:noProof/>
        </w:rPr>
        <w:t>6</w:t>
      </w:r>
      <w:r>
        <w:rPr>
          <w:noProof/>
        </w:rPr>
        <w:fldChar w:fldCharType="end"/>
      </w:r>
    </w:p>
    <w:p w:rsidR="00000000" w:rsidRDefault="001F233B">
      <w:pPr>
        <w:pStyle w:val="TOC2"/>
        <w:rPr>
          <w:noProof/>
        </w:rPr>
      </w:pPr>
      <w:r>
        <w:rPr>
          <w:noProof/>
        </w:rPr>
        <w:t>Introduction</w:t>
      </w:r>
      <w:r>
        <w:rPr>
          <w:noProof/>
        </w:rPr>
        <w:tab/>
      </w:r>
      <w:r>
        <w:rPr>
          <w:noProof/>
        </w:rPr>
        <w:fldChar w:fldCharType="begin"/>
      </w:r>
      <w:r>
        <w:rPr>
          <w:noProof/>
        </w:rPr>
        <w:instrText xml:space="preserve"> PAGEREF _Toc417552086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Tax relief</w:t>
      </w:r>
      <w:r>
        <w:rPr>
          <w:noProof/>
        </w:rPr>
        <w:tab/>
      </w:r>
      <w:r>
        <w:rPr>
          <w:noProof/>
        </w:rPr>
        <w:fldChar w:fldCharType="begin"/>
      </w:r>
      <w:r>
        <w:rPr>
          <w:noProof/>
        </w:rPr>
        <w:instrText xml:space="preserve"> PAGEREF _Toc417552087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Victoria’s relative revenue</w:t>
      </w:r>
      <w:r>
        <w:rPr>
          <w:noProof/>
        </w:rPr>
        <w:noBreakHyphen/>
        <w:t>raising effort</w:t>
      </w:r>
      <w:r>
        <w:rPr>
          <w:noProof/>
        </w:rPr>
        <w:tab/>
      </w:r>
      <w:r>
        <w:rPr>
          <w:noProof/>
        </w:rPr>
        <w:fldChar w:fldCharType="begin"/>
      </w:r>
      <w:r>
        <w:rPr>
          <w:noProof/>
        </w:rPr>
        <w:instrText xml:space="preserve"> PAGEREF _Toc417552088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Loss of business franchise fees</w:t>
      </w:r>
      <w:r>
        <w:rPr>
          <w:noProof/>
        </w:rPr>
        <w:tab/>
      </w:r>
      <w:r>
        <w:rPr>
          <w:noProof/>
        </w:rPr>
        <w:fldChar w:fldCharType="begin"/>
      </w:r>
      <w:r>
        <w:rPr>
          <w:noProof/>
        </w:rPr>
        <w:instrText xml:space="preserve"> PAGEREF _Toc417552089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‘Mirror’ State taxes at Commonwealth places</w:t>
      </w:r>
      <w:r>
        <w:rPr>
          <w:noProof/>
        </w:rPr>
        <w:tab/>
      </w:r>
      <w:r>
        <w:rPr>
          <w:noProof/>
        </w:rPr>
        <w:fldChar w:fldCharType="begin"/>
      </w:r>
      <w:r>
        <w:rPr>
          <w:noProof/>
        </w:rPr>
        <w:instrText xml:space="preserve"> PAGEREF _Toc417552090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National tax reform: implications for State taxes</w:t>
      </w:r>
      <w:r>
        <w:rPr>
          <w:noProof/>
        </w:rPr>
        <w:tab/>
      </w:r>
      <w:r>
        <w:rPr>
          <w:noProof/>
        </w:rPr>
        <w:fldChar w:fldCharType="begin"/>
      </w:r>
      <w:r>
        <w:rPr>
          <w:noProof/>
        </w:rPr>
        <w:instrText xml:space="preserve"> PAGEREF _Toc417552091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Revised 1997</w:t>
      </w:r>
      <w:r>
        <w:rPr>
          <w:noProof/>
        </w:rPr>
        <w:noBreakHyphen/>
        <w:t>98 Budget outlook</w:t>
      </w:r>
      <w:r>
        <w:rPr>
          <w:noProof/>
        </w:rPr>
        <w:tab/>
      </w:r>
      <w:r>
        <w:rPr>
          <w:noProof/>
        </w:rPr>
        <w:fldChar w:fldCharType="begin"/>
      </w:r>
      <w:r>
        <w:rPr>
          <w:noProof/>
        </w:rPr>
        <w:instrText xml:space="preserve"> PAGEREF _Toc417</w:instrText>
      </w:r>
      <w:r>
        <w:rPr>
          <w:noProof/>
        </w:rPr>
        <w:instrText xml:space="preserve">552092 \h </w:instrText>
      </w:r>
      <w:r>
        <w:rPr>
          <w:noProof/>
          <w:sz w:val="20"/>
        </w:rPr>
      </w:r>
      <w:r>
        <w:rPr>
          <w:noProof/>
        </w:rPr>
        <w:fldChar w:fldCharType="separate"/>
      </w:r>
      <w:r>
        <w:rPr>
          <w:noProof/>
        </w:rPr>
        <w:t>6</w:t>
      </w:r>
      <w:r>
        <w:rPr>
          <w:noProof/>
        </w:rPr>
        <w:fldChar w:fldCharType="end"/>
      </w:r>
    </w:p>
    <w:p w:rsidR="00000000" w:rsidRDefault="001F233B">
      <w:pPr>
        <w:pStyle w:val="TOC1"/>
        <w:rPr>
          <w:noProof/>
        </w:rPr>
      </w:pPr>
      <w:r>
        <w:rPr>
          <w:noProof/>
        </w:rPr>
        <w:t>Chapter 6: Asset and Liability Management</w:t>
      </w:r>
      <w:r>
        <w:rPr>
          <w:noProof/>
        </w:rPr>
        <w:tab/>
      </w:r>
      <w:r>
        <w:rPr>
          <w:noProof/>
        </w:rPr>
        <w:fldChar w:fldCharType="begin"/>
      </w:r>
      <w:r>
        <w:rPr>
          <w:noProof/>
        </w:rPr>
        <w:instrText xml:space="preserve"> PAGEREF _Toc417552093 \h </w:instrText>
      </w:r>
      <w:r>
        <w:rPr>
          <w:noProof/>
        </w:rPr>
      </w:r>
      <w:r>
        <w:rPr>
          <w:noProof/>
        </w:rPr>
        <w:fldChar w:fldCharType="separate"/>
      </w:r>
      <w:r>
        <w:rPr>
          <w:noProof/>
        </w:rPr>
        <w:t>6</w:t>
      </w:r>
      <w:r>
        <w:rPr>
          <w:noProof/>
        </w:rPr>
        <w:fldChar w:fldCharType="end"/>
      </w:r>
    </w:p>
    <w:p w:rsidR="00000000" w:rsidRDefault="001F233B">
      <w:pPr>
        <w:pStyle w:val="TOC2"/>
        <w:rPr>
          <w:noProof/>
        </w:rPr>
      </w:pPr>
      <w:r>
        <w:rPr>
          <w:noProof/>
        </w:rPr>
        <w:t>Introduction</w:t>
      </w:r>
      <w:r>
        <w:rPr>
          <w:noProof/>
        </w:rPr>
        <w:tab/>
      </w:r>
      <w:r>
        <w:rPr>
          <w:noProof/>
        </w:rPr>
        <w:fldChar w:fldCharType="begin"/>
      </w:r>
      <w:r>
        <w:rPr>
          <w:noProof/>
        </w:rPr>
        <w:instrText xml:space="preserve"> PAGEREF _Toc417552094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Credit rating status: Aa1/AA+</w:t>
      </w:r>
      <w:r>
        <w:rPr>
          <w:noProof/>
        </w:rPr>
        <w:tab/>
      </w:r>
      <w:r>
        <w:rPr>
          <w:noProof/>
        </w:rPr>
        <w:fldChar w:fldCharType="begin"/>
      </w:r>
      <w:r>
        <w:rPr>
          <w:noProof/>
        </w:rPr>
        <w:instrText xml:space="preserve"> PAGEREF _Toc417552095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Use of privatisation proceeds</w:t>
      </w:r>
      <w:r>
        <w:rPr>
          <w:noProof/>
        </w:rPr>
        <w:tab/>
      </w:r>
      <w:r>
        <w:rPr>
          <w:noProof/>
        </w:rPr>
        <w:fldChar w:fldCharType="begin"/>
      </w:r>
      <w:r>
        <w:rPr>
          <w:noProof/>
        </w:rPr>
        <w:instrText xml:space="preserve"> PAGEREF _Toc417552096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Asset management</w:t>
      </w:r>
      <w:r>
        <w:rPr>
          <w:noProof/>
        </w:rPr>
        <w:tab/>
      </w:r>
      <w:r>
        <w:rPr>
          <w:noProof/>
        </w:rPr>
        <w:fldChar w:fldCharType="begin"/>
      </w:r>
      <w:r>
        <w:rPr>
          <w:noProof/>
        </w:rPr>
        <w:instrText xml:space="preserve"> PAGEREF _Toc417552097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Impact of management reform on asset management</w:t>
      </w:r>
      <w:r>
        <w:rPr>
          <w:noProof/>
        </w:rPr>
        <w:tab/>
      </w:r>
      <w:r>
        <w:rPr>
          <w:noProof/>
        </w:rPr>
        <w:fldChar w:fldCharType="begin"/>
      </w:r>
      <w:r>
        <w:rPr>
          <w:noProof/>
        </w:rPr>
        <w:instrText xml:space="preserve"> PAGEREF _Toc417552098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Public and budget sector assets</w:t>
      </w:r>
      <w:r>
        <w:rPr>
          <w:noProof/>
        </w:rPr>
        <w:tab/>
      </w:r>
      <w:r>
        <w:rPr>
          <w:noProof/>
        </w:rPr>
        <w:fldChar w:fldCharType="begin"/>
      </w:r>
      <w:r>
        <w:rPr>
          <w:noProof/>
        </w:rPr>
        <w:instrText xml:space="preserve"> PAGEREF _Toc417552099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Total financial liability status and outlook</w:t>
      </w:r>
      <w:r>
        <w:rPr>
          <w:noProof/>
        </w:rPr>
        <w:tab/>
      </w:r>
      <w:r>
        <w:rPr>
          <w:noProof/>
        </w:rPr>
        <w:fldChar w:fldCharType="begin"/>
      </w:r>
      <w:r>
        <w:rPr>
          <w:noProof/>
        </w:rPr>
        <w:instrText xml:space="preserve"> PAGEREF _Toc41</w:instrText>
      </w:r>
      <w:r>
        <w:rPr>
          <w:noProof/>
        </w:rPr>
        <w:instrText xml:space="preserve">7552100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Debt and interest paid status and outlook</w:t>
      </w:r>
      <w:r>
        <w:rPr>
          <w:noProof/>
        </w:rPr>
        <w:tab/>
      </w:r>
      <w:r>
        <w:rPr>
          <w:noProof/>
        </w:rPr>
        <w:fldChar w:fldCharType="begin"/>
      </w:r>
      <w:r>
        <w:rPr>
          <w:noProof/>
        </w:rPr>
        <w:instrText xml:space="preserve"> PAGEREF _Toc417552101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Liability management</w:t>
      </w:r>
      <w:r>
        <w:rPr>
          <w:noProof/>
        </w:rPr>
        <w:tab/>
      </w:r>
      <w:r>
        <w:rPr>
          <w:noProof/>
        </w:rPr>
        <w:fldChar w:fldCharType="begin"/>
      </w:r>
      <w:r>
        <w:rPr>
          <w:noProof/>
        </w:rPr>
        <w:instrText xml:space="preserve"> PAGEREF _Toc417552102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Risk reduction through management of structured financing facilities</w:t>
      </w:r>
      <w:r>
        <w:rPr>
          <w:noProof/>
        </w:rPr>
        <w:tab/>
      </w:r>
      <w:r>
        <w:rPr>
          <w:noProof/>
        </w:rPr>
        <w:fldChar w:fldCharType="begin"/>
      </w:r>
      <w:r>
        <w:rPr>
          <w:noProof/>
        </w:rPr>
        <w:instrText xml:space="preserve"> PAGEREF _Toc417552103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Superannuation status and outlook</w:t>
      </w:r>
      <w:r>
        <w:rPr>
          <w:noProof/>
        </w:rPr>
        <w:tab/>
      </w:r>
      <w:r>
        <w:rPr>
          <w:noProof/>
        </w:rPr>
        <w:fldChar w:fldCharType="begin"/>
      </w:r>
      <w:r>
        <w:rPr>
          <w:noProof/>
        </w:rPr>
        <w:instrText xml:space="preserve"> PAGEREF _Toc417552104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SECV liabilities</w:t>
      </w:r>
      <w:r>
        <w:rPr>
          <w:noProof/>
        </w:rPr>
        <w:tab/>
      </w:r>
      <w:r>
        <w:rPr>
          <w:noProof/>
        </w:rPr>
        <w:fldChar w:fldCharType="begin"/>
      </w:r>
      <w:r>
        <w:rPr>
          <w:noProof/>
        </w:rPr>
        <w:instrText xml:space="preserve"> PAGEREF _Toc417552105 \h </w:instrText>
      </w:r>
      <w:r>
        <w:rPr>
          <w:noProof/>
          <w:sz w:val="20"/>
        </w:rPr>
      </w:r>
      <w:r>
        <w:rPr>
          <w:noProof/>
        </w:rPr>
        <w:fldChar w:fldCharType="separate"/>
      </w:r>
      <w:r>
        <w:rPr>
          <w:noProof/>
        </w:rPr>
        <w:t>6</w:t>
      </w:r>
      <w:r>
        <w:rPr>
          <w:noProof/>
        </w:rPr>
        <w:fldChar w:fldCharType="end"/>
      </w:r>
    </w:p>
    <w:p w:rsidR="00000000" w:rsidRDefault="001F233B">
      <w:pPr>
        <w:pStyle w:val="TOC1"/>
        <w:rPr>
          <w:noProof/>
        </w:rPr>
      </w:pPr>
      <w:r>
        <w:rPr>
          <w:noProof/>
        </w:rPr>
        <w:t>Chapter 7: Economic Outlook</w:t>
      </w:r>
      <w:r>
        <w:rPr>
          <w:noProof/>
        </w:rPr>
        <w:tab/>
      </w:r>
      <w:r>
        <w:rPr>
          <w:noProof/>
        </w:rPr>
        <w:fldChar w:fldCharType="begin"/>
      </w:r>
      <w:r>
        <w:rPr>
          <w:noProof/>
        </w:rPr>
        <w:instrText xml:space="preserve"> PAGEREF _Toc417552106 \h </w:instrText>
      </w:r>
      <w:r>
        <w:rPr>
          <w:noProof/>
        </w:rPr>
      </w:r>
      <w:r>
        <w:rPr>
          <w:noProof/>
        </w:rPr>
        <w:fldChar w:fldCharType="separate"/>
      </w:r>
      <w:r>
        <w:rPr>
          <w:noProof/>
        </w:rPr>
        <w:t>6</w:t>
      </w:r>
      <w:r>
        <w:rPr>
          <w:noProof/>
        </w:rPr>
        <w:fldChar w:fldCharType="end"/>
      </w:r>
    </w:p>
    <w:p w:rsidR="00000000" w:rsidRDefault="001F233B">
      <w:pPr>
        <w:pStyle w:val="TOC2"/>
        <w:rPr>
          <w:noProof/>
        </w:rPr>
      </w:pPr>
      <w:r>
        <w:rPr>
          <w:noProof/>
        </w:rPr>
        <w:t>Recent economic trends</w:t>
      </w:r>
      <w:r>
        <w:rPr>
          <w:noProof/>
        </w:rPr>
        <w:tab/>
      </w:r>
      <w:r>
        <w:rPr>
          <w:noProof/>
        </w:rPr>
        <w:fldChar w:fldCharType="begin"/>
      </w:r>
      <w:r>
        <w:rPr>
          <w:noProof/>
        </w:rPr>
        <w:instrText xml:space="preserve"> PAGEREF _Toc417552107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The impact of recent developments in E</w:t>
      </w:r>
      <w:r>
        <w:rPr>
          <w:noProof/>
        </w:rPr>
        <w:t>ast Asia</w:t>
      </w:r>
      <w:r>
        <w:rPr>
          <w:noProof/>
        </w:rPr>
        <w:tab/>
      </w:r>
      <w:r>
        <w:rPr>
          <w:noProof/>
        </w:rPr>
        <w:fldChar w:fldCharType="begin"/>
      </w:r>
      <w:r>
        <w:rPr>
          <w:noProof/>
        </w:rPr>
        <w:instrText xml:space="preserve"> PAGEREF _Toc417552108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Economic outlook</w:t>
      </w:r>
      <w:r>
        <w:rPr>
          <w:noProof/>
        </w:rPr>
        <w:tab/>
      </w:r>
      <w:r>
        <w:rPr>
          <w:noProof/>
        </w:rPr>
        <w:fldChar w:fldCharType="begin"/>
      </w:r>
      <w:r>
        <w:rPr>
          <w:noProof/>
        </w:rPr>
        <w:instrText xml:space="preserve"> PAGEREF _Toc417552109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Structural change</w:t>
      </w:r>
      <w:r>
        <w:rPr>
          <w:noProof/>
        </w:rPr>
        <w:tab/>
      </w:r>
      <w:r>
        <w:rPr>
          <w:noProof/>
        </w:rPr>
        <w:fldChar w:fldCharType="begin"/>
      </w:r>
      <w:r>
        <w:rPr>
          <w:noProof/>
        </w:rPr>
        <w:instrText xml:space="preserve"> PAGEREF _Toc417552110 \h </w:instrText>
      </w:r>
      <w:r>
        <w:rPr>
          <w:noProof/>
          <w:sz w:val="20"/>
        </w:rPr>
      </w:r>
      <w:r>
        <w:rPr>
          <w:noProof/>
        </w:rPr>
        <w:fldChar w:fldCharType="separate"/>
      </w:r>
      <w:r>
        <w:rPr>
          <w:noProof/>
        </w:rPr>
        <w:t>6</w:t>
      </w:r>
      <w:r>
        <w:rPr>
          <w:noProof/>
        </w:rPr>
        <w:fldChar w:fldCharType="end"/>
      </w:r>
    </w:p>
    <w:p w:rsidR="00000000" w:rsidRDefault="001F233B">
      <w:pPr>
        <w:pStyle w:val="TOC1"/>
        <w:rPr>
          <w:noProof/>
        </w:rPr>
      </w:pPr>
      <w:r>
        <w:rPr>
          <w:noProof/>
        </w:rPr>
        <w:br w:type="page"/>
      </w:r>
      <w:r>
        <w:rPr>
          <w:noProof/>
        </w:rPr>
        <w:lastRenderedPageBreak/>
        <w:br/>
      </w:r>
    </w:p>
    <w:p w:rsidR="00000000" w:rsidRDefault="001F233B">
      <w:pPr>
        <w:pStyle w:val="TOC1"/>
        <w:rPr>
          <w:i/>
          <w:noProof/>
        </w:rPr>
      </w:pPr>
      <w:r>
        <w:rPr>
          <w:noProof/>
        </w:rPr>
        <w:t xml:space="preserve">Table of Contents - </w:t>
      </w:r>
      <w:r>
        <w:rPr>
          <w:i/>
          <w:noProof/>
        </w:rPr>
        <w:t>continued</w:t>
      </w:r>
    </w:p>
    <w:p w:rsidR="00000000" w:rsidRDefault="001F233B">
      <w:pPr>
        <w:pStyle w:val="TOC1"/>
        <w:rPr>
          <w:noProof/>
        </w:rPr>
      </w:pPr>
      <w:r>
        <w:rPr>
          <w:noProof/>
        </w:rPr>
        <w:t>Chapter 8: Competitive Victoria</w:t>
      </w:r>
      <w:r>
        <w:rPr>
          <w:noProof/>
        </w:rPr>
        <w:tab/>
      </w:r>
      <w:r>
        <w:rPr>
          <w:noProof/>
        </w:rPr>
        <w:fldChar w:fldCharType="begin"/>
      </w:r>
      <w:r>
        <w:rPr>
          <w:noProof/>
        </w:rPr>
        <w:instrText xml:space="preserve"> PAGEREF _Toc417552111 \h </w:instrText>
      </w:r>
      <w:r>
        <w:rPr>
          <w:noProof/>
        </w:rPr>
      </w:r>
      <w:r>
        <w:rPr>
          <w:noProof/>
        </w:rPr>
        <w:fldChar w:fldCharType="separate"/>
      </w:r>
      <w:r>
        <w:rPr>
          <w:noProof/>
        </w:rPr>
        <w:t>6</w:t>
      </w:r>
      <w:r>
        <w:rPr>
          <w:noProof/>
        </w:rPr>
        <w:fldChar w:fldCharType="end"/>
      </w:r>
    </w:p>
    <w:p w:rsidR="00000000" w:rsidRDefault="001F233B">
      <w:pPr>
        <w:pStyle w:val="TOC2"/>
        <w:rPr>
          <w:noProof/>
        </w:rPr>
      </w:pPr>
      <w:r>
        <w:rPr>
          <w:noProof/>
        </w:rPr>
        <w:t xml:space="preserve">Overview </w:t>
      </w:r>
      <w:r>
        <w:rPr>
          <w:noProof/>
        </w:rPr>
        <w:noBreakHyphen/>
        <w:t xml:space="preserve"> why reform?</w:t>
      </w:r>
      <w:r>
        <w:rPr>
          <w:noProof/>
        </w:rPr>
        <w:tab/>
      </w:r>
      <w:r>
        <w:rPr>
          <w:noProof/>
        </w:rPr>
        <w:fldChar w:fldCharType="begin"/>
      </w:r>
      <w:r>
        <w:rPr>
          <w:noProof/>
        </w:rPr>
        <w:instrText xml:space="preserve"> PAGEREF _Toc417552112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Highlights of GBE reform</w:t>
      </w:r>
      <w:r>
        <w:rPr>
          <w:noProof/>
        </w:rPr>
        <w:tab/>
      </w:r>
      <w:r>
        <w:rPr>
          <w:noProof/>
        </w:rPr>
        <w:fldChar w:fldCharType="begin"/>
      </w:r>
      <w:r>
        <w:rPr>
          <w:noProof/>
        </w:rPr>
        <w:instrText xml:space="preserve"> PAGEREF _Toc417552113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GBE reform: the way ahead</w:t>
      </w:r>
      <w:r>
        <w:rPr>
          <w:noProof/>
        </w:rPr>
        <w:tab/>
      </w:r>
      <w:r>
        <w:rPr>
          <w:noProof/>
        </w:rPr>
        <w:fldChar w:fldCharType="begin"/>
      </w:r>
      <w:r>
        <w:rPr>
          <w:noProof/>
        </w:rPr>
        <w:instrText xml:space="preserve"> PAGEREF _Toc417552114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Competition in budget sector service delivery</w:t>
      </w:r>
      <w:r>
        <w:rPr>
          <w:noProof/>
        </w:rPr>
        <w:tab/>
      </w:r>
      <w:r>
        <w:rPr>
          <w:noProof/>
        </w:rPr>
        <w:fldChar w:fldCharType="begin"/>
      </w:r>
      <w:r>
        <w:rPr>
          <w:noProof/>
        </w:rPr>
        <w:instrText xml:space="preserve"> PAGEREF _Toc417552115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Regulatory reform</w:t>
      </w:r>
      <w:r>
        <w:rPr>
          <w:noProof/>
        </w:rPr>
        <w:tab/>
      </w:r>
      <w:r>
        <w:rPr>
          <w:noProof/>
        </w:rPr>
        <w:fldChar w:fldCharType="begin"/>
      </w:r>
      <w:r>
        <w:rPr>
          <w:noProof/>
        </w:rPr>
        <w:instrText xml:space="preserve"> PAGEREF</w:instrText>
      </w:r>
      <w:r>
        <w:rPr>
          <w:noProof/>
        </w:rPr>
        <w:instrText xml:space="preserve"> _Toc417552116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National Competition Policy</w:t>
      </w:r>
      <w:r>
        <w:rPr>
          <w:noProof/>
        </w:rPr>
        <w:tab/>
      </w:r>
      <w:r>
        <w:rPr>
          <w:noProof/>
        </w:rPr>
        <w:fldChar w:fldCharType="begin"/>
      </w:r>
      <w:r>
        <w:rPr>
          <w:noProof/>
        </w:rPr>
        <w:instrText xml:space="preserve"> PAGEREF _Toc417552117 \h </w:instrText>
      </w:r>
      <w:r>
        <w:rPr>
          <w:noProof/>
          <w:sz w:val="20"/>
        </w:rPr>
      </w:r>
      <w:r>
        <w:rPr>
          <w:noProof/>
        </w:rPr>
        <w:fldChar w:fldCharType="separate"/>
      </w:r>
      <w:r>
        <w:rPr>
          <w:noProof/>
        </w:rPr>
        <w:t>6</w:t>
      </w:r>
      <w:r>
        <w:rPr>
          <w:noProof/>
        </w:rPr>
        <w:fldChar w:fldCharType="end"/>
      </w:r>
    </w:p>
    <w:p w:rsidR="00000000" w:rsidRDefault="001F233B">
      <w:pPr>
        <w:pStyle w:val="TOC1"/>
        <w:rPr>
          <w:noProof/>
        </w:rPr>
      </w:pPr>
      <w:r>
        <w:rPr>
          <w:noProof/>
        </w:rPr>
        <w:t>Chapter 9: Commonwealth</w:t>
      </w:r>
      <w:r>
        <w:rPr>
          <w:noProof/>
        </w:rPr>
        <w:noBreakHyphen/>
        <w:t>State Financial Relations</w:t>
      </w:r>
      <w:r>
        <w:rPr>
          <w:noProof/>
        </w:rPr>
        <w:tab/>
      </w:r>
      <w:r>
        <w:rPr>
          <w:noProof/>
        </w:rPr>
        <w:fldChar w:fldCharType="begin"/>
      </w:r>
      <w:r>
        <w:rPr>
          <w:noProof/>
        </w:rPr>
        <w:instrText xml:space="preserve"> PAGEREF _Toc417552118 \h </w:instrText>
      </w:r>
      <w:r>
        <w:rPr>
          <w:noProof/>
        </w:rPr>
      </w:r>
      <w:r>
        <w:rPr>
          <w:noProof/>
        </w:rPr>
        <w:fldChar w:fldCharType="separate"/>
      </w:r>
      <w:r>
        <w:rPr>
          <w:noProof/>
        </w:rPr>
        <w:t>6</w:t>
      </w:r>
      <w:r>
        <w:rPr>
          <w:noProof/>
        </w:rPr>
        <w:fldChar w:fldCharType="end"/>
      </w:r>
    </w:p>
    <w:p w:rsidR="00000000" w:rsidRDefault="001F233B">
      <w:pPr>
        <w:pStyle w:val="TOC2"/>
        <w:rPr>
          <w:noProof/>
        </w:rPr>
      </w:pPr>
      <w:r>
        <w:rPr>
          <w:noProof/>
        </w:rPr>
        <w:t>Introduction</w:t>
      </w:r>
      <w:r>
        <w:rPr>
          <w:noProof/>
        </w:rPr>
        <w:tab/>
      </w:r>
      <w:r>
        <w:rPr>
          <w:noProof/>
        </w:rPr>
        <w:fldChar w:fldCharType="begin"/>
      </w:r>
      <w:r>
        <w:rPr>
          <w:noProof/>
        </w:rPr>
        <w:instrText xml:space="preserve"> PAGEREF _Toc417552119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Commonwealth grants: 1998</w:t>
      </w:r>
      <w:r>
        <w:rPr>
          <w:noProof/>
        </w:rPr>
        <w:noBreakHyphen/>
        <w:t>99 and forward estimates</w:t>
      </w:r>
      <w:r>
        <w:rPr>
          <w:noProof/>
        </w:rPr>
        <w:tab/>
      </w:r>
      <w:r>
        <w:rPr>
          <w:noProof/>
        </w:rPr>
        <w:fldChar w:fldCharType="begin"/>
      </w:r>
      <w:r>
        <w:rPr>
          <w:noProof/>
        </w:rPr>
        <w:instrText xml:space="preserve"> PAGEREF _Toc417552120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General purpose payments</w:t>
      </w:r>
      <w:r>
        <w:rPr>
          <w:noProof/>
        </w:rPr>
        <w:tab/>
      </w:r>
      <w:r>
        <w:rPr>
          <w:noProof/>
        </w:rPr>
        <w:fldChar w:fldCharType="begin"/>
      </w:r>
      <w:r>
        <w:rPr>
          <w:noProof/>
        </w:rPr>
        <w:instrText xml:space="preserve"> PAGEREF _Toc417552121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Specific purpose payments</w:t>
      </w:r>
      <w:r>
        <w:rPr>
          <w:noProof/>
        </w:rPr>
        <w:tab/>
      </w:r>
      <w:r>
        <w:rPr>
          <w:noProof/>
        </w:rPr>
        <w:fldChar w:fldCharType="begin"/>
      </w:r>
      <w:r>
        <w:rPr>
          <w:noProof/>
        </w:rPr>
        <w:instrText xml:space="preserve"> PAGEREF _Toc417552122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Commonwealth</w:t>
      </w:r>
      <w:r>
        <w:rPr>
          <w:noProof/>
        </w:rPr>
        <w:noBreakHyphen/>
        <w:t>State issues</w:t>
      </w:r>
      <w:r>
        <w:rPr>
          <w:noProof/>
        </w:rPr>
        <w:tab/>
      </w:r>
      <w:r>
        <w:rPr>
          <w:noProof/>
        </w:rPr>
        <w:fldChar w:fldCharType="begin"/>
      </w:r>
      <w:r>
        <w:rPr>
          <w:noProof/>
        </w:rPr>
        <w:instrText xml:space="preserve"> PAGEREF _Toc417552123 \h </w:instrText>
      </w:r>
      <w:r>
        <w:rPr>
          <w:noProof/>
          <w:sz w:val="20"/>
        </w:rPr>
      </w:r>
      <w:r>
        <w:rPr>
          <w:noProof/>
        </w:rPr>
        <w:fldChar w:fldCharType="separate"/>
      </w:r>
      <w:r>
        <w:rPr>
          <w:noProof/>
        </w:rPr>
        <w:t>6</w:t>
      </w:r>
      <w:r>
        <w:rPr>
          <w:noProof/>
        </w:rPr>
        <w:fldChar w:fldCharType="end"/>
      </w:r>
    </w:p>
    <w:p w:rsidR="00000000" w:rsidRDefault="001F233B">
      <w:pPr>
        <w:pStyle w:val="TOC1"/>
        <w:jc w:val="left"/>
        <w:rPr>
          <w:noProof/>
        </w:rPr>
      </w:pPr>
      <w:r>
        <w:rPr>
          <w:noProof/>
        </w:rPr>
        <w:t>Appendix A: Reconciliation of Accrual Operatin</w:t>
      </w:r>
      <w:r>
        <w:rPr>
          <w:noProof/>
        </w:rPr>
        <w:t xml:space="preserve">g Result to </w:t>
      </w:r>
      <w:r>
        <w:rPr>
          <w:noProof/>
        </w:rPr>
        <w:br/>
        <w:t>Cash Result</w:t>
      </w:r>
      <w:r>
        <w:rPr>
          <w:noProof/>
        </w:rPr>
        <w:tab/>
      </w:r>
      <w:r>
        <w:rPr>
          <w:noProof/>
        </w:rPr>
        <w:fldChar w:fldCharType="begin"/>
      </w:r>
      <w:r>
        <w:rPr>
          <w:noProof/>
        </w:rPr>
        <w:instrText xml:space="preserve"> PAGEREF _Toc417552124 \h </w:instrText>
      </w:r>
      <w:r>
        <w:rPr>
          <w:noProof/>
        </w:rPr>
      </w:r>
      <w:r>
        <w:rPr>
          <w:noProof/>
        </w:rPr>
        <w:fldChar w:fldCharType="separate"/>
      </w:r>
      <w:r>
        <w:rPr>
          <w:noProof/>
        </w:rPr>
        <w:t>6</w:t>
      </w:r>
      <w:r>
        <w:rPr>
          <w:noProof/>
        </w:rPr>
        <w:fldChar w:fldCharType="end"/>
      </w:r>
    </w:p>
    <w:p w:rsidR="00000000" w:rsidRDefault="001F233B">
      <w:pPr>
        <w:pStyle w:val="TOC1"/>
        <w:jc w:val="left"/>
        <w:rPr>
          <w:noProof/>
        </w:rPr>
      </w:pPr>
      <w:r>
        <w:rPr>
          <w:noProof/>
        </w:rPr>
        <w:t xml:space="preserve">Appendix B: Consolidated State Non Financial Public </w:t>
      </w:r>
      <w:r>
        <w:rPr>
          <w:noProof/>
        </w:rPr>
        <w:br/>
        <w:t>Sector Estimates</w:t>
      </w:r>
      <w:r>
        <w:rPr>
          <w:noProof/>
        </w:rPr>
        <w:tab/>
      </w:r>
      <w:r>
        <w:rPr>
          <w:noProof/>
        </w:rPr>
        <w:fldChar w:fldCharType="begin"/>
      </w:r>
      <w:r>
        <w:rPr>
          <w:noProof/>
        </w:rPr>
        <w:instrText xml:space="preserve"> PAGEREF _Toc417552125 \h </w:instrText>
      </w:r>
      <w:r>
        <w:rPr>
          <w:noProof/>
        </w:rPr>
      </w:r>
      <w:r>
        <w:rPr>
          <w:noProof/>
        </w:rPr>
        <w:fldChar w:fldCharType="separate"/>
      </w:r>
      <w:r>
        <w:rPr>
          <w:noProof/>
        </w:rPr>
        <w:t>6</w:t>
      </w:r>
      <w:r>
        <w:rPr>
          <w:noProof/>
        </w:rPr>
        <w:fldChar w:fldCharType="end"/>
      </w:r>
    </w:p>
    <w:p w:rsidR="00000000" w:rsidRDefault="001F233B">
      <w:pPr>
        <w:pStyle w:val="TOC2"/>
        <w:rPr>
          <w:noProof/>
        </w:rPr>
      </w:pPr>
      <w:r>
        <w:rPr>
          <w:noProof/>
        </w:rPr>
        <w:t>Consolidated State public sector estimates</w:t>
      </w:r>
      <w:r>
        <w:rPr>
          <w:noProof/>
        </w:rPr>
        <w:tab/>
      </w:r>
      <w:r>
        <w:rPr>
          <w:noProof/>
        </w:rPr>
        <w:fldChar w:fldCharType="begin"/>
      </w:r>
      <w:r>
        <w:rPr>
          <w:noProof/>
        </w:rPr>
        <w:instrText xml:space="preserve"> PAGEREF _Toc417552126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Uniform presentation of government finance statistics</w:t>
      </w:r>
      <w:r>
        <w:rPr>
          <w:noProof/>
        </w:rPr>
        <w:tab/>
      </w:r>
      <w:r>
        <w:rPr>
          <w:noProof/>
        </w:rPr>
        <w:fldChar w:fldCharType="begin"/>
      </w:r>
      <w:r>
        <w:rPr>
          <w:noProof/>
        </w:rPr>
        <w:instrText xml:space="preserve"> PAGEREF _Toc417552127 \h </w:instrText>
      </w:r>
      <w:r>
        <w:rPr>
          <w:noProof/>
          <w:sz w:val="20"/>
        </w:rPr>
      </w:r>
      <w:r>
        <w:rPr>
          <w:noProof/>
        </w:rPr>
        <w:fldChar w:fldCharType="separate"/>
      </w:r>
      <w:r>
        <w:rPr>
          <w:noProof/>
        </w:rPr>
        <w:t>6</w:t>
      </w:r>
      <w:r>
        <w:rPr>
          <w:noProof/>
        </w:rPr>
        <w:fldChar w:fldCharType="end"/>
      </w:r>
    </w:p>
    <w:p w:rsidR="00000000" w:rsidRDefault="001F233B">
      <w:pPr>
        <w:pStyle w:val="TOC1"/>
        <w:jc w:val="left"/>
        <w:rPr>
          <w:noProof/>
        </w:rPr>
      </w:pPr>
      <w:r>
        <w:rPr>
          <w:noProof/>
        </w:rPr>
        <w:t>Appendix C: Victoria’s Nominated 1998</w:t>
      </w:r>
      <w:r>
        <w:rPr>
          <w:noProof/>
        </w:rPr>
        <w:noBreakHyphen/>
        <w:t xml:space="preserve">99 Loan Council </w:t>
      </w:r>
      <w:r>
        <w:rPr>
          <w:noProof/>
        </w:rPr>
        <w:br/>
        <w:t>Allocation</w:t>
      </w:r>
      <w:r>
        <w:rPr>
          <w:noProof/>
        </w:rPr>
        <w:tab/>
      </w:r>
      <w:r>
        <w:rPr>
          <w:noProof/>
        </w:rPr>
        <w:fldChar w:fldCharType="begin"/>
      </w:r>
      <w:r>
        <w:rPr>
          <w:noProof/>
        </w:rPr>
        <w:instrText xml:space="preserve"> PAGEREF _Toc417552128 \h </w:instrText>
      </w:r>
      <w:r>
        <w:rPr>
          <w:noProof/>
        </w:rPr>
      </w:r>
      <w:r>
        <w:rPr>
          <w:noProof/>
        </w:rPr>
        <w:fldChar w:fldCharType="separate"/>
      </w:r>
      <w:r>
        <w:rPr>
          <w:noProof/>
        </w:rPr>
        <w:t>6</w:t>
      </w:r>
      <w:r>
        <w:rPr>
          <w:noProof/>
        </w:rPr>
        <w:fldChar w:fldCharType="end"/>
      </w:r>
    </w:p>
    <w:p w:rsidR="00000000" w:rsidRDefault="001F233B">
      <w:pPr>
        <w:pStyle w:val="TOC2"/>
        <w:rPr>
          <w:noProof/>
        </w:rPr>
      </w:pPr>
      <w:r>
        <w:rPr>
          <w:noProof/>
        </w:rPr>
        <w:t>Water and Sewerage</w:t>
      </w:r>
      <w:r>
        <w:rPr>
          <w:noProof/>
        </w:rPr>
        <w:tab/>
      </w:r>
      <w:r>
        <w:rPr>
          <w:noProof/>
        </w:rPr>
        <w:fldChar w:fldCharType="begin"/>
      </w:r>
      <w:r>
        <w:rPr>
          <w:noProof/>
        </w:rPr>
        <w:instrText xml:space="preserve"> PAGEREF _Toc417552129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Roads</w:t>
      </w:r>
      <w:r>
        <w:rPr>
          <w:noProof/>
        </w:rPr>
        <w:tab/>
      </w:r>
      <w:r>
        <w:rPr>
          <w:noProof/>
        </w:rPr>
        <w:fldChar w:fldCharType="begin"/>
      </w:r>
      <w:r>
        <w:rPr>
          <w:noProof/>
        </w:rPr>
        <w:instrText xml:space="preserve"> PAGEREF _Toc417552130 \h </w:instrText>
      </w:r>
      <w:r>
        <w:rPr>
          <w:noProof/>
          <w:sz w:val="20"/>
        </w:rPr>
      </w:r>
      <w:r>
        <w:rPr>
          <w:noProof/>
        </w:rPr>
        <w:fldChar w:fldCharType="separate"/>
      </w:r>
      <w:r>
        <w:rPr>
          <w:noProof/>
        </w:rPr>
        <w:t>6</w:t>
      </w:r>
      <w:r>
        <w:rPr>
          <w:noProof/>
        </w:rPr>
        <w:fldChar w:fldCharType="end"/>
      </w:r>
    </w:p>
    <w:p w:rsidR="00000000" w:rsidRDefault="001F233B">
      <w:pPr>
        <w:pStyle w:val="TOC2"/>
        <w:rPr>
          <w:noProof/>
        </w:rPr>
      </w:pPr>
      <w:r>
        <w:rPr>
          <w:noProof/>
        </w:rPr>
        <w:t>Healt</w:t>
      </w:r>
      <w:r>
        <w:rPr>
          <w:noProof/>
        </w:rPr>
        <w:t>h</w:t>
      </w:r>
      <w:r>
        <w:rPr>
          <w:noProof/>
        </w:rPr>
        <w:tab/>
      </w:r>
      <w:r>
        <w:rPr>
          <w:noProof/>
        </w:rPr>
        <w:fldChar w:fldCharType="begin"/>
      </w:r>
      <w:r>
        <w:rPr>
          <w:noProof/>
        </w:rPr>
        <w:instrText xml:space="preserve"> PAGEREF _Toc417552131 \h </w:instrText>
      </w:r>
      <w:r>
        <w:rPr>
          <w:noProof/>
          <w:sz w:val="20"/>
        </w:rPr>
      </w:r>
      <w:r>
        <w:rPr>
          <w:noProof/>
        </w:rPr>
        <w:fldChar w:fldCharType="separate"/>
      </w:r>
      <w:r>
        <w:rPr>
          <w:noProof/>
        </w:rPr>
        <w:t>6</w:t>
      </w:r>
      <w:r>
        <w:rPr>
          <w:noProof/>
        </w:rPr>
        <w:fldChar w:fldCharType="end"/>
      </w:r>
    </w:p>
    <w:p w:rsidR="00000000" w:rsidRDefault="001F233B">
      <w:pPr>
        <w:pStyle w:val="TOC1"/>
        <w:rPr>
          <w:noProof/>
        </w:rPr>
      </w:pPr>
      <w:r>
        <w:rPr>
          <w:noProof/>
        </w:rPr>
        <w:t>Glossary</w:t>
      </w:r>
      <w:r>
        <w:rPr>
          <w:noProof/>
        </w:rPr>
        <w:tab/>
      </w:r>
      <w:r>
        <w:rPr>
          <w:noProof/>
        </w:rPr>
        <w:fldChar w:fldCharType="begin"/>
      </w:r>
      <w:r>
        <w:rPr>
          <w:noProof/>
        </w:rPr>
        <w:instrText xml:space="preserve"> PAGEREF _Toc417552132 \h </w:instrText>
      </w:r>
      <w:r>
        <w:rPr>
          <w:noProof/>
        </w:rPr>
      </w:r>
      <w:r>
        <w:rPr>
          <w:noProof/>
        </w:rPr>
        <w:fldChar w:fldCharType="separate"/>
      </w:r>
      <w:r>
        <w:rPr>
          <w:noProof/>
        </w:rPr>
        <w:t>6</w:t>
      </w:r>
      <w:r>
        <w:rPr>
          <w:noProof/>
        </w:rPr>
        <w:fldChar w:fldCharType="end"/>
      </w:r>
    </w:p>
    <w:p w:rsidR="00000000" w:rsidRDefault="001F233B">
      <w:pPr>
        <w:pStyle w:val="TOC1"/>
        <w:rPr>
          <w:noProof/>
        </w:rPr>
      </w:pPr>
      <w:r>
        <w:rPr>
          <w:noProof/>
        </w:rPr>
        <w:t>Index</w:t>
      </w:r>
      <w:r>
        <w:rPr>
          <w:noProof/>
        </w:rPr>
        <w:tab/>
      </w:r>
      <w:r>
        <w:rPr>
          <w:noProof/>
        </w:rPr>
        <w:fldChar w:fldCharType="begin"/>
      </w:r>
      <w:r>
        <w:rPr>
          <w:noProof/>
        </w:rPr>
        <w:instrText xml:space="preserve"> PAGEREF _Toc417552133 \h </w:instrText>
      </w:r>
      <w:r>
        <w:rPr>
          <w:noProof/>
        </w:rPr>
      </w:r>
      <w:r>
        <w:rPr>
          <w:noProof/>
        </w:rPr>
        <w:fldChar w:fldCharType="separate"/>
      </w:r>
      <w:r>
        <w:rPr>
          <w:noProof/>
        </w:rPr>
        <w:t>6</w:t>
      </w:r>
      <w:r>
        <w:rPr>
          <w:noProof/>
        </w:rPr>
        <w:fldChar w:fldCharType="end"/>
      </w:r>
    </w:p>
    <w:p w:rsidR="00000000" w:rsidRDefault="001F233B">
      <w:r>
        <w:fldChar w:fldCharType="end"/>
      </w:r>
    </w:p>
    <w:p w:rsidR="00000000" w:rsidRDefault="001F233B">
      <w:pPr>
        <w:pStyle w:val="TableofContentsheading"/>
      </w:pPr>
      <w:r>
        <w:br w:type="page"/>
      </w:r>
      <w:r>
        <w:lastRenderedPageBreak/>
        <w:br w:type="page"/>
      </w:r>
      <w:r>
        <w:lastRenderedPageBreak/>
        <w:t>Table of Tables</w:t>
      </w:r>
    </w:p>
    <w:p w:rsidR="00000000" w:rsidRDefault="001F233B">
      <w:pPr>
        <w:pStyle w:val="TOC1"/>
        <w:spacing w:before="0" w:after="0"/>
        <w:ind w:left="990" w:hanging="990"/>
        <w:jc w:val="left"/>
        <w:rPr>
          <w:b w:val="0"/>
          <w:noProof/>
        </w:rPr>
      </w:pPr>
      <w:r>
        <w:rPr>
          <w:b w:val="0"/>
        </w:rPr>
        <w:fldChar w:fldCharType="begin"/>
      </w:r>
      <w:r>
        <w:rPr>
          <w:b w:val="0"/>
        </w:rPr>
        <w:instrText xml:space="preserve"> TOC \t "Table heading,1" </w:instrText>
      </w:r>
      <w:r>
        <w:rPr>
          <w:b w:val="0"/>
        </w:rPr>
        <w:fldChar w:fldCharType="separate"/>
      </w:r>
      <w:r>
        <w:rPr>
          <w:b w:val="0"/>
          <w:noProof/>
        </w:rPr>
        <w:t>Table 1.1: Sustainable Operating Surplus Required to Fund Gross Investment in Assets</w:t>
      </w:r>
      <w:r>
        <w:rPr>
          <w:b w:val="0"/>
          <w:noProof/>
        </w:rPr>
        <w:tab/>
      </w:r>
      <w:r>
        <w:rPr>
          <w:b w:val="0"/>
          <w:noProof/>
        </w:rPr>
        <w:fldChar w:fldCharType="begin"/>
      </w:r>
      <w:r>
        <w:rPr>
          <w:b w:val="0"/>
          <w:noProof/>
        </w:rPr>
        <w:instrText xml:space="preserve"> PAGEREF _Toc417552732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1.2: Expenditure on Priority Service Delivery Areas</w:t>
      </w:r>
      <w:r>
        <w:rPr>
          <w:b w:val="0"/>
          <w:noProof/>
        </w:rPr>
        <w:tab/>
      </w:r>
      <w:r>
        <w:rPr>
          <w:b w:val="0"/>
          <w:noProof/>
        </w:rPr>
        <w:fldChar w:fldCharType="begin"/>
      </w:r>
      <w:r>
        <w:rPr>
          <w:b w:val="0"/>
          <w:noProof/>
        </w:rPr>
        <w:instrText xml:space="preserve"> PAGEREF _Toc417552733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1.3: Taxation policy measures</w:t>
      </w:r>
      <w:r>
        <w:rPr>
          <w:b w:val="0"/>
          <w:noProof/>
        </w:rPr>
        <w:tab/>
      </w:r>
      <w:r>
        <w:rPr>
          <w:b w:val="0"/>
          <w:noProof/>
        </w:rPr>
        <w:fldChar w:fldCharType="begin"/>
      </w:r>
      <w:r>
        <w:rPr>
          <w:b w:val="0"/>
          <w:noProof/>
        </w:rPr>
        <w:instrText xml:space="preserve"> PAGEREF _Toc417552734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1.4: Non-taxation policy measures</w:t>
      </w:r>
      <w:r>
        <w:rPr>
          <w:b w:val="0"/>
          <w:noProof/>
        </w:rPr>
        <w:tab/>
      </w:r>
      <w:r>
        <w:rPr>
          <w:b w:val="0"/>
          <w:noProof/>
        </w:rPr>
        <w:fldChar w:fldCharType="begin"/>
      </w:r>
      <w:r>
        <w:rPr>
          <w:b w:val="0"/>
          <w:noProof/>
        </w:rPr>
        <w:instrText xml:space="preserve"> PAGEREF _Toc417552735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p>
    <w:p w:rsidR="00000000" w:rsidRDefault="001F233B">
      <w:pPr>
        <w:pStyle w:val="TOC1"/>
        <w:spacing w:before="0" w:after="0"/>
        <w:ind w:left="990" w:hanging="990"/>
        <w:jc w:val="left"/>
        <w:rPr>
          <w:b w:val="0"/>
          <w:noProof/>
        </w:rPr>
      </w:pPr>
      <w:r>
        <w:rPr>
          <w:b w:val="0"/>
          <w:noProof/>
        </w:rPr>
        <w:t>Tab</w:t>
      </w:r>
      <w:r>
        <w:rPr>
          <w:b w:val="0"/>
          <w:noProof/>
        </w:rPr>
        <w:t>le 2.1: Long</w:t>
      </w:r>
      <w:r>
        <w:rPr>
          <w:b w:val="0"/>
          <w:noProof/>
        </w:rPr>
        <w:noBreakHyphen/>
        <w:t>Term Budget Objectives</w:t>
      </w:r>
      <w:r>
        <w:rPr>
          <w:b w:val="0"/>
          <w:noProof/>
        </w:rPr>
        <w:tab/>
      </w:r>
      <w:r>
        <w:rPr>
          <w:b w:val="0"/>
          <w:noProof/>
        </w:rPr>
        <w:fldChar w:fldCharType="begin"/>
      </w:r>
      <w:r>
        <w:rPr>
          <w:b w:val="0"/>
          <w:noProof/>
        </w:rPr>
        <w:instrText xml:space="preserve"> PAGEREF _Toc417552736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 xml:space="preserve">Table 2.2: Investment Funding and Target Operating Surplus </w:t>
      </w:r>
      <w:r>
        <w:rPr>
          <w:b w:val="0"/>
          <w:noProof/>
        </w:rPr>
        <w:tab/>
      </w:r>
      <w:r>
        <w:rPr>
          <w:b w:val="0"/>
          <w:noProof/>
        </w:rPr>
        <w:fldChar w:fldCharType="begin"/>
      </w:r>
      <w:r>
        <w:rPr>
          <w:b w:val="0"/>
          <w:noProof/>
        </w:rPr>
        <w:instrText xml:space="preserve"> PAGEREF _Toc417552737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p>
    <w:p w:rsidR="00000000" w:rsidRDefault="001F233B">
      <w:pPr>
        <w:pStyle w:val="TOC1"/>
        <w:spacing w:before="0" w:after="0"/>
        <w:ind w:left="990" w:hanging="990"/>
        <w:jc w:val="left"/>
        <w:rPr>
          <w:b w:val="0"/>
          <w:noProof/>
        </w:rPr>
      </w:pPr>
      <w:r>
        <w:rPr>
          <w:b w:val="0"/>
          <w:noProof/>
        </w:rPr>
        <w:t>Table 3.1: 1997</w:t>
      </w:r>
      <w:r>
        <w:rPr>
          <w:b w:val="0"/>
          <w:noProof/>
        </w:rPr>
        <w:noBreakHyphen/>
        <w:t>98 Budget Summary</w:t>
      </w:r>
      <w:r>
        <w:rPr>
          <w:b w:val="0"/>
          <w:noProof/>
        </w:rPr>
        <w:tab/>
      </w:r>
      <w:r>
        <w:rPr>
          <w:b w:val="0"/>
          <w:noProof/>
        </w:rPr>
        <w:fldChar w:fldCharType="begin"/>
      </w:r>
      <w:r>
        <w:rPr>
          <w:b w:val="0"/>
          <w:noProof/>
        </w:rPr>
        <w:instrText xml:space="preserve"> PAGEREF _Toc417552738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3.2: Revised 1997</w:t>
      </w:r>
      <w:r>
        <w:rPr>
          <w:b w:val="0"/>
          <w:noProof/>
        </w:rPr>
        <w:noBreakHyphen/>
        <w:t xml:space="preserve">98 Operating Statement </w:t>
      </w:r>
      <w:r>
        <w:rPr>
          <w:b w:val="0"/>
          <w:noProof/>
        </w:rPr>
        <w:tab/>
      </w:r>
      <w:r>
        <w:rPr>
          <w:b w:val="0"/>
          <w:noProof/>
        </w:rPr>
        <w:fldChar w:fldCharType="begin"/>
      </w:r>
      <w:r>
        <w:rPr>
          <w:b w:val="0"/>
          <w:noProof/>
        </w:rPr>
        <w:instrText xml:space="preserve"> PAGEREF _Toc417552739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3.3 Effects of Privatisation on the 1997</w:t>
      </w:r>
      <w:r>
        <w:rPr>
          <w:b w:val="0"/>
          <w:noProof/>
        </w:rPr>
        <w:noBreakHyphen/>
        <w:t>98 Budget</w:t>
      </w:r>
      <w:r>
        <w:rPr>
          <w:b w:val="0"/>
          <w:noProof/>
        </w:rPr>
        <w:tab/>
      </w:r>
      <w:r>
        <w:rPr>
          <w:b w:val="0"/>
          <w:noProof/>
        </w:rPr>
        <w:fldChar w:fldCharType="begin"/>
      </w:r>
      <w:r>
        <w:rPr>
          <w:b w:val="0"/>
          <w:noProof/>
        </w:rPr>
        <w:instrText xml:space="preserve"> PAGEREF _Toc417552740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3.4: 1998</w:t>
      </w:r>
      <w:r>
        <w:rPr>
          <w:b w:val="0"/>
          <w:noProof/>
        </w:rPr>
        <w:noBreakHyphen/>
        <w:t>99 Budget Operating Statement</w:t>
      </w:r>
      <w:r>
        <w:rPr>
          <w:b w:val="0"/>
          <w:noProof/>
        </w:rPr>
        <w:tab/>
      </w:r>
      <w:r>
        <w:rPr>
          <w:b w:val="0"/>
          <w:noProof/>
        </w:rPr>
        <w:fldChar w:fldCharType="begin"/>
      </w:r>
      <w:r>
        <w:rPr>
          <w:b w:val="0"/>
          <w:noProof/>
        </w:rPr>
        <w:instrText xml:space="preserve"> PAGEREF _Toc417552741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3.5: New funding for service del</w:t>
      </w:r>
      <w:r>
        <w:rPr>
          <w:b w:val="0"/>
          <w:noProof/>
        </w:rPr>
        <w:t xml:space="preserve">ivery initiatives announced </w:t>
      </w:r>
      <w:r>
        <w:rPr>
          <w:b w:val="0"/>
          <w:noProof/>
        </w:rPr>
        <w:br/>
        <w:t>as part of the 1998</w:t>
      </w:r>
      <w:r>
        <w:rPr>
          <w:b w:val="0"/>
          <w:noProof/>
        </w:rPr>
        <w:noBreakHyphen/>
        <w:t>99 Budget</w:t>
      </w:r>
      <w:r>
        <w:rPr>
          <w:b w:val="0"/>
          <w:noProof/>
        </w:rPr>
        <w:tab/>
      </w:r>
      <w:r>
        <w:rPr>
          <w:b w:val="0"/>
          <w:noProof/>
        </w:rPr>
        <w:fldChar w:fldCharType="begin"/>
      </w:r>
      <w:r>
        <w:rPr>
          <w:b w:val="0"/>
          <w:noProof/>
        </w:rPr>
        <w:instrText xml:space="preserve"> PAGEREF _Toc417552742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 xml:space="preserve">Table 3.6: Funding for new infrastructure projects to be commenced </w:t>
      </w:r>
      <w:r>
        <w:rPr>
          <w:b w:val="0"/>
          <w:noProof/>
        </w:rPr>
        <w:br/>
        <w:t>in 1998</w:t>
      </w:r>
      <w:r>
        <w:rPr>
          <w:b w:val="0"/>
          <w:noProof/>
        </w:rPr>
        <w:noBreakHyphen/>
        <w:t xml:space="preserve">99 </w:t>
      </w:r>
      <w:r>
        <w:rPr>
          <w:b w:val="0"/>
          <w:noProof/>
        </w:rPr>
        <w:tab/>
      </w:r>
      <w:r>
        <w:rPr>
          <w:b w:val="0"/>
          <w:noProof/>
        </w:rPr>
        <w:fldChar w:fldCharType="begin"/>
      </w:r>
      <w:r>
        <w:rPr>
          <w:b w:val="0"/>
          <w:noProof/>
        </w:rPr>
        <w:instrText xml:space="preserve"> PAGEREF _Toc417552743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3.7: 1998</w:t>
      </w:r>
      <w:r>
        <w:rPr>
          <w:b w:val="0"/>
          <w:noProof/>
        </w:rPr>
        <w:noBreakHyphen/>
        <w:t xml:space="preserve">99 Cash Flow Statement </w:t>
      </w:r>
      <w:r>
        <w:rPr>
          <w:b w:val="0"/>
          <w:noProof/>
        </w:rPr>
        <w:tab/>
      </w:r>
      <w:r>
        <w:rPr>
          <w:b w:val="0"/>
          <w:noProof/>
        </w:rPr>
        <w:fldChar w:fldCharType="begin"/>
      </w:r>
      <w:r>
        <w:rPr>
          <w:b w:val="0"/>
          <w:noProof/>
        </w:rPr>
        <w:instrText xml:space="preserve"> PAGEREF _Toc417552744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 xml:space="preserve">Table 3.8: Budget Sector Operating Statement </w:t>
      </w:r>
      <w:r>
        <w:rPr>
          <w:b w:val="0"/>
          <w:noProof/>
        </w:rPr>
        <w:noBreakHyphen/>
        <w:t xml:space="preserve"> Forward Estimates 1998</w:t>
      </w:r>
      <w:r>
        <w:rPr>
          <w:b w:val="0"/>
          <w:noProof/>
        </w:rPr>
        <w:noBreakHyphen/>
        <w:t>99 to 2001</w:t>
      </w:r>
      <w:r>
        <w:rPr>
          <w:b w:val="0"/>
          <w:noProof/>
        </w:rPr>
        <w:noBreakHyphen/>
        <w:t>02</w:t>
      </w:r>
      <w:r>
        <w:rPr>
          <w:b w:val="0"/>
          <w:noProof/>
        </w:rPr>
        <w:tab/>
      </w:r>
      <w:r>
        <w:rPr>
          <w:b w:val="0"/>
          <w:noProof/>
        </w:rPr>
        <w:fldChar w:fldCharType="begin"/>
      </w:r>
      <w:r>
        <w:rPr>
          <w:b w:val="0"/>
          <w:noProof/>
        </w:rPr>
        <w:instrText xml:space="preserve"> PAGEREF _Toc417552745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 xml:space="preserve">Table 3.9: Budget Sector Cash Flow Statement </w:t>
      </w:r>
      <w:r>
        <w:rPr>
          <w:b w:val="0"/>
          <w:noProof/>
        </w:rPr>
        <w:noBreakHyphen/>
        <w:t xml:space="preserve"> Forward Estimates 1998</w:t>
      </w:r>
      <w:r>
        <w:rPr>
          <w:b w:val="0"/>
          <w:noProof/>
        </w:rPr>
        <w:noBreakHyphen/>
        <w:t>99 to 2001</w:t>
      </w:r>
      <w:r>
        <w:rPr>
          <w:b w:val="0"/>
          <w:noProof/>
        </w:rPr>
        <w:noBreakHyphen/>
        <w:t>02</w:t>
      </w:r>
      <w:r>
        <w:rPr>
          <w:b w:val="0"/>
          <w:noProof/>
        </w:rPr>
        <w:tab/>
      </w:r>
      <w:r>
        <w:rPr>
          <w:b w:val="0"/>
          <w:noProof/>
        </w:rPr>
        <w:fldChar w:fldCharType="begin"/>
      </w:r>
      <w:r>
        <w:rPr>
          <w:b w:val="0"/>
          <w:noProof/>
        </w:rPr>
        <w:instrText xml:space="preserve"> PAGEREF _Toc417552746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w:t>
      </w:r>
      <w:r>
        <w:rPr>
          <w:b w:val="0"/>
          <w:noProof/>
        </w:rPr>
        <w:t> 3.10: Sustainable Budget Planning Position</w:t>
      </w:r>
      <w:r>
        <w:rPr>
          <w:b w:val="0"/>
          <w:noProof/>
        </w:rPr>
        <w:tab/>
      </w:r>
      <w:r>
        <w:rPr>
          <w:b w:val="0"/>
          <w:noProof/>
        </w:rPr>
        <w:fldChar w:fldCharType="begin"/>
      </w:r>
      <w:r>
        <w:rPr>
          <w:b w:val="0"/>
          <w:noProof/>
        </w:rPr>
        <w:instrText xml:space="preserve"> PAGEREF _Toc417552747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p>
    <w:p w:rsidR="00000000" w:rsidRDefault="001F233B">
      <w:pPr>
        <w:pStyle w:val="TOC1"/>
        <w:spacing w:before="0" w:after="0"/>
        <w:ind w:left="990" w:hanging="990"/>
        <w:jc w:val="left"/>
        <w:rPr>
          <w:b w:val="0"/>
          <w:noProof/>
        </w:rPr>
      </w:pPr>
      <w:r>
        <w:rPr>
          <w:b w:val="0"/>
          <w:noProof/>
        </w:rPr>
        <w:t>Table 4.1: New funding for output initiatives announced as part of the 1998</w:t>
      </w:r>
      <w:r>
        <w:rPr>
          <w:b w:val="0"/>
          <w:noProof/>
        </w:rPr>
        <w:noBreakHyphen/>
        <w:t>99 Budget</w:t>
      </w:r>
      <w:r>
        <w:rPr>
          <w:b w:val="0"/>
          <w:noProof/>
        </w:rPr>
        <w:tab/>
      </w:r>
      <w:r>
        <w:rPr>
          <w:b w:val="0"/>
          <w:noProof/>
        </w:rPr>
        <w:fldChar w:fldCharType="begin"/>
      </w:r>
      <w:r>
        <w:rPr>
          <w:b w:val="0"/>
          <w:noProof/>
        </w:rPr>
        <w:instrText xml:space="preserve"> PAGEREF _Toc417552748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 xml:space="preserve">Table 4.2: Funding for new infrastructure projects to be commenced </w:t>
      </w:r>
      <w:r>
        <w:rPr>
          <w:b w:val="0"/>
          <w:noProof/>
        </w:rPr>
        <w:br/>
        <w:t>in 1998</w:t>
      </w:r>
      <w:r>
        <w:rPr>
          <w:b w:val="0"/>
          <w:noProof/>
        </w:rPr>
        <w:noBreakHyphen/>
        <w:t xml:space="preserve">99 </w:t>
      </w:r>
      <w:r>
        <w:rPr>
          <w:b w:val="0"/>
          <w:noProof/>
        </w:rPr>
        <w:tab/>
      </w:r>
      <w:r>
        <w:rPr>
          <w:b w:val="0"/>
          <w:noProof/>
        </w:rPr>
        <w:fldChar w:fldCharType="begin"/>
      </w:r>
      <w:r>
        <w:rPr>
          <w:b w:val="0"/>
          <w:noProof/>
        </w:rPr>
        <w:instrText xml:space="preserve"> PAGEREF _Toc417552749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4.3: Total operating expenses</w:t>
      </w:r>
      <w:r>
        <w:rPr>
          <w:b w:val="0"/>
          <w:noProof/>
        </w:rPr>
        <w:tab/>
      </w:r>
      <w:r>
        <w:rPr>
          <w:b w:val="0"/>
          <w:noProof/>
        </w:rPr>
        <w:fldChar w:fldCharType="begin"/>
      </w:r>
      <w:r>
        <w:rPr>
          <w:b w:val="0"/>
          <w:noProof/>
        </w:rPr>
        <w:instrText xml:space="preserve"> PAGEREF _Toc417552750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 xml:space="preserve">Table 4.4: Output initiatives </w:t>
      </w:r>
      <w:r>
        <w:rPr>
          <w:b w:val="0"/>
          <w:noProof/>
        </w:rPr>
        <w:noBreakHyphen/>
        <w:t xml:space="preserve"> Education</w:t>
      </w:r>
      <w:r>
        <w:rPr>
          <w:b w:val="0"/>
          <w:noProof/>
        </w:rPr>
        <w:tab/>
      </w:r>
      <w:r>
        <w:rPr>
          <w:b w:val="0"/>
          <w:noProof/>
        </w:rPr>
        <w:fldChar w:fldCharType="begin"/>
      </w:r>
      <w:r>
        <w:rPr>
          <w:b w:val="0"/>
          <w:noProof/>
        </w:rPr>
        <w:instrText xml:space="preserve"> PAGEREF _Toc417552751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4.5: Output initiatives – Human Services</w:t>
      </w:r>
      <w:r>
        <w:rPr>
          <w:b w:val="0"/>
          <w:noProof/>
        </w:rPr>
        <w:tab/>
      </w:r>
      <w:r>
        <w:rPr>
          <w:b w:val="0"/>
          <w:noProof/>
        </w:rPr>
        <w:fldChar w:fldCharType="begin"/>
      </w:r>
      <w:r>
        <w:rPr>
          <w:b w:val="0"/>
          <w:noProof/>
        </w:rPr>
        <w:instrText xml:space="preserve"> PAGEREF _Toc41</w:instrText>
      </w:r>
      <w:r>
        <w:rPr>
          <w:b w:val="0"/>
          <w:noProof/>
        </w:rPr>
        <w:instrText xml:space="preserve">7552752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p>
    <w:p w:rsidR="00000000" w:rsidRDefault="001F233B">
      <w:pPr>
        <w:pStyle w:val="TOC1"/>
        <w:spacing w:before="0" w:after="0"/>
        <w:ind w:left="990" w:hanging="990"/>
        <w:jc w:val="left"/>
        <w:rPr>
          <w:b w:val="0"/>
          <w:noProof/>
        </w:rPr>
      </w:pPr>
      <w:r>
        <w:rPr>
          <w:b w:val="0"/>
          <w:noProof/>
        </w:rPr>
        <w:br w:type="page"/>
      </w:r>
    </w:p>
    <w:p w:rsidR="00000000" w:rsidRDefault="001F233B">
      <w:pPr>
        <w:pStyle w:val="TOC1"/>
        <w:spacing w:before="0" w:after="0"/>
        <w:ind w:left="990" w:hanging="990"/>
        <w:jc w:val="left"/>
        <w:rPr>
          <w:b w:val="0"/>
          <w:noProof/>
        </w:rPr>
      </w:pPr>
    </w:p>
    <w:p w:rsidR="00000000" w:rsidRDefault="001F233B">
      <w:pPr>
        <w:pStyle w:val="TOC1"/>
        <w:spacing w:before="0" w:after="0"/>
        <w:ind w:left="990" w:hanging="990"/>
        <w:jc w:val="left"/>
        <w:rPr>
          <w:b w:val="0"/>
          <w:noProof/>
        </w:rPr>
      </w:pPr>
    </w:p>
    <w:p w:rsidR="00000000" w:rsidRDefault="001F233B">
      <w:pPr>
        <w:pStyle w:val="TOC1"/>
        <w:spacing w:before="0" w:after="0"/>
        <w:ind w:left="990" w:hanging="990"/>
        <w:jc w:val="left"/>
        <w:rPr>
          <w:b w:val="0"/>
          <w:i/>
          <w:noProof/>
        </w:rPr>
      </w:pPr>
      <w:r>
        <w:rPr>
          <w:b w:val="0"/>
          <w:noProof/>
        </w:rPr>
        <w:t xml:space="preserve">Table of Tables - </w:t>
      </w:r>
      <w:r>
        <w:rPr>
          <w:b w:val="0"/>
          <w:i/>
          <w:noProof/>
        </w:rPr>
        <w:t>continued</w:t>
      </w:r>
    </w:p>
    <w:p w:rsidR="00000000" w:rsidRDefault="001F233B">
      <w:pPr>
        <w:pStyle w:val="TOC1"/>
        <w:spacing w:before="0" w:after="0"/>
        <w:ind w:left="990" w:hanging="990"/>
        <w:jc w:val="left"/>
        <w:rPr>
          <w:b w:val="0"/>
          <w:noProof/>
        </w:rPr>
      </w:pPr>
    </w:p>
    <w:p w:rsidR="00000000" w:rsidRDefault="001F233B">
      <w:pPr>
        <w:pStyle w:val="TOC1"/>
        <w:spacing w:before="0" w:after="0"/>
        <w:ind w:left="990" w:hanging="990"/>
        <w:jc w:val="left"/>
        <w:rPr>
          <w:b w:val="0"/>
          <w:noProof/>
        </w:rPr>
      </w:pPr>
      <w:r>
        <w:rPr>
          <w:b w:val="0"/>
          <w:noProof/>
        </w:rPr>
        <w:t>Table 5.1: Revenue Estimates 1997</w:t>
      </w:r>
      <w:r>
        <w:rPr>
          <w:b w:val="0"/>
          <w:noProof/>
        </w:rPr>
        <w:noBreakHyphen/>
        <w:t>98 (revised), 1998</w:t>
      </w:r>
      <w:r>
        <w:rPr>
          <w:b w:val="0"/>
          <w:noProof/>
        </w:rPr>
        <w:noBreakHyphen/>
        <w:t xml:space="preserve">99 Budget </w:t>
      </w:r>
      <w:r>
        <w:rPr>
          <w:b w:val="0"/>
          <w:noProof/>
        </w:rPr>
        <w:br/>
        <w:t>and Forward Estimates to 2001</w:t>
      </w:r>
      <w:r>
        <w:rPr>
          <w:b w:val="0"/>
          <w:noProof/>
        </w:rPr>
        <w:noBreakHyphen/>
        <w:t>02</w:t>
      </w:r>
      <w:r>
        <w:rPr>
          <w:b w:val="0"/>
          <w:noProof/>
        </w:rPr>
        <w:tab/>
      </w:r>
      <w:r>
        <w:rPr>
          <w:b w:val="0"/>
          <w:noProof/>
        </w:rPr>
        <w:fldChar w:fldCharType="begin"/>
      </w:r>
      <w:r>
        <w:rPr>
          <w:b w:val="0"/>
          <w:noProof/>
        </w:rPr>
        <w:instrText xml:space="preserve"> PAGEREF _Toc417552753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5.2: Summary of 1998</w:t>
      </w:r>
      <w:r>
        <w:rPr>
          <w:b w:val="0"/>
          <w:noProof/>
        </w:rPr>
        <w:noBreakHyphen/>
        <w:t>99 Tax Relief Measures</w:t>
      </w:r>
      <w:r>
        <w:rPr>
          <w:b w:val="0"/>
          <w:noProof/>
        </w:rPr>
        <w:tab/>
      </w:r>
      <w:r>
        <w:rPr>
          <w:b w:val="0"/>
          <w:noProof/>
        </w:rPr>
        <w:fldChar w:fldCharType="begin"/>
      </w:r>
      <w:r>
        <w:rPr>
          <w:b w:val="0"/>
          <w:noProof/>
        </w:rPr>
        <w:instrText xml:space="preserve"> PAGEREF _Toc417552754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5.3: Conveyance Duty Rates and Thresholds</w:t>
      </w:r>
      <w:r>
        <w:rPr>
          <w:b w:val="0"/>
          <w:noProof/>
        </w:rPr>
        <w:tab/>
      </w:r>
      <w:r>
        <w:rPr>
          <w:b w:val="0"/>
          <w:noProof/>
        </w:rPr>
        <w:fldChar w:fldCharType="begin"/>
      </w:r>
      <w:r>
        <w:rPr>
          <w:b w:val="0"/>
          <w:noProof/>
        </w:rPr>
        <w:instrText xml:space="preserve"> PAGEREF _Toc417552755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5.4: Comparison of New and Old Land Tax Rates</w:t>
      </w:r>
      <w:r>
        <w:rPr>
          <w:b w:val="0"/>
          <w:noProof/>
        </w:rPr>
        <w:tab/>
      </w:r>
      <w:r>
        <w:rPr>
          <w:b w:val="0"/>
          <w:noProof/>
        </w:rPr>
        <w:fldChar w:fldCharType="begin"/>
      </w:r>
      <w:r>
        <w:rPr>
          <w:b w:val="0"/>
          <w:noProof/>
        </w:rPr>
        <w:instrText xml:space="preserve"> PAGEREF _Toc417552756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5.5: 1998 Land Tax Liability: Mainland Australian States</w:t>
      </w:r>
      <w:r>
        <w:rPr>
          <w:b w:val="0"/>
          <w:noProof/>
        </w:rPr>
        <w:tab/>
      </w:r>
      <w:r>
        <w:rPr>
          <w:b w:val="0"/>
          <w:noProof/>
        </w:rPr>
        <w:fldChar w:fldCharType="begin"/>
      </w:r>
      <w:r>
        <w:rPr>
          <w:b w:val="0"/>
          <w:noProof/>
        </w:rPr>
        <w:instrText xml:space="preserve"> PAGEREF _Toc417552757 </w:instrText>
      </w:r>
      <w:r>
        <w:rPr>
          <w:b w:val="0"/>
          <w:noProof/>
        </w:rPr>
        <w:instrText xml:space="preserve">\h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5.6: Taxes, Fees and Fines 1997</w:t>
      </w:r>
      <w:r>
        <w:rPr>
          <w:b w:val="0"/>
          <w:noProof/>
        </w:rPr>
        <w:noBreakHyphen/>
        <w:t>98</w:t>
      </w:r>
      <w:r>
        <w:rPr>
          <w:b w:val="0"/>
          <w:noProof/>
        </w:rPr>
        <w:tab/>
      </w:r>
      <w:r>
        <w:rPr>
          <w:b w:val="0"/>
          <w:noProof/>
        </w:rPr>
        <w:fldChar w:fldCharType="begin"/>
      </w:r>
      <w:r>
        <w:rPr>
          <w:b w:val="0"/>
          <w:noProof/>
        </w:rPr>
        <w:instrText xml:space="preserve"> PAGEREF _Toc417552758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5.7: Public Authority Income 1997</w:t>
      </w:r>
      <w:r>
        <w:rPr>
          <w:b w:val="0"/>
          <w:noProof/>
        </w:rPr>
        <w:noBreakHyphen/>
        <w:t>98</w:t>
      </w:r>
      <w:r>
        <w:rPr>
          <w:b w:val="0"/>
          <w:noProof/>
        </w:rPr>
        <w:tab/>
      </w:r>
      <w:r>
        <w:rPr>
          <w:b w:val="0"/>
          <w:noProof/>
        </w:rPr>
        <w:fldChar w:fldCharType="begin"/>
      </w:r>
      <w:r>
        <w:rPr>
          <w:b w:val="0"/>
          <w:noProof/>
        </w:rPr>
        <w:instrText xml:space="preserve"> PAGEREF _Toc417552759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5.8: Taxes, Fees and Fines, Estimates, 1998</w:t>
      </w:r>
      <w:r>
        <w:rPr>
          <w:b w:val="0"/>
          <w:noProof/>
        </w:rPr>
        <w:noBreakHyphen/>
        <w:t>99 to 2001</w:t>
      </w:r>
      <w:r>
        <w:rPr>
          <w:b w:val="0"/>
          <w:noProof/>
        </w:rPr>
        <w:noBreakHyphen/>
        <w:t>02</w:t>
      </w:r>
      <w:r>
        <w:rPr>
          <w:b w:val="0"/>
          <w:noProof/>
        </w:rPr>
        <w:tab/>
      </w:r>
      <w:r>
        <w:rPr>
          <w:b w:val="0"/>
          <w:noProof/>
        </w:rPr>
        <w:fldChar w:fldCharType="begin"/>
      </w:r>
      <w:r>
        <w:rPr>
          <w:b w:val="0"/>
          <w:noProof/>
        </w:rPr>
        <w:instrText xml:space="preserve"> PAGEREF _Toc417552760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5.9: Public Authority Income Estimates, 1998</w:t>
      </w:r>
      <w:r>
        <w:rPr>
          <w:b w:val="0"/>
          <w:noProof/>
        </w:rPr>
        <w:noBreakHyphen/>
        <w:t>99 to 2001</w:t>
      </w:r>
      <w:r>
        <w:rPr>
          <w:b w:val="0"/>
          <w:noProof/>
        </w:rPr>
        <w:noBreakHyphen/>
        <w:t>02</w:t>
      </w:r>
      <w:r>
        <w:rPr>
          <w:b w:val="0"/>
          <w:noProof/>
        </w:rPr>
        <w:tab/>
      </w:r>
      <w:r>
        <w:rPr>
          <w:b w:val="0"/>
          <w:noProof/>
        </w:rPr>
        <w:fldChar w:fldCharType="begin"/>
      </w:r>
      <w:r>
        <w:rPr>
          <w:b w:val="0"/>
          <w:noProof/>
        </w:rPr>
        <w:instrText xml:space="preserve"> PAGEREF _Toc417552761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p>
    <w:p w:rsidR="00000000" w:rsidRDefault="001F233B">
      <w:pPr>
        <w:pStyle w:val="TOC1"/>
        <w:spacing w:before="0" w:after="0"/>
        <w:ind w:left="990" w:hanging="990"/>
        <w:jc w:val="left"/>
        <w:rPr>
          <w:b w:val="0"/>
          <w:noProof/>
        </w:rPr>
      </w:pPr>
      <w:r>
        <w:rPr>
          <w:b w:val="0"/>
          <w:noProof/>
        </w:rPr>
        <w:t>Table 6.1: Public Sector Net Financial Liabilities</w:t>
      </w:r>
      <w:r>
        <w:rPr>
          <w:b w:val="0"/>
          <w:noProof/>
        </w:rPr>
        <w:tab/>
      </w:r>
      <w:r>
        <w:rPr>
          <w:b w:val="0"/>
          <w:noProof/>
        </w:rPr>
        <w:fldChar w:fldCharType="begin"/>
      </w:r>
      <w:r>
        <w:rPr>
          <w:b w:val="0"/>
          <w:noProof/>
        </w:rPr>
        <w:instrText xml:space="preserve"> PAGEREF _Toc417552762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6.2: Net Debt and Net Debt to Gross State Product Ratios</w:t>
      </w:r>
      <w:r>
        <w:rPr>
          <w:b w:val="0"/>
          <w:noProof/>
        </w:rPr>
        <w:tab/>
      </w:r>
      <w:r>
        <w:rPr>
          <w:b w:val="0"/>
          <w:noProof/>
        </w:rPr>
        <w:fldChar w:fldCharType="begin"/>
      </w:r>
      <w:r>
        <w:rPr>
          <w:b w:val="0"/>
          <w:noProof/>
        </w:rPr>
        <w:instrText xml:space="preserve"> PAGEREF _Toc41</w:instrText>
      </w:r>
      <w:r>
        <w:rPr>
          <w:b w:val="0"/>
          <w:noProof/>
        </w:rPr>
        <w:instrText xml:space="preserve">7552763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 xml:space="preserve">Table 6.3: Budget Sector Interest Payments </w:t>
      </w:r>
      <w:r>
        <w:rPr>
          <w:b w:val="0"/>
          <w:noProof/>
        </w:rPr>
        <w:tab/>
      </w:r>
      <w:r>
        <w:rPr>
          <w:b w:val="0"/>
          <w:noProof/>
        </w:rPr>
        <w:fldChar w:fldCharType="begin"/>
      </w:r>
      <w:r>
        <w:rPr>
          <w:b w:val="0"/>
          <w:noProof/>
        </w:rPr>
        <w:instrText xml:space="preserve"> PAGEREF _Toc417552764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6.4: Budget superannuation cash outlays</w:t>
      </w:r>
      <w:r>
        <w:rPr>
          <w:b w:val="0"/>
          <w:noProof/>
        </w:rPr>
        <w:tab/>
      </w:r>
      <w:r>
        <w:rPr>
          <w:b w:val="0"/>
          <w:noProof/>
        </w:rPr>
        <w:fldChar w:fldCharType="begin"/>
      </w:r>
      <w:r>
        <w:rPr>
          <w:b w:val="0"/>
          <w:noProof/>
        </w:rPr>
        <w:instrText xml:space="preserve"> PAGEREF _Toc417552765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p>
    <w:p w:rsidR="00000000" w:rsidRDefault="001F233B">
      <w:pPr>
        <w:pStyle w:val="TOC1"/>
        <w:spacing w:before="0" w:after="0"/>
        <w:ind w:left="990" w:hanging="990"/>
        <w:jc w:val="left"/>
        <w:rPr>
          <w:b w:val="0"/>
          <w:noProof/>
        </w:rPr>
      </w:pPr>
      <w:r>
        <w:rPr>
          <w:b w:val="0"/>
          <w:noProof/>
        </w:rPr>
        <w:t xml:space="preserve">Table 7.1: Victorian Economic Projections </w:t>
      </w:r>
      <w:r>
        <w:rPr>
          <w:b w:val="0"/>
          <w:noProof/>
        </w:rPr>
        <w:tab/>
      </w:r>
      <w:r>
        <w:rPr>
          <w:b w:val="0"/>
          <w:noProof/>
        </w:rPr>
        <w:fldChar w:fldCharType="begin"/>
      </w:r>
      <w:r>
        <w:rPr>
          <w:b w:val="0"/>
          <w:noProof/>
        </w:rPr>
        <w:instrText xml:space="preserve"> PAGEREF _Toc417552766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9.1: Grants Received 1997</w:t>
      </w:r>
      <w:r>
        <w:rPr>
          <w:b w:val="0"/>
          <w:noProof/>
        </w:rPr>
        <w:noBreakHyphen/>
        <w:t>98 to 1998</w:t>
      </w:r>
      <w:r>
        <w:rPr>
          <w:b w:val="0"/>
          <w:noProof/>
        </w:rPr>
        <w:noBreakHyphen/>
        <w:t>99</w:t>
      </w:r>
      <w:r>
        <w:rPr>
          <w:b w:val="0"/>
          <w:noProof/>
        </w:rPr>
        <w:tab/>
      </w:r>
      <w:r>
        <w:rPr>
          <w:b w:val="0"/>
          <w:noProof/>
        </w:rPr>
        <w:fldChar w:fldCharType="begin"/>
      </w:r>
      <w:r>
        <w:rPr>
          <w:b w:val="0"/>
          <w:noProof/>
        </w:rPr>
        <w:instrText xml:space="preserve"> PAGEREF _Toc417552767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p>
    <w:p w:rsidR="00000000" w:rsidRDefault="001F233B">
      <w:pPr>
        <w:pStyle w:val="TOC1"/>
        <w:spacing w:before="0" w:after="0"/>
        <w:ind w:left="990" w:hanging="990"/>
        <w:jc w:val="left"/>
        <w:rPr>
          <w:b w:val="0"/>
          <w:noProof/>
        </w:rPr>
      </w:pPr>
      <w:r>
        <w:rPr>
          <w:b w:val="0"/>
          <w:noProof/>
        </w:rPr>
        <w:t xml:space="preserve">Table 9.2: Specific Purpose Grants by Agency </w:t>
      </w:r>
      <w:r>
        <w:rPr>
          <w:b w:val="0"/>
          <w:noProof/>
        </w:rPr>
        <w:tab/>
      </w:r>
      <w:r>
        <w:rPr>
          <w:b w:val="0"/>
          <w:noProof/>
        </w:rPr>
        <w:fldChar w:fldCharType="begin"/>
      </w:r>
      <w:r>
        <w:rPr>
          <w:b w:val="0"/>
          <w:noProof/>
        </w:rPr>
        <w:instrText xml:space="preserve"> PAGEREF _Toc417552768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9.3: International Comparisons of Vertical Fiscal Imbalance (VFI)</w:t>
      </w:r>
      <w:r>
        <w:rPr>
          <w:b w:val="0"/>
          <w:noProof/>
        </w:rPr>
        <w:tab/>
      </w:r>
      <w:r>
        <w:rPr>
          <w:b w:val="0"/>
          <w:noProof/>
        </w:rPr>
        <w:fldChar w:fldCharType="begin"/>
      </w:r>
      <w:r>
        <w:rPr>
          <w:b w:val="0"/>
          <w:noProof/>
        </w:rPr>
        <w:instrText xml:space="preserve"> PAGEREF _Toc417552769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w:t>
      </w:r>
      <w:r>
        <w:rPr>
          <w:b w:val="0"/>
          <w:noProof/>
        </w:rPr>
        <w:t xml:space="preserve"> 9.4: Impact of Horizontal Fiscal Equalisation on the </w:t>
      </w:r>
      <w:r>
        <w:rPr>
          <w:b w:val="0"/>
          <w:noProof/>
        </w:rPr>
        <w:br/>
        <w:t xml:space="preserve">Distribution of the Pool of Financial Assistance Grants </w:t>
      </w:r>
      <w:r>
        <w:rPr>
          <w:b w:val="0"/>
          <w:noProof/>
        </w:rPr>
        <w:br/>
        <w:t>and Hospital Funding Grants 1997</w:t>
      </w:r>
      <w:r>
        <w:rPr>
          <w:b w:val="0"/>
          <w:noProof/>
        </w:rPr>
        <w:noBreakHyphen/>
        <w:t>98</w:t>
      </w:r>
      <w:r>
        <w:rPr>
          <w:b w:val="0"/>
          <w:noProof/>
        </w:rPr>
        <w:tab/>
      </w:r>
      <w:r>
        <w:rPr>
          <w:b w:val="0"/>
          <w:noProof/>
        </w:rPr>
        <w:fldChar w:fldCharType="begin"/>
      </w:r>
      <w:r>
        <w:rPr>
          <w:b w:val="0"/>
          <w:noProof/>
        </w:rPr>
        <w:instrText xml:space="preserve"> PAGEREF _Toc417552770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color w:val="000000"/>
        </w:rPr>
      </w:pPr>
    </w:p>
    <w:p w:rsidR="00000000" w:rsidRDefault="001F233B">
      <w:pPr>
        <w:pStyle w:val="TOC1"/>
        <w:spacing w:before="0" w:after="0"/>
        <w:ind w:left="990" w:hanging="990"/>
        <w:jc w:val="left"/>
        <w:rPr>
          <w:b w:val="0"/>
          <w:noProof/>
        </w:rPr>
      </w:pPr>
      <w:r>
        <w:rPr>
          <w:b w:val="0"/>
          <w:noProof/>
          <w:color w:val="000000"/>
        </w:rPr>
        <w:t xml:space="preserve">Table A1: </w:t>
      </w:r>
      <w:r>
        <w:rPr>
          <w:b w:val="0"/>
          <w:noProof/>
        </w:rPr>
        <w:t xml:space="preserve">Reconciliation of Accrual Operating Surplus  to </w:t>
      </w:r>
      <w:r>
        <w:rPr>
          <w:b w:val="0"/>
          <w:noProof/>
        </w:rPr>
        <w:br/>
        <w:t>Cash Surplus</w:t>
      </w:r>
      <w:r>
        <w:rPr>
          <w:b w:val="0"/>
          <w:noProof/>
        </w:rPr>
        <w:tab/>
      </w:r>
      <w:r>
        <w:rPr>
          <w:b w:val="0"/>
          <w:noProof/>
        </w:rPr>
        <w:fldChar w:fldCharType="begin"/>
      </w:r>
      <w:r>
        <w:rPr>
          <w:b w:val="0"/>
          <w:noProof/>
        </w:rPr>
        <w:instrText xml:space="preserve"> PAGEREF _Toc417552771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B1: Classification Of Public Sector Agencies</w:t>
      </w:r>
      <w:r>
        <w:rPr>
          <w:b w:val="0"/>
          <w:noProof/>
        </w:rPr>
        <w:tab/>
      </w:r>
      <w:r>
        <w:rPr>
          <w:b w:val="0"/>
          <w:noProof/>
        </w:rPr>
        <w:fldChar w:fldCharType="begin"/>
      </w:r>
      <w:r>
        <w:rPr>
          <w:b w:val="0"/>
          <w:noProof/>
        </w:rPr>
        <w:instrText xml:space="preserve"> PAGEREF _Toc417552772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B2: Uniform Reporting Format - General Government Sector Transactions</w:t>
      </w:r>
      <w:r>
        <w:rPr>
          <w:b w:val="0"/>
          <w:noProof/>
        </w:rPr>
        <w:tab/>
      </w:r>
      <w:r>
        <w:rPr>
          <w:b w:val="0"/>
          <w:noProof/>
        </w:rPr>
        <w:fldChar w:fldCharType="begin"/>
      </w:r>
      <w:r>
        <w:rPr>
          <w:b w:val="0"/>
          <w:noProof/>
        </w:rPr>
        <w:instrText xml:space="preserve"> PAGEREF _Toc417552775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B3: Uniform Reporting Format -</w:t>
      </w:r>
      <w:r>
        <w:rPr>
          <w:b w:val="0"/>
          <w:noProof/>
        </w:rPr>
        <w:t xml:space="preserve"> Public Trading Enterprise </w:t>
      </w:r>
      <w:r>
        <w:rPr>
          <w:b w:val="0"/>
          <w:noProof/>
        </w:rPr>
        <w:br/>
        <w:t>Sector Transactions</w:t>
      </w:r>
      <w:r>
        <w:rPr>
          <w:b w:val="0"/>
          <w:noProof/>
        </w:rPr>
        <w:tab/>
      </w:r>
      <w:r>
        <w:rPr>
          <w:b w:val="0"/>
          <w:noProof/>
        </w:rPr>
        <w:fldChar w:fldCharType="begin"/>
      </w:r>
      <w:r>
        <w:rPr>
          <w:b w:val="0"/>
          <w:noProof/>
        </w:rPr>
        <w:instrText xml:space="preserve"> PAGEREF _Toc417552776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 xml:space="preserve">Table B4: Uniform Reporting Format - State Public Sector </w:t>
      </w:r>
      <w:r>
        <w:rPr>
          <w:b w:val="0"/>
          <w:noProof/>
        </w:rPr>
        <w:br/>
        <w:t>Transactions</w:t>
      </w:r>
      <w:r>
        <w:rPr>
          <w:b w:val="0"/>
          <w:noProof/>
        </w:rPr>
        <w:tab/>
      </w:r>
      <w:r>
        <w:rPr>
          <w:b w:val="0"/>
          <w:noProof/>
        </w:rPr>
        <w:fldChar w:fldCharType="begin"/>
      </w:r>
      <w:r>
        <w:rPr>
          <w:b w:val="0"/>
          <w:noProof/>
        </w:rPr>
        <w:instrText xml:space="preserve"> PAGEREF _Toc417552777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 xml:space="preserve">Table B5: Uniform Reporting Format - State Public Sector Taxes, </w:t>
      </w:r>
      <w:r>
        <w:rPr>
          <w:b w:val="0"/>
          <w:noProof/>
        </w:rPr>
        <w:br/>
        <w:t>Fees &amp; Fines</w:t>
      </w:r>
      <w:r>
        <w:rPr>
          <w:b w:val="0"/>
          <w:noProof/>
        </w:rPr>
        <w:tab/>
      </w:r>
      <w:r>
        <w:rPr>
          <w:b w:val="0"/>
          <w:noProof/>
        </w:rPr>
        <w:fldChar w:fldCharType="begin"/>
      </w:r>
      <w:r>
        <w:rPr>
          <w:b w:val="0"/>
          <w:noProof/>
        </w:rPr>
        <w:instrText xml:space="preserve"> PAGEREF _Toc417552778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 xml:space="preserve">Table B6: Uniform Reporting Format: State Public Sector Outlays </w:t>
      </w:r>
      <w:r>
        <w:rPr>
          <w:b w:val="0"/>
          <w:noProof/>
        </w:rPr>
        <w:br/>
        <w:t>By Purpose</w:t>
      </w:r>
      <w:r>
        <w:rPr>
          <w:b w:val="0"/>
          <w:noProof/>
        </w:rPr>
        <w:tab/>
      </w:r>
      <w:r>
        <w:rPr>
          <w:b w:val="0"/>
          <w:noProof/>
        </w:rPr>
        <w:fldChar w:fldCharType="begin"/>
      </w:r>
      <w:r>
        <w:rPr>
          <w:b w:val="0"/>
          <w:noProof/>
        </w:rPr>
        <w:instrText xml:space="preserve"> PAGEREF _Toc417552779 \h </w:instrText>
      </w:r>
      <w:r>
        <w:rPr>
          <w:b w:val="0"/>
          <w:noProof/>
        </w:rPr>
      </w:r>
      <w:r>
        <w:rPr>
          <w:b w:val="0"/>
          <w:noProof/>
        </w:rPr>
        <w:fldChar w:fldCharType="separate"/>
      </w:r>
      <w:r>
        <w:rPr>
          <w:b w:val="0"/>
          <w:noProof/>
        </w:rPr>
        <w:t>6</w:t>
      </w:r>
      <w:r>
        <w:rPr>
          <w:b w:val="0"/>
          <w:noProof/>
        </w:rPr>
        <w:fldChar w:fldCharType="end"/>
      </w:r>
    </w:p>
    <w:p w:rsidR="00000000" w:rsidRDefault="001F233B">
      <w:pPr>
        <w:pStyle w:val="TOC1"/>
        <w:spacing w:before="0" w:after="0"/>
        <w:ind w:left="990" w:hanging="990"/>
        <w:jc w:val="left"/>
        <w:rPr>
          <w:b w:val="0"/>
          <w:noProof/>
        </w:rPr>
      </w:pPr>
      <w:r>
        <w:rPr>
          <w:b w:val="0"/>
          <w:noProof/>
        </w:rPr>
        <w:t>Table C1 : Loan Council Allocation</w:t>
      </w:r>
      <w:r>
        <w:rPr>
          <w:b w:val="0"/>
          <w:noProof/>
        </w:rPr>
        <w:tab/>
      </w:r>
      <w:r>
        <w:rPr>
          <w:b w:val="0"/>
          <w:noProof/>
        </w:rPr>
        <w:fldChar w:fldCharType="begin"/>
      </w:r>
      <w:r>
        <w:rPr>
          <w:b w:val="0"/>
          <w:noProof/>
        </w:rPr>
        <w:instrText xml:space="preserve"> PAGEREF _Toc417552780 \h </w:instrText>
      </w:r>
      <w:r>
        <w:rPr>
          <w:b w:val="0"/>
          <w:noProof/>
        </w:rPr>
      </w:r>
      <w:r>
        <w:rPr>
          <w:b w:val="0"/>
          <w:noProof/>
        </w:rPr>
        <w:fldChar w:fldCharType="separate"/>
      </w:r>
      <w:r>
        <w:rPr>
          <w:b w:val="0"/>
          <w:noProof/>
        </w:rPr>
        <w:t>6</w:t>
      </w:r>
      <w:r>
        <w:rPr>
          <w:b w:val="0"/>
          <w:noProof/>
        </w:rPr>
        <w:fldChar w:fldCharType="end"/>
      </w:r>
    </w:p>
    <w:p w:rsidR="00000000" w:rsidRDefault="001F233B">
      <w:pPr>
        <w:spacing w:after="0"/>
        <w:ind w:left="990" w:hanging="990"/>
        <w:jc w:val="left"/>
        <w:sectPr w:rsidR="00000000">
          <w:headerReference w:type="even" r:id="rId13"/>
          <w:footerReference w:type="even" r:id="rId14"/>
          <w:footerReference w:type="default" r:id="rId15"/>
          <w:type w:val="oddPage"/>
          <w:pgSz w:w="11907" w:h="16840" w:code="9"/>
          <w:pgMar w:top="1440" w:right="3402" w:bottom="4082" w:left="1418" w:header="720" w:footer="4253" w:gutter="0"/>
          <w:pgNumType w:fmt="lowerRoman" w:start="1"/>
          <w:cols w:space="720"/>
        </w:sectPr>
      </w:pPr>
      <w:r>
        <w:rPr>
          <w:b/>
        </w:rPr>
        <w:fldChar w:fldCharType="end"/>
      </w:r>
    </w:p>
    <w:p w:rsidR="00000000" w:rsidRDefault="001F233B">
      <w:pPr>
        <w:pStyle w:val="Heading1"/>
      </w:pPr>
      <w:bookmarkStart w:id="1" w:name="_Toc417552060"/>
      <w:r>
        <w:lastRenderedPageBreak/>
        <w:t>Acronyms and</w:t>
      </w:r>
      <w:r>
        <w:rPr>
          <w:lang w:val="en-GB"/>
        </w:rPr>
        <w:t xml:space="preserve"> Abbreviations</w:t>
      </w:r>
      <w:bookmarkEnd w:id="1"/>
    </w:p>
    <w:p w:rsidR="00000000" w:rsidRDefault="001F233B">
      <w:pPr>
        <w:spacing w:after="0"/>
        <w:ind w:left="1440" w:hanging="1440"/>
        <w:rPr>
          <w:lang w:val="en-GB"/>
        </w:rPr>
      </w:pPr>
      <w:r>
        <w:rPr>
          <w:lang w:val="en-GB"/>
        </w:rPr>
        <w:t>ABS</w:t>
      </w:r>
      <w:r>
        <w:rPr>
          <w:lang w:val="en-GB"/>
        </w:rPr>
        <w:tab/>
        <w:t xml:space="preserve">Australian </w:t>
      </w:r>
      <w:r>
        <w:rPr>
          <w:lang w:val="en-GB"/>
        </w:rPr>
        <w:t>Bureau of Statistics</w:t>
      </w:r>
    </w:p>
    <w:p w:rsidR="00000000" w:rsidRDefault="001F233B">
      <w:pPr>
        <w:spacing w:after="0"/>
        <w:ind w:left="1440" w:hanging="1440"/>
        <w:rPr>
          <w:lang w:val="en-GB"/>
        </w:rPr>
      </w:pPr>
      <w:r>
        <w:rPr>
          <w:lang w:val="en-GB"/>
        </w:rPr>
        <w:t>ACCC</w:t>
      </w:r>
      <w:r>
        <w:rPr>
          <w:lang w:val="en-GB"/>
        </w:rPr>
        <w:tab/>
        <w:t>Australian Competition and Consumer Commission</w:t>
      </w:r>
    </w:p>
    <w:p w:rsidR="00000000" w:rsidRDefault="001F233B">
      <w:pPr>
        <w:spacing w:after="0"/>
        <w:ind w:left="1440" w:hanging="1440"/>
        <w:rPr>
          <w:lang w:val="en-GB"/>
        </w:rPr>
      </w:pPr>
      <w:r>
        <w:rPr>
          <w:lang w:val="en-GB"/>
        </w:rPr>
        <w:t>ACH</w:t>
      </w:r>
      <w:r>
        <w:rPr>
          <w:lang w:val="en-GB"/>
        </w:rPr>
        <w:tab/>
        <w:t>Annual Curriculum Hour</w:t>
      </w:r>
    </w:p>
    <w:p w:rsidR="00000000" w:rsidRDefault="001F233B">
      <w:pPr>
        <w:spacing w:after="0"/>
        <w:ind w:left="1440" w:hanging="1440"/>
        <w:rPr>
          <w:lang w:val="en-GB"/>
        </w:rPr>
      </w:pPr>
      <w:r>
        <w:rPr>
          <w:lang w:val="en-GB"/>
        </w:rPr>
        <w:t>AHCA</w:t>
      </w:r>
      <w:r>
        <w:rPr>
          <w:lang w:val="en-GB"/>
        </w:rPr>
        <w:tab/>
        <w:t>Australian Health Care Agreement</w:t>
      </w:r>
    </w:p>
    <w:p w:rsidR="00000000" w:rsidRDefault="001F233B">
      <w:pPr>
        <w:spacing w:after="0"/>
        <w:ind w:left="1440" w:hanging="1440"/>
        <w:rPr>
          <w:lang w:val="en-GB"/>
        </w:rPr>
      </w:pPr>
      <w:r>
        <w:rPr>
          <w:lang w:val="en-GB"/>
        </w:rPr>
        <w:t>Aluvic</w:t>
      </w:r>
      <w:r>
        <w:rPr>
          <w:lang w:val="en-GB"/>
        </w:rPr>
        <w:tab/>
        <w:t>Aluminium Smelters of Victoria Pty Ltd (trustee and manager of Portland Smelter Unit Trust)</w:t>
      </w:r>
    </w:p>
    <w:p w:rsidR="00000000" w:rsidRDefault="001F233B">
      <w:pPr>
        <w:spacing w:after="0"/>
        <w:ind w:left="1440" w:hanging="1440"/>
        <w:rPr>
          <w:lang w:val="en-GB"/>
        </w:rPr>
      </w:pPr>
      <w:r>
        <w:rPr>
          <w:lang w:val="en-GB"/>
        </w:rPr>
        <w:t>ANTA</w:t>
      </w:r>
      <w:r>
        <w:rPr>
          <w:lang w:val="en-GB"/>
        </w:rPr>
        <w:tab/>
        <w:t>Australian National Training Authority</w:t>
      </w:r>
    </w:p>
    <w:p w:rsidR="00000000" w:rsidRDefault="001F233B">
      <w:pPr>
        <w:spacing w:after="0"/>
        <w:ind w:left="1440" w:hanging="1440"/>
        <w:rPr>
          <w:lang w:val="en-GB"/>
        </w:rPr>
      </w:pPr>
      <w:r>
        <w:rPr>
          <w:lang w:val="en-GB"/>
        </w:rPr>
        <w:t>AWE</w:t>
      </w:r>
      <w:r>
        <w:rPr>
          <w:lang w:val="en-GB"/>
        </w:rPr>
        <w:tab/>
        <w:t>Average Weekly Earnings</w:t>
      </w:r>
    </w:p>
    <w:p w:rsidR="00000000" w:rsidRDefault="001F233B">
      <w:pPr>
        <w:spacing w:after="0"/>
        <w:ind w:left="1440" w:hanging="1440"/>
        <w:rPr>
          <w:lang w:val="en-GB"/>
        </w:rPr>
      </w:pPr>
      <w:r>
        <w:rPr>
          <w:lang w:val="en-GB"/>
        </w:rPr>
        <w:t>AWOTE</w:t>
      </w:r>
      <w:r>
        <w:rPr>
          <w:lang w:val="en-GB"/>
        </w:rPr>
        <w:tab/>
        <w:t>Average Weekly Ordinary Time Earnings</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t>BEST</w:t>
      </w:r>
      <w:r>
        <w:rPr>
          <w:lang w:val="en-GB"/>
        </w:rPr>
        <w:tab/>
        <w:t>Bureau of Emergency Services Telecommunications</w:t>
      </w:r>
    </w:p>
    <w:p w:rsidR="00000000" w:rsidRDefault="001F233B">
      <w:pPr>
        <w:spacing w:after="0"/>
        <w:ind w:left="1440" w:hanging="1440"/>
        <w:rPr>
          <w:lang w:val="en-GB"/>
        </w:rPr>
      </w:pPr>
      <w:r>
        <w:rPr>
          <w:lang w:val="en-GB"/>
        </w:rPr>
        <w:t>BOOT</w:t>
      </w:r>
      <w:r>
        <w:rPr>
          <w:lang w:val="en-GB"/>
        </w:rPr>
        <w:tab/>
        <w:t>Build-Own-Operate-Transfer (an arrangement for facilitating private sector involvement in the provis</w:t>
      </w:r>
      <w:r>
        <w:rPr>
          <w:lang w:val="en-GB"/>
        </w:rPr>
        <w:t>ion of infrastructure)</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t>CAC</w:t>
      </w:r>
      <w:r>
        <w:rPr>
          <w:lang w:val="en-GB"/>
        </w:rPr>
        <w:tab/>
        <w:t>Capital Assets Charge</w:t>
      </w:r>
    </w:p>
    <w:p w:rsidR="00000000" w:rsidRDefault="001F233B">
      <w:pPr>
        <w:spacing w:after="0"/>
        <w:ind w:left="1440" w:hanging="1440"/>
        <w:rPr>
          <w:lang w:val="en-GB"/>
        </w:rPr>
      </w:pPr>
      <w:r>
        <w:rPr>
          <w:lang w:val="en-GB"/>
        </w:rPr>
        <w:t>CFA</w:t>
      </w:r>
      <w:r>
        <w:rPr>
          <w:lang w:val="en-GB"/>
        </w:rPr>
        <w:tab/>
        <w:t>Country Fire Authority</w:t>
      </w:r>
    </w:p>
    <w:p w:rsidR="00000000" w:rsidRDefault="001F233B">
      <w:pPr>
        <w:spacing w:after="0"/>
        <w:ind w:left="1440" w:hanging="1440"/>
        <w:rPr>
          <w:lang w:val="en-GB"/>
        </w:rPr>
      </w:pPr>
      <w:r>
        <w:rPr>
          <w:lang w:val="en-GB"/>
        </w:rPr>
        <w:t>CGC</w:t>
      </w:r>
      <w:r>
        <w:rPr>
          <w:lang w:val="en-GB"/>
        </w:rPr>
        <w:tab/>
        <w:t>Commonwealth Grants Commission</w:t>
      </w:r>
    </w:p>
    <w:p w:rsidR="00000000" w:rsidRDefault="001F233B">
      <w:pPr>
        <w:spacing w:after="0"/>
        <w:ind w:left="1440" w:hanging="1440"/>
        <w:rPr>
          <w:lang w:val="en-GB"/>
        </w:rPr>
      </w:pPr>
      <w:r>
        <w:rPr>
          <w:lang w:val="en-GB"/>
        </w:rPr>
        <w:t>COAG</w:t>
      </w:r>
      <w:r>
        <w:rPr>
          <w:lang w:val="en-GB"/>
        </w:rPr>
        <w:tab/>
        <w:t>Council of Australian Governments</w:t>
      </w:r>
    </w:p>
    <w:p w:rsidR="00000000" w:rsidRDefault="001F233B">
      <w:pPr>
        <w:spacing w:after="0"/>
        <w:ind w:left="1440" w:hanging="1440"/>
        <w:rPr>
          <w:lang w:val="en-GB"/>
        </w:rPr>
      </w:pPr>
      <w:r>
        <w:rPr>
          <w:lang w:val="en-GB"/>
        </w:rPr>
        <w:t>CPI</w:t>
      </w:r>
      <w:r>
        <w:rPr>
          <w:lang w:val="en-GB"/>
        </w:rPr>
        <w:tab/>
        <w:t>Consumer Price Index</w:t>
      </w:r>
    </w:p>
    <w:p w:rsidR="00000000" w:rsidRDefault="001F233B">
      <w:pPr>
        <w:spacing w:after="0"/>
        <w:ind w:left="1440" w:hanging="1440"/>
        <w:rPr>
          <w:lang w:val="en-GB"/>
        </w:rPr>
      </w:pPr>
      <w:r>
        <w:rPr>
          <w:lang w:val="en-GB"/>
        </w:rPr>
        <w:t>CSHA</w:t>
      </w:r>
      <w:r>
        <w:rPr>
          <w:lang w:val="en-GB"/>
        </w:rPr>
        <w:tab/>
        <w:t>Commonwealth-State Housing Agreement</w:t>
      </w:r>
    </w:p>
    <w:p w:rsidR="00000000" w:rsidRDefault="001F233B">
      <w:pPr>
        <w:spacing w:after="0"/>
        <w:ind w:left="1440" w:hanging="1440"/>
        <w:rPr>
          <w:lang w:val="en-GB"/>
        </w:rPr>
      </w:pPr>
      <w:r>
        <w:rPr>
          <w:lang w:val="en-GB"/>
        </w:rPr>
        <w:t>CSO</w:t>
      </w:r>
      <w:r>
        <w:rPr>
          <w:lang w:val="en-GB"/>
        </w:rPr>
        <w:tab/>
        <w:t>Community Service Obligation</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t>DFD</w:t>
      </w:r>
      <w:r>
        <w:rPr>
          <w:lang w:val="en-GB"/>
        </w:rPr>
        <w:tab/>
        <w:t>Domestic Final Demand</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t>EGM</w:t>
      </w:r>
      <w:r>
        <w:rPr>
          <w:lang w:val="en-GB"/>
        </w:rPr>
        <w:tab/>
        <w:t>Electronic Gaming Machines</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t>FAGs</w:t>
      </w:r>
      <w:r>
        <w:rPr>
          <w:lang w:val="en-GB"/>
        </w:rPr>
        <w:tab/>
        <w:t xml:space="preserve">Financial Assistance Grants </w:t>
      </w:r>
    </w:p>
    <w:p w:rsidR="00000000" w:rsidRDefault="001F233B">
      <w:pPr>
        <w:spacing w:after="0"/>
        <w:ind w:left="1440" w:hanging="1440"/>
        <w:rPr>
          <w:lang w:val="en-GB"/>
        </w:rPr>
      </w:pPr>
      <w:r>
        <w:rPr>
          <w:lang w:val="en-GB"/>
        </w:rPr>
        <w:t>FID</w:t>
      </w:r>
      <w:r>
        <w:rPr>
          <w:lang w:val="en-GB"/>
        </w:rPr>
        <w:tab/>
        <w:t>Financial Institutions Duty</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br w:type="page"/>
      </w:r>
    </w:p>
    <w:p w:rsidR="00000000" w:rsidRDefault="001F233B">
      <w:pPr>
        <w:spacing w:after="0"/>
        <w:ind w:left="1440" w:hanging="1440"/>
        <w:rPr>
          <w:lang w:val="en-GB"/>
        </w:rPr>
      </w:pPr>
    </w:p>
    <w:p w:rsidR="00000000" w:rsidRDefault="001F233B">
      <w:pPr>
        <w:spacing w:after="0"/>
        <w:ind w:left="1440" w:hanging="1440"/>
        <w:rPr>
          <w:lang w:val="en-GB"/>
        </w:rPr>
      </w:pPr>
    </w:p>
    <w:p w:rsidR="00000000" w:rsidRDefault="001F233B">
      <w:pPr>
        <w:spacing w:after="0"/>
        <w:ind w:left="1440" w:hanging="1440"/>
        <w:rPr>
          <w:lang w:val="en-GB"/>
        </w:rPr>
      </w:pPr>
    </w:p>
    <w:p w:rsidR="00000000" w:rsidRDefault="001F233B">
      <w:pPr>
        <w:spacing w:after="0"/>
        <w:ind w:left="1440" w:hanging="1440"/>
        <w:rPr>
          <w:lang w:val="en-GB"/>
        </w:rPr>
      </w:pPr>
    </w:p>
    <w:p w:rsidR="00000000" w:rsidRDefault="001F233B">
      <w:pPr>
        <w:spacing w:after="0"/>
        <w:ind w:left="1440" w:hanging="1440"/>
        <w:rPr>
          <w:lang w:val="en-GB"/>
        </w:rPr>
      </w:pPr>
    </w:p>
    <w:p w:rsidR="00000000" w:rsidRDefault="001F233B">
      <w:pPr>
        <w:spacing w:after="0"/>
        <w:ind w:left="1440" w:hanging="1440"/>
        <w:rPr>
          <w:lang w:val="en-GB"/>
        </w:rPr>
      </w:pPr>
      <w:r>
        <w:rPr>
          <w:lang w:val="en-GB"/>
        </w:rPr>
        <w:t>GBE</w:t>
      </w:r>
      <w:r>
        <w:rPr>
          <w:lang w:val="en-GB"/>
        </w:rPr>
        <w:tab/>
        <w:t>Government Business Enterprise</w:t>
      </w:r>
    </w:p>
    <w:p w:rsidR="00000000" w:rsidRDefault="001F233B">
      <w:pPr>
        <w:spacing w:after="0"/>
        <w:ind w:left="1440" w:hanging="1440"/>
        <w:rPr>
          <w:lang w:val="en-GB"/>
        </w:rPr>
      </w:pPr>
      <w:r>
        <w:rPr>
          <w:lang w:val="en-GB"/>
        </w:rPr>
        <w:t>GDP</w:t>
      </w:r>
      <w:r>
        <w:rPr>
          <w:lang w:val="en-GB"/>
        </w:rPr>
        <w:tab/>
        <w:t>Gross Domestic Product</w:t>
      </w:r>
    </w:p>
    <w:p w:rsidR="00000000" w:rsidRDefault="001F233B">
      <w:pPr>
        <w:spacing w:after="0"/>
        <w:ind w:left="1440" w:hanging="1440"/>
        <w:rPr>
          <w:lang w:val="en-GB"/>
        </w:rPr>
      </w:pPr>
      <w:r>
        <w:rPr>
          <w:lang w:val="en-GB"/>
        </w:rPr>
        <w:t>GFCE</w:t>
      </w:r>
      <w:r>
        <w:rPr>
          <w:lang w:val="en-GB"/>
        </w:rPr>
        <w:tab/>
        <w:t>Gross Fixed Capital Expenditure</w:t>
      </w:r>
    </w:p>
    <w:p w:rsidR="00000000" w:rsidRDefault="001F233B">
      <w:pPr>
        <w:spacing w:after="0"/>
        <w:ind w:left="1440" w:hanging="1440"/>
        <w:rPr>
          <w:lang w:val="en-GB"/>
        </w:rPr>
      </w:pPr>
      <w:r>
        <w:rPr>
          <w:lang w:val="en-GB"/>
        </w:rPr>
        <w:t>GFS</w:t>
      </w:r>
      <w:r>
        <w:rPr>
          <w:lang w:val="en-GB"/>
        </w:rPr>
        <w:tab/>
        <w:t>Government Finance Stati</w:t>
      </w:r>
      <w:r>
        <w:rPr>
          <w:lang w:val="en-GB"/>
        </w:rPr>
        <w:t xml:space="preserve">stics </w:t>
      </w:r>
    </w:p>
    <w:p w:rsidR="00000000" w:rsidRDefault="001F233B">
      <w:pPr>
        <w:spacing w:after="0"/>
        <w:ind w:left="1440" w:hanging="1440"/>
        <w:rPr>
          <w:lang w:val="en-GB"/>
        </w:rPr>
      </w:pPr>
      <w:r>
        <w:rPr>
          <w:lang w:val="en-GB"/>
        </w:rPr>
        <w:t>GPP</w:t>
      </w:r>
      <w:r>
        <w:rPr>
          <w:lang w:val="en-GB"/>
        </w:rPr>
        <w:tab/>
        <w:t>General Purpose Payment</w:t>
      </w:r>
    </w:p>
    <w:p w:rsidR="00000000" w:rsidRDefault="001F233B">
      <w:pPr>
        <w:spacing w:after="0"/>
        <w:ind w:left="1440" w:hanging="1440"/>
        <w:rPr>
          <w:lang w:val="en-GB"/>
        </w:rPr>
      </w:pPr>
      <w:r>
        <w:rPr>
          <w:lang w:val="en-GB"/>
        </w:rPr>
        <w:t>GSP</w:t>
      </w:r>
      <w:r>
        <w:rPr>
          <w:lang w:val="en-GB"/>
        </w:rPr>
        <w:tab/>
        <w:t>Gross State Product</w:t>
      </w:r>
    </w:p>
    <w:p w:rsidR="00000000" w:rsidRDefault="001F233B">
      <w:pPr>
        <w:spacing w:after="0"/>
        <w:ind w:left="1440" w:hanging="1440"/>
        <w:rPr>
          <w:lang w:val="en-GB"/>
        </w:rPr>
      </w:pPr>
      <w:r>
        <w:rPr>
          <w:lang w:val="en-GB"/>
        </w:rPr>
        <w:t>GTC</w:t>
      </w:r>
      <w:r>
        <w:rPr>
          <w:lang w:val="en-GB"/>
        </w:rPr>
        <w:tab/>
        <w:t>Gas Transmission Company</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t>HACC</w:t>
      </w:r>
      <w:r>
        <w:rPr>
          <w:lang w:val="en-GB"/>
        </w:rPr>
        <w:tab/>
        <w:t>Home and Community Care</w:t>
      </w:r>
    </w:p>
    <w:p w:rsidR="00000000" w:rsidRDefault="001F233B">
      <w:pPr>
        <w:spacing w:after="0"/>
        <w:ind w:left="1440" w:hanging="1440"/>
        <w:rPr>
          <w:lang w:val="en-GB"/>
        </w:rPr>
      </w:pPr>
      <w:r>
        <w:rPr>
          <w:lang w:val="en-GB"/>
        </w:rPr>
        <w:t>HFE</w:t>
      </w:r>
      <w:r>
        <w:rPr>
          <w:lang w:val="en-GB"/>
        </w:rPr>
        <w:tab/>
        <w:t>Horizontal Fiscal Equalisation</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t>IFG</w:t>
      </w:r>
      <w:r>
        <w:rPr>
          <w:lang w:val="en-GB"/>
        </w:rPr>
        <w:tab/>
        <w:t>Identified Funding Grant</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t>LCA</w:t>
      </w:r>
      <w:r>
        <w:rPr>
          <w:lang w:val="en-GB"/>
        </w:rPr>
        <w:tab/>
        <w:t>Loan Council Allocation</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t>NFR</w:t>
      </w:r>
      <w:r>
        <w:rPr>
          <w:lang w:val="en-GB"/>
        </w:rPr>
        <w:tab/>
        <w:t>Net Financing Requirement</w:t>
      </w:r>
    </w:p>
    <w:p w:rsidR="00000000" w:rsidRDefault="001F233B">
      <w:pPr>
        <w:spacing w:after="0"/>
        <w:ind w:left="1440" w:hanging="1440"/>
        <w:rPr>
          <w:lang w:val="en-GB"/>
        </w:rPr>
      </w:pPr>
      <w:r>
        <w:rPr>
          <w:lang w:val="en-GB"/>
        </w:rPr>
        <w:t>NPV</w:t>
      </w:r>
      <w:r>
        <w:rPr>
          <w:lang w:val="en-GB"/>
        </w:rPr>
        <w:tab/>
        <w:t>Net Present Value</w:t>
      </w:r>
    </w:p>
    <w:p w:rsidR="00000000" w:rsidRDefault="001F233B">
      <w:pPr>
        <w:spacing w:after="0"/>
        <w:ind w:left="1440" w:hanging="1440"/>
        <w:rPr>
          <w:lang w:val="en-GB"/>
        </w:rPr>
      </w:pPr>
      <w:r>
        <w:rPr>
          <w:lang w:val="en-GB"/>
        </w:rPr>
        <w:t>NSW</w:t>
      </w:r>
      <w:r>
        <w:rPr>
          <w:lang w:val="en-GB"/>
        </w:rPr>
        <w:tab/>
        <w:t>New South Wales</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t>PAC</w:t>
      </w:r>
      <w:r>
        <w:rPr>
          <w:lang w:val="en-GB"/>
        </w:rPr>
        <w:tab/>
        <w:t>Public Authority Contribution</w:t>
      </w:r>
    </w:p>
    <w:p w:rsidR="00000000" w:rsidRDefault="001F233B">
      <w:pPr>
        <w:spacing w:after="0"/>
        <w:ind w:left="1440" w:hanging="1440"/>
        <w:rPr>
          <w:lang w:val="en-GB"/>
        </w:rPr>
      </w:pPr>
      <w:r>
        <w:rPr>
          <w:lang w:val="en-GB"/>
        </w:rPr>
        <w:t>PAD</w:t>
      </w:r>
      <w:r>
        <w:rPr>
          <w:lang w:val="en-GB"/>
        </w:rPr>
        <w:tab/>
        <w:t>Public Authority Dividend</w:t>
      </w:r>
    </w:p>
    <w:p w:rsidR="00000000" w:rsidRDefault="001F233B">
      <w:pPr>
        <w:spacing w:after="0"/>
        <w:ind w:left="1440" w:hanging="1440"/>
        <w:rPr>
          <w:lang w:val="en-GB"/>
        </w:rPr>
      </w:pPr>
      <w:r>
        <w:rPr>
          <w:lang w:val="en-GB"/>
        </w:rPr>
        <w:t>PAI</w:t>
      </w:r>
      <w:r>
        <w:rPr>
          <w:lang w:val="en-GB"/>
        </w:rPr>
        <w:tab/>
        <w:t>Public Authority Income</w:t>
      </w:r>
    </w:p>
    <w:p w:rsidR="00000000" w:rsidRDefault="001F233B">
      <w:pPr>
        <w:spacing w:after="0"/>
        <w:ind w:left="1440" w:hanging="1440"/>
        <w:rPr>
          <w:lang w:val="en-GB"/>
        </w:rPr>
      </w:pPr>
      <w:r>
        <w:rPr>
          <w:lang w:val="en-GB"/>
        </w:rPr>
        <w:t>PRRT</w:t>
      </w:r>
      <w:r>
        <w:rPr>
          <w:lang w:val="en-GB"/>
        </w:rPr>
        <w:tab/>
        <w:t>Petroleum Resource Rent Tax</w:t>
      </w:r>
    </w:p>
    <w:p w:rsidR="00000000" w:rsidRDefault="001F233B">
      <w:pPr>
        <w:spacing w:after="0"/>
        <w:ind w:left="1440" w:hanging="1440"/>
        <w:rPr>
          <w:lang w:val="en-GB"/>
        </w:rPr>
      </w:pPr>
      <w:r>
        <w:rPr>
          <w:lang w:val="en-GB"/>
        </w:rPr>
        <w:t>PTC</w:t>
      </w:r>
      <w:r>
        <w:rPr>
          <w:lang w:val="en-GB"/>
        </w:rPr>
        <w:tab/>
        <w:t>Public Transport Corporation</w:t>
      </w:r>
    </w:p>
    <w:p w:rsidR="00000000" w:rsidRDefault="001F233B">
      <w:pPr>
        <w:spacing w:after="0"/>
        <w:ind w:left="1440" w:hanging="1440"/>
        <w:rPr>
          <w:lang w:val="en-GB"/>
        </w:rPr>
      </w:pPr>
      <w:r>
        <w:rPr>
          <w:lang w:val="en-GB"/>
        </w:rPr>
        <w:t>PTE</w:t>
      </w:r>
      <w:r>
        <w:rPr>
          <w:lang w:val="en-GB"/>
        </w:rPr>
        <w:tab/>
        <w:t>Public Trading Enterprise</w:t>
      </w:r>
    </w:p>
    <w:p w:rsidR="00000000" w:rsidRDefault="001F233B">
      <w:pPr>
        <w:spacing w:after="0"/>
        <w:ind w:left="1440" w:hanging="1440"/>
        <w:rPr>
          <w:lang w:val="en-GB"/>
        </w:rPr>
      </w:pPr>
      <w:r>
        <w:rPr>
          <w:lang w:val="en-GB"/>
        </w:rPr>
        <w:t>PNV</w:t>
      </w:r>
      <w:r>
        <w:rPr>
          <w:lang w:val="en-GB"/>
        </w:rPr>
        <w:tab/>
        <w:t>Power Net Victoria</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t>RFC</w:t>
      </w:r>
      <w:r>
        <w:rPr>
          <w:lang w:val="en-GB"/>
        </w:rPr>
        <w:tab/>
        <w:t>Rural Fina</w:t>
      </w:r>
      <w:r>
        <w:rPr>
          <w:lang w:val="en-GB"/>
        </w:rPr>
        <w:t>nce Corporation</w:t>
      </w:r>
    </w:p>
    <w:p w:rsidR="00000000" w:rsidRDefault="001F233B">
      <w:pPr>
        <w:spacing w:after="0"/>
        <w:ind w:left="1440" w:hanging="1440"/>
        <w:rPr>
          <w:lang w:val="en-GB"/>
        </w:rPr>
      </w:pPr>
      <w:r>
        <w:rPr>
          <w:lang w:val="en-GB"/>
        </w:rPr>
        <w:t>RGSP</w:t>
      </w:r>
      <w:r>
        <w:rPr>
          <w:lang w:val="en-GB"/>
        </w:rPr>
        <w:tab/>
        <w:t>Report on Government Service Provision</w:t>
      </w:r>
    </w:p>
    <w:p w:rsidR="00000000" w:rsidRDefault="001F233B">
      <w:pPr>
        <w:spacing w:after="0"/>
        <w:ind w:left="1440" w:hanging="1440"/>
        <w:rPr>
          <w:lang w:val="en-GB"/>
        </w:rPr>
      </w:pPr>
      <w:r>
        <w:rPr>
          <w:lang w:val="en-GB"/>
        </w:rPr>
        <w:t>RRT</w:t>
      </w:r>
      <w:r>
        <w:rPr>
          <w:lang w:val="en-GB"/>
        </w:rPr>
        <w:tab/>
        <w:t>Resource Rent Tax</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t>SECV</w:t>
      </w:r>
      <w:r>
        <w:rPr>
          <w:lang w:val="en-GB"/>
        </w:rPr>
        <w:tab/>
        <w:t>State Electricity Commission of Victoria</w:t>
      </w:r>
    </w:p>
    <w:p w:rsidR="00000000" w:rsidRDefault="001F233B">
      <w:pPr>
        <w:spacing w:after="0"/>
        <w:ind w:left="1440" w:hanging="1440"/>
        <w:rPr>
          <w:lang w:val="en-GB"/>
        </w:rPr>
      </w:pPr>
      <w:r>
        <w:rPr>
          <w:lang w:val="en-GB"/>
        </w:rPr>
        <w:t>SPP</w:t>
      </w:r>
      <w:r>
        <w:rPr>
          <w:lang w:val="en-GB"/>
        </w:rPr>
        <w:tab/>
        <w:t>Specific Purpose Payment</w:t>
      </w:r>
    </w:p>
    <w:p w:rsidR="00000000" w:rsidRDefault="001F233B">
      <w:pPr>
        <w:spacing w:after="0"/>
        <w:ind w:left="1440" w:hanging="1440"/>
        <w:rPr>
          <w:lang w:val="en-GB"/>
        </w:rPr>
      </w:pPr>
      <w:r>
        <w:rPr>
          <w:lang w:val="en-GB"/>
        </w:rPr>
        <w:t>SFD</w:t>
      </w:r>
      <w:r>
        <w:rPr>
          <w:lang w:val="en-GB"/>
        </w:rPr>
        <w:tab/>
        <w:t>State Final Demand</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t>TAC</w:t>
      </w:r>
      <w:r>
        <w:rPr>
          <w:lang w:val="en-GB"/>
        </w:rPr>
        <w:tab/>
        <w:t>Transport Accident Commission</w:t>
      </w:r>
    </w:p>
    <w:p w:rsidR="00000000" w:rsidRDefault="001F233B">
      <w:pPr>
        <w:spacing w:after="0"/>
        <w:ind w:left="1440" w:hanging="1440"/>
        <w:rPr>
          <w:lang w:val="en-GB"/>
        </w:rPr>
      </w:pPr>
      <w:r>
        <w:rPr>
          <w:lang w:val="en-GB"/>
        </w:rPr>
        <w:t>TAFE</w:t>
      </w:r>
      <w:r>
        <w:rPr>
          <w:lang w:val="en-GB"/>
        </w:rPr>
        <w:tab/>
        <w:t>Technical and Further Education (post-secondary colleges)</w:t>
      </w:r>
    </w:p>
    <w:p w:rsidR="00000000" w:rsidRDefault="001F233B">
      <w:pPr>
        <w:spacing w:after="0"/>
        <w:ind w:left="1440" w:hanging="1440"/>
        <w:rPr>
          <w:lang w:val="en-GB"/>
        </w:rPr>
      </w:pPr>
      <w:r>
        <w:rPr>
          <w:lang w:val="en-GB"/>
        </w:rPr>
        <w:t>TCV</w:t>
      </w:r>
      <w:r>
        <w:rPr>
          <w:lang w:val="en-GB"/>
        </w:rPr>
        <w:tab/>
        <w:t>Treasury Corporation of Victoria</w:t>
      </w:r>
    </w:p>
    <w:p w:rsidR="00000000" w:rsidRDefault="001F233B">
      <w:pPr>
        <w:spacing w:after="0"/>
        <w:ind w:left="1440" w:hanging="1440"/>
        <w:rPr>
          <w:sz w:val="14"/>
          <w:lang w:val="en-GB"/>
        </w:rPr>
      </w:pPr>
    </w:p>
    <w:p w:rsidR="00000000" w:rsidRDefault="001F233B">
      <w:pPr>
        <w:spacing w:after="0"/>
        <w:ind w:left="1440" w:hanging="1440"/>
        <w:rPr>
          <w:lang w:val="en-GB"/>
        </w:rPr>
      </w:pPr>
      <w:r>
        <w:rPr>
          <w:lang w:val="en-GB"/>
        </w:rPr>
        <w:br w:type="page"/>
      </w:r>
    </w:p>
    <w:p w:rsidR="00000000" w:rsidRDefault="001F233B">
      <w:pPr>
        <w:spacing w:after="0"/>
        <w:ind w:left="1440" w:hanging="1440"/>
        <w:rPr>
          <w:lang w:val="en-GB"/>
        </w:rPr>
      </w:pPr>
    </w:p>
    <w:p w:rsidR="00000000" w:rsidRDefault="001F233B">
      <w:pPr>
        <w:spacing w:after="0"/>
        <w:ind w:left="1440" w:hanging="1440"/>
        <w:rPr>
          <w:lang w:val="en-GB"/>
        </w:rPr>
      </w:pPr>
    </w:p>
    <w:p w:rsidR="00000000" w:rsidRDefault="001F233B">
      <w:pPr>
        <w:spacing w:after="0"/>
        <w:ind w:left="1440" w:hanging="1440"/>
        <w:rPr>
          <w:lang w:val="en-GB"/>
        </w:rPr>
      </w:pPr>
    </w:p>
    <w:p w:rsidR="00000000" w:rsidRDefault="001F233B">
      <w:pPr>
        <w:spacing w:after="0"/>
        <w:ind w:left="1440" w:hanging="1440"/>
        <w:rPr>
          <w:lang w:val="en-GB"/>
        </w:rPr>
      </w:pPr>
    </w:p>
    <w:p w:rsidR="00000000" w:rsidRDefault="001F233B">
      <w:pPr>
        <w:spacing w:after="0"/>
        <w:ind w:left="1440" w:hanging="1440"/>
        <w:rPr>
          <w:lang w:val="en-GB"/>
        </w:rPr>
      </w:pPr>
      <w:r>
        <w:rPr>
          <w:lang w:val="en-GB"/>
        </w:rPr>
        <w:t>VCE</w:t>
      </w:r>
      <w:r>
        <w:rPr>
          <w:lang w:val="en-GB"/>
        </w:rPr>
        <w:tab/>
        <w:t>Victorian Certificate of Education</w:t>
      </w:r>
    </w:p>
    <w:p w:rsidR="00000000" w:rsidRDefault="001F233B">
      <w:pPr>
        <w:spacing w:after="0"/>
        <w:ind w:left="1440" w:hanging="1440"/>
        <w:rPr>
          <w:lang w:val="en-GB"/>
        </w:rPr>
      </w:pPr>
      <w:r>
        <w:rPr>
          <w:lang w:val="en-GB"/>
        </w:rPr>
        <w:t>VCGA</w:t>
      </w:r>
      <w:r>
        <w:rPr>
          <w:lang w:val="en-GB"/>
        </w:rPr>
        <w:tab/>
        <w:t>Victorian Casino and Gaming Authority</w:t>
      </w:r>
    </w:p>
    <w:p w:rsidR="00000000" w:rsidRDefault="001F233B">
      <w:pPr>
        <w:spacing w:after="0"/>
        <w:ind w:left="1440" w:hanging="1440"/>
        <w:rPr>
          <w:lang w:val="en-GB"/>
        </w:rPr>
      </w:pPr>
      <w:r>
        <w:rPr>
          <w:lang w:val="en-GB"/>
        </w:rPr>
        <w:t>VDP</w:t>
      </w:r>
      <w:r>
        <w:rPr>
          <w:lang w:val="en-GB"/>
        </w:rPr>
        <w:tab/>
        <w:t>Voluntary Departure Package (redundancy payment)</w:t>
      </w:r>
    </w:p>
    <w:p w:rsidR="00000000" w:rsidRDefault="001F233B">
      <w:pPr>
        <w:spacing w:after="0"/>
        <w:ind w:left="1440" w:hanging="1440"/>
        <w:rPr>
          <w:lang w:val="en-GB"/>
        </w:rPr>
      </w:pPr>
      <w:r>
        <w:rPr>
          <w:lang w:val="en-GB"/>
        </w:rPr>
        <w:t>VET</w:t>
      </w:r>
      <w:r>
        <w:rPr>
          <w:lang w:val="en-GB"/>
        </w:rPr>
        <w:tab/>
        <w:t>Vocational and Educational Training</w:t>
      </w:r>
    </w:p>
    <w:p w:rsidR="00000000" w:rsidRDefault="001F233B">
      <w:pPr>
        <w:spacing w:after="0"/>
        <w:ind w:left="1440" w:hanging="1440"/>
        <w:rPr>
          <w:lang w:val="en-GB"/>
        </w:rPr>
      </w:pPr>
      <w:r>
        <w:rPr>
          <w:lang w:val="en-GB"/>
        </w:rPr>
        <w:t>VFI</w:t>
      </w:r>
      <w:r>
        <w:rPr>
          <w:lang w:val="en-GB"/>
        </w:rPr>
        <w:tab/>
        <w:t>Vertical F</w:t>
      </w:r>
      <w:r>
        <w:rPr>
          <w:lang w:val="en-GB"/>
        </w:rPr>
        <w:t>iscal Imbalance</w:t>
      </w:r>
    </w:p>
    <w:p w:rsidR="00000000" w:rsidRDefault="001F233B">
      <w:pPr>
        <w:spacing w:after="0"/>
        <w:ind w:left="1440" w:hanging="1440"/>
        <w:rPr>
          <w:lang w:val="en-GB"/>
        </w:rPr>
      </w:pPr>
      <w:r>
        <w:rPr>
          <w:lang w:val="en-GB"/>
        </w:rPr>
        <w:t>VWA</w:t>
      </w:r>
      <w:r>
        <w:rPr>
          <w:lang w:val="en-GB"/>
        </w:rPr>
        <w:tab/>
        <w:t>Victorian WorkCover Authority</w:t>
      </w:r>
    </w:p>
    <w:p w:rsidR="00000000" w:rsidRDefault="001F233B">
      <w:pPr>
        <w:rPr>
          <w:lang w:val="en-GB"/>
        </w:rPr>
        <w:sectPr w:rsidR="00000000">
          <w:headerReference w:type="even" r:id="rId16"/>
          <w:type w:val="oddPage"/>
          <w:pgSz w:w="11907" w:h="16840" w:code="9"/>
          <w:pgMar w:top="1440" w:right="3398" w:bottom="4075" w:left="1411" w:header="720" w:footer="4248" w:gutter="0"/>
          <w:pgNumType w:fmt="lowerRoman"/>
          <w:cols w:space="720"/>
        </w:sectPr>
      </w:pPr>
    </w:p>
    <w:p w:rsidR="00000000" w:rsidRDefault="001F233B">
      <w:pPr>
        <w:sectPr w:rsidR="00000000">
          <w:headerReference w:type="even" r:id="rId17"/>
          <w:footerReference w:type="even" r:id="rId18"/>
          <w:footerReference w:type="default" r:id="rId19"/>
          <w:type w:val="continuous"/>
          <w:pgSz w:w="11907" w:h="16840" w:code="9"/>
          <w:pgMar w:top="1440" w:right="3402" w:bottom="4082" w:left="1418" w:header="720" w:footer="4253" w:gutter="0"/>
          <w:cols w:space="720"/>
        </w:sectPr>
      </w:pPr>
    </w:p>
    <w:p w:rsidR="00000000" w:rsidRDefault="001F233B">
      <w:pPr>
        <w:pStyle w:val="Heading1"/>
      </w:pPr>
      <w:r>
        <w:lastRenderedPageBreak/>
        <w:br w:type="page"/>
      </w:r>
      <w:bookmarkStart w:id="2" w:name="_Toc417552061"/>
      <w:r>
        <w:lastRenderedPageBreak/>
        <w:t>Style Conventions for Charts and Tables in the Budget Statement</w:t>
      </w:r>
      <w:bookmarkEnd w:id="2"/>
    </w:p>
    <w:p w:rsidR="00000000" w:rsidRDefault="001F233B">
      <w:r>
        <w:t>Figures in the tables and in the text have been rounded. Discrepancies in tables between totals and sums of components reflect rounding. Percentage changes in all tables are based on the underlying unrounded amounts.</w:t>
      </w:r>
    </w:p>
    <w:p w:rsidR="00000000" w:rsidRDefault="001F233B">
      <w:r>
        <w:t>The notation used in the tables and charts is as follows:</w:t>
      </w:r>
    </w:p>
    <w:p w:rsidR="00000000" w:rsidRDefault="001F233B">
      <w:r>
        <w:t>LHS</w:t>
      </w:r>
      <w:r>
        <w:tab/>
      </w:r>
      <w:r>
        <w:tab/>
      </w:r>
      <w:r>
        <w:tab/>
        <w:t>left-hand-side</w:t>
      </w:r>
    </w:p>
    <w:p w:rsidR="00000000" w:rsidRDefault="001F233B">
      <w:r>
        <w:t>RHS</w:t>
      </w:r>
      <w:r>
        <w:tab/>
      </w:r>
      <w:r>
        <w:tab/>
      </w:r>
      <w:r>
        <w:tab/>
        <w:t>right-hand-side</w:t>
      </w:r>
    </w:p>
    <w:p w:rsidR="00000000" w:rsidRDefault="001F233B">
      <w:r>
        <w:t>s.a.</w:t>
      </w:r>
      <w:r>
        <w:tab/>
      </w:r>
      <w:r>
        <w:tab/>
      </w:r>
      <w:r>
        <w:tab/>
        <w:t>seasonally adjusted</w:t>
      </w:r>
    </w:p>
    <w:p w:rsidR="00000000" w:rsidRDefault="001F233B">
      <w:r>
        <w:t>n.a.</w:t>
      </w:r>
      <w:r>
        <w:tab/>
      </w:r>
      <w:r>
        <w:tab/>
      </w:r>
      <w:r>
        <w:tab/>
        <w:t>not available or not applicable</w:t>
      </w:r>
    </w:p>
    <w:p w:rsidR="00000000" w:rsidRDefault="001F233B">
      <w:r>
        <w:t>Cat. No.</w:t>
      </w:r>
      <w:r>
        <w:tab/>
      </w:r>
      <w:r>
        <w:tab/>
        <w:t>c</w:t>
      </w:r>
      <w:r>
        <w:t>atalogue number</w:t>
      </w:r>
    </w:p>
    <w:p w:rsidR="00000000" w:rsidRDefault="001F233B">
      <w:r>
        <w:t>1 billion</w:t>
      </w:r>
      <w:r>
        <w:tab/>
      </w:r>
      <w:r>
        <w:tab/>
        <w:t>1000 million</w:t>
      </w:r>
    </w:p>
    <w:p w:rsidR="00000000" w:rsidRDefault="001F233B">
      <w:r>
        <w:t>1 basis point</w:t>
      </w:r>
      <w:r>
        <w:tab/>
      </w:r>
      <w:r>
        <w:tab/>
        <w:t>0.01 per cent</w:t>
      </w:r>
    </w:p>
    <w:p w:rsidR="00000000" w:rsidRDefault="001F233B">
      <w:pPr>
        <w:sectPr w:rsidR="00000000">
          <w:footerReference w:type="even" r:id="rId20"/>
          <w:footerReference w:type="default" r:id="rId21"/>
          <w:type w:val="continuous"/>
          <w:pgSz w:w="11907" w:h="16840"/>
          <w:pgMar w:top="1440" w:right="3398" w:bottom="4075" w:left="1411" w:header="720" w:footer="4248" w:gutter="0"/>
          <w:pgNumType w:fmt="lowerRoman"/>
          <w:cols w:space="720"/>
        </w:sectPr>
      </w:pPr>
    </w:p>
    <w:p w:rsidR="00000000" w:rsidRDefault="001F233B">
      <w:pPr>
        <w:sectPr w:rsidR="00000000">
          <w:footerReference w:type="even" r:id="rId22"/>
          <w:footerReference w:type="default" r:id="rId23"/>
          <w:type w:val="continuous"/>
          <w:pgSz w:w="11907" w:h="16840" w:code="9"/>
          <w:pgMar w:top="1440" w:right="3402" w:bottom="4082" w:left="1418" w:header="720" w:footer="4253" w:gutter="0"/>
          <w:cols w:space="720"/>
        </w:sectPr>
      </w:pPr>
    </w:p>
    <w:p w:rsidR="00000000" w:rsidRDefault="001F233B">
      <w:pPr>
        <w:pStyle w:val="Heading1"/>
      </w:pPr>
      <w:bookmarkStart w:id="3" w:name="_Toc417119811"/>
      <w:bookmarkStart w:id="4" w:name="_Toc417552062"/>
      <w:r>
        <w:lastRenderedPageBreak/>
        <w:t>Chapter 1: Highlights</w:t>
      </w:r>
      <w:bookmarkEnd w:id="3"/>
      <w:bookmarkEnd w:id="4"/>
    </w:p>
    <w:p w:rsidR="00000000" w:rsidRDefault="001F233B">
      <w:pPr>
        <w:pStyle w:val="Heading2"/>
      </w:pPr>
      <w:bookmarkStart w:id="5" w:name="_Toc417552063"/>
      <w:r>
        <w:t>Budget summary</w:t>
      </w:r>
      <w:bookmarkEnd w:id="5"/>
    </w:p>
    <w:p w:rsidR="00000000" w:rsidRDefault="001F233B">
      <w:r>
        <w:t>The 1998-99 Victorian Budget involves two major initiatives:</w:t>
      </w:r>
    </w:p>
    <w:p w:rsidR="00000000" w:rsidRDefault="001F233B" w:rsidP="001F233B">
      <w:pPr>
        <w:pStyle w:val="BulletText"/>
        <w:numPr>
          <w:ilvl w:val="0"/>
          <w:numId w:val="1"/>
        </w:numPr>
      </w:pPr>
      <w:r>
        <w:t>substantial tax reductions and a major shift in priorities to emphasise key service delivery</w:t>
      </w:r>
      <w:r>
        <w:fldChar w:fldCharType="begin"/>
      </w:r>
      <w:r>
        <w:instrText>xe "Service delivery"</w:instrText>
      </w:r>
      <w:r>
        <w:fldChar w:fldCharType="end"/>
      </w:r>
      <w:r>
        <w:t xml:space="preserve"> programs, especially in health</w:t>
      </w:r>
      <w:r>
        <w:fldChar w:fldCharType="begin"/>
      </w:r>
      <w:r>
        <w:instrText>xe "Health"</w:instrText>
      </w:r>
      <w:r>
        <w:fldChar w:fldCharType="end"/>
      </w:r>
      <w:r>
        <w:t xml:space="preserve"> and education</w:t>
      </w:r>
      <w:r>
        <w:fldChar w:fldCharType="begin"/>
      </w:r>
      <w:r>
        <w:instrText>xe "Education"</w:instrText>
      </w:r>
      <w:r>
        <w:fldChar w:fldCharType="end"/>
      </w:r>
      <w:r>
        <w:t>; and</w:t>
      </w:r>
    </w:p>
    <w:p w:rsidR="00000000" w:rsidRDefault="001F233B" w:rsidP="001F233B">
      <w:pPr>
        <w:pStyle w:val="BulletText"/>
        <w:numPr>
          <w:ilvl w:val="0"/>
          <w:numId w:val="1"/>
        </w:numPr>
        <w:rPr>
          <w:lang w:val="en-AU"/>
        </w:rPr>
      </w:pPr>
      <w:r>
        <w:rPr>
          <w:lang w:val="en-AU"/>
        </w:rPr>
        <w:t xml:space="preserve">the </w:t>
      </w:r>
      <w:r>
        <w:t>introduction</w:t>
      </w:r>
      <w:r>
        <w:rPr>
          <w:lang w:val="en-AU"/>
        </w:rPr>
        <w:t xml:space="preserve"> of full accrual accounting into the Budget.</w:t>
      </w:r>
    </w:p>
    <w:p w:rsidR="00000000" w:rsidRDefault="001F233B">
      <w:r>
        <w:t>Key features of 1998</w:t>
      </w:r>
      <w:r>
        <w:noBreakHyphen/>
        <w:t>99 Budget include:</w:t>
      </w:r>
    </w:p>
    <w:p w:rsidR="00000000" w:rsidRDefault="001F233B" w:rsidP="001F233B">
      <w:pPr>
        <w:pStyle w:val="BulletText"/>
        <w:numPr>
          <w:ilvl w:val="0"/>
          <w:numId w:val="1"/>
        </w:numPr>
      </w:pPr>
      <w:r>
        <w:t>new spending initiatives</w:t>
      </w:r>
      <w:r>
        <w:fldChar w:fldCharType="begin"/>
      </w:r>
      <w:r>
        <w:instrText>xe "Spending initiativ</w:instrText>
      </w:r>
      <w:r>
        <w:instrText>es"</w:instrText>
      </w:r>
      <w:r>
        <w:fldChar w:fldCharType="end"/>
      </w:r>
      <w:r>
        <w:t xml:space="preserve"> totalling $233 million in 1998</w:t>
      </w:r>
      <w:r>
        <w:noBreakHyphen/>
        <w:t>99, rising to $271 million in 1999</w:t>
      </w:r>
      <w:r>
        <w:noBreakHyphen/>
        <w:t>2000;</w:t>
      </w:r>
    </w:p>
    <w:p w:rsidR="00000000" w:rsidRDefault="001F233B" w:rsidP="001F233B">
      <w:pPr>
        <w:pStyle w:val="BulletText"/>
        <w:numPr>
          <w:ilvl w:val="0"/>
          <w:numId w:val="1"/>
        </w:numPr>
      </w:pPr>
      <w:r>
        <w:t>taxation relief totalling $132 million in a full year, including a further cut in payroll tax</w:t>
      </w:r>
      <w:r>
        <w:fldChar w:fldCharType="begin"/>
      </w:r>
      <w:r>
        <w:instrText>xe "Tax:Payroll tax"</w:instrText>
      </w:r>
      <w:r>
        <w:fldChar w:fldCharType="end"/>
      </w:r>
      <w:r>
        <w:fldChar w:fldCharType="begin"/>
      </w:r>
      <w:r>
        <w:instrText>xe "Payroll tax"</w:instrText>
      </w:r>
      <w:r>
        <w:fldChar w:fldCharType="end"/>
      </w:r>
      <w:r>
        <w:t xml:space="preserve"> and reductions in stamp duty on residential and other property purchases;</w:t>
      </w:r>
    </w:p>
    <w:p w:rsidR="00000000" w:rsidRDefault="001F233B" w:rsidP="001F233B">
      <w:pPr>
        <w:pStyle w:val="BulletText"/>
        <w:numPr>
          <w:ilvl w:val="0"/>
          <w:numId w:val="1"/>
        </w:numPr>
      </w:pPr>
      <w:r>
        <w:t>new infrastructure</w:t>
      </w:r>
      <w:r>
        <w:fldChar w:fldCharType="begin"/>
      </w:r>
      <w:r>
        <w:instrText>xe "Economy:Infrastructure"</w:instrText>
      </w:r>
      <w:r>
        <w:fldChar w:fldCharType="end"/>
      </w:r>
      <w:r>
        <w:t xml:space="preserve"> projects with a total estimated cost of $755 million;</w:t>
      </w:r>
    </w:p>
    <w:p w:rsidR="00000000" w:rsidRDefault="001F233B" w:rsidP="001F233B">
      <w:pPr>
        <w:pStyle w:val="BulletText"/>
        <w:numPr>
          <w:ilvl w:val="0"/>
          <w:numId w:val="1"/>
        </w:numPr>
      </w:pPr>
      <w:r>
        <w:t xml:space="preserve">a budget surplus on the old cash budgeting basis of $165 million in </w:t>
      </w:r>
      <w:r>
        <w:rPr>
          <w:lang w:val="en-AU"/>
        </w:rPr>
        <w:t>1998</w:t>
      </w:r>
      <w:r>
        <w:rPr>
          <w:lang w:val="en-AU"/>
        </w:rPr>
        <w:noBreakHyphen/>
        <w:t>99</w:t>
      </w:r>
      <w:r>
        <w:t>;</w:t>
      </w:r>
    </w:p>
    <w:p w:rsidR="00000000" w:rsidRDefault="001F233B" w:rsidP="001F233B">
      <w:pPr>
        <w:pStyle w:val="BulletText"/>
        <w:numPr>
          <w:ilvl w:val="0"/>
          <w:numId w:val="1"/>
        </w:numPr>
      </w:pPr>
      <w:r>
        <w:t>on the new accrual basis, an operating surplus</w:t>
      </w:r>
      <w:r>
        <w:fldChar w:fldCharType="begin"/>
      </w:r>
      <w:r>
        <w:instrText>x</w:instrText>
      </w:r>
      <w:r>
        <w:instrText>e "Operating surplus"</w:instrText>
      </w:r>
      <w:r>
        <w:fldChar w:fldCharType="end"/>
      </w:r>
      <w:r>
        <w:t xml:space="preserve"> of $767 million in 1998</w:t>
      </w:r>
      <w:r>
        <w:noBreakHyphen/>
        <w:t>99 - revenues rise by 1.6 per cent on the revised estimate for 1997</w:t>
      </w:r>
      <w:r>
        <w:noBreakHyphen/>
        <w:t>98 and expenses rise by 3.9 per cent;</w:t>
      </w:r>
    </w:p>
    <w:p w:rsidR="00000000" w:rsidRDefault="001F233B" w:rsidP="001F233B">
      <w:pPr>
        <w:pStyle w:val="BulletText"/>
        <w:numPr>
          <w:ilvl w:val="0"/>
          <w:numId w:val="1"/>
        </w:numPr>
      </w:pPr>
      <w:r>
        <w:t>public sector net debt</w:t>
      </w:r>
      <w:r>
        <w:fldChar w:fldCharType="begin"/>
      </w:r>
      <w:r>
        <w:instrText>xe "Public sector net debt"</w:instrText>
      </w:r>
      <w:r>
        <w:fldChar w:fldCharType="end"/>
      </w:r>
      <w:r>
        <w:t xml:space="preserve"> falling to around $10 900 million by 30 June 1999, one</w:t>
      </w:r>
      <w:r>
        <w:noBreakHyphen/>
        <w:t>third its level in 1994, before any allowance is made for the use of further privatisation</w:t>
      </w:r>
      <w:r>
        <w:fldChar w:fldCharType="begin"/>
      </w:r>
      <w:r>
        <w:instrText>xe "Privatisation"</w:instrText>
      </w:r>
      <w:r>
        <w:fldChar w:fldCharType="end"/>
      </w:r>
      <w:r>
        <w:t xml:space="preserve"> proceeds; and</w:t>
      </w:r>
    </w:p>
    <w:p w:rsidR="00000000" w:rsidRDefault="001F233B" w:rsidP="001F233B">
      <w:pPr>
        <w:pStyle w:val="BulletText"/>
        <w:numPr>
          <w:ilvl w:val="0"/>
          <w:numId w:val="1"/>
        </w:numPr>
      </w:pPr>
      <w:r>
        <w:t>a projected slowdown in economic growth</w:t>
      </w:r>
      <w:r>
        <w:fldChar w:fldCharType="begin"/>
      </w:r>
      <w:r>
        <w:instrText>xe "Economic growth"</w:instrText>
      </w:r>
      <w:r>
        <w:fldChar w:fldCharType="end"/>
      </w:r>
      <w:r>
        <w:t xml:space="preserve"> to 2 ¾ per cent in 1998</w:t>
      </w:r>
      <w:r>
        <w:noBreakHyphen/>
        <w:t>99 as the difficulties in East Asia</w:t>
      </w:r>
      <w:r>
        <w:fldChar w:fldCharType="begin"/>
      </w:r>
      <w:r>
        <w:instrText>xe "E</w:instrText>
      </w:r>
      <w:r>
        <w:instrText>conomy:East Asia"</w:instrText>
      </w:r>
      <w:r>
        <w:fldChar w:fldCharType="end"/>
      </w:r>
      <w:r>
        <w:t xml:space="preserve"> make their impact. Nevertheless, jobs growth of 1 ½ per cent is projected in 1998</w:t>
      </w:r>
      <w:r>
        <w:noBreakHyphen/>
        <w:t>99.</w:t>
      </w:r>
    </w:p>
    <w:p w:rsidR="00000000" w:rsidRDefault="001F233B">
      <w:bookmarkStart w:id="6" w:name="_Toc417119812"/>
      <w:r>
        <w:br w:type="page"/>
      </w:r>
      <w:r>
        <w:lastRenderedPageBreak/>
        <w:t>The introduction of full accrual accounting has major impacts on the presentation of the State Budget. Depreciation, the increase in unfunded superannuation entitlements and other non</w:t>
      </w:r>
      <w:r>
        <w:noBreakHyphen/>
        <w:t>cash costs are included as expenses for the first time. However, unlike the treatment under traditional cash budgeting, gross investment</w:t>
      </w:r>
      <w:r>
        <w:fldChar w:fldCharType="begin"/>
      </w:r>
      <w:r>
        <w:instrText>xe "Economy:Investment"</w:instrText>
      </w:r>
      <w:r>
        <w:fldChar w:fldCharType="end"/>
      </w:r>
      <w:r>
        <w:t xml:space="preserve"> in assets is not included as an expenditure item in the budg</w:t>
      </w:r>
      <w:r>
        <w:t>et operating statement</w:t>
      </w:r>
      <w:r>
        <w:fldChar w:fldCharType="begin"/>
      </w:r>
      <w:r>
        <w:instrText>xe "Operating statement"</w:instrText>
      </w:r>
      <w:r>
        <w:fldChar w:fldCharType="end"/>
      </w:r>
      <w:r>
        <w:t>. Since asset investment exceeds the aforementioned non</w:t>
      </w:r>
      <w:r>
        <w:noBreakHyphen/>
        <w:t>cash expenses, the reported budget operating surplus</w:t>
      </w:r>
      <w:r>
        <w:fldChar w:fldCharType="begin"/>
      </w:r>
      <w:r>
        <w:instrText>xe "Operating surplus"</w:instrText>
      </w:r>
      <w:r>
        <w:fldChar w:fldCharType="end"/>
      </w:r>
      <w:r>
        <w:t xml:space="preserve"> will generally exceed the traditional cash</w:t>
      </w:r>
      <w:r>
        <w:noBreakHyphen/>
        <w:t>based surplus. The difference between the two measures reflects the contribution that the operating surplus must make to fund gross investment in assets; a contribution formerly directly covered in the traditional cash</w:t>
      </w:r>
      <w:r>
        <w:noBreakHyphen/>
        <w:t>base Budget.</w:t>
      </w:r>
    </w:p>
    <w:p w:rsidR="00000000" w:rsidRDefault="001F233B">
      <w:r>
        <w:t>As in previous years, the budget data also includes a nu</w:t>
      </w:r>
      <w:r>
        <w:t>mber of one-off expenses and temporary revenue streams that have a substantial impact on the budget position</w:t>
      </w:r>
      <w:r>
        <w:fldChar w:fldCharType="begin"/>
      </w:r>
      <w:r>
        <w:instrText>xe "Budget:Position"</w:instrText>
      </w:r>
      <w:r>
        <w:fldChar w:fldCharType="end"/>
      </w:r>
      <w:r>
        <w:t xml:space="preserve"> over the forward estimates period but not beyond it. In order to ensure responsible financial management, budget planning decisions exclude these temporary effects and focus on the underlying or sustainable position. To understand the future sustainable position it is necessary to remove these one-off and temporary effects. </w:t>
      </w:r>
    </w:p>
    <w:p w:rsidR="00000000" w:rsidRDefault="001F233B">
      <w:r>
        <w:t>Table 1.1 sets out the budget results throughout the f</w:t>
      </w:r>
      <w:r>
        <w:t>orward estimates period and allows a comparison with the sustainable surplus on a cash basis as reported in previous years.</w:t>
      </w:r>
    </w:p>
    <w:p w:rsidR="00000000" w:rsidRDefault="001F233B">
      <w:pPr>
        <w:pStyle w:val="Tableheading"/>
      </w:pPr>
      <w:bookmarkStart w:id="7" w:name="_Toc417552732"/>
      <w:r>
        <w:t>Table 1.1: Sustainable Operating Surplus Required to Fund Gross Investment</w:t>
      </w:r>
      <w:r>
        <w:fldChar w:fldCharType="begin"/>
      </w:r>
      <w:r>
        <w:instrText>xe "Economy:Investment"</w:instrText>
      </w:r>
      <w:r>
        <w:fldChar w:fldCharType="end"/>
      </w:r>
      <w:r>
        <w:t xml:space="preserve"> in Assets</w:t>
      </w:r>
      <w:bookmarkEnd w:id="7"/>
    </w:p>
    <w:p w:rsidR="00000000" w:rsidRDefault="001F233B">
      <w:pPr>
        <w:spacing w:after="0"/>
        <w:jc w:val="center"/>
        <w:rPr>
          <w:rFonts w:ascii="Arial" w:hAnsi="Arial"/>
          <w:i/>
          <w:noProof/>
          <w:sz w:val="18"/>
        </w:rPr>
      </w:pPr>
      <w:r>
        <w:rPr>
          <w:rFonts w:ascii="Arial" w:hAnsi="Arial"/>
          <w:i/>
          <w:sz w:val="18"/>
        </w:rPr>
        <w:t xml:space="preserve">$ million </w:t>
      </w:r>
    </w:p>
    <w:tbl>
      <w:tblPr>
        <w:tblW w:w="0" w:type="auto"/>
        <w:tblLayout w:type="fixed"/>
        <w:tblCellMar>
          <w:left w:w="30" w:type="dxa"/>
          <w:right w:w="30" w:type="dxa"/>
        </w:tblCellMar>
        <w:tblLook w:val="0000" w:firstRow="0" w:lastRow="0" w:firstColumn="0" w:lastColumn="0" w:noHBand="0" w:noVBand="0"/>
      </w:tblPr>
      <w:tblGrid>
        <w:gridCol w:w="3630"/>
        <w:gridCol w:w="877"/>
        <w:gridCol w:w="878"/>
        <w:gridCol w:w="877"/>
        <w:gridCol w:w="878"/>
      </w:tblGrid>
      <w:tr w:rsidR="00000000">
        <w:tblPrEx>
          <w:tblCellMar>
            <w:top w:w="0" w:type="dxa"/>
            <w:bottom w:w="0" w:type="dxa"/>
          </w:tblCellMar>
        </w:tblPrEx>
        <w:trPr>
          <w:trHeight w:hRule="exact" w:val="240"/>
        </w:trPr>
        <w:tc>
          <w:tcPr>
            <w:tcW w:w="3630" w:type="dxa"/>
            <w:tcBorders>
              <w:top w:val="single" w:sz="6" w:space="0" w:color="auto"/>
            </w:tcBorders>
          </w:tcPr>
          <w:p w:rsidR="00000000" w:rsidRDefault="001F233B">
            <w:pPr>
              <w:jc w:val="right"/>
              <w:rPr>
                <w:rFonts w:ascii="Arial" w:hAnsi="Arial"/>
                <w:color w:val="000000"/>
                <w:sz w:val="18"/>
              </w:rPr>
            </w:pPr>
          </w:p>
        </w:tc>
        <w:tc>
          <w:tcPr>
            <w:tcW w:w="877"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1998-99</w:t>
            </w:r>
          </w:p>
        </w:tc>
        <w:tc>
          <w:tcPr>
            <w:tcW w:w="878"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1999-00</w:t>
            </w:r>
          </w:p>
        </w:tc>
        <w:tc>
          <w:tcPr>
            <w:tcW w:w="877"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2000-01</w:t>
            </w:r>
          </w:p>
        </w:tc>
        <w:tc>
          <w:tcPr>
            <w:tcW w:w="878"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2001-02</w:t>
            </w:r>
          </w:p>
        </w:tc>
      </w:tr>
      <w:tr w:rsidR="00000000">
        <w:tblPrEx>
          <w:tblCellMar>
            <w:top w:w="0" w:type="dxa"/>
            <w:bottom w:w="0" w:type="dxa"/>
          </w:tblCellMar>
        </w:tblPrEx>
        <w:trPr>
          <w:trHeight w:hRule="exact" w:val="240"/>
        </w:trPr>
        <w:tc>
          <w:tcPr>
            <w:tcW w:w="3630" w:type="dxa"/>
            <w:tcBorders>
              <w:bottom w:val="single" w:sz="6" w:space="0" w:color="auto"/>
            </w:tcBorders>
          </w:tcPr>
          <w:p w:rsidR="00000000" w:rsidRDefault="001F233B">
            <w:pPr>
              <w:jc w:val="right"/>
              <w:rPr>
                <w:rFonts w:ascii="Arial" w:hAnsi="Arial"/>
                <w:color w:val="000000"/>
                <w:sz w:val="18"/>
              </w:rPr>
            </w:pPr>
          </w:p>
        </w:tc>
        <w:tc>
          <w:tcPr>
            <w:tcW w:w="877"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Budget</w:t>
            </w:r>
          </w:p>
        </w:tc>
        <w:tc>
          <w:tcPr>
            <w:tcW w:w="878"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Estimate</w:t>
            </w:r>
          </w:p>
        </w:tc>
        <w:tc>
          <w:tcPr>
            <w:tcW w:w="877"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Estimate</w:t>
            </w:r>
          </w:p>
        </w:tc>
        <w:tc>
          <w:tcPr>
            <w:tcW w:w="878"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Estimate</w:t>
            </w:r>
          </w:p>
        </w:tc>
      </w:tr>
      <w:tr w:rsidR="00000000">
        <w:tblPrEx>
          <w:tblCellMar>
            <w:top w:w="0" w:type="dxa"/>
            <w:bottom w:w="0" w:type="dxa"/>
          </w:tblCellMar>
        </w:tblPrEx>
        <w:trPr>
          <w:trHeight w:hRule="exact" w:val="240"/>
        </w:trPr>
        <w:tc>
          <w:tcPr>
            <w:tcW w:w="3630" w:type="dxa"/>
          </w:tcPr>
          <w:p w:rsidR="00000000" w:rsidRDefault="001F233B">
            <w:pPr>
              <w:jc w:val="right"/>
              <w:rPr>
                <w:rFonts w:ascii="Arial" w:hAnsi="Arial"/>
                <w:color w:val="000000"/>
                <w:sz w:val="18"/>
              </w:rPr>
            </w:pPr>
          </w:p>
        </w:tc>
        <w:tc>
          <w:tcPr>
            <w:tcW w:w="877" w:type="dxa"/>
          </w:tcPr>
          <w:p w:rsidR="00000000" w:rsidRDefault="001F233B">
            <w:pPr>
              <w:jc w:val="right"/>
              <w:rPr>
                <w:rFonts w:ascii="Arial" w:hAnsi="Arial"/>
                <w:color w:val="000000"/>
                <w:sz w:val="18"/>
              </w:rPr>
            </w:pPr>
          </w:p>
        </w:tc>
        <w:tc>
          <w:tcPr>
            <w:tcW w:w="878" w:type="dxa"/>
          </w:tcPr>
          <w:p w:rsidR="00000000" w:rsidRDefault="001F233B">
            <w:pPr>
              <w:jc w:val="right"/>
              <w:rPr>
                <w:rFonts w:ascii="Arial" w:hAnsi="Arial"/>
                <w:color w:val="000000"/>
                <w:sz w:val="18"/>
              </w:rPr>
            </w:pPr>
          </w:p>
        </w:tc>
        <w:tc>
          <w:tcPr>
            <w:tcW w:w="877" w:type="dxa"/>
          </w:tcPr>
          <w:p w:rsidR="00000000" w:rsidRDefault="001F233B">
            <w:pPr>
              <w:jc w:val="right"/>
              <w:rPr>
                <w:rFonts w:ascii="Arial" w:hAnsi="Arial"/>
                <w:color w:val="000000"/>
                <w:sz w:val="18"/>
              </w:rPr>
            </w:pPr>
          </w:p>
        </w:tc>
        <w:tc>
          <w:tcPr>
            <w:tcW w:w="878"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3630" w:type="dxa"/>
          </w:tcPr>
          <w:p w:rsidR="00000000" w:rsidRDefault="001F233B">
            <w:pPr>
              <w:rPr>
                <w:rFonts w:ascii="Arial" w:hAnsi="Arial"/>
                <w:color w:val="000000"/>
                <w:sz w:val="18"/>
              </w:rPr>
            </w:pPr>
            <w:r>
              <w:rPr>
                <w:rFonts w:ascii="Arial" w:hAnsi="Arial"/>
                <w:color w:val="000000"/>
                <w:sz w:val="18"/>
              </w:rPr>
              <w:t>Operating Surplus (excluding Abnormals)</w:t>
            </w:r>
          </w:p>
        </w:tc>
        <w:tc>
          <w:tcPr>
            <w:tcW w:w="877" w:type="dxa"/>
          </w:tcPr>
          <w:p w:rsidR="00000000" w:rsidRDefault="001F233B">
            <w:pPr>
              <w:jc w:val="right"/>
              <w:rPr>
                <w:rFonts w:ascii="Arial" w:hAnsi="Arial"/>
                <w:color w:val="000000"/>
                <w:sz w:val="18"/>
              </w:rPr>
            </w:pPr>
            <w:r>
              <w:rPr>
                <w:rFonts w:ascii="Arial" w:hAnsi="Arial"/>
                <w:color w:val="000000"/>
                <w:sz w:val="18"/>
              </w:rPr>
              <w:t xml:space="preserve"> 767.3</w:t>
            </w:r>
          </w:p>
        </w:tc>
        <w:tc>
          <w:tcPr>
            <w:tcW w:w="878" w:type="dxa"/>
          </w:tcPr>
          <w:p w:rsidR="00000000" w:rsidRDefault="001F233B">
            <w:pPr>
              <w:jc w:val="right"/>
              <w:rPr>
                <w:rFonts w:ascii="Arial" w:hAnsi="Arial"/>
                <w:color w:val="000000"/>
                <w:sz w:val="18"/>
              </w:rPr>
            </w:pPr>
            <w:r>
              <w:rPr>
                <w:rFonts w:ascii="Arial" w:hAnsi="Arial"/>
                <w:color w:val="000000"/>
                <w:sz w:val="18"/>
              </w:rPr>
              <w:t xml:space="preserve"> 970.9</w:t>
            </w:r>
          </w:p>
        </w:tc>
        <w:tc>
          <w:tcPr>
            <w:tcW w:w="877" w:type="dxa"/>
          </w:tcPr>
          <w:p w:rsidR="00000000" w:rsidRDefault="001F233B">
            <w:pPr>
              <w:jc w:val="right"/>
              <w:rPr>
                <w:rFonts w:ascii="Arial" w:hAnsi="Arial"/>
                <w:color w:val="000000"/>
                <w:sz w:val="18"/>
              </w:rPr>
            </w:pPr>
            <w:r>
              <w:rPr>
                <w:rFonts w:ascii="Arial" w:hAnsi="Arial"/>
                <w:color w:val="000000"/>
                <w:sz w:val="18"/>
              </w:rPr>
              <w:t xml:space="preserve"> 920.9</w:t>
            </w:r>
          </w:p>
        </w:tc>
        <w:tc>
          <w:tcPr>
            <w:tcW w:w="878" w:type="dxa"/>
          </w:tcPr>
          <w:p w:rsidR="00000000" w:rsidRDefault="001F233B">
            <w:pPr>
              <w:jc w:val="right"/>
              <w:rPr>
                <w:rFonts w:ascii="Arial" w:hAnsi="Arial"/>
                <w:color w:val="000000"/>
                <w:sz w:val="18"/>
              </w:rPr>
            </w:pPr>
            <w:r>
              <w:rPr>
                <w:rFonts w:ascii="Arial" w:hAnsi="Arial"/>
                <w:color w:val="000000"/>
                <w:sz w:val="18"/>
              </w:rPr>
              <w:t xml:space="preserve"> 949.2</w:t>
            </w:r>
          </w:p>
        </w:tc>
      </w:tr>
      <w:tr w:rsidR="00000000">
        <w:tblPrEx>
          <w:tblCellMar>
            <w:top w:w="0" w:type="dxa"/>
            <w:bottom w:w="0" w:type="dxa"/>
          </w:tblCellMar>
        </w:tblPrEx>
        <w:trPr>
          <w:trHeight w:hRule="exact" w:val="240"/>
        </w:trPr>
        <w:tc>
          <w:tcPr>
            <w:tcW w:w="3630" w:type="dxa"/>
          </w:tcPr>
          <w:p w:rsidR="00000000" w:rsidRDefault="001F233B">
            <w:pPr>
              <w:rPr>
                <w:rFonts w:ascii="Arial" w:hAnsi="Arial"/>
                <w:color w:val="000000"/>
                <w:sz w:val="18"/>
              </w:rPr>
            </w:pPr>
          </w:p>
        </w:tc>
        <w:tc>
          <w:tcPr>
            <w:tcW w:w="877" w:type="dxa"/>
          </w:tcPr>
          <w:p w:rsidR="00000000" w:rsidRDefault="001F233B">
            <w:pPr>
              <w:jc w:val="right"/>
              <w:rPr>
                <w:rFonts w:ascii="Arial" w:hAnsi="Arial"/>
                <w:color w:val="000000"/>
                <w:sz w:val="18"/>
              </w:rPr>
            </w:pPr>
          </w:p>
        </w:tc>
        <w:tc>
          <w:tcPr>
            <w:tcW w:w="878" w:type="dxa"/>
          </w:tcPr>
          <w:p w:rsidR="00000000" w:rsidRDefault="001F233B">
            <w:pPr>
              <w:jc w:val="right"/>
              <w:rPr>
                <w:rFonts w:ascii="Arial" w:hAnsi="Arial"/>
                <w:color w:val="000000"/>
                <w:sz w:val="18"/>
              </w:rPr>
            </w:pPr>
          </w:p>
        </w:tc>
        <w:tc>
          <w:tcPr>
            <w:tcW w:w="877" w:type="dxa"/>
          </w:tcPr>
          <w:p w:rsidR="00000000" w:rsidRDefault="001F233B">
            <w:pPr>
              <w:jc w:val="right"/>
              <w:rPr>
                <w:rFonts w:ascii="Arial" w:hAnsi="Arial"/>
                <w:color w:val="000000"/>
                <w:sz w:val="18"/>
              </w:rPr>
            </w:pPr>
          </w:p>
        </w:tc>
        <w:tc>
          <w:tcPr>
            <w:tcW w:w="878"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480"/>
        </w:trPr>
        <w:tc>
          <w:tcPr>
            <w:tcW w:w="3630" w:type="dxa"/>
          </w:tcPr>
          <w:p w:rsidR="00000000" w:rsidRDefault="001F233B">
            <w:pPr>
              <w:jc w:val="left"/>
              <w:rPr>
                <w:rFonts w:ascii="Arial" w:hAnsi="Arial"/>
                <w:color w:val="000000"/>
                <w:sz w:val="18"/>
              </w:rPr>
            </w:pPr>
            <w:r>
              <w:rPr>
                <w:rFonts w:ascii="Arial" w:hAnsi="Arial"/>
                <w:color w:val="000000"/>
                <w:sz w:val="18"/>
              </w:rPr>
              <w:t>Less : One-off expenses &amp; temporary revenue streams</w:t>
            </w:r>
          </w:p>
        </w:tc>
        <w:tc>
          <w:tcPr>
            <w:tcW w:w="877" w:type="dxa"/>
          </w:tcPr>
          <w:p w:rsidR="00000000" w:rsidRDefault="001F233B">
            <w:pPr>
              <w:jc w:val="right"/>
              <w:rPr>
                <w:rFonts w:ascii="Arial" w:hAnsi="Arial"/>
                <w:color w:val="000000"/>
                <w:sz w:val="18"/>
              </w:rPr>
            </w:pPr>
            <w:r>
              <w:rPr>
                <w:rFonts w:ascii="Arial" w:hAnsi="Arial"/>
                <w:color w:val="000000"/>
                <w:sz w:val="18"/>
              </w:rPr>
              <w:t xml:space="preserve"> 66.2</w:t>
            </w:r>
          </w:p>
        </w:tc>
        <w:tc>
          <w:tcPr>
            <w:tcW w:w="878" w:type="dxa"/>
          </w:tcPr>
          <w:p w:rsidR="00000000" w:rsidRDefault="001F233B">
            <w:pPr>
              <w:jc w:val="right"/>
              <w:rPr>
                <w:rFonts w:ascii="Arial" w:hAnsi="Arial"/>
                <w:color w:val="000000"/>
                <w:sz w:val="18"/>
              </w:rPr>
            </w:pPr>
            <w:r>
              <w:rPr>
                <w:rFonts w:ascii="Arial" w:hAnsi="Arial"/>
                <w:color w:val="000000"/>
                <w:sz w:val="18"/>
              </w:rPr>
              <w:t xml:space="preserve"> 316.5</w:t>
            </w:r>
          </w:p>
        </w:tc>
        <w:tc>
          <w:tcPr>
            <w:tcW w:w="877" w:type="dxa"/>
          </w:tcPr>
          <w:p w:rsidR="00000000" w:rsidRDefault="001F233B">
            <w:pPr>
              <w:jc w:val="right"/>
              <w:rPr>
                <w:rFonts w:ascii="Arial" w:hAnsi="Arial"/>
                <w:color w:val="000000"/>
                <w:sz w:val="18"/>
              </w:rPr>
            </w:pPr>
            <w:r>
              <w:rPr>
                <w:rFonts w:ascii="Arial" w:hAnsi="Arial"/>
                <w:color w:val="000000"/>
                <w:sz w:val="18"/>
              </w:rPr>
              <w:t xml:space="preserve"> 185.3</w:t>
            </w:r>
          </w:p>
        </w:tc>
        <w:tc>
          <w:tcPr>
            <w:tcW w:w="878" w:type="dxa"/>
          </w:tcPr>
          <w:p w:rsidR="00000000" w:rsidRDefault="001F233B">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3630" w:type="dxa"/>
          </w:tcPr>
          <w:p w:rsidR="00000000" w:rsidRDefault="001F233B">
            <w:pPr>
              <w:jc w:val="right"/>
              <w:rPr>
                <w:rFonts w:ascii="Arial" w:hAnsi="Arial"/>
                <w:color w:val="000000"/>
                <w:sz w:val="18"/>
              </w:rPr>
            </w:pPr>
          </w:p>
        </w:tc>
        <w:tc>
          <w:tcPr>
            <w:tcW w:w="877" w:type="dxa"/>
          </w:tcPr>
          <w:p w:rsidR="00000000" w:rsidRDefault="001F233B">
            <w:pPr>
              <w:jc w:val="right"/>
              <w:rPr>
                <w:rFonts w:ascii="Arial" w:hAnsi="Arial"/>
                <w:color w:val="000000"/>
                <w:sz w:val="18"/>
              </w:rPr>
            </w:pPr>
          </w:p>
        </w:tc>
        <w:tc>
          <w:tcPr>
            <w:tcW w:w="878" w:type="dxa"/>
          </w:tcPr>
          <w:p w:rsidR="00000000" w:rsidRDefault="001F233B">
            <w:pPr>
              <w:jc w:val="right"/>
              <w:rPr>
                <w:rFonts w:ascii="Arial" w:hAnsi="Arial"/>
                <w:color w:val="000000"/>
                <w:sz w:val="18"/>
              </w:rPr>
            </w:pPr>
          </w:p>
        </w:tc>
        <w:tc>
          <w:tcPr>
            <w:tcW w:w="877" w:type="dxa"/>
          </w:tcPr>
          <w:p w:rsidR="00000000" w:rsidRDefault="001F233B">
            <w:pPr>
              <w:jc w:val="right"/>
              <w:rPr>
                <w:rFonts w:ascii="Arial" w:hAnsi="Arial"/>
                <w:color w:val="000000"/>
                <w:sz w:val="18"/>
              </w:rPr>
            </w:pPr>
          </w:p>
        </w:tc>
        <w:tc>
          <w:tcPr>
            <w:tcW w:w="878"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3630" w:type="dxa"/>
            <w:tcBorders>
              <w:top w:val="single" w:sz="6" w:space="0" w:color="auto"/>
              <w:bottom w:val="single" w:sz="6" w:space="0" w:color="auto"/>
            </w:tcBorders>
          </w:tcPr>
          <w:p w:rsidR="00000000" w:rsidRDefault="001F233B">
            <w:pPr>
              <w:rPr>
                <w:rFonts w:ascii="Arial" w:hAnsi="Arial"/>
                <w:color w:val="000000"/>
                <w:sz w:val="18"/>
              </w:rPr>
            </w:pPr>
            <w:r>
              <w:rPr>
                <w:rFonts w:ascii="Arial" w:hAnsi="Arial"/>
                <w:color w:val="000000"/>
                <w:sz w:val="18"/>
              </w:rPr>
              <w:t>Sustainable Operating Surplus</w:t>
            </w:r>
          </w:p>
        </w:tc>
        <w:tc>
          <w:tcPr>
            <w:tcW w:w="877" w:type="dxa"/>
            <w:tcBorders>
              <w:top w:val="single" w:sz="6" w:space="0" w:color="auto"/>
              <w:bottom w:val="single" w:sz="6" w:space="0" w:color="auto"/>
            </w:tcBorders>
          </w:tcPr>
          <w:p w:rsidR="00000000" w:rsidRDefault="001F233B">
            <w:pPr>
              <w:jc w:val="right"/>
              <w:rPr>
                <w:rFonts w:ascii="Arial" w:hAnsi="Arial"/>
                <w:color w:val="000000"/>
                <w:sz w:val="18"/>
              </w:rPr>
            </w:pPr>
            <w:r>
              <w:rPr>
                <w:rFonts w:ascii="Arial" w:hAnsi="Arial"/>
                <w:color w:val="000000"/>
                <w:sz w:val="18"/>
              </w:rPr>
              <w:t xml:space="preserve"> 701</w:t>
            </w:r>
            <w:r>
              <w:rPr>
                <w:rFonts w:ascii="Arial" w:hAnsi="Arial"/>
                <w:color w:val="000000"/>
                <w:sz w:val="18"/>
              </w:rPr>
              <w:t>.1</w:t>
            </w:r>
          </w:p>
        </w:tc>
        <w:tc>
          <w:tcPr>
            <w:tcW w:w="878" w:type="dxa"/>
            <w:tcBorders>
              <w:top w:val="single" w:sz="6" w:space="0" w:color="auto"/>
              <w:bottom w:val="single" w:sz="6" w:space="0" w:color="auto"/>
            </w:tcBorders>
          </w:tcPr>
          <w:p w:rsidR="00000000" w:rsidRDefault="001F233B">
            <w:pPr>
              <w:jc w:val="right"/>
              <w:rPr>
                <w:rFonts w:ascii="Arial" w:hAnsi="Arial"/>
                <w:color w:val="000000"/>
                <w:sz w:val="18"/>
              </w:rPr>
            </w:pPr>
            <w:r>
              <w:rPr>
                <w:rFonts w:ascii="Arial" w:hAnsi="Arial"/>
                <w:color w:val="000000"/>
                <w:sz w:val="18"/>
              </w:rPr>
              <w:t xml:space="preserve"> 654.4</w:t>
            </w:r>
          </w:p>
        </w:tc>
        <w:tc>
          <w:tcPr>
            <w:tcW w:w="877" w:type="dxa"/>
            <w:tcBorders>
              <w:top w:val="single" w:sz="6" w:space="0" w:color="auto"/>
              <w:bottom w:val="single" w:sz="6" w:space="0" w:color="auto"/>
            </w:tcBorders>
          </w:tcPr>
          <w:p w:rsidR="00000000" w:rsidRDefault="001F233B">
            <w:pPr>
              <w:jc w:val="right"/>
              <w:rPr>
                <w:rFonts w:ascii="Arial" w:hAnsi="Arial"/>
                <w:color w:val="000000"/>
                <w:sz w:val="18"/>
              </w:rPr>
            </w:pPr>
            <w:r>
              <w:rPr>
                <w:rFonts w:ascii="Arial" w:hAnsi="Arial"/>
                <w:color w:val="000000"/>
                <w:sz w:val="18"/>
              </w:rPr>
              <w:t xml:space="preserve"> 735.5</w:t>
            </w:r>
          </w:p>
        </w:tc>
        <w:tc>
          <w:tcPr>
            <w:tcW w:w="878" w:type="dxa"/>
            <w:tcBorders>
              <w:top w:val="single" w:sz="6" w:space="0" w:color="auto"/>
              <w:bottom w:val="single" w:sz="6" w:space="0" w:color="auto"/>
            </w:tcBorders>
          </w:tcPr>
          <w:p w:rsidR="00000000" w:rsidRDefault="001F233B">
            <w:pPr>
              <w:jc w:val="right"/>
              <w:rPr>
                <w:rFonts w:ascii="Arial" w:hAnsi="Arial"/>
                <w:color w:val="000000"/>
                <w:sz w:val="18"/>
              </w:rPr>
            </w:pPr>
            <w:r>
              <w:rPr>
                <w:rFonts w:ascii="Arial" w:hAnsi="Arial"/>
                <w:color w:val="000000"/>
                <w:sz w:val="18"/>
              </w:rPr>
              <w:t xml:space="preserve"> 949.2</w:t>
            </w:r>
          </w:p>
        </w:tc>
      </w:tr>
      <w:tr w:rsidR="00000000">
        <w:tblPrEx>
          <w:tblCellMar>
            <w:top w:w="0" w:type="dxa"/>
            <w:bottom w:w="0" w:type="dxa"/>
          </w:tblCellMar>
        </w:tblPrEx>
        <w:trPr>
          <w:trHeight w:hRule="exact" w:val="240"/>
        </w:trPr>
        <w:tc>
          <w:tcPr>
            <w:tcW w:w="3630" w:type="dxa"/>
          </w:tcPr>
          <w:p w:rsidR="00000000" w:rsidRDefault="001F233B">
            <w:pPr>
              <w:jc w:val="right"/>
              <w:rPr>
                <w:rFonts w:ascii="Arial" w:hAnsi="Arial"/>
                <w:color w:val="000000"/>
                <w:sz w:val="18"/>
              </w:rPr>
            </w:pPr>
          </w:p>
        </w:tc>
        <w:tc>
          <w:tcPr>
            <w:tcW w:w="877" w:type="dxa"/>
          </w:tcPr>
          <w:p w:rsidR="00000000" w:rsidRDefault="001F233B">
            <w:pPr>
              <w:jc w:val="right"/>
              <w:rPr>
                <w:rFonts w:ascii="Arial" w:hAnsi="Arial"/>
                <w:color w:val="000000"/>
                <w:sz w:val="18"/>
              </w:rPr>
            </w:pPr>
          </w:p>
        </w:tc>
        <w:tc>
          <w:tcPr>
            <w:tcW w:w="878" w:type="dxa"/>
          </w:tcPr>
          <w:p w:rsidR="00000000" w:rsidRDefault="001F233B">
            <w:pPr>
              <w:jc w:val="right"/>
              <w:rPr>
                <w:rFonts w:ascii="Arial" w:hAnsi="Arial"/>
                <w:color w:val="000000"/>
                <w:sz w:val="18"/>
              </w:rPr>
            </w:pPr>
          </w:p>
        </w:tc>
        <w:tc>
          <w:tcPr>
            <w:tcW w:w="877" w:type="dxa"/>
          </w:tcPr>
          <w:p w:rsidR="00000000" w:rsidRDefault="001F233B">
            <w:pPr>
              <w:jc w:val="right"/>
              <w:rPr>
                <w:rFonts w:ascii="Arial" w:hAnsi="Arial"/>
                <w:color w:val="000000"/>
                <w:sz w:val="18"/>
              </w:rPr>
            </w:pPr>
          </w:p>
        </w:tc>
        <w:tc>
          <w:tcPr>
            <w:tcW w:w="878"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3630" w:type="dxa"/>
          </w:tcPr>
          <w:p w:rsidR="00000000" w:rsidRDefault="001F233B">
            <w:pPr>
              <w:rPr>
                <w:rFonts w:ascii="Arial" w:hAnsi="Arial"/>
                <w:color w:val="000000"/>
                <w:sz w:val="18"/>
              </w:rPr>
            </w:pPr>
            <w:r>
              <w:rPr>
                <w:rFonts w:ascii="Arial" w:hAnsi="Arial"/>
                <w:color w:val="000000"/>
                <w:sz w:val="18"/>
              </w:rPr>
              <w:t>Less : Contribution to fund capital</w:t>
            </w:r>
          </w:p>
        </w:tc>
        <w:tc>
          <w:tcPr>
            <w:tcW w:w="877" w:type="dxa"/>
          </w:tcPr>
          <w:p w:rsidR="00000000" w:rsidRDefault="001F233B">
            <w:pPr>
              <w:jc w:val="right"/>
              <w:rPr>
                <w:rFonts w:ascii="Arial" w:hAnsi="Arial"/>
                <w:color w:val="000000"/>
                <w:sz w:val="18"/>
              </w:rPr>
            </w:pPr>
            <w:r>
              <w:rPr>
                <w:rFonts w:ascii="Arial" w:hAnsi="Arial"/>
                <w:color w:val="000000"/>
                <w:sz w:val="18"/>
              </w:rPr>
              <w:t xml:space="preserve"> 153.8</w:t>
            </w:r>
          </w:p>
        </w:tc>
        <w:tc>
          <w:tcPr>
            <w:tcW w:w="878" w:type="dxa"/>
          </w:tcPr>
          <w:p w:rsidR="00000000" w:rsidRDefault="001F233B">
            <w:pPr>
              <w:jc w:val="right"/>
              <w:rPr>
                <w:rFonts w:ascii="Arial" w:hAnsi="Arial"/>
                <w:color w:val="000000"/>
                <w:sz w:val="18"/>
              </w:rPr>
            </w:pPr>
            <w:r>
              <w:rPr>
                <w:rFonts w:ascii="Arial" w:hAnsi="Arial"/>
                <w:color w:val="000000"/>
                <w:sz w:val="18"/>
              </w:rPr>
              <w:t xml:space="preserve"> 366.7</w:t>
            </w:r>
          </w:p>
        </w:tc>
        <w:tc>
          <w:tcPr>
            <w:tcW w:w="877" w:type="dxa"/>
          </w:tcPr>
          <w:p w:rsidR="00000000" w:rsidRDefault="001F233B">
            <w:pPr>
              <w:jc w:val="right"/>
              <w:rPr>
                <w:rFonts w:ascii="Arial" w:hAnsi="Arial"/>
                <w:color w:val="000000"/>
                <w:sz w:val="18"/>
              </w:rPr>
            </w:pPr>
            <w:r>
              <w:rPr>
                <w:rFonts w:ascii="Arial" w:hAnsi="Arial"/>
                <w:color w:val="000000"/>
                <w:sz w:val="18"/>
              </w:rPr>
              <w:t xml:space="preserve"> 508.8</w:t>
            </w:r>
          </w:p>
        </w:tc>
        <w:tc>
          <w:tcPr>
            <w:tcW w:w="878" w:type="dxa"/>
          </w:tcPr>
          <w:p w:rsidR="00000000" w:rsidRDefault="001F233B">
            <w:pPr>
              <w:jc w:val="right"/>
              <w:rPr>
                <w:rFonts w:ascii="Arial" w:hAnsi="Arial"/>
                <w:color w:val="000000"/>
                <w:sz w:val="18"/>
              </w:rPr>
            </w:pPr>
            <w:r>
              <w:rPr>
                <w:rFonts w:ascii="Arial" w:hAnsi="Arial"/>
                <w:color w:val="000000"/>
                <w:sz w:val="18"/>
              </w:rPr>
              <w:t xml:space="preserve"> 687.8</w:t>
            </w:r>
          </w:p>
        </w:tc>
      </w:tr>
      <w:tr w:rsidR="00000000">
        <w:tblPrEx>
          <w:tblCellMar>
            <w:top w:w="0" w:type="dxa"/>
            <w:bottom w:w="0" w:type="dxa"/>
          </w:tblCellMar>
        </w:tblPrEx>
        <w:trPr>
          <w:trHeight w:hRule="exact" w:val="240"/>
        </w:trPr>
        <w:tc>
          <w:tcPr>
            <w:tcW w:w="3630" w:type="dxa"/>
          </w:tcPr>
          <w:p w:rsidR="00000000" w:rsidRDefault="001F233B">
            <w:pPr>
              <w:jc w:val="right"/>
              <w:rPr>
                <w:rFonts w:ascii="Arial" w:hAnsi="Arial"/>
                <w:color w:val="000000"/>
                <w:sz w:val="18"/>
              </w:rPr>
            </w:pPr>
          </w:p>
        </w:tc>
        <w:tc>
          <w:tcPr>
            <w:tcW w:w="877" w:type="dxa"/>
          </w:tcPr>
          <w:p w:rsidR="00000000" w:rsidRDefault="001F233B">
            <w:pPr>
              <w:jc w:val="right"/>
              <w:rPr>
                <w:rFonts w:ascii="Arial" w:hAnsi="Arial"/>
                <w:color w:val="000000"/>
                <w:sz w:val="18"/>
              </w:rPr>
            </w:pPr>
          </w:p>
        </w:tc>
        <w:tc>
          <w:tcPr>
            <w:tcW w:w="878" w:type="dxa"/>
          </w:tcPr>
          <w:p w:rsidR="00000000" w:rsidRDefault="001F233B">
            <w:pPr>
              <w:jc w:val="right"/>
              <w:rPr>
                <w:rFonts w:ascii="Arial" w:hAnsi="Arial"/>
                <w:color w:val="000000"/>
                <w:sz w:val="18"/>
              </w:rPr>
            </w:pPr>
          </w:p>
        </w:tc>
        <w:tc>
          <w:tcPr>
            <w:tcW w:w="877" w:type="dxa"/>
          </w:tcPr>
          <w:p w:rsidR="00000000" w:rsidRDefault="001F233B">
            <w:pPr>
              <w:jc w:val="right"/>
              <w:rPr>
                <w:rFonts w:ascii="Arial" w:hAnsi="Arial"/>
                <w:color w:val="000000"/>
                <w:sz w:val="18"/>
              </w:rPr>
            </w:pPr>
          </w:p>
        </w:tc>
        <w:tc>
          <w:tcPr>
            <w:tcW w:w="878"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3630" w:type="dxa"/>
            <w:tcBorders>
              <w:bottom w:val="single" w:sz="12" w:space="0" w:color="auto"/>
            </w:tcBorders>
          </w:tcPr>
          <w:p w:rsidR="00000000" w:rsidRDefault="001F233B">
            <w:pPr>
              <w:rPr>
                <w:rFonts w:ascii="Arial" w:hAnsi="Arial"/>
                <w:color w:val="000000"/>
                <w:sz w:val="18"/>
              </w:rPr>
            </w:pPr>
            <w:r>
              <w:rPr>
                <w:rFonts w:ascii="Arial" w:hAnsi="Arial"/>
                <w:color w:val="000000"/>
                <w:sz w:val="18"/>
              </w:rPr>
              <w:t>Sustainable Cash Surplus</w:t>
            </w:r>
          </w:p>
        </w:tc>
        <w:tc>
          <w:tcPr>
            <w:tcW w:w="877" w:type="dxa"/>
            <w:tcBorders>
              <w:bottom w:val="single" w:sz="12" w:space="0" w:color="auto"/>
            </w:tcBorders>
          </w:tcPr>
          <w:p w:rsidR="00000000" w:rsidRDefault="001F233B">
            <w:pPr>
              <w:jc w:val="right"/>
              <w:rPr>
                <w:rFonts w:ascii="Arial" w:hAnsi="Arial"/>
                <w:color w:val="000000"/>
                <w:sz w:val="18"/>
              </w:rPr>
            </w:pPr>
            <w:r>
              <w:rPr>
                <w:rFonts w:ascii="Arial" w:hAnsi="Arial"/>
                <w:color w:val="000000"/>
                <w:sz w:val="18"/>
              </w:rPr>
              <w:t xml:space="preserve"> 547.4</w:t>
            </w:r>
          </w:p>
        </w:tc>
        <w:tc>
          <w:tcPr>
            <w:tcW w:w="878" w:type="dxa"/>
            <w:tcBorders>
              <w:bottom w:val="single" w:sz="12" w:space="0" w:color="auto"/>
            </w:tcBorders>
          </w:tcPr>
          <w:p w:rsidR="00000000" w:rsidRDefault="001F233B">
            <w:pPr>
              <w:jc w:val="right"/>
              <w:rPr>
                <w:rFonts w:ascii="Arial" w:hAnsi="Arial"/>
                <w:color w:val="000000"/>
                <w:sz w:val="18"/>
              </w:rPr>
            </w:pPr>
            <w:r>
              <w:rPr>
                <w:rFonts w:ascii="Arial" w:hAnsi="Arial"/>
                <w:color w:val="000000"/>
                <w:sz w:val="18"/>
              </w:rPr>
              <w:t xml:space="preserve"> 287.7</w:t>
            </w:r>
          </w:p>
        </w:tc>
        <w:tc>
          <w:tcPr>
            <w:tcW w:w="877" w:type="dxa"/>
            <w:tcBorders>
              <w:bottom w:val="single" w:sz="12" w:space="0" w:color="auto"/>
            </w:tcBorders>
          </w:tcPr>
          <w:p w:rsidR="00000000" w:rsidRDefault="001F233B">
            <w:pPr>
              <w:jc w:val="right"/>
              <w:rPr>
                <w:rFonts w:ascii="Arial" w:hAnsi="Arial"/>
                <w:color w:val="000000"/>
                <w:sz w:val="18"/>
              </w:rPr>
            </w:pPr>
            <w:r>
              <w:rPr>
                <w:rFonts w:ascii="Arial" w:hAnsi="Arial"/>
                <w:color w:val="000000"/>
                <w:sz w:val="18"/>
              </w:rPr>
              <w:t xml:space="preserve"> 226.8</w:t>
            </w:r>
          </w:p>
        </w:tc>
        <w:tc>
          <w:tcPr>
            <w:tcW w:w="878" w:type="dxa"/>
            <w:tcBorders>
              <w:bottom w:val="single" w:sz="12" w:space="0" w:color="auto"/>
            </w:tcBorders>
          </w:tcPr>
          <w:p w:rsidR="00000000" w:rsidRDefault="001F233B">
            <w:pPr>
              <w:jc w:val="right"/>
              <w:rPr>
                <w:rFonts w:ascii="Arial" w:hAnsi="Arial"/>
                <w:color w:val="000000"/>
                <w:sz w:val="18"/>
              </w:rPr>
            </w:pPr>
            <w:r>
              <w:rPr>
                <w:rFonts w:ascii="Arial" w:hAnsi="Arial"/>
                <w:color w:val="000000"/>
                <w:sz w:val="18"/>
              </w:rPr>
              <w:t xml:space="preserve"> 261.4</w:t>
            </w:r>
          </w:p>
        </w:tc>
      </w:tr>
    </w:tbl>
    <w:p w:rsidR="00000000" w:rsidRDefault="001F233B"/>
    <w:p w:rsidR="00000000" w:rsidRDefault="001F233B">
      <w:r>
        <w:br w:type="page"/>
      </w:r>
      <w:r>
        <w:lastRenderedPageBreak/>
        <w:t>In line with the Government’s long</w:t>
      </w:r>
      <w:r>
        <w:noBreakHyphen/>
        <w:t>term budget objective that infrastructure</w:t>
      </w:r>
      <w:r>
        <w:fldChar w:fldCharType="begin"/>
      </w:r>
      <w:r>
        <w:instrText>xe "Economy:Infrastructure"</w:instrText>
      </w:r>
      <w:r>
        <w:fldChar w:fldCharType="end"/>
      </w:r>
      <w:r>
        <w:t xml:space="preserve"> spending and other investment</w:t>
      </w:r>
      <w:r>
        <w:fldChar w:fldCharType="begin"/>
      </w:r>
      <w:r>
        <w:instrText>xe "Economy:Investment"</w:instrText>
      </w:r>
      <w:r>
        <w:fldChar w:fldCharType="end"/>
      </w:r>
      <w:r>
        <w:t xml:space="preserve"> in assets not be debt funded, the sustainable operating surplus</w:t>
      </w:r>
      <w:r>
        <w:fldChar w:fldCharType="begin"/>
      </w:r>
      <w:r>
        <w:instrText>xe "Operating surplus"</w:instrText>
      </w:r>
      <w:r>
        <w:fldChar w:fldCharType="end"/>
      </w:r>
      <w:r>
        <w:t xml:space="preserve"> under the new accrual system needs to be large enough to finance that part of investment in assets which </w:t>
      </w:r>
      <w:r>
        <w:t>is not being financed through depreciation and other provisions (which form part of operating expenses). With growth in the latter sources of funds being outstripped by the Government’s infrastructure program this call on the operating surplus rises from $154 million in 1998</w:t>
      </w:r>
      <w:r>
        <w:noBreakHyphen/>
        <w:t>99 to $688 million in 2001</w:t>
      </w:r>
      <w:r>
        <w:noBreakHyphen/>
        <w:t>2002.</w:t>
      </w:r>
    </w:p>
    <w:p w:rsidR="00000000" w:rsidRDefault="001F233B">
      <w:r>
        <w:t>The sound financial platform established in recent years has allowed the Government to implement the $276 million of net new spending and tax initiatives</w:t>
      </w:r>
      <w:r>
        <w:fldChar w:fldCharType="begin"/>
      </w:r>
      <w:r>
        <w:instrText>xe "Tax:Initiatives"</w:instrText>
      </w:r>
      <w:r>
        <w:fldChar w:fldCharType="end"/>
      </w:r>
      <w:r>
        <w:t xml:space="preserve"> in this Budget without comp</w:t>
      </w:r>
      <w:r>
        <w:t>romising the long</w:t>
      </w:r>
      <w:r>
        <w:noBreakHyphen/>
        <w:t>term budget objective that investment</w:t>
      </w:r>
      <w:r>
        <w:fldChar w:fldCharType="begin"/>
      </w:r>
      <w:r>
        <w:instrText>xe "Economy:Investment"</w:instrText>
      </w:r>
      <w:r>
        <w:fldChar w:fldCharType="end"/>
      </w:r>
      <w:r>
        <w:t xml:space="preserve"> in assets not be debt funded. This objective is met with $260 million per annum of sustainable cash surplus to spare over the forward estimates period.</w:t>
      </w:r>
    </w:p>
    <w:p w:rsidR="00000000" w:rsidRDefault="001F233B">
      <w:r>
        <w:t>An operating surplus</w:t>
      </w:r>
      <w:r>
        <w:fldChar w:fldCharType="begin"/>
      </w:r>
      <w:r>
        <w:instrText>xe "Operating surplus"</w:instrText>
      </w:r>
      <w:r>
        <w:fldChar w:fldCharType="end"/>
      </w:r>
      <w:r>
        <w:t xml:space="preserve"> in excess of the target is considered prudent over the medium term, given the uncertainties and risks associated with making projections for the budget outlook a number of years into the future. The possibility that events in East Asi</w:t>
      </w:r>
      <w:r>
        <w:t>a</w:t>
      </w:r>
      <w:r>
        <w:fldChar w:fldCharType="begin"/>
      </w:r>
      <w:r>
        <w:instrText>xe "Economy:East Asia"</w:instrText>
      </w:r>
      <w:r>
        <w:fldChar w:fldCharType="end"/>
      </w:r>
      <w:r>
        <w:fldChar w:fldCharType="begin"/>
      </w:r>
      <w:r>
        <w:instrText>xe "East Asia"</w:instrText>
      </w:r>
      <w:r>
        <w:fldChar w:fldCharType="end"/>
      </w:r>
      <w:r>
        <w:fldChar w:fldCharType="begin"/>
      </w:r>
      <w:r>
        <w:instrText>xe "Asia"</w:instrText>
      </w:r>
      <w:r>
        <w:fldChar w:fldCharType="end"/>
      </w:r>
      <w:r>
        <w:t xml:space="preserve"> and Japan may have a bigger impact on the Victorian economy than currently forecast is an example of the type of risks that could impact on the budget outlook.</w:t>
      </w:r>
    </w:p>
    <w:p w:rsidR="00000000" w:rsidRDefault="001F233B">
      <w:pPr>
        <w:pStyle w:val="Heading2"/>
      </w:pPr>
      <w:bookmarkStart w:id="8" w:name="_Toc417552064"/>
      <w:r>
        <w:t>Key initiatives</w:t>
      </w:r>
      <w:bookmarkEnd w:id="6"/>
      <w:bookmarkEnd w:id="8"/>
      <w:r>
        <w:t xml:space="preserve"> </w:t>
      </w:r>
    </w:p>
    <w:p w:rsidR="00000000" w:rsidRDefault="001F233B">
      <w:r>
        <w:t>The success of the Government’s sound financial management of the past six years means the 1998</w:t>
      </w:r>
      <w:r>
        <w:noBreakHyphen/>
        <w:t>99 Budget can deliver further benefits to the community. These benefits include new spending initiatives</w:t>
      </w:r>
      <w:r>
        <w:fldChar w:fldCharType="begin"/>
      </w:r>
      <w:r>
        <w:instrText>xe "Spending initiatives"</w:instrText>
      </w:r>
      <w:r>
        <w:fldChar w:fldCharType="end"/>
      </w:r>
      <w:r>
        <w:t xml:space="preserve"> in health</w:t>
      </w:r>
      <w:r>
        <w:fldChar w:fldCharType="begin"/>
      </w:r>
      <w:r>
        <w:instrText>xe "Health"</w:instrText>
      </w:r>
      <w:r>
        <w:fldChar w:fldCharType="end"/>
      </w:r>
      <w:r>
        <w:t xml:space="preserve"> and education</w:t>
      </w:r>
      <w:r>
        <w:fldChar w:fldCharType="begin"/>
      </w:r>
      <w:r>
        <w:instrText>xe "Education"</w:instrText>
      </w:r>
      <w:r>
        <w:fldChar w:fldCharType="end"/>
      </w:r>
      <w:r>
        <w:t xml:space="preserve">, </w:t>
      </w:r>
      <w:r>
        <w:t>and further tax cuts, following measures announced since the 1997</w:t>
      </w:r>
      <w:r>
        <w:noBreakHyphen/>
        <w:t>98 Budget to lower electricity</w:t>
      </w:r>
      <w:r>
        <w:fldChar w:fldCharType="begin"/>
      </w:r>
      <w:r>
        <w:instrText>xe "Electricity"</w:instrText>
      </w:r>
      <w:r>
        <w:fldChar w:fldCharType="end"/>
      </w:r>
      <w:r>
        <w:t xml:space="preserve"> and water charges, and cut land tax.</w:t>
      </w:r>
    </w:p>
    <w:p w:rsidR="00000000" w:rsidRDefault="001F233B">
      <w:r>
        <w:t>This Budget includes new spending initiatives</w:t>
      </w:r>
      <w:r>
        <w:fldChar w:fldCharType="begin"/>
      </w:r>
      <w:r>
        <w:instrText>xe "Spending initiatives"</w:instrText>
      </w:r>
      <w:r>
        <w:fldChar w:fldCharType="end"/>
      </w:r>
      <w:r>
        <w:t xml:space="preserve"> which total $233 million in 1998</w:t>
      </w:r>
      <w:r>
        <w:noBreakHyphen/>
        <w:t>99, rising to $271 million in 1999</w:t>
      </w:r>
      <w:r>
        <w:noBreakHyphen/>
        <w:t>2000 with the full impact of education</w:t>
      </w:r>
      <w:r>
        <w:fldChar w:fldCharType="begin"/>
      </w:r>
      <w:r>
        <w:instrText>xe "Education"</w:instrText>
      </w:r>
      <w:r>
        <w:fldChar w:fldCharType="end"/>
      </w:r>
      <w:r>
        <w:t xml:space="preserve"> initiatives to commence in the calendar 1999 school year. These are designed to respond to community demands, in particular, for enhanced health</w:t>
      </w:r>
      <w:r>
        <w:fldChar w:fldCharType="begin"/>
      </w:r>
      <w:r>
        <w:instrText>xe "Health"</w:instrText>
      </w:r>
      <w:r>
        <w:fldChar w:fldCharType="end"/>
      </w:r>
      <w:r>
        <w:t xml:space="preserve"> and ed</w:t>
      </w:r>
      <w:r>
        <w:t>ucation services and include:</w:t>
      </w:r>
    </w:p>
    <w:p w:rsidR="00000000" w:rsidRDefault="001F233B" w:rsidP="001F233B">
      <w:pPr>
        <w:pStyle w:val="BulletText"/>
        <w:numPr>
          <w:ilvl w:val="0"/>
          <w:numId w:val="1"/>
        </w:numPr>
        <w:rPr>
          <w:lang w:val="en-AU"/>
        </w:rPr>
      </w:pPr>
      <w:r>
        <w:rPr>
          <w:lang w:val="en-AU"/>
        </w:rPr>
        <w:t>an additional $100 million in operational funding</w:t>
      </w:r>
      <w:r>
        <w:rPr>
          <w:lang w:val="en-AU"/>
        </w:rPr>
        <w:fldChar w:fldCharType="begin"/>
      </w:r>
      <w:r>
        <w:rPr>
          <w:lang w:val="en-AU"/>
        </w:rPr>
        <w:instrText>xe "Funding:Operational"</w:instrText>
      </w:r>
      <w:r>
        <w:rPr>
          <w:lang w:val="en-AU"/>
        </w:rPr>
        <w:fldChar w:fldCharType="end"/>
      </w:r>
      <w:r>
        <w:rPr>
          <w:lang w:val="en-AU"/>
        </w:rPr>
        <w:t xml:space="preserve"> for health</w:t>
      </w:r>
      <w:r>
        <w:rPr>
          <w:lang w:val="en-AU"/>
        </w:rPr>
        <w:fldChar w:fldCharType="begin"/>
      </w:r>
      <w:r>
        <w:rPr>
          <w:lang w:val="en-AU"/>
        </w:rPr>
        <w:instrText>xe "Health"</w:instrText>
      </w:r>
      <w:r>
        <w:rPr>
          <w:lang w:val="en-AU"/>
        </w:rPr>
        <w:fldChar w:fldCharType="end"/>
      </w:r>
      <w:r>
        <w:rPr>
          <w:lang w:val="en-AU"/>
        </w:rPr>
        <w:t xml:space="preserve"> and welfare services to meet increased demand, support new initiatives and improve the quality of existing services;</w:t>
      </w:r>
    </w:p>
    <w:p w:rsidR="00000000" w:rsidRDefault="001F233B" w:rsidP="001F233B">
      <w:pPr>
        <w:pStyle w:val="BulletText"/>
        <w:numPr>
          <w:ilvl w:val="0"/>
          <w:numId w:val="1"/>
        </w:numPr>
        <w:rPr>
          <w:lang w:val="en-AU"/>
        </w:rPr>
      </w:pPr>
      <w:r>
        <w:rPr>
          <w:lang w:val="en-AU"/>
        </w:rPr>
        <w:t>an additional $27 million in 1998</w:t>
      </w:r>
      <w:r>
        <w:rPr>
          <w:lang w:val="en-AU"/>
        </w:rPr>
        <w:noBreakHyphen/>
        <w:t>99, rising to $50 million in 1999</w:t>
      </w:r>
      <w:r>
        <w:rPr>
          <w:lang w:val="en-AU"/>
        </w:rPr>
        <w:noBreakHyphen/>
        <w:t>2000, to improve literacy</w:t>
      </w:r>
      <w:r>
        <w:rPr>
          <w:lang w:val="en-AU"/>
        </w:rPr>
        <w:fldChar w:fldCharType="begin"/>
      </w:r>
      <w:r>
        <w:rPr>
          <w:lang w:val="en-AU"/>
        </w:rPr>
        <w:instrText>xe "Department of Education:Literacy"</w:instrText>
      </w:r>
      <w:r>
        <w:rPr>
          <w:lang w:val="en-AU"/>
        </w:rPr>
        <w:fldChar w:fldCharType="end"/>
      </w:r>
      <w:r>
        <w:rPr>
          <w:lang w:val="en-AU"/>
        </w:rPr>
        <w:t xml:space="preserve"> by expanding the Keys to Life program</w:t>
      </w:r>
      <w:r>
        <w:rPr>
          <w:lang w:val="en-AU"/>
        </w:rPr>
        <w:fldChar w:fldCharType="begin"/>
      </w:r>
      <w:r>
        <w:rPr>
          <w:lang w:val="en-AU"/>
        </w:rPr>
        <w:instrText>xe "Department of Education:Keys to Life program"</w:instrText>
      </w:r>
      <w:r>
        <w:rPr>
          <w:lang w:val="en-AU"/>
        </w:rPr>
        <w:fldChar w:fldCharType="end"/>
      </w:r>
      <w:r>
        <w:rPr>
          <w:lang w:val="en-AU"/>
        </w:rPr>
        <w:t xml:space="preserve"> and implementing a Reading Recovery Program</w:t>
      </w:r>
      <w:r>
        <w:rPr>
          <w:lang w:val="en-AU"/>
        </w:rPr>
        <w:t xml:space="preserve"> and Literacy 2001</w:t>
      </w:r>
      <w:r>
        <w:rPr>
          <w:lang w:val="en-AU"/>
        </w:rPr>
        <w:fldChar w:fldCharType="begin"/>
      </w:r>
      <w:r>
        <w:rPr>
          <w:lang w:val="en-AU"/>
        </w:rPr>
        <w:instrText>xe "Department of Education:Literacy 2001"</w:instrText>
      </w:r>
      <w:r>
        <w:rPr>
          <w:lang w:val="en-AU"/>
        </w:rPr>
        <w:fldChar w:fldCharType="end"/>
      </w:r>
      <w:r>
        <w:rPr>
          <w:lang w:val="en-AU"/>
        </w:rPr>
        <w:t xml:space="preserve"> Action Plan;</w:t>
      </w:r>
    </w:p>
    <w:p w:rsidR="00000000" w:rsidRDefault="001F233B" w:rsidP="001F233B">
      <w:pPr>
        <w:pStyle w:val="BulletText"/>
        <w:numPr>
          <w:ilvl w:val="0"/>
          <w:numId w:val="1"/>
        </w:numPr>
        <w:rPr>
          <w:lang w:val="en-AU"/>
        </w:rPr>
      </w:pPr>
      <w:r>
        <w:rPr>
          <w:lang w:val="en-AU"/>
        </w:rPr>
        <w:lastRenderedPageBreak/>
        <w:t>an additional $20 million in 1998</w:t>
      </w:r>
      <w:r>
        <w:rPr>
          <w:lang w:val="en-AU"/>
        </w:rPr>
        <w:noBreakHyphen/>
        <w:t>99, rising to $22 million in 1999</w:t>
      </w:r>
      <w:r>
        <w:rPr>
          <w:lang w:val="en-AU"/>
        </w:rPr>
        <w:noBreakHyphen/>
        <w:t>2000 to enhance Multimedia learning in schools, by providing multimedia notebook computers to teachers, boosting funding for computers in schools to reduce the student computer ratio to 1:5 by 1999</w:t>
      </w:r>
      <w:r>
        <w:rPr>
          <w:lang w:val="en-AU"/>
        </w:rPr>
        <w:noBreakHyphen/>
        <w:t>2000, and to assist with implementing the VicOne network to link some 1900 educational sites across Victoria;</w:t>
      </w:r>
    </w:p>
    <w:p w:rsidR="00000000" w:rsidRDefault="001F233B" w:rsidP="001F233B">
      <w:pPr>
        <w:pStyle w:val="BulletText"/>
        <w:numPr>
          <w:ilvl w:val="0"/>
          <w:numId w:val="1"/>
        </w:numPr>
        <w:rPr>
          <w:lang w:val="en-AU"/>
        </w:rPr>
      </w:pPr>
      <w:r>
        <w:rPr>
          <w:lang w:val="en-AU"/>
        </w:rPr>
        <w:t>over $6 million a year to support expanded education</w:t>
      </w:r>
      <w:r>
        <w:rPr>
          <w:lang w:val="en-AU"/>
        </w:rPr>
        <w:fldChar w:fldCharType="begin"/>
      </w:r>
      <w:r>
        <w:rPr>
          <w:lang w:val="en-AU"/>
        </w:rPr>
        <w:instrText>xe "Edu</w:instrText>
      </w:r>
      <w:r>
        <w:rPr>
          <w:lang w:val="en-AU"/>
        </w:rPr>
        <w:instrText>cation"</w:instrText>
      </w:r>
      <w:r>
        <w:rPr>
          <w:lang w:val="en-AU"/>
        </w:rPr>
        <w:fldChar w:fldCharType="end"/>
      </w:r>
      <w:r>
        <w:rPr>
          <w:lang w:val="en-AU"/>
        </w:rPr>
        <w:t xml:space="preserve"> service delivery</w:t>
      </w:r>
      <w:r>
        <w:rPr>
          <w:lang w:val="en-AU"/>
        </w:rPr>
        <w:fldChar w:fldCharType="begin"/>
      </w:r>
      <w:r>
        <w:rPr>
          <w:lang w:val="en-AU"/>
        </w:rPr>
        <w:instrText>xe "Service delivery"</w:instrText>
      </w:r>
      <w:r>
        <w:rPr>
          <w:lang w:val="en-AU"/>
        </w:rPr>
        <w:fldChar w:fldCharType="end"/>
      </w:r>
      <w:r>
        <w:rPr>
          <w:lang w:val="en-AU"/>
        </w:rPr>
        <w:t xml:space="preserve"> for students with disabilities and impairments;</w:t>
      </w:r>
    </w:p>
    <w:p w:rsidR="00000000" w:rsidRDefault="001F233B" w:rsidP="001F233B">
      <w:pPr>
        <w:pStyle w:val="BulletText"/>
        <w:numPr>
          <w:ilvl w:val="0"/>
          <w:numId w:val="1"/>
        </w:numPr>
        <w:rPr>
          <w:lang w:val="en-AU"/>
        </w:rPr>
      </w:pPr>
      <w:r>
        <w:rPr>
          <w:lang w:val="en-AU"/>
        </w:rPr>
        <w:t>$31.5 million over two years, with $19.5 million ongoing, to purchase additional education</w:t>
      </w:r>
      <w:r>
        <w:rPr>
          <w:lang w:val="en-AU"/>
        </w:rPr>
        <w:fldChar w:fldCharType="begin"/>
      </w:r>
      <w:r>
        <w:rPr>
          <w:lang w:val="en-AU"/>
        </w:rPr>
        <w:instrText>xe "Education"</w:instrText>
      </w:r>
      <w:r>
        <w:rPr>
          <w:lang w:val="en-AU"/>
        </w:rPr>
        <w:fldChar w:fldCharType="end"/>
      </w:r>
      <w:r>
        <w:rPr>
          <w:lang w:val="en-AU"/>
        </w:rPr>
        <w:t xml:space="preserve"> services to meet the anticipated demand as a result of Commonwealth eligibility changes to its youth allowance</w:t>
      </w:r>
      <w:r>
        <w:rPr>
          <w:lang w:val="en-AU"/>
        </w:rPr>
        <w:fldChar w:fldCharType="begin"/>
      </w:r>
      <w:r>
        <w:rPr>
          <w:lang w:val="en-AU"/>
        </w:rPr>
        <w:instrText>xe "Department of Education:Youth allowance"</w:instrText>
      </w:r>
      <w:r>
        <w:rPr>
          <w:lang w:val="en-AU"/>
        </w:rPr>
        <w:fldChar w:fldCharType="end"/>
      </w:r>
      <w:r>
        <w:rPr>
          <w:lang w:val="en-AU"/>
        </w:rPr>
        <w:t>s;</w:t>
      </w:r>
    </w:p>
    <w:p w:rsidR="00000000" w:rsidRDefault="001F233B" w:rsidP="001F233B">
      <w:pPr>
        <w:pStyle w:val="BulletText"/>
        <w:numPr>
          <w:ilvl w:val="0"/>
          <w:numId w:val="1"/>
        </w:numPr>
        <w:rPr>
          <w:lang w:val="en-AU"/>
        </w:rPr>
      </w:pPr>
      <w:r>
        <w:rPr>
          <w:lang w:val="en-AU"/>
        </w:rPr>
        <w:t>funding for a State-wide police computer network which will provide connections between all Victoria Police</w:t>
      </w:r>
      <w:r>
        <w:rPr>
          <w:lang w:val="en-AU"/>
        </w:rPr>
        <w:fldChar w:fldCharType="begin"/>
      </w:r>
      <w:r>
        <w:rPr>
          <w:lang w:val="en-AU"/>
        </w:rPr>
        <w:instrText>xe "Department of Justice:Police"</w:instrText>
      </w:r>
      <w:r>
        <w:rPr>
          <w:lang w:val="en-AU"/>
        </w:rPr>
        <w:fldChar w:fldCharType="end"/>
      </w:r>
      <w:r>
        <w:rPr>
          <w:lang w:val="en-AU"/>
        </w:rPr>
        <w:t xml:space="preserve"> locati</w:t>
      </w:r>
      <w:r>
        <w:rPr>
          <w:lang w:val="en-AU"/>
        </w:rPr>
        <w:t>ons and provide personal computers with a range of software applications critical for operations in a 21st century environment;</w:t>
      </w:r>
    </w:p>
    <w:p w:rsidR="00000000" w:rsidRDefault="001F233B" w:rsidP="001F233B">
      <w:pPr>
        <w:pStyle w:val="BulletText"/>
        <w:numPr>
          <w:ilvl w:val="0"/>
          <w:numId w:val="1"/>
        </w:numPr>
        <w:rPr>
          <w:lang w:val="en-AU"/>
        </w:rPr>
      </w:pPr>
      <w:r>
        <w:rPr>
          <w:lang w:val="en-AU"/>
        </w:rPr>
        <w:t>$4 million in 1998</w:t>
      </w:r>
      <w:r>
        <w:rPr>
          <w:lang w:val="en-AU"/>
        </w:rPr>
        <w:noBreakHyphen/>
        <w:t>99 to the Victoria Police</w:t>
      </w:r>
      <w:r>
        <w:rPr>
          <w:lang w:val="en-AU"/>
        </w:rPr>
        <w:fldChar w:fldCharType="begin"/>
      </w:r>
      <w:r>
        <w:rPr>
          <w:lang w:val="en-AU"/>
        </w:rPr>
        <w:instrText>xe "Department of Justice:Police"</w:instrText>
      </w:r>
      <w:r>
        <w:rPr>
          <w:lang w:val="en-AU"/>
        </w:rPr>
        <w:fldChar w:fldCharType="end"/>
      </w:r>
      <w:r>
        <w:rPr>
          <w:lang w:val="en-AU"/>
        </w:rPr>
        <w:t xml:space="preserve"> to support implementation of a new framework in the </w:t>
      </w:r>
      <w:r>
        <w:rPr>
          <w:i/>
          <w:lang w:val="en-AU"/>
        </w:rPr>
        <w:t>Firearms Act 1996</w:t>
      </w:r>
      <w:r>
        <w:rPr>
          <w:i/>
          <w:lang w:val="en-AU"/>
        </w:rPr>
        <w:fldChar w:fldCharType="begin"/>
      </w:r>
      <w:r>
        <w:rPr>
          <w:lang w:val="en-AU"/>
        </w:rPr>
        <w:instrText>xe "Department of Justice:Firearms Act 1996"</w:instrText>
      </w:r>
      <w:r>
        <w:rPr>
          <w:i/>
          <w:lang w:val="en-AU"/>
        </w:rPr>
        <w:fldChar w:fldCharType="end"/>
      </w:r>
      <w:r>
        <w:rPr>
          <w:lang w:val="en-AU"/>
        </w:rPr>
        <w:t>, designed to prevent the misuse of firearms in domestic violence, youth suicide and accidental death and injury;</w:t>
      </w:r>
    </w:p>
    <w:p w:rsidR="00000000" w:rsidRDefault="001F233B" w:rsidP="001F233B">
      <w:pPr>
        <w:pStyle w:val="BulletText"/>
        <w:numPr>
          <w:ilvl w:val="0"/>
          <w:numId w:val="1"/>
        </w:numPr>
        <w:rPr>
          <w:lang w:val="en-AU"/>
        </w:rPr>
      </w:pPr>
      <w:r>
        <w:rPr>
          <w:lang w:val="en-AU"/>
        </w:rPr>
        <w:t>over $4 million in 1998</w:t>
      </w:r>
      <w:r>
        <w:rPr>
          <w:lang w:val="en-AU"/>
        </w:rPr>
        <w:noBreakHyphen/>
        <w:t>99 to stimulate primary industry production, includ</w:t>
      </w:r>
      <w:r>
        <w:rPr>
          <w:lang w:val="en-AU"/>
        </w:rPr>
        <w:t>ing initiatives to facilitate development of the Victorian aquaculture industry</w:t>
      </w:r>
      <w:r>
        <w:rPr>
          <w:lang w:val="en-AU"/>
        </w:rPr>
        <w:fldChar w:fldCharType="begin"/>
      </w:r>
      <w:r>
        <w:rPr>
          <w:lang w:val="en-AU"/>
        </w:rPr>
        <w:instrText>xe "Department of Natural Resources and Environment:Aquaculture industry"</w:instrText>
      </w:r>
      <w:r>
        <w:rPr>
          <w:lang w:val="en-AU"/>
        </w:rPr>
        <w:fldChar w:fldCharType="end"/>
      </w:r>
      <w:r>
        <w:rPr>
          <w:lang w:val="en-AU"/>
        </w:rPr>
        <w:t>, to improve the returns to wool growers through electronic marketing arrangements, to promote increased participation of rural women in business and decision making, and to promote improvements and opportunities to develop new high</w:t>
      </w:r>
      <w:r>
        <w:rPr>
          <w:lang w:val="en-AU"/>
        </w:rPr>
        <w:noBreakHyphen/>
        <w:t>value irrigation projects throughout Victoria.</w:t>
      </w:r>
    </w:p>
    <w:p w:rsidR="00000000" w:rsidRDefault="001F233B">
      <w:r>
        <w:t>The increase in base funding for health</w:t>
      </w:r>
      <w:r>
        <w:fldChar w:fldCharType="begin"/>
      </w:r>
      <w:r>
        <w:instrText>xe "Health"</w:instrText>
      </w:r>
      <w:r>
        <w:fldChar w:fldCharType="end"/>
      </w:r>
      <w:r>
        <w:t xml:space="preserve"> and education</w:t>
      </w:r>
      <w:r>
        <w:fldChar w:fldCharType="begin"/>
      </w:r>
      <w:r>
        <w:instrText>xe "Educati</w:instrText>
      </w:r>
      <w:r>
        <w:instrText>on"</w:instrText>
      </w:r>
      <w:r>
        <w:fldChar w:fldCharType="end"/>
      </w:r>
      <w:r>
        <w:t xml:space="preserve"> will enable Ministers to implement new programs and expand existing programs in priority areas and will enable Ministers to deal with individual instances of stress on service delivery</w:t>
      </w:r>
      <w:r>
        <w:fldChar w:fldCharType="begin"/>
      </w:r>
      <w:r>
        <w:instrText>xe "Service delivery"</w:instrText>
      </w:r>
      <w:r>
        <w:fldChar w:fldCharType="end"/>
      </w:r>
      <w:r>
        <w:t xml:space="preserve"> arising during the year.</w:t>
      </w:r>
    </w:p>
    <w:p w:rsidR="00000000" w:rsidRDefault="001F233B">
      <w:pPr>
        <w:keepNext/>
      </w:pPr>
      <w:r>
        <w:t>Tax relief measures announced in this Budget totalling $132 million in a full year include:</w:t>
      </w:r>
    </w:p>
    <w:p w:rsidR="00000000" w:rsidRDefault="001F233B" w:rsidP="001F233B">
      <w:pPr>
        <w:pStyle w:val="BulletText"/>
        <w:keepNext/>
        <w:numPr>
          <w:ilvl w:val="0"/>
          <w:numId w:val="1"/>
        </w:numPr>
        <w:rPr>
          <w:lang w:val="en-AU"/>
        </w:rPr>
      </w:pPr>
      <w:r>
        <w:rPr>
          <w:lang w:val="en-AU"/>
        </w:rPr>
        <w:t>a fall, from July 1998, in Victoria’s payroll tax</w:t>
      </w:r>
      <w:r>
        <w:rPr>
          <w:lang w:val="en-AU"/>
        </w:rPr>
        <w:fldChar w:fldCharType="begin"/>
      </w:r>
      <w:r>
        <w:rPr>
          <w:lang w:val="en-AU"/>
        </w:rPr>
        <w:instrText>xe "Tax:Payroll tax"</w:instrText>
      </w:r>
      <w:r>
        <w:rPr>
          <w:lang w:val="en-AU"/>
        </w:rPr>
        <w:fldChar w:fldCharType="end"/>
      </w:r>
      <w:r>
        <w:rPr>
          <w:lang w:val="en-AU"/>
        </w:rPr>
        <w:fldChar w:fldCharType="begin"/>
      </w:r>
      <w:r>
        <w:rPr>
          <w:lang w:val="en-AU"/>
        </w:rPr>
        <w:instrText>xe "Payroll tax"</w:instrText>
      </w:r>
      <w:r>
        <w:rPr>
          <w:lang w:val="en-AU"/>
        </w:rPr>
        <w:fldChar w:fldCharType="end"/>
      </w:r>
      <w:r>
        <w:rPr>
          <w:lang w:val="en-AU"/>
        </w:rPr>
        <w:t xml:space="preserve"> rate to 6 per cent – the third lowest of all States and Territories for payrolls over $5 mil</w:t>
      </w:r>
      <w:r>
        <w:rPr>
          <w:lang w:val="en-AU"/>
        </w:rPr>
        <w:t xml:space="preserve">lion; </w:t>
      </w:r>
    </w:p>
    <w:p w:rsidR="00000000" w:rsidRDefault="001F233B" w:rsidP="001F233B">
      <w:pPr>
        <w:pStyle w:val="BulletText"/>
        <w:numPr>
          <w:ilvl w:val="0"/>
          <w:numId w:val="1"/>
        </w:numPr>
      </w:pPr>
      <w:r>
        <w:t>$39</w:t>
      </w:r>
      <w:r>
        <w:rPr>
          <w:lang w:val="en-AU"/>
        </w:rPr>
        <w:t> million</w:t>
      </w:r>
      <w:r>
        <w:t xml:space="preserve"> in stamp duty relief on conveyancing</w:t>
      </w:r>
      <w:r>
        <w:fldChar w:fldCharType="begin"/>
      </w:r>
      <w:r>
        <w:instrText>xe "Stamp duty:Conveyancing"</w:instrText>
      </w:r>
      <w:r>
        <w:fldChar w:fldCharType="end"/>
      </w:r>
      <w:r>
        <w:t>, with the greatest proportionate gains going to home</w:t>
      </w:r>
      <w:r>
        <w:noBreakHyphen/>
        <w:t>buyers purchasing properties in the median house price range, and to smaller businesses purchasing properties around this value range;</w:t>
      </w:r>
    </w:p>
    <w:p w:rsidR="00000000" w:rsidRDefault="001F233B" w:rsidP="001F233B">
      <w:pPr>
        <w:pStyle w:val="BulletText"/>
        <w:numPr>
          <w:ilvl w:val="0"/>
          <w:numId w:val="1"/>
        </w:numPr>
      </w:pPr>
      <w:r>
        <w:lastRenderedPageBreak/>
        <w:t>expansion of the stamp duty concession for first home</w:t>
      </w:r>
      <w:r>
        <w:noBreakHyphen/>
        <w:t>buyers</w:t>
      </w:r>
      <w:r>
        <w:fldChar w:fldCharType="begin"/>
      </w:r>
      <w:r>
        <w:instrText>xe "Stamp duty:First home buyers"</w:instrText>
      </w:r>
      <w:r>
        <w:fldChar w:fldCharType="end"/>
      </w:r>
      <w:r>
        <w:t xml:space="preserve"> through an increase in the threshold at which the maximum concession of $2 560 (up from $2 200) begins to taper out;</w:t>
      </w:r>
    </w:p>
    <w:p w:rsidR="00000000" w:rsidRDefault="001F233B" w:rsidP="001F233B">
      <w:pPr>
        <w:pStyle w:val="BulletText"/>
        <w:numPr>
          <w:ilvl w:val="0"/>
          <w:numId w:val="1"/>
        </w:numPr>
      </w:pPr>
      <w:r>
        <w:t>expansion of the stamp du</w:t>
      </w:r>
      <w:r>
        <w:t>ty concession for pensioners through an increase in the threshold at which at the maximum pensioner concession applies, which will lift the value of the maximum concession from $1 480 to $2 200 at an estimated cost of $2.3 million in 1998</w:t>
      </w:r>
      <w:r>
        <w:noBreakHyphen/>
        <w:t xml:space="preserve">99; and </w:t>
      </w:r>
    </w:p>
    <w:p w:rsidR="00000000" w:rsidRDefault="001F233B" w:rsidP="001F233B">
      <w:pPr>
        <w:pStyle w:val="BulletText"/>
        <w:numPr>
          <w:ilvl w:val="0"/>
          <w:numId w:val="1"/>
        </w:numPr>
      </w:pPr>
      <w:r>
        <w:t>full exemption from Financial Institutions Duty and Debits Tax whenever closure of a local bank branch forces customers to move their accounts.</w:t>
      </w:r>
    </w:p>
    <w:p w:rsidR="00000000" w:rsidRDefault="001F233B">
      <w:r>
        <w:t>The payroll tax</w:t>
      </w:r>
      <w:r>
        <w:fldChar w:fldCharType="begin"/>
      </w:r>
      <w:r>
        <w:instrText>xe "Tax:Payroll tax"</w:instrText>
      </w:r>
      <w:r>
        <w:fldChar w:fldCharType="end"/>
      </w:r>
      <w:r>
        <w:fldChar w:fldCharType="begin"/>
      </w:r>
      <w:r>
        <w:instrText>xe "Payroll tax"</w:instrText>
      </w:r>
      <w:r>
        <w:fldChar w:fldCharType="end"/>
      </w:r>
      <w:r>
        <w:t xml:space="preserve"> rate reduction will be at a cost to revenue of $83 million in 19</w:t>
      </w:r>
      <w:r>
        <w:t>98</w:t>
      </w:r>
      <w:r>
        <w:noBreakHyphen/>
        <w:t>99 and $90 million in a full year and together with the 1997-98 measures will bring the total value of payroll tax relief to Victorian firms over the two years to $193 million. Successive reductions in Victoria’s payroll tax burden relative to other States will improve the cost competitiveness</w:t>
      </w:r>
      <w:r>
        <w:fldChar w:fldCharType="begin"/>
      </w:r>
      <w:r>
        <w:instrText>xe "Competitiveness"</w:instrText>
      </w:r>
      <w:r>
        <w:fldChar w:fldCharType="end"/>
      </w:r>
      <w:r>
        <w:t xml:space="preserve"> of local firms and industries, especially those affected by the difficulties in East Asia</w:t>
      </w:r>
      <w:r>
        <w:fldChar w:fldCharType="begin"/>
      </w:r>
      <w:r>
        <w:instrText>xe "East Asia"</w:instrText>
      </w:r>
      <w:r>
        <w:fldChar w:fldCharType="end"/>
      </w:r>
      <w:r>
        <w:fldChar w:fldCharType="begin"/>
      </w:r>
      <w:r>
        <w:instrText>xe "Economy:East Asia"</w:instrText>
      </w:r>
      <w:r>
        <w:fldChar w:fldCharType="end"/>
      </w:r>
      <w:r>
        <w:t>, and make the State a more attractive place in which to invest</w:t>
      </w:r>
      <w:r>
        <w:t xml:space="preserve"> and do business. In time, this should benefit all Victorians through increased employment</w:t>
      </w:r>
      <w:r>
        <w:fldChar w:fldCharType="begin"/>
      </w:r>
      <w:r>
        <w:instrText>xe "Economy:Employment"</w:instrText>
      </w:r>
      <w:r>
        <w:fldChar w:fldCharType="end"/>
      </w:r>
      <w:r>
        <w:t xml:space="preserve"> opportunities.</w:t>
      </w:r>
    </w:p>
    <w:p w:rsidR="00000000" w:rsidRDefault="001F233B">
      <w:pPr>
        <w:pStyle w:val="Header"/>
        <w:tabs>
          <w:tab w:val="clear" w:pos="4320"/>
          <w:tab w:val="clear" w:pos="8640"/>
          <w:tab w:val="left" w:pos="540"/>
        </w:tabs>
      </w:pPr>
      <w:r>
        <w:t>The burden of taxation on Victorians is now well below that applying in New South Wales. Following the measures introduced in this Budget, it is estimated that Victoria’s revenue</w:t>
      </w:r>
      <w:r>
        <w:noBreakHyphen/>
        <w:t>raising effort</w:t>
      </w:r>
      <w:r>
        <w:fldChar w:fldCharType="begin"/>
      </w:r>
      <w:r>
        <w:instrText>xe "Revenue raising effort"</w:instrText>
      </w:r>
      <w:r>
        <w:fldChar w:fldCharType="end"/>
      </w:r>
      <w:r>
        <w:t xml:space="preserve"> will be more than $350 million below that of New South Wales. Victoria’s revenue-raising effort will still exceed the national average but only by $220 millio</w:t>
      </w:r>
      <w:r>
        <w:t>n – down from $900 million just three years ago.</w:t>
      </w:r>
    </w:p>
    <w:p w:rsidR="00000000" w:rsidRDefault="001F233B">
      <w:pPr>
        <w:pStyle w:val="Header"/>
        <w:tabs>
          <w:tab w:val="clear" w:pos="4320"/>
          <w:tab w:val="clear" w:pos="8640"/>
        </w:tabs>
      </w:pPr>
      <w:r>
        <w:t>In recent budgets the Government has restored the infrastructure</w:t>
      </w:r>
      <w:r>
        <w:fldChar w:fldCharType="begin"/>
      </w:r>
      <w:r>
        <w:instrText>xe "Economy:Infrastructure"</w:instrText>
      </w:r>
      <w:r>
        <w:fldChar w:fldCharType="end"/>
      </w:r>
      <w:r>
        <w:t xml:space="preserve"> base by boosting spending to achieve a level of budget sector investment</w:t>
      </w:r>
      <w:r>
        <w:fldChar w:fldCharType="begin"/>
      </w:r>
      <w:r>
        <w:instrText>xe "Economy:Investment"</w:instrText>
      </w:r>
      <w:r>
        <w:fldChar w:fldCharType="end"/>
      </w:r>
      <w:r>
        <w:t xml:space="preserve"> of around 1¼ per cent of GSP</w:t>
      </w:r>
      <w:r>
        <w:fldChar w:fldCharType="begin"/>
      </w:r>
      <w:r>
        <w:instrText>xe "Economy:Gross State Products (GSP)"</w:instrText>
      </w:r>
      <w:r>
        <w:fldChar w:fldCharType="end"/>
      </w:r>
      <w:r>
        <w:t>. Government investment is over 40 per cent above 1993</w:t>
      </w:r>
      <w:r>
        <w:noBreakHyphen/>
        <w:t xml:space="preserve">94 levels in real terms. The State has also used innovative techniques to involve the private sector in financing a number of large infrastructure </w:t>
      </w:r>
      <w:r>
        <w:t xml:space="preserve">projects. </w:t>
      </w:r>
    </w:p>
    <w:p w:rsidR="00000000" w:rsidRDefault="001F233B">
      <w:pPr>
        <w:pStyle w:val="Header"/>
        <w:keepNext/>
        <w:tabs>
          <w:tab w:val="clear" w:pos="4320"/>
          <w:tab w:val="clear" w:pos="8640"/>
        </w:tabs>
      </w:pPr>
      <w:r>
        <w:t>Major new infrastructure</w:t>
      </w:r>
      <w:r>
        <w:fldChar w:fldCharType="begin"/>
      </w:r>
      <w:r>
        <w:instrText>xe "Economy:Infrastructure"</w:instrText>
      </w:r>
      <w:r>
        <w:fldChar w:fldCharType="end"/>
      </w:r>
      <w:r>
        <w:t xml:space="preserve"> projects with a total estimated cost of almost $755 million will commence in 1998</w:t>
      </w:r>
      <w:r>
        <w:noBreakHyphen/>
        <w:t>99 and include:</w:t>
      </w:r>
    </w:p>
    <w:p w:rsidR="00000000" w:rsidRDefault="001F233B" w:rsidP="001F233B">
      <w:pPr>
        <w:pStyle w:val="BulletText"/>
        <w:keepNext/>
        <w:numPr>
          <w:ilvl w:val="0"/>
          <w:numId w:val="1"/>
        </w:numPr>
      </w:pPr>
      <w:r>
        <w:t>widening of the West Gate Freeway, and works on the Western Port Highway and the Springvale Bypass (total investment</w:t>
      </w:r>
      <w:r>
        <w:fldChar w:fldCharType="begin"/>
      </w:r>
      <w:r>
        <w:instrText>xe "Economy:Investment"</w:instrText>
      </w:r>
      <w:r>
        <w:fldChar w:fldCharType="end"/>
      </w:r>
      <w:r>
        <w:t xml:space="preserve"> $73 million);</w:t>
      </w:r>
    </w:p>
    <w:p w:rsidR="00000000" w:rsidRDefault="001F233B" w:rsidP="001F233B">
      <w:pPr>
        <w:pStyle w:val="BulletText"/>
        <w:numPr>
          <w:ilvl w:val="0"/>
          <w:numId w:val="1"/>
        </w:numPr>
      </w:pPr>
      <w:r>
        <w:t>improvements to Public Transport</w:t>
      </w:r>
      <w:r>
        <w:fldChar w:fldCharType="begin"/>
      </w:r>
      <w:r>
        <w:instrText>xe "Transport"</w:instrText>
      </w:r>
      <w:r>
        <w:fldChar w:fldCharType="end"/>
      </w:r>
      <w:r>
        <w:t xml:space="preserve"> Corporation</w:t>
      </w:r>
      <w:r>
        <w:fldChar w:fldCharType="begin"/>
      </w:r>
      <w:r>
        <w:instrText>xe "Public Transport Corporation"</w:instrText>
      </w:r>
      <w:r>
        <w:fldChar w:fldCharType="end"/>
      </w:r>
      <w:r>
        <w:t xml:space="preserve"> facilities (total investment in excess of</w:t>
      </w:r>
      <w:r>
        <w:fldChar w:fldCharType="begin"/>
      </w:r>
      <w:r>
        <w:instrText>xe "Economy:Investment"</w:instrText>
      </w:r>
      <w:r>
        <w:fldChar w:fldCharType="end"/>
      </w:r>
      <w:r>
        <w:t xml:space="preserve"> $24 million) and upgrading the</w:t>
      </w:r>
      <w:r>
        <w:t xml:space="preserve"> Warrnambool</w:t>
      </w:r>
      <w:r>
        <w:noBreakHyphen/>
        <w:t>Geelong rail track (total investment $10 million);</w:t>
      </w:r>
    </w:p>
    <w:p w:rsidR="00000000" w:rsidRDefault="001F233B" w:rsidP="001F233B">
      <w:pPr>
        <w:pStyle w:val="BulletText"/>
        <w:numPr>
          <w:ilvl w:val="0"/>
          <w:numId w:val="1"/>
        </w:numPr>
      </w:pPr>
      <w:r>
        <w:t>an urban traffic improvement program (total investment</w:t>
      </w:r>
      <w:r>
        <w:fldChar w:fldCharType="begin"/>
      </w:r>
      <w:r>
        <w:instrText>xe "Economy:Investment"</w:instrText>
      </w:r>
      <w:r>
        <w:fldChar w:fldCharType="end"/>
      </w:r>
      <w:r>
        <w:t xml:space="preserve"> $20 million);</w:t>
      </w:r>
    </w:p>
    <w:p w:rsidR="00000000" w:rsidRDefault="001F233B" w:rsidP="001F233B">
      <w:pPr>
        <w:pStyle w:val="BulletText"/>
        <w:numPr>
          <w:ilvl w:val="0"/>
          <w:numId w:val="1"/>
        </w:numPr>
      </w:pPr>
      <w:r>
        <w:lastRenderedPageBreak/>
        <w:t>Health</w:t>
      </w:r>
      <w:r>
        <w:fldChar w:fldCharType="begin"/>
      </w:r>
      <w:r>
        <w:instrText>xe "Health"</w:instrText>
      </w:r>
      <w:r>
        <w:fldChar w:fldCharType="end"/>
      </w:r>
      <w:r>
        <w:t xml:space="preserve"> Care network projects and hospital equipment upgrades (total investment</w:t>
      </w:r>
      <w:r>
        <w:fldChar w:fldCharType="begin"/>
      </w:r>
      <w:r>
        <w:instrText>xe "Economy:Investment"</w:instrText>
      </w:r>
      <w:r>
        <w:fldChar w:fldCharType="end"/>
      </w:r>
      <w:r>
        <w:t xml:space="preserve"> $169 million);</w:t>
      </w:r>
    </w:p>
    <w:p w:rsidR="00000000" w:rsidRDefault="001F233B" w:rsidP="001F233B">
      <w:pPr>
        <w:pStyle w:val="BulletText"/>
        <w:numPr>
          <w:ilvl w:val="0"/>
          <w:numId w:val="1"/>
        </w:numPr>
      </w:pPr>
      <w:r>
        <w:t>computer and technology</w:t>
      </w:r>
      <w:r>
        <w:noBreakHyphen/>
        <w:t>related projects in education</w:t>
      </w:r>
      <w:r>
        <w:fldChar w:fldCharType="begin"/>
      </w:r>
      <w:r>
        <w:instrText>xe "Education"</w:instrText>
      </w:r>
      <w:r>
        <w:fldChar w:fldCharType="end"/>
      </w:r>
      <w:r>
        <w:t xml:space="preserve"> (total investment</w:t>
      </w:r>
      <w:r>
        <w:fldChar w:fldCharType="begin"/>
      </w:r>
      <w:r>
        <w:instrText>xe "Economy:Investment"</w:instrText>
      </w:r>
      <w:r>
        <w:fldChar w:fldCharType="end"/>
      </w:r>
      <w:r>
        <w:t xml:space="preserve"> $24 million);</w:t>
      </w:r>
    </w:p>
    <w:p w:rsidR="00000000" w:rsidRDefault="001F233B" w:rsidP="001F233B">
      <w:pPr>
        <w:pStyle w:val="BulletText"/>
        <w:numPr>
          <w:ilvl w:val="0"/>
          <w:numId w:val="1"/>
        </w:numPr>
      </w:pPr>
      <w:r>
        <w:t>upgrading of school facilities (total investment</w:t>
      </w:r>
      <w:r>
        <w:fldChar w:fldCharType="begin"/>
      </w:r>
      <w:r>
        <w:instrText>xe "Economy:Investment"</w:instrText>
      </w:r>
      <w:r>
        <w:fldChar w:fldCharType="end"/>
      </w:r>
      <w:r>
        <w:t xml:space="preserve"> $78 million);</w:t>
      </w:r>
    </w:p>
    <w:p w:rsidR="00000000" w:rsidRDefault="001F233B" w:rsidP="001F233B">
      <w:pPr>
        <w:pStyle w:val="BulletText"/>
        <w:numPr>
          <w:ilvl w:val="0"/>
          <w:numId w:val="1"/>
        </w:numPr>
      </w:pPr>
      <w:r>
        <w:t>new TAF</w:t>
      </w:r>
      <w:r>
        <w:t>E</w:t>
      </w:r>
      <w:r>
        <w:fldChar w:fldCharType="begin"/>
      </w:r>
      <w:r>
        <w:instrText>xe "Department of Education:TAFE"</w:instrText>
      </w:r>
      <w:r>
        <w:fldChar w:fldCharType="end"/>
      </w:r>
      <w:r>
        <w:t xml:space="preserve"> projects (total investment</w:t>
      </w:r>
      <w:r>
        <w:fldChar w:fldCharType="begin"/>
      </w:r>
      <w:r>
        <w:instrText>xe "Economy:Investment"</w:instrText>
      </w:r>
      <w:r>
        <w:fldChar w:fldCharType="end"/>
      </w:r>
      <w:r>
        <w:t xml:space="preserve"> $15 million);</w:t>
      </w:r>
    </w:p>
    <w:p w:rsidR="00000000" w:rsidRDefault="001F233B" w:rsidP="001F233B">
      <w:pPr>
        <w:pStyle w:val="BulletText"/>
        <w:numPr>
          <w:ilvl w:val="0"/>
          <w:numId w:val="1"/>
        </w:numPr>
      </w:pPr>
      <w:r>
        <w:t>the Sports and Entertainment Precinct Infrastructure</w:t>
      </w:r>
      <w:r>
        <w:fldChar w:fldCharType="begin"/>
      </w:r>
      <w:r>
        <w:instrText>xe "Economy:Infrastructure"</w:instrText>
      </w:r>
      <w:r>
        <w:fldChar w:fldCharType="end"/>
      </w:r>
      <w:r>
        <w:t xml:space="preserve"> Upgrade (total investment</w:t>
      </w:r>
      <w:r>
        <w:fldChar w:fldCharType="begin"/>
      </w:r>
      <w:r>
        <w:instrText>xe "Economy:Investment"</w:instrText>
      </w:r>
      <w:r>
        <w:fldChar w:fldCharType="end"/>
      </w:r>
      <w:r>
        <w:t xml:space="preserve"> of $37.5 million);</w:t>
      </w:r>
    </w:p>
    <w:p w:rsidR="00000000" w:rsidRDefault="001F233B" w:rsidP="001F233B">
      <w:pPr>
        <w:pStyle w:val="BulletText"/>
        <w:numPr>
          <w:ilvl w:val="0"/>
          <w:numId w:val="1"/>
        </w:numPr>
      </w:pPr>
      <w:r>
        <w:t>Agenda 21</w:t>
      </w:r>
      <w:r>
        <w:fldChar w:fldCharType="begin"/>
      </w:r>
      <w:r>
        <w:instrText>xe "Agenda 21"</w:instrText>
      </w:r>
      <w:r>
        <w:fldChar w:fldCharType="end"/>
      </w:r>
      <w:r>
        <w:t xml:space="preserve"> and Community Support Projects (total investment</w:t>
      </w:r>
      <w:r>
        <w:fldChar w:fldCharType="begin"/>
      </w:r>
      <w:r>
        <w:instrText>xe "Economy:Investment"</w:instrText>
      </w:r>
      <w:r>
        <w:fldChar w:fldCharType="end"/>
      </w:r>
      <w:r>
        <w:t xml:space="preserve"> $145 million), including redevelopment of the Sidney Myer Music Bowl, upgrading regional performing arts centres, construction of a velodrome/multi</w:t>
      </w:r>
      <w:r>
        <w:noBreakHyphen/>
        <w:t>purpose v</w:t>
      </w:r>
      <w:r>
        <w:t>enue and Royal Park sports facilities; and</w:t>
      </w:r>
    </w:p>
    <w:p w:rsidR="00000000" w:rsidRDefault="001F233B" w:rsidP="001F233B">
      <w:pPr>
        <w:pStyle w:val="BulletText"/>
        <w:numPr>
          <w:ilvl w:val="0"/>
          <w:numId w:val="1"/>
        </w:numPr>
      </w:pPr>
      <w:r>
        <w:t>construction and upgrading of police stations</w:t>
      </w:r>
      <w:r>
        <w:fldChar w:fldCharType="begin"/>
      </w:r>
      <w:r>
        <w:instrText>xe "Department of Justice:Police station"</w:instrText>
      </w:r>
      <w:r>
        <w:fldChar w:fldCharType="end"/>
      </w:r>
      <w:r>
        <w:t xml:space="preserve"> and courts</w:t>
      </w:r>
      <w:r>
        <w:fldChar w:fldCharType="begin"/>
      </w:r>
      <w:r>
        <w:instrText>xe "Department of Justice:Police station"</w:instrText>
      </w:r>
      <w:r>
        <w:fldChar w:fldCharType="end"/>
      </w:r>
      <w:r>
        <w:fldChar w:fldCharType="begin"/>
      </w:r>
      <w:r>
        <w:instrText>xe "Department of Justice:Courts"</w:instrText>
      </w:r>
      <w:r>
        <w:fldChar w:fldCharType="end"/>
      </w:r>
      <w:r>
        <w:t xml:space="preserve"> in both urban and rural areas (total investment</w:t>
      </w:r>
      <w:r>
        <w:fldChar w:fldCharType="begin"/>
      </w:r>
      <w:r>
        <w:instrText>xe "Economy:Investment"</w:instrText>
      </w:r>
      <w:r>
        <w:fldChar w:fldCharType="end"/>
      </w:r>
      <w:r>
        <w:t xml:space="preserve"> $35 million).</w:t>
      </w:r>
    </w:p>
    <w:p w:rsidR="00000000" w:rsidRDefault="001F233B">
      <w:pPr>
        <w:pStyle w:val="Heading2"/>
      </w:pPr>
      <w:bookmarkStart w:id="9" w:name="_Toc417552065"/>
      <w:bookmarkStart w:id="10" w:name="_Toc417119814"/>
      <w:r>
        <w:t>Priority to key service delivery</w:t>
      </w:r>
      <w:r>
        <w:fldChar w:fldCharType="begin"/>
      </w:r>
      <w:r>
        <w:instrText>xe "Service delivery"</w:instrText>
      </w:r>
      <w:r>
        <w:fldChar w:fldCharType="end"/>
      </w:r>
      <w:r>
        <w:t xml:space="preserve"> responsibilities</w:t>
      </w:r>
      <w:bookmarkEnd w:id="9"/>
    </w:p>
    <w:p w:rsidR="00000000" w:rsidRDefault="001F233B">
      <w:r>
        <w:t>The State Government’s major service delivery</w:t>
      </w:r>
      <w:r>
        <w:fldChar w:fldCharType="begin"/>
      </w:r>
      <w:r>
        <w:instrText>xe "Service delivery"</w:instrText>
      </w:r>
      <w:r>
        <w:fldChar w:fldCharType="end"/>
      </w:r>
      <w:r>
        <w:t xml:space="preserve"> responsibilities are in health</w:t>
      </w:r>
      <w:r>
        <w:fldChar w:fldCharType="begin"/>
      </w:r>
      <w:r>
        <w:instrText>xe "Health"</w:instrText>
      </w:r>
      <w:r>
        <w:fldChar w:fldCharType="end"/>
      </w:r>
      <w:r>
        <w:t xml:space="preserve"> and community serv</w:t>
      </w:r>
      <w:r>
        <w:t>ices, education</w:t>
      </w:r>
      <w:r>
        <w:fldChar w:fldCharType="begin"/>
      </w:r>
      <w:r>
        <w:instrText>xe "Education"</w:instrText>
      </w:r>
      <w:r>
        <w:fldChar w:fldCharType="end"/>
      </w:r>
      <w:r>
        <w:t>, public transport</w:t>
      </w:r>
      <w:r>
        <w:fldChar w:fldCharType="begin"/>
      </w:r>
      <w:r>
        <w:instrText>xe "Transport"</w:instrText>
      </w:r>
      <w:r>
        <w:fldChar w:fldCharType="end"/>
      </w:r>
      <w:r>
        <w:t xml:space="preserve"> and police and other law and order programs. </w:t>
      </w:r>
    </w:p>
    <w:p w:rsidR="00000000" w:rsidRDefault="001F233B">
      <w:r>
        <w:t>The greater emphasis on output budgeting in 1998-99 has led to a sharper focus on these key spending priorities.</w:t>
      </w:r>
    </w:p>
    <w:p w:rsidR="00000000" w:rsidRDefault="001F233B">
      <w:r>
        <w:t>This year definite priority has been given to key service responsibilities, especially in health</w:t>
      </w:r>
      <w:r>
        <w:fldChar w:fldCharType="begin"/>
      </w:r>
      <w:r>
        <w:instrText>xe "Health"</w:instrText>
      </w:r>
      <w:r>
        <w:fldChar w:fldCharType="end"/>
      </w:r>
      <w:r>
        <w:t xml:space="preserve"> and education</w:t>
      </w:r>
      <w:r>
        <w:fldChar w:fldCharType="begin"/>
      </w:r>
      <w:r>
        <w:instrText>xe "Education"</w:instrText>
      </w:r>
      <w:r>
        <w:fldChar w:fldCharType="end"/>
      </w:r>
      <w:r>
        <w:t>. This emphasis is apparent from the ‘key initiatives’ list above which reflects the priority given to preventative programs in health, and literacy</w:t>
      </w:r>
      <w:r>
        <w:fldChar w:fldCharType="begin"/>
      </w:r>
      <w:r>
        <w:instrText>xe "Department of Education:Literacy"</w:instrText>
      </w:r>
      <w:r>
        <w:fldChar w:fldCharType="end"/>
      </w:r>
      <w:r>
        <w:t xml:space="preserve"> and numeracy programs in education.</w:t>
      </w:r>
    </w:p>
    <w:p w:rsidR="00000000" w:rsidRDefault="001F233B">
      <w:r>
        <w:t xml:space="preserve">These important policy initiatives have been funded by reallocation of resources across portfolios and by a surplus lower than it would otherwise be. </w:t>
      </w:r>
    </w:p>
    <w:p w:rsidR="00000000" w:rsidRDefault="001F233B">
      <w:pPr>
        <w:pStyle w:val="Header"/>
        <w:tabs>
          <w:tab w:val="clear" w:pos="4320"/>
          <w:tab w:val="clear" w:pos="8640"/>
          <w:tab w:val="left" w:pos="540"/>
        </w:tabs>
      </w:pPr>
      <w:r>
        <w:t>Efficiency savings and a reassessment of expenditure priorities of all budget sector agencies have made available $125 million, in a full year, to help fund the highest priority programs. Around one</w:t>
      </w:r>
      <w:r>
        <w:noBreakHyphen/>
        <w:t>third of the savings are derived from a redirection of the Community Support Fund ($25</w:t>
      </w:r>
      <w:r>
        <w:t> million) and strict adherence by agencies to the Government’s wages</w:t>
      </w:r>
      <w:r>
        <w:fldChar w:fldCharType="begin"/>
      </w:r>
      <w:r>
        <w:instrText>xe "Economy:Wages"</w:instrText>
      </w:r>
      <w:r>
        <w:fldChar w:fldCharType="end"/>
      </w:r>
      <w:r>
        <w:t xml:space="preserve"> growth policy ($20 million). The </w:t>
      </w:r>
      <w:r>
        <w:br w:type="page"/>
      </w:r>
      <w:r>
        <w:lastRenderedPageBreak/>
        <w:t>budget sector has been achieving impressive gains in productivity</w:t>
      </w:r>
      <w:r>
        <w:fldChar w:fldCharType="begin"/>
      </w:r>
      <w:r>
        <w:instrText>xe "Economy:Productivity"</w:instrText>
      </w:r>
      <w:r>
        <w:fldChar w:fldCharType="end"/>
      </w:r>
      <w:r>
        <w:t xml:space="preserve"> and the reallocation of resources is expected to have minimal impact on services to the public across the budget sector as a whole. Indeed, in most areas, departments and other agencies have initiated significant reallocation of funds to the highest-priority programs.</w:t>
      </w:r>
    </w:p>
    <w:p w:rsidR="00000000" w:rsidRDefault="001F233B">
      <w:pPr>
        <w:pStyle w:val="Heading2"/>
      </w:pPr>
      <w:bookmarkStart w:id="11" w:name="_Toc417552066"/>
      <w:r>
        <w:t>Benefits of the Government’</w:t>
      </w:r>
      <w:r>
        <w:t>s fiscal strategy</w:t>
      </w:r>
      <w:bookmarkEnd w:id="11"/>
      <w:r>
        <w:t xml:space="preserve"> </w:t>
      </w:r>
      <w:bookmarkEnd w:id="10"/>
      <w:r>
        <w:fldChar w:fldCharType="begin"/>
      </w:r>
      <w:r>
        <w:instrText>xe "Government’s fiscal strategy "</w:instrText>
      </w:r>
      <w:r>
        <w:fldChar w:fldCharType="end"/>
      </w:r>
    </w:p>
    <w:p w:rsidR="00000000" w:rsidRDefault="001F233B">
      <w:r>
        <w:t>The recent announcement by Standard &amp; Poor’s</w:t>
      </w:r>
      <w:r>
        <w:fldChar w:fldCharType="begin"/>
      </w:r>
      <w:r>
        <w:instrText>xe "Credit rating:Standard &amp; Poor’s"</w:instrText>
      </w:r>
      <w:r>
        <w:fldChar w:fldCharType="end"/>
      </w:r>
      <w:r>
        <w:t xml:space="preserve"> that it has placed Victoria on CreditWatch Positive, the penultimate step in returning Victoria’s credit rating to triple</w:t>
      </w:r>
      <w:r>
        <w:noBreakHyphen/>
        <w:t>A status, provides independent recognition that the State’s finances have been restored to a secure position. The improvements in the State’s financial position in the past six years are documented in Chapters 2, 3 and 6.</w:t>
      </w:r>
    </w:p>
    <w:p w:rsidR="00000000" w:rsidRDefault="001F233B">
      <w:r>
        <w:t>When the Government first came</w:t>
      </w:r>
      <w:r>
        <w:t xml:space="preserve"> to office immediate action was required to turn the budget position</w:t>
      </w:r>
      <w:r>
        <w:fldChar w:fldCharType="begin"/>
      </w:r>
      <w:r>
        <w:instrText>xe "Budget:Position"</w:instrText>
      </w:r>
      <w:r>
        <w:fldChar w:fldCharType="end"/>
      </w:r>
      <w:r>
        <w:t xml:space="preserve"> around. Cuts in spending and tax increases were initially required to arrest the situation. However, in recent years, the ongoing benefits to the budget from privatisation</w:t>
      </w:r>
      <w:r>
        <w:fldChar w:fldCharType="begin"/>
      </w:r>
      <w:r>
        <w:instrText>xe "Privatisation"</w:instrText>
      </w:r>
      <w:r>
        <w:fldChar w:fldCharType="end"/>
      </w:r>
      <w:r>
        <w:t xml:space="preserve"> and reforms to improve service delivery</w:t>
      </w:r>
      <w:r>
        <w:fldChar w:fldCharType="begin"/>
      </w:r>
      <w:r>
        <w:instrText>xe "Service delivery"</w:instrText>
      </w:r>
      <w:r>
        <w:fldChar w:fldCharType="end"/>
      </w:r>
      <w:r>
        <w:t xml:space="preserve"> efficiency</w:t>
      </w:r>
      <w:r>
        <w:fldChar w:fldCharType="begin"/>
      </w:r>
      <w:r>
        <w:instrText>xe "Service delivery:Service delivery efficiency"</w:instrText>
      </w:r>
      <w:r>
        <w:fldChar w:fldCharType="end"/>
      </w:r>
      <w:r>
        <w:t xml:space="preserve"> have returned a social benefit</w:t>
      </w:r>
      <w:r>
        <w:fldChar w:fldCharType="begin"/>
      </w:r>
      <w:r>
        <w:instrText>xe "Social benefit"</w:instrText>
      </w:r>
      <w:r>
        <w:fldChar w:fldCharType="end"/>
      </w:r>
      <w:r>
        <w:t xml:space="preserve"> to the community. This has been in terms of increase</w:t>
      </w:r>
      <w:r>
        <w:t>d expenditure in priority service delivery areas and of measures to ease the tax burden.</w:t>
      </w:r>
    </w:p>
    <w:p w:rsidR="00000000" w:rsidRDefault="001F233B">
      <w:r>
        <w:t>Charts 1.1 to 1.2 show that, while expenditure was cut in 1992</w:t>
      </w:r>
      <w:r>
        <w:noBreakHyphen/>
        <w:t>93 and 1993</w:t>
      </w:r>
      <w:r>
        <w:noBreakHyphen/>
        <w:t>94, spending has increased in key priority service delivery</w:t>
      </w:r>
      <w:r>
        <w:fldChar w:fldCharType="begin"/>
      </w:r>
      <w:r>
        <w:instrText>xe "Service delivery"</w:instrText>
      </w:r>
      <w:r>
        <w:fldChar w:fldCharType="end"/>
      </w:r>
      <w:r>
        <w:t xml:space="preserve"> areas since 1994</w:t>
      </w:r>
      <w:r>
        <w:noBreakHyphen/>
        <w:t xml:space="preserve">95: </w:t>
      </w:r>
    </w:p>
    <w:p w:rsidR="00000000" w:rsidRDefault="001F233B" w:rsidP="001F233B">
      <w:pPr>
        <w:pStyle w:val="BulletText"/>
        <w:numPr>
          <w:ilvl w:val="0"/>
          <w:numId w:val="1"/>
        </w:numPr>
      </w:pPr>
      <w:r>
        <w:t>the level of spending on education</w:t>
      </w:r>
      <w:r>
        <w:fldChar w:fldCharType="begin"/>
      </w:r>
      <w:r>
        <w:instrText>xe "Education"</w:instrText>
      </w:r>
      <w:r>
        <w:fldChar w:fldCharType="end"/>
      </w:r>
      <w:r>
        <w:t xml:space="preserve"> is now above 1991</w:t>
      </w:r>
      <w:r>
        <w:noBreakHyphen/>
        <w:t>92 levels (by 17.0 per cent in nominal terms and 4.0 per cent in real terms); and</w:t>
      </w:r>
    </w:p>
    <w:p w:rsidR="00000000" w:rsidRDefault="001F233B" w:rsidP="001F233B">
      <w:pPr>
        <w:pStyle w:val="BulletText"/>
        <w:numPr>
          <w:ilvl w:val="0"/>
          <w:numId w:val="1"/>
        </w:numPr>
      </w:pPr>
      <w:r>
        <w:t>spending on health</w:t>
      </w:r>
      <w:r>
        <w:fldChar w:fldCharType="begin"/>
      </w:r>
      <w:r>
        <w:instrText>xe "Health"</w:instrText>
      </w:r>
      <w:r>
        <w:fldChar w:fldCharType="end"/>
      </w:r>
      <w:r>
        <w:t>, social security and welfare (rising by 33.1 per cent in nom</w:t>
      </w:r>
      <w:r>
        <w:t xml:space="preserve">inal terms and 18.3 per cent in real terms). </w:t>
      </w:r>
    </w:p>
    <w:p w:rsidR="00000000" w:rsidRDefault="001F233B">
      <w:r>
        <w:t>Similarly, while taxes were initially increased, tax relief has been provided in the last four budgets and significant progress has been made in reducing the gap between the average revenue</w:t>
      </w:r>
      <w:r>
        <w:noBreakHyphen/>
        <w:t>raising efforts of the other States and Victoria.</w:t>
      </w:r>
    </w:p>
    <w:p w:rsidR="00000000" w:rsidRDefault="001F233B">
      <w:r>
        <w:t>The important difference between the situation in 1991-92 and today is that, having achieved a return to underlying budget surplus, expenditure settings are sustainable into the future.</w:t>
      </w:r>
    </w:p>
    <w:p w:rsidR="00000000" w:rsidRDefault="001F233B">
      <w:pPr>
        <w:pStyle w:val="Chartheading"/>
        <w:keepLines/>
        <w:spacing w:before="0"/>
      </w:pPr>
      <w:r>
        <w:br w:type="page"/>
      </w:r>
      <w:r>
        <w:lastRenderedPageBreak/>
        <w:t>Chart 1.1: Expenditure on Education</w:t>
      </w:r>
      <w:r>
        <w:fldChar w:fldCharType="begin"/>
      </w:r>
      <w:r>
        <w:instrText xml:space="preserve">xe </w:instrText>
      </w:r>
      <w:r>
        <w:instrText>"Education"</w:instrText>
      </w:r>
      <w:r>
        <w:fldChar w:fldCharType="end"/>
      </w:r>
      <w:r>
        <w:t xml:space="preserve"> (excluding Universities)</w:t>
      </w:r>
    </w:p>
    <w:p w:rsidR="00000000" w:rsidRDefault="001F233B">
      <w:pPr>
        <w:pStyle w:val="Source"/>
        <w:keepLines/>
        <w:tabs>
          <w:tab w:val="left" w:pos="630"/>
        </w:tabs>
        <w:spacing w:after="0"/>
      </w:pPr>
      <w:r>
        <w:rPr>
          <w:noProof/>
          <w:sz w:val="20"/>
        </w:rPr>
        <w:drawing>
          <wp:inline distT="0" distB="0" distL="0" distR="0">
            <wp:extent cx="4476750" cy="207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6750" cy="2076450"/>
                    </a:xfrm>
                    <a:prstGeom prst="rect">
                      <a:avLst/>
                    </a:prstGeom>
                    <a:noFill/>
                    <a:ln>
                      <a:noFill/>
                    </a:ln>
                  </pic:spPr>
                </pic:pic>
              </a:graphicData>
            </a:graphic>
          </wp:inline>
        </w:drawing>
      </w:r>
      <w:r>
        <w:t>Source:</w:t>
      </w:r>
      <w:r>
        <w:tab/>
        <w:t>Department of Treasury and Finance.</w:t>
      </w:r>
    </w:p>
    <w:p w:rsidR="00000000" w:rsidRDefault="001F233B">
      <w:pPr>
        <w:pStyle w:val="Notes"/>
        <w:keepLines/>
        <w:spacing w:before="120"/>
      </w:pPr>
      <w:r>
        <w:t>Note:</w:t>
      </w:r>
    </w:p>
    <w:p w:rsidR="00000000" w:rsidRDefault="001F233B">
      <w:pPr>
        <w:pStyle w:val="Source"/>
        <w:keepLines/>
        <w:spacing w:after="0"/>
      </w:pPr>
      <w:r>
        <w:t>Uniform Presentation Format consistent with Australian Bureau of Statistics Government Finance Statistics (GFS) standards.</w:t>
      </w:r>
    </w:p>
    <w:p w:rsidR="00000000" w:rsidRDefault="001F233B">
      <w:pPr>
        <w:pStyle w:val="Chartheading"/>
        <w:keepLines/>
        <w:spacing w:before="200"/>
      </w:pPr>
      <w:r>
        <w:t>Chart 1.2: Expenditure on Health</w:t>
      </w:r>
      <w:r>
        <w:fldChar w:fldCharType="begin"/>
      </w:r>
      <w:r>
        <w:instrText>xe "Health"</w:instrText>
      </w:r>
      <w:r>
        <w:fldChar w:fldCharType="end"/>
      </w:r>
      <w:r>
        <w:t xml:space="preserve">, Social Security and Welfare </w:t>
      </w:r>
    </w:p>
    <w:p w:rsidR="00000000" w:rsidRDefault="001F233B">
      <w:pPr>
        <w:keepLines/>
        <w:spacing w:after="0"/>
      </w:pPr>
      <w:r>
        <w:rPr>
          <w:noProof/>
          <w:sz w:val="20"/>
        </w:rPr>
        <w:drawing>
          <wp:inline distT="0" distB="0" distL="0" distR="0">
            <wp:extent cx="4476750" cy="207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6750" cy="2076450"/>
                    </a:xfrm>
                    <a:prstGeom prst="rect">
                      <a:avLst/>
                    </a:prstGeom>
                    <a:noFill/>
                    <a:ln>
                      <a:noFill/>
                    </a:ln>
                  </pic:spPr>
                </pic:pic>
              </a:graphicData>
            </a:graphic>
          </wp:inline>
        </w:drawing>
      </w:r>
      <w:r>
        <w:rPr>
          <w:i/>
          <w:sz w:val="18"/>
        </w:rPr>
        <w:t>Source:</w:t>
      </w:r>
      <w:r>
        <w:rPr>
          <w:i/>
          <w:sz w:val="18"/>
        </w:rPr>
        <w:tab/>
        <w:t>Department of Treasury and Finance.</w:t>
      </w:r>
    </w:p>
    <w:p w:rsidR="00000000" w:rsidRDefault="001F233B">
      <w:pPr>
        <w:pStyle w:val="Notes"/>
        <w:keepLines/>
        <w:spacing w:before="120"/>
      </w:pPr>
      <w:r>
        <w:t>Note:</w:t>
      </w:r>
    </w:p>
    <w:p w:rsidR="00000000" w:rsidRDefault="001F233B">
      <w:pPr>
        <w:pStyle w:val="Source"/>
        <w:keepLines/>
        <w:spacing w:after="0"/>
      </w:pPr>
      <w:r>
        <w:t>Uniform Presentation Format consistent with Australian Bureau of Statistics Government Finance Statistics (GFS) standards.</w:t>
      </w:r>
    </w:p>
    <w:p w:rsidR="00000000" w:rsidRDefault="001F233B">
      <w:pPr>
        <w:pStyle w:val="Tableheading"/>
      </w:pPr>
      <w:r>
        <w:br w:type="page"/>
      </w:r>
      <w:bookmarkStart w:id="12" w:name="_Toc417552733"/>
      <w:r>
        <w:lastRenderedPageBreak/>
        <w:t>Table 1.2: Expenditure on Priority Service Delive</w:t>
      </w:r>
      <w:r>
        <w:t>ry</w:t>
      </w:r>
      <w:r>
        <w:fldChar w:fldCharType="begin"/>
      </w:r>
      <w:r>
        <w:instrText>xe "Service delivery"</w:instrText>
      </w:r>
      <w:r>
        <w:fldChar w:fldCharType="end"/>
      </w:r>
      <w:r>
        <w:t xml:space="preserve"> Areas</w:t>
      </w:r>
      <w:bookmarkEnd w:id="12"/>
    </w:p>
    <w:p w:rsidR="00000000" w:rsidRDefault="001F233B">
      <w:pPr>
        <w:spacing w:after="0"/>
        <w:jc w:val="center"/>
        <w:rPr>
          <w:rFonts w:ascii="Arial" w:hAnsi="Arial"/>
          <w:i/>
          <w:noProof/>
          <w:sz w:val="18"/>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931"/>
        <w:gridCol w:w="977"/>
        <w:gridCol w:w="614"/>
        <w:gridCol w:w="615"/>
        <w:gridCol w:w="614"/>
        <w:gridCol w:w="615"/>
        <w:gridCol w:w="614"/>
        <w:gridCol w:w="614"/>
        <w:gridCol w:w="821"/>
        <w:gridCol w:w="742"/>
      </w:tblGrid>
      <w:tr w:rsidR="00000000">
        <w:tblPrEx>
          <w:tblCellMar>
            <w:top w:w="0" w:type="dxa"/>
            <w:bottom w:w="0" w:type="dxa"/>
          </w:tblCellMar>
        </w:tblPrEx>
        <w:trPr>
          <w:trHeight w:hRule="exact" w:val="240"/>
        </w:trPr>
        <w:tc>
          <w:tcPr>
            <w:tcW w:w="931" w:type="dxa"/>
            <w:tcBorders>
              <w:top w:val="single" w:sz="6" w:space="0" w:color="auto"/>
            </w:tcBorders>
          </w:tcPr>
          <w:p w:rsidR="00000000" w:rsidRDefault="001F233B">
            <w:pPr>
              <w:keepNext/>
              <w:jc w:val="right"/>
              <w:rPr>
                <w:rFonts w:ascii="Arial" w:hAnsi="Arial"/>
                <w:i/>
                <w:color w:val="000000"/>
                <w:sz w:val="18"/>
              </w:rPr>
            </w:pPr>
          </w:p>
        </w:tc>
        <w:tc>
          <w:tcPr>
            <w:tcW w:w="977" w:type="dxa"/>
            <w:tcBorders>
              <w:top w:val="single" w:sz="6" w:space="0" w:color="auto"/>
            </w:tcBorders>
          </w:tcPr>
          <w:p w:rsidR="00000000" w:rsidRDefault="001F233B">
            <w:pPr>
              <w:keepNext/>
              <w:jc w:val="right"/>
              <w:rPr>
                <w:rFonts w:ascii="Arial" w:hAnsi="Arial"/>
                <w:i/>
                <w:color w:val="000000"/>
                <w:sz w:val="18"/>
              </w:rPr>
            </w:pPr>
          </w:p>
        </w:tc>
        <w:tc>
          <w:tcPr>
            <w:tcW w:w="614"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91-92</w:t>
            </w:r>
          </w:p>
        </w:tc>
        <w:tc>
          <w:tcPr>
            <w:tcW w:w="615"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92-93</w:t>
            </w:r>
          </w:p>
        </w:tc>
        <w:tc>
          <w:tcPr>
            <w:tcW w:w="614"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93-94</w:t>
            </w:r>
          </w:p>
        </w:tc>
        <w:tc>
          <w:tcPr>
            <w:tcW w:w="615"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94-95</w:t>
            </w:r>
          </w:p>
        </w:tc>
        <w:tc>
          <w:tcPr>
            <w:tcW w:w="614"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95-96</w:t>
            </w:r>
          </w:p>
        </w:tc>
        <w:tc>
          <w:tcPr>
            <w:tcW w:w="614"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96-97</w:t>
            </w:r>
          </w:p>
        </w:tc>
        <w:tc>
          <w:tcPr>
            <w:tcW w:w="821"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97-98</w:t>
            </w:r>
          </w:p>
        </w:tc>
        <w:tc>
          <w:tcPr>
            <w:tcW w:w="742"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98-99</w:t>
            </w:r>
          </w:p>
        </w:tc>
      </w:tr>
      <w:tr w:rsidR="00000000">
        <w:tblPrEx>
          <w:tblCellMar>
            <w:top w:w="0" w:type="dxa"/>
            <w:bottom w:w="0" w:type="dxa"/>
          </w:tblCellMar>
        </w:tblPrEx>
        <w:trPr>
          <w:trHeight w:hRule="exact" w:val="240"/>
        </w:trPr>
        <w:tc>
          <w:tcPr>
            <w:tcW w:w="931" w:type="dxa"/>
            <w:tcBorders>
              <w:bottom w:val="single" w:sz="6" w:space="0" w:color="auto"/>
            </w:tcBorders>
          </w:tcPr>
          <w:p w:rsidR="00000000" w:rsidRDefault="001F233B">
            <w:pPr>
              <w:keepNext/>
              <w:jc w:val="right"/>
              <w:rPr>
                <w:rFonts w:ascii="Arial" w:hAnsi="Arial"/>
                <w:i/>
                <w:color w:val="000000"/>
                <w:sz w:val="18"/>
              </w:rPr>
            </w:pPr>
          </w:p>
        </w:tc>
        <w:tc>
          <w:tcPr>
            <w:tcW w:w="977" w:type="dxa"/>
            <w:tcBorders>
              <w:bottom w:val="single" w:sz="6" w:space="0" w:color="auto"/>
            </w:tcBorders>
          </w:tcPr>
          <w:p w:rsidR="00000000" w:rsidRDefault="001F233B">
            <w:pPr>
              <w:keepNext/>
              <w:jc w:val="right"/>
              <w:rPr>
                <w:rFonts w:ascii="Arial" w:hAnsi="Arial"/>
                <w:i/>
                <w:color w:val="000000"/>
                <w:sz w:val="18"/>
              </w:rPr>
            </w:pPr>
          </w:p>
        </w:tc>
        <w:tc>
          <w:tcPr>
            <w:tcW w:w="614" w:type="dxa"/>
            <w:tcBorders>
              <w:bottom w:val="single" w:sz="6" w:space="0" w:color="auto"/>
            </w:tcBorders>
          </w:tcPr>
          <w:p w:rsidR="00000000" w:rsidRDefault="001F233B">
            <w:pPr>
              <w:keepNext/>
              <w:jc w:val="right"/>
              <w:rPr>
                <w:rFonts w:ascii="Arial" w:hAnsi="Arial"/>
                <w:i/>
                <w:color w:val="000000"/>
                <w:sz w:val="18"/>
              </w:rPr>
            </w:pPr>
          </w:p>
        </w:tc>
        <w:tc>
          <w:tcPr>
            <w:tcW w:w="615" w:type="dxa"/>
            <w:tcBorders>
              <w:bottom w:val="single" w:sz="6" w:space="0" w:color="auto"/>
            </w:tcBorders>
          </w:tcPr>
          <w:p w:rsidR="00000000" w:rsidRDefault="001F233B">
            <w:pPr>
              <w:keepNext/>
              <w:jc w:val="right"/>
              <w:rPr>
                <w:rFonts w:ascii="Arial" w:hAnsi="Arial"/>
                <w:i/>
                <w:color w:val="000000"/>
                <w:sz w:val="18"/>
              </w:rPr>
            </w:pPr>
          </w:p>
        </w:tc>
        <w:tc>
          <w:tcPr>
            <w:tcW w:w="614" w:type="dxa"/>
            <w:tcBorders>
              <w:bottom w:val="single" w:sz="6" w:space="0" w:color="auto"/>
            </w:tcBorders>
          </w:tcPr>
          <w:p w:rsidR="00000000" w:rsidRDefault="001F233B">
            <w:pPr>
              <w:keepNext/>
              <w:jc w:val="right"/>
              <w:rPr>
                <w:rFonts w:ascii="Arial" w:hAnsi="Arial"/>
                <w:i/>
                <w:color w:val="000000"/>
                <w:sz w:val="18"/>
              </w:rPr>
            </w:pPr>
          </w:p>
        </w:tc>
        <w:tc>
          <w:tcPr>
            <w:tcW w:w="615" w:type="dxa"/>
            <w:tcBorders>
              <w:bottom w:val="single" w:sz="6" w:space="0" w:color="auto"/>
            </w:tcBorders>
          </w:tcPr>
          <w:p w:rsidR="00000000" w:rsidRDefault="001F233B">
            <w:pPr>
              <w:keepNext/>
              <w:jc w:val="right"/>
              <w:rPr>
                <w:rFonts w:ascii="Arial" w:hAnsi="Arial"/>
                <w:i/>
                <w:color w:val="000000"/>
                <w:sz w:val="18"/>
              </w:rPr>
            </w:pPr>
          </w:p>
        </w:tc>
        <w:tc>
          <w:tcPr>
            <w:tcW w:w="614" w:type="dxa"/>
            <w:tcBorders>
              <w:bottom w:val="single" w:sz="6" w:space="0" w:color="auto"/>
            </w:tcBorders>
          </w:tcPr>
          <w:p w:rsidR="00000000" w:rsidRDefault="001F233B">
            <w:pPr>
              <w:keepNext/>
              <w:jc w:val="right"/>
              <w:rPr>
                <w:rFonts w:ascii="Arial" w:hAnsi="Arial"/>
                <w:i/>
                <w:color w:val="000000"/>
                <w:sz w:val="18"/>
              </w:rPr>
            </w:pPr>
          </w:p>
        </w:tc>
        <w:tc>
          <w:tcPr>
            <w:tcW w:w="614" w:type="dxa"/>
            <w:tcBorders>
              <w:bottom w:val="single" w:sz="6" w:space="0" w:color="auto"/>
            </w:tcBorders>
          </w:tcPr>
          <w:p w:rsidR="00000000" w:rsidRDefault="001F233B">
            <w:pPr>
              <w:keepNext/>
              <w:jc w:val="right"/>
              <w:rPr>
                <w:rFonts w:ascii="Arial" w:hAnsi="Arial"/>
                <w:i/>
                <w:color w:val="000000"/>
                <w:sz w:val="18"/>
              </w:rPr>
            </w:pPr>
          </w:p>
        </w:tc>
        <w:tc>
          <w:tcPr>
            <w:tcW w:w="821" w:type="dxa"/>
            <w:tcBorders>
              <w:bottom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Revised</w:t>
            </w:r>
          </w:p>
        </w:tc>
        <w:tc>
          <w:tcPr>
            <w:tcW w:w="742" w:type="dxa"/>
            <w:tcBorders>
              <w:bottom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Budget</w:t>
            </w:r>
          </w:p>
        </w:tc>
      </w:tr>
      <w:tr w:rsidR="001F233B" w:rsidTr="001F233B">
        <w:tblPrEx>
          <w:tblCellMar>
            <w:top w:w="0" w:type="dxa"/>
            <w:bottom w:w="0" w:type="dxa"/>
          </w:tblCellMar>
        </w:tblPrEx>
        <w:trPr>
          <w:trHeight w:hRule="exact" w:val="240"/>
        </w:trPr>
        <w:tc>
          <w:tcPr>
            <w:tcW w:w="3137" w:type="dxa"/>
            <w:gridSpan w:val="4"/>
          </w:tcPr>
          <w:p w:rsidR="00000000" w:rsidRDefault="001F233B">
            <w:pPr>
              <w:keepNext/>
              <w:rPr>
                <w:rFonts w:ascii="Arial" w:hAnsi="Arial"/>
                <w:color w:val="000000"/>
                <w:sz w:val="18"/>
              </w:rPr>
            </w:pPr>
            <w:r>
              <w:rPr>
                <w:rFonts w:ascii="Arial" w:hAnsi="Arial"/>
                <w:color w:val="000000"/>
                <w:sz w:val="18"/>
              </w:rPr>
              <w:t>Education</w:t>
            </w:r>
            <w:r>
              <w:rPr>
                <w:rFonts w:ascii="Arial" w:hAnsi="Arial"/>
                <w:color w:val="000000"/>
                <w:sz w:val="18"/>
              </w:rPr>
              <w:fldChar w:fldCharType="begin"/>
            </w:r>
            <w:r>
              <w:rPr>
                <w:rFonts w:ascii="Arial" w:hAnsi="Arial"/>
                <w:color w:val="000000"/>
                <w:sz w:val="18"/>
              </w:rPr>
              <w:instrText>xe "Education"</w:instrText>
            </w:r>
            <w:r>
              <w:rPr>
                <w:rFonts w:ascii="Arial" w:hAnsi="Arial"/>
                <w:color w:val="000000"/>
                <w:sz w:val="18"/>
              </w:rPr>
              <w:fldChar w:fldCharType="end"/>
            </w:r>
            <w:r>
              <w:rPr>
                <w:rFonts w:ascii="Arial" w:hAnsi="Arial"/>
                <w:color w:val="000000"/>
                <w:sz w:val="18"/>
              </w:rPr>
              <w:t xml:space="preserve"> (excluding Universities)</w:t>
            </w:r>
          </w:p>
        </w:tc>
        <w:tc>
          <w:tcPr>
            <w:tcW w:w="614" w:type="dxa"/>
          </w:tcPr>
          <w:p w:rsidR="00000000" w:rsidRDefault="001F233B">
            <w:pPr>
              <w:keepNext/>
              <w:jc w:val="right"/>
              <w:rPr>
                <w:rFonts w:ascii="Arial" w:hAnsi="Arial"/>
                <w:color w:val="000000"/>
                <w:sz w:val="18"/>
              </w:rPr>
            </w:pPr>
          </w:p>
        </w:tc>
        <w:tc>
          <w:tcPr>
            <w:tcW w:w="615" w:type="dxa"/>
          </w:tcPr>
          <w:p w:rsidR="00000000" w:rsidRDefault="001F233B">
            <w:pPr>
              <w:keepNext/>
              <w:jc w:val="right"/>
              <w:rPr>
                <w:rFonts w:ascii="Arial" w:hAnsi="Arial"/>
                <w:color w:val="000000"/>
                <w:sz w:val="18"/>
              </w:rPr>
            </w:pPr>
          </w:p>
        </w:tc>
        <w:tc>
          <w:tcPr>
            <w:tcW w:w="614" w:type="dxa"/>
          </w:tcPr>
          <w:p w:rsidR="00000000" w:rsidRDefault="001F233B">
            <w:pPr>
              <w:keepNext/>
              <w:jc w:val="right"/>
              <w:rPr>
                <w:rFonts w:ascii="Arial" w:hAnsi="Arial"/>
                <w:color w:val="000000"/>
                <w:sz w:val="18"/>
              </w:rPr>
            </w:pPr>
          </w:p>
        </w:tc>
        <w:tc>
          <w:tcPr>
            <w:tcW w:w="614" w:type="dxa"/>
          </w:tcPr>
          <w:p w:rsidR="00000000" w:rsidRDefault="001F233B">
            <w:pPr>
              <w:keepNext/>
              <w:jc w:val="right"/>
              <w:rPr>
                <w:rFonts w:ascii="Arial" w:hAnsi="Arial"/>
                <w:color w:val="000000"/>
                <w:sz w:val="18"/>
              </w:rPr>
            </w:pPr>
          </w:p>
        </w:tc>
        <w:tc>
          <w:tcPr>
            <w:tcW w:w="821" w:type="dxa"/>
          </w:tcPr>
          <w:p w:rsidR="00000000" w:rsidRDefault="001F233B">
            <w:pPr>
              <w:keepNext/>
              <w:jc w:val="right"/>
              <w:rPr>
                <w:rFonts w:ascii="Arial" w:hAnsi="Arial"/>
                <w:color w:val="000000"/>
                <w:sz w:val="18"/>
              </w:rPr>
            </w:pPr>
          </w:p>
        </w:tc>
        <w:tc>
          <w:tcPr>
            <w:tcW w:w="742" w:type="dxa"/>
          </w:tcPr>
          <w:p w:rsidR="00000000" w:rsidRDefault="001F233B">
            <w:pPr>
              <w:keepNext/>
              <w:jc w:val="right"/>
              <w:rPr>
                <w:rFonts w:ascii="Arial" w:hAnsi="Arial"/>
                <w:color w:val="000000"/>
                <w:sz w:val="18"/>
              </w:rPr>
            </w:pPr>
          </w:p>
        </w:tc>
      </w:tr>
      <w:tr w:rsidR="00000000">
        <w:tblPrEx>
          <w:tblCellMar>
            <w:top w:w="0" w:type="dxa"/>
            <w:bottom w:w="0" w:type="dxa"/>
          </w:tblCellMar>
        </w:tblPrEx>
        <w:trPr>
          <w:trHeight w:hRule="exact" w:val="240"/>
        </w:trPr>
        <w:tc>
          <w:tcPr>
            <w:tcW w:w="931" w:type="dxa"/>
          </w:tcPr>
          <w:p w:rsidR="00000000" w:rsidRDefault="001F233B">
            <w:pPr>
              <w:keepNext/>
              <w:jc w:val="right"/>
              <w:rPr>
                <w:rFonts w:ascii="Arial" w:hAnsi="Arial"/>
                <w:color w:val="000000"/>
                <w:sz w:val="18"/>
              </w:rPr>
            </w:pPr>
          </w:p>
        </w:tc>
        <w:tc>
          <w:tcPr>
            <w:tcW w:w="977" w:type="dxa"/>
          </w:tcPr>
          <w:p w:rsidR="00000000" w:rsidRDefault="001F233B">
            <w:pPr>
              <w:keepNext/>
              <w:rPr>
                <w:rFonts w:ascii="Arial" w:hAnsi="Arial"/>
                <w:color w:val="000000"/>
                <w:sz w:val="18"/>
              </w:rPr>
            </w:pPr>
            <w:r>
              <w:rPr>
                <w:rFonts w:ascii="Arial" w:hAnsi="Arial"/>
                <w:color w:val="000000"/>
                <w:sz w:val="18"/>
              </w:rPr>
              <w:t>Nominal</w:t>
            </w:r>
          </w:p>
        </w:tc>
        <w:tc>
          <w:tcPr>
            <w:tcW w:w="614" w:type="dxa"/>
          </w:tcPr>
          <w:p w:rsidR="00000000" w:rsidRDefault="001F233B">
            <w:pPr>
              <w:keepNext/>
              <w:jc w:val="right"/>
              <w:rPr>
                <w:rFonts w:ascii="Arial" w:hAnsi="Arial"/>
                <w:color w:val="000000"/>
                <w:sz w:val="18"/>
              </w:rPr>
            </w:pPr>
            <w:r>
              <w:rPr>
                <w:rFonts w:ascii="Arial" w:hAnsi="Arial"/>
                <w:color w:val="000000"/>
                <w:sz w:val="18"/>
              </w:rPr>
              <w:t>3 494</w:t>
            </w:r>
          </w:p>
        </w:tc>
        <w:tc>
          <w:tcPr>
            <w:tcW w:w="615" w:type="dxa"/>
          </w:tcPr>
          <w:p w:rsidR="00000000" w:rsidRDefault="001F233B">
            <w:pPr>
              <w:keepNext/>
              <w:jc w:val="right"/>
              <w:rPr>
                <w:rFonts w:ascii="Arial" w:hAnsi="Arial"/>
                <w:color w:val="000000"/>
                <w:sz w:val="18"/>
              </w:rPr>
            </w:pPr>
            <w:r>
              <w:rPr>
                <w:rFonts w:ascii="Arial" w:hAnsi="Arial"/>
                <w:color w:val="000000"/>
                <w:sz w:val="18"/>
              </w:rPr>
              <w:t>3 458</w:t>
            </w:r>
          </w:p>
        </w:tc>
        <w:tc>
          <w:tcPr>
            <w:tcW w:w="614" w:type="dxa"/>
          </w:tcPr>
          <w:p w:rsidR="00000000" w:rsidRDefault="001F233B">
            <w:pPr>
              <w:keepNext/>
              <w:jc w:val="right"/>
              <w:rPr>
                <w:rFonts w:ascii="Arial" w:hAnsi="Arial"/>
                <w:color w:val="000000"/>
                <w:sz w:val="18"/>
              </w:rPr>
            </w:pPr>
            <w:r>
              <w:rPr>
                <w:rFonts w:ascii="Arial" w:hAnsi="Arial"/>
                <w:color w:val="000000"/>
                <w:sz w:val="18"/>
              </w:rPr>
              <w:t>3 402</w:t>
            </w:r>
          </w:p>
        </w:tc>
        <w:tc>
          <w:tcPr>
            <w:tcW w:w="615" w:type="dxa"/>
          </w:tcPr>
          <w:p w:rsidR="00000000" w:rsidRDefault="001F233B">
            <w:pPr>
              <w:keepNext/>
              <w:jc w:val="right"/>
              <w:rPr>
                <w:rFonts w:ascii="Arial" w:hAnsi="Arial"/>
                <w:color w:val="000000"/>
                <w:sz w:val="18"/>
              </w:rPr>
            </w:pPr>
            <w:r>
              <w:rPr>
                <w:rFonts w:ascii="Arial" w:hAnsi="Arial"/>
                <w:color w:val="000000"/>
                <w:sz w:val="18"/>
              </w:rPr>
              <w:t>3 365</w:t>
            </w:r>
          </w:p>
        </w:tc>
        <w:tc>
          <w:tcPr>
            <w:tcW w:w="614" w:type="dxa"/>
          </w:tcPr>
          <w:p w:rsidR="00000000" w:rsidRDefault="001F233B">
            <w:pPr>
              <w:keepNext/>
              <w:jc w:val="right"/>
              <w:rPr>
                <w:rFonts w:ascii="Arial" w:hAnsi="Arial"/>
                <w:color w:val="000000"/>
                <w:sz w:val="18"/>
              </w:rPr>
            </w:pPr>
            <w:r>
              <w:rPr>
                <w:rFonts w:ascii="Arial" w:hAnsi="Arial"/>
                <w:color w:val="000000"/>
                <w:sz w:val="18"/>
              </w:rPr>
              <w:t>3 542</w:t>
            </w:r>
          </w:p>
        </w:tc>
        <w:tc>
          <w:tcPr>
            <w:tcW w:w="614" w:type="dxa"/>
          </w:tcPr>
          <w:p w:rsidR="00000000" w:rsidRDefault="001F233B">
            <w:pPr>
              <w:keepNext/>
              <w:jc w:val="right"/>
              <w:rPr>
                <w:rFonts w:ascii="Arial" w:hAnsi="Arial"/>
                <w:color w:val="000000"/>
                <w:sz w:val="18"/>
              </w:rPr>
            </w:pPr>
            <w:r>
              <w:rPr>
                <w:rFonts w:ascii="Arial" w:hAnsi="Arial"/>
                <w:color w:val="000000"/>
                <w:sz w:val="18"/>
              </w:rPr>
              <w:t>3 758</w:t>
            </w:r>
          </w:p>
        </w:tc>
        <w:tc>
          <w:tcPr>
            <w:tcW w:w="821" w:type="dxa"/>
          </w:tcPr>
          <w:p w:rsidR="00000000" w:rsidRDefault="001F233B">
            <w:pPr>
              <w:keepNext/>
              <w:jc w:val="right"/>
              <w:rPr>
                <w:rFonts w:ascii="Arial" w:hAnsi="Arial"/>
                <w:color w:val="000000"/>
                <w:sz w:val="18"/>
              </w:rPr>
            </w:pPr>
            <w:r>
              <w:rPr>
                <w:rFonts w:ascii="Arial" w:hAnsi="Arial"/>
                <w:color w:val="000000"/>
                <w:sz w:val="18"/>
              </w:rPr>
              <w:t>3 943</w:t>
            </w:r>
          </w:p>
        </w:tc>
        <w:tc>
          <w:tcPr>
            <w:tcW w:w="742" w:type="dxa"/>
          </w:tcPr>
          <w:p w:rsidR="00000000" w:rsidRDefault="001F233B">
            <w:pPr>
              <w:keepNext/>
              <w:jc w:val="right"/>
              <w:rPr>
                <w:rFonts w:ascii="Arial" w:hAnsi="Arial"/>
                <w:color w:val="000000"/>
                <w:sz w:val="18"/>
              </w:rPr>
            </w:pPr>
            <w:r>
              <w:rPr>
                <w:rFonts w:ascii="Arial" w:hAnsi="Arial"/>
                <w:color w:val="000000"/>
                <w:sz w:val="18"/>
              </w:rPr>
              <w:t>4 088</w:t>
            </w:r>
          </w:p>
        </w:tc>
      </w:tr>
      <w:tr w:rsidR="00000000">
        <w:tblPrEx>
          <w:tblCellMar>
            <w:top w:w="0" w:type="dxa"/>
            <w:bottom w:w="0" w:type="dxa"/>
          </w:tblCellMar>
        </w:tblPrEx>
        <w:trPr>
          <w:trHeight w:hRule="exact" w:val="240"/>
        </w:trPr>
        <w:tc>
          <w:tcPr>
            <w:tcW w:w="931" w:type="dxa"/>
          </w:tcPr>
          <w:p w:rsidR="00000000" w:rsidRDefault="001F233B">
            <w:pPr>
              <w:keepNext/>
              <w:jc w:val="right"/>
              <w:rPr>
                <w:rFonts w:ascii="Arial" w:hAnsi="Arial"/>
                <w:color w:val="000000"/>
                <w:sz w:val="18"/>
              </w:rPr>
            </w:pPr>
          </w:p>
        </w:tc>
        <w:tc>
          <w:tcPr>
            <w:tcW w:w="977" w:type="dxa"/>
          </w:tcPr>
          <w:p w:rsidR="00000000" w:rsidRDefault="001F233B">
            <w:pPr>
              <w:keepNext/>
              <w:rPr>
                <w:rFonts w:ascii="Arial" w:hAnsi="Arial"/>
                <w:color w:val="000000"/>
                <w:sz w:val="18"/>
              </w:rPr>
            </w:pPr>
            <w:r>
              <w:rPr>
                <w:rFonts w:ascii="Arial" w:hAnsi="Arial"/>
                <w:color w:val="000000"/>
                <w:sz w:val="18"/>
              </w:rPr>
              <w:t>Real</w:t>
            </w:r>
          </w:p>
        </w:tc>
        <w:tc>
          <w:tcPr>
            <w:tcW w:w="614" w:type="dxa"/>
          </w:tcPr>
          <w:p w:rsidR="00000000" w:rsidRDefault="001F233B">
            <w:pPr>
              <w:keepNext/>
              <w:jc w:val="right"/>
              <w:rPr>
                <w:rFonts w:ascii="Arial" w:hAnsi="Arial"/>
                <w:color w:val="000000"/>
                <w:sz w:val="18"/>
              </w:rPr>
            </w:pPr>
            <w:r>
              <w:rPr>
                <w:rFonts w:ascii="Arial" w:hAnsi="Arial"/>
                <w:color w:val="000000"/>
                <w:sz w:val="18"/>
              </w:rPr>
              <w:t>3 494</w:t>
            </w:r>
          </w:p>
        </w:tc>
        <w:tc>
          <w:tcPr>
            <w:tcW w:w="615" w:type="dxa"/>
          </w:tcPr>
          <w:p w:rsidR="00000000" w:rsidRDefault="001F233B">
            <w:pPr>
              <w:keepNext/>
              <w:jc w:val="right"/>
              <w:rPr>
                <w:rFonts w:ascii="Arial" w:hAnsi="Arial"/>
                <w:color w:val="000000"/>
                <w:sz w:val="18"/>
              </w:rPr>
            </w:pPr>
            <w:r>
              <w:rPr>
                <w:rFonts w:ascii="Arial" w:hAnsi="Arial"/>
                <w:color w:val="000000"/>
                <w:sz w:val="18"/>
              </w:rPr>
              <w:t>3 366</w:t>
            </w:r>
          </w:p>
        </w:tc>
        <w:tc>
          <w:tcPr>
            <w:tcW w:w="614" w:type="dxa"/>
          </w:tcPr>
          <w:p w:rsidR="00000000" w:rsidRDefault="001F233B">
            <w:pPr>
              <w:keepNext/>
              <w:jc w:val="right"/>
              <w:rPr>
                <w:rFonts w:ascii="Arial" w:hAnsi="Arial"/>
                <w:color w:val="000000"/>
                <w:sz w:val="18"/>
              </w:rPr>
            </w:pPr>
            <w:r>
              <w:rPr>
                <w:rFonts w:ascii="Arial" w:hAnsi="Arial"/>
                <w:color w:val="000000"/>
                <w:sz w:val="18"/>
              </w:rPr>
              <w:t>3 271</w:t>
            </w:r>
          </w:p>
        </w:tc>
        <w:tc>
          <w:tcPr>
            <w:tcW w:w="615" w:type="dxa"/>
          </w:tcPr>
          <w:p w:rsidR="00000000" w:rsidRDefault="001F233B">
            <w:pPr>
              <w:keepNext/>
              <w:jc w:val="right"/>
              <w:rPr>
                <w:rFonts w:ascii="Arial" w:hAnsi="Arial"/>
                <w:color w:val="000000"/>
                <w:sz w:val="18"/>
              </w:rPr>
            </w:pPr>
            <w:r>
              <w:rPr>
                <w:rFonts w:ascii="Arial" w:hAnsi="Arial"/>
                <w:color w:val="000000"/>
                <w:sz w:val="18"/>
              </w:rPr>
              <w:t>3 247</w:t>
            </w:r>
          </w:p>
        </w:tc>
        <w:tc>
          <w:tcPr>
            <w:tcW w:w="614" w:type="dxa"/>
          </w:tcPr>
          <w:p w:rsidR="00000000" w:rsidRDefault="001F233B">
            <w:pPr>
              <w:keepNext/>
              <w:jc w:val="right"/>
              <w:rPr>
                <w:rFonts w:ascii="Arial" w:hAnsi="Arial"/>
                <w:color w:val="000000"/>
                <w:sz w:val="18"/>
              </w:rPr>
            </w:pPr>
            <w:r>
              <w:rPr>
                <w:rFonts w:ascii="Arial" w:hAnsi="Arial"/>
                <w:color w:val="000000"/>
                <w:sz w:val="18"/>
              </w:rPr>
              <w:t>3 279</w:t>
            </w:r>
          </w:p>
        </w:tc>
        <w:tc>
          <w:tcPr>
            <w:tcW w:w="614" w:type="dxa"/>
          </w:tcPr>
          <w:p w:rsidR="00000000" w:rsidRDefault="001F233B">
            <w:pPr>
              <w:keepNext/>
              <w:jc w:val="right"/>
              <w:rPr>
                <w:rFonts w:ascii="Arial" w:hAnsi="Arial"/>
                <w:color w:val="000000"/>
                <w:sz w:val="18"/>
              </w:rPr>
            </w:pPr>
            <w:r>
              <w:rPr>
                <w:rFonts w:ascii="Arial" w:hAnsi="Arial"/>
                <w:color w:val="000000"/>
                <w:sz w:val="18"/>
              </w:rPr>
              <w:t>3 435</w:t>
            </w:r>
          </w:p>
        </w:tc>
        <w:tc>
          <w:tcPr>
            <w:tcW w:w="821" w:type="dxa"/>
          </w:tcPr>
          <w:p w:rsidR="00000000" w:rsidRDefault="001F233B">
            <w:pPr>
              <w:keepNext/>
              <w:jc w:val="right"/>
              <w:rPr>
                <w:rFonts w:ascii="Arial" w:hAnsi="Arial"/>
                <w:color w:val="000000"/>
                <w:sz w:val="18"/>
              </w:rPr>
            </w:pPr>
            <w:r>
              <w:rPr>
                <w:rFonts w:ascii="Arial" w:hAnsi="Arial"/>
                <w:color w:val="000000"/>
                <w:sz w:val="18"/>
              </w:rPr>
              <w:t>3 595</w:t>
            </w:r>
          </w:p>
        </w:tc>
        <w:tc>
          <w:tcPr>
            <w:tcW w:w="742" w:type="dxa"/>
          </w:tcPr>
          <w:p w:rsidR="00000000" w:rsidRDefault="001F233B">
            <w:pPr>
              <w:keepNext/>
              <w:jc w:val="right"/>
              <w:rPr>
                <w:rFonts w:ascii="Arial" w:hAnsi="Arial"/>
                <w:color w:val="000000"/>
                <w:sz w:val="18"/>
              </w:rPr>
            </w:pPr>
            <w:r>
              <w:rPr>
                <w:rFonts w:ascii="Arial" w:hAnsi="Arial"/>
                <w:color w:val="000000"/>
                <w:sz w:val="18"/>
              </w:rPr>
              <w:t>3 634</w:t>
            </w:r>
          </w:p>
        </w:tc>
      </w:tr>
      <w:tr w:rsidR="00000000">
        <w:tblPrEx>
          <w:tblCellMar>
            <w:top w:w="0" w:type="dxa"/>
            <w:bottom w:w="0" w:type="dxa"/>
          </w:tblCellMar>
        </w:tblPrEx>
        <w:trPr>
          <w:trHeight w:hRule="exact" w:val="120"/>
        </w:trPr>
        <w:tc>
          <w:tcPr>
            <w:tcW w:w="931" w:type="dxa"/>
          </w:tcPr>
          <w:p w:rsidR="00000000" w:rsidRDefault="001F233B">
            <w:pPr>
              <w:keepNext/>
              <w:jc w:val="right"/>
              <w:rPr>
                <w:rFonts w:ascii="Arial" w:hAnsi="Arial"/>
                <w:color w:val="000000"/>
                <w:sz w:val="18"/>
              </w:rPr>
            </w:pPr>
          </w:p>
        </w:tc>
        <w:tc>
          <w:tcPr>
            <w:tcW w:w="977" w:type="dxa"/>
          </w:tcPr>
          <w:p w:rsidR="00000000" w:rsidRDefault="001F233B">
            <w:pPr>
              <w:keepNext/>
              <w:jc w:val="right"/>
              <w:rPr>
                <w:rFonts w:ascii="Arial" w:hAnsi="Arial"/>
                <w:color w:val="000000"/>
                <w:sz w:val="18"/>
              </w:rPr>
            </w:pPr>
          </w:p>
        </w:tc>
        <w:tc>
          <w:tcPr>
            <w:tcW w:w="614" w:type="dxa"/>
          </w:tcPr>
          <w:p w:rsidR="00000000" w:rsidRDefault="001F233B">
            <w:pPr>
              <w:keepNext/>
              <w:jc w:val="right"/>
              <w:rPr>
                <w:rFonts w:ascii="Arial" w:hAnsi="Arial"/>
                <w:color w:val="000000"/>
                <w:sz w:val="18"/>
              </w:rPr>
            </w:pPr>
          </w:p>
        </w:tc>
        <w:tc>
          <w:tcPr>
            <w:tcW w:w="615" w:type="dxa"/>
          </w:tcPr>
          <w:p w:rsidR="00000000" w:rsidRDefault="001F233B">
            <w:pPr>
              <w:keepNext/>
              <w:jc w:val="right"/>
              <w:rPr>
                <w:rFonts w:ascii="Arial" w:hAnsi="Arial"/>
                <w:color w:val="000000"/>
                <w:sz w:val="18"/>
              </w:rPr>
            </w:pPr>
          </w:p>
        </w:tc>
        <w:tc>
          <w:tcPr>
            <w:tcW w:w="614" w:type="dxa"/>
          </w:tcPr>
          <w:p w:rsidR="00000000" w:rsidRDefault="001F233B">
            <w:pPr>
              <w:keepNext/>
              <w:jc w:val="right"/>
              <w:rPr>
                <w:rFonts w:ascii="Arial" w:hAnsi="Arial"/>
                <w:color w:val="000000"/>
                <w:sz w:val="18"/>
              </w:rPr>
            </w:pPr>
          </w:p>
        </w:tc>
        <w:tc>
          <w:tcPr>
            <w:tcW w:w="615" w:type="dxa"/>
          </w:tcPr>
          <w:p w:rsidR="00000000" w:rsidRDefault="001F233B">
            <w:pPr>
              <w:keepNext/>
              <w:jc w:val="right"/>
              <w:rPr>
                <w:rFonts w:ascii="Arial" w:hAnsi="Arial"/>
                <w:color w:val="000000"/>
                <w:sz w:val="18"/>
              </w:rPr>
            </w:pPr>
          </w:p>
        </w:tc>
        <w:tc>
          <w:tcPr>
            <w:tcW w:w="614" w:type="dxa"/>
          </w:tcPr>
          <w:p w:rsidR="00000000" w:rsidRDefault="001F233B">
            <w:pPr>
              <w:keepNext/>
              <w:jc w:val="right"/>
              <w:rPr>
                <w:rFonts w:ascii="Arial" w:hAnsi="Arial"/>
                <w:color w:val="000000"/>
                <w:sz w:val="18"/>
              </w:rPr>
            </w:pPr>
          </w:p>
        </w:tc>
        <w:tc>
          <w:tcPr>
            <w:tcW w:w="614" w:type="dxa"/>
          </w:tcPr>
          <w:p w:rsidR="00000000" w:rsidRDefault="001F233B">
            <w:pPr>
              <w:keepNext/>
              <w:jc w:val="right"/>
              <w:rPr>
                <w:rFonts w:ascii="Arial" w:hAnsi="Arial"/>
                <w:color w:val="000000"/>
                <w:sz w:val="18"/>
              </w:rPr>
            </w:pPr>
          </w:p>
        </w:tc>
        <w:tc>
          <w:tcPr>
            <w:tcW w:w="821" w:type="dxa"/>
          </w:tcPr>
          <w:p w:rsidR="00000000" w:rsidRDefault="001F233B">
            <w:pPr>
              <w:keepNext/>
              <w:jc w:val="right"/>
              <w:rPr>
                <w:rFonts w:ascii="Arial" w:hAnsi="Arial"/>
                <w:color w:val="000000"/>
                <w:sz w:val="18"/>
              </w:rPr>
            </w:pPr>
          </w:p>
        </w:tc>
        <w:tc>
          <w:tcPr>
            <w:tcW w:w="742" w:type="dxa"/>
          </w:tcPr>
          <w:p w:rsidR="00000000" w:rsidRDefault="001F233B">
            <w:pPr>
              <w:keepNext/>
              <w:jc w:val="right"/>
              <w:rPr>
                <w:rFonts w:ascii="Arial" w:hAnsi="Arial"/>
                <w:color w:val="000000"/>
                <w:sz w:val="18"/>
              </w:rPr>
            </w:pPr>
          </w:p>
        </w:tc>
      </w:tr>
      <w:tr w:rsidR="001F233B" w:rsidTr="001F233B">
        <w:tblPrEx>
          <w:tblCellMar>
            <w:top w:w="0" w:type="dxa"/>
            <w:bottom w:w="0" w:type="dxa"/>
          </w:tblCellMar>
        </w:tblPrEx>
        <w:trPr>
          <w:trHeight w:hRule="exact" w:val="240"/>
        </w:trPr>
        <w:tc>
          <w:tcPr>
            <w:tcW w:w="3137" w:type="dxa"/>
            <w:gridSpan w:val="4"/>
          </w:tcPr>
          <w:p w:rsidR="00000000" w:rsidRDefault="001F233B">
            <w:pPr>
              <w:keepNext/>
              <w:rPr>
                <w:rFonts w:ascii="Arial" w:hAnsi="Arial"/>
                <w:color w:val="000000"/>
                <w:sz w:val="18"/>
              </w:rPr>
            </w:pPr>
            <w:r>
              <w:rPr>
                <w:rFonts w:ascii="Arial" w:hAnsi="Arial"/>
                <w:color w:val="000000"/>
                <w:sz w:val="18"/>
              </w:rPr>
              <w:t>Health,</w:t>
            </w:r>
            <w:r>
              <w:rPr>
                <w:rFonts w:ascii="Arial" w:hAnsi="Arial"/>
                <w:color w:val="000000"/>
                <w:sz w:val="18"/>
              </w:rPr>
              <w:fldChar w:fldCharType="begin"/>
            </w:r>
            <w:r>
              <w:rPr>
                <w:rFonts w:ascii="Arial" w:hAnsi="Arial"/>
                <w:color w:val="000000"/>
                <w:sz w:val="18"/>
              </w:rPr>
              <w:instrText>xe "Health"</w:instrText>
            </w:r>
            <w:r>
              <w:rPr>
                <w:rFonts w:ascii="Arial" w:hAnsi="Arial"/>
                <w:color w:val="000000"/>
                <w:sz w:val="18"/>
              </w:rPr>
              <w:fldChar w:fldCharType="end"/>
            </w:r>
            <w:r>
              <w:rPr>
                <w:rFonts w:ascii="Arial" w:hAnsi="Arial"/>
                <w:color w:val="000000"/>
                <w:sz w:val="18"/>
              </w:rPr>
              <w:t xml:space="preserve"> Social Security and Welfare</w:t>
            </w:r>
          </w:p>
        </w:tc>
        <w:tc>
          <w:tcPr>
            <w:tcW w:w="614" w:type="dxa"/>
          </w:tcPr>
          <w:p w:rsidR="00000000" w:rsidRDefault="001F233B">
            <w:pPr>
              <w:keepNext/>
              <w:jc w:val="right"/>
              <w:rPr>
                <w:rFonts w:ascii="Arial" w:hAnsi="Arial"/>
                <w:color w:val="000000"/>
                <w:sz w:val="18"/>
              </w:rPr>
            </w:pPr>
          </w:p>
        </w:tc>
        <w:tc>
          <w:tcPr>
            <w:tcW w:w="615" w:type="dxa"/>
          </w:tcPr>
          <w:p w:rsidR="00000000" w:rsidRDefault="001F233B">
            <w:pPr>
              <w:keepNext/>
              <w:jc w:val="right"/>
              <w:rPr>
                <w:rFonts w:ascii="Arial" w:hAnsi="Arial"/>
                <w:color w:val="000000"/>
                <w:sz w:val="18"/>
              </w:rPr>
            </w:pPr>
          </w:p>
        </w:tc>
        <w:tc>
          <w:tcPr>
            <w:tcW w:w="614" w:type="dxa"/>
          </w:tcPr>
          <w:p w:rsidR="00000000" w:rsidRDefault="001F233B">
            <w:pPr>
              <w:keepNext/>
              <w:jc w:val="right"/>
              <w:rPr>
                <w:rFonts w:ascii="Arial" w:hAnsi="Arial"/>
                <w:color w:val="000000"/>
                <w:sz w:val="18"/>
              </w:rPr>
            </w:pPr>
          </w:p>
        </w:tc>
        <w:tc>
          <w:tcPr>
            <w:tcW w:w="614" w:type="dxa"/>
          </w:tcPr>
          <w:p w:rsidR="00000000" w:rsidRDefault="001F233B">
            <w:pPr>
              <w:keepNext/>
              <w:jc w:val="right"/>
              <w:rPr>
                <w:rFonts w:ascii="Arial" w:hAnsi="Arial"/>
                <w:color w:val="000000"/>
                <w:sz w:val="18"/>
              </w:rPr>
            </w:pPr>
          </w:p>
        </w:tc>
        <w:tc>
          <w:tcPr>
            <w:tcW w:w="821" w:type="dxa"/>
          </w:tcPr>
          <w:p w:rsidR="00000000" w:rsidRDefault="001F233B">
            <w:pPr>
              <w:keepNext/>
              <w:jc w:val="right"/>
              <w:rPr>
                <w:rFonts w:ascii="Arial" w:hAnsi="Arial"/>
                <w:color w:val="000000"/>
                <w:sz w:val="18"/>
              </w:rPr>
            </w:pPr>
          </w:p>
        </w:tc>
        <w:tc>
          <w:tcPr>
            <w:tcW w:w="742" w:type="dxa"/>
          </w:tcPr>
          <w:p w:rsidR="00000000" w:rsidRDefault="001F233B">
            <w:pPr>
              <w:keepNext/>
              <w:jc w:val="right"/>
              <w:rPr>
                <w:rFonts w:ascii="Arial" w:hAnsi="Arial"/>
                <w:color w:val="000000"/>
                <w:sz w:val="18"/>
              </w:rPr>
            </w:pPr>
          </w:p>
        </w:tc>
      </w:tr>
      <w:tr w:rsidR="00000000">
        <w:tblPrEx>
          <w:tblCellMar>
            <w:top w:w="0" w:type="dxa"/>
            <w:bottom w:w="0" w:type="dxa"/>
          </w:tblCellMar>
        </w:tblPrEx>
        <w:trPr>
          <w:trHeight w:hRule="exact" w:val="240"/>
        </w:trPr>
        <w:tc>
          <w:tcPr>
            <w:tcW w:w="931" w:type="dxa"/>
          </w:tcPr>
          <w:p w:rsidR="00000000" w:rsidRDefault="001F233B">
            <w:pPr>
              <w:keepNext/>
              <w:jc w:val="right"/>
              <w:rPr>
                <w:rFonts w:ascii="Arial" w:hAnsi="Arial"/>
                <w:color w:val="000000"/>
                <w:sz w:val="18"/>
              </w:rPr>
            </w:pPr>
          </w:p>
        </w:tc>
        <w:tc>
          <w:tcPr>
            <w:tcW w:w="977" w:type="dxa"/>
          </w:tcPr>
          <w:p w:rsidR="00000000" w:rsidRDefault="001F233B">
            <w:pPr>
              <w:keepNext/>
              <w:rPr>
                <w:rFonts w:ascii="Arial" w:hAnsi="Arial"/>
                <w:color w:val="000000"/>
                <w:sz w:val="18"/>
              </w:rPr>
            </w:pPr>
            <w:r>
              <w:rPr>
                <w:rFonts w:ascii="Arial" w:hAnsi="Arial"/>
                <w:color w:val="000000"/>
                <w:sz w:val="18"/>
              </w:rPr>
              <w:t>Nominal</w:t>
            </w:r>
          </w:p>
        </w:tc>
        <w:tc>
          <w:tcPr>
            <w:tcW w:w="614" w:type="dxa"/>
          </w:tcPr>
          <w:p w:rsidR="00000000" w:rsidRDefault="001F233B">
            <w:pPr>
              <w:keepNext/>
              <w:jc w:val="right"/>
              <w:rPr>
                <w:rFonts w:ascii="Arial" w:hAnsi="Arial"/>
                <w:color w:val="000000"/>
                <w:sz w:val="18"/>
              </w:rPr>
            </w:pPr>
            <w:r>
              <w:rPr>
                <w:rFonts w:ascii="Arial" w:hAnsi="Arial"/>
                <w:color w:val="000000"/>
                <w:sz w:val="18"/>
              </w:rPr>
              <w:t>3 520</w:t>
            </w:r>
          </w:p>
        </w:tc>
        <w:tc>
          <w:tcPr>
            <w:tcW w:w="615" w:type="dxa"/>
          </w:tcPr>
          <w:p w:rsidR="00000000" w:rsidRDefault="001F233B">
            <w:pPr>
              <w:keepNext/>
              <w:jc w:val="right"/>
              <w:rPr>
                <w:rFonts w:ascii="Arial" w:hAnsi="Arial"/>
                <w:color w:val="000000"/>
                <w:sz w:val="18"/>
              </w:rPr>
            </w:pPr>
            <w:r>
              <w:rPr>
                <w:rFonts w:ascii="Arial" w:hAnsi="Arial"/>
                <w:color w:val="000000"/>
                <w:sz w:val="18"/>
              </w:rPr>
              <w:t>3 593</w:t>
            </w:r>
          </w:p>
        </w:tc>
        <w:tc>
          <w:tcPr>
            <w:tcW w:w="614" w:type="dxa"/>
          </w:tcPr>
          <w:p w:rsidR="00000000" w:rsidRDefault="001F233B">
            <w:pPr>
              <w:keepNext/>
              <w:jc w:val="right"/>
              <w:rPr>
                <w:rFonts w:ascii="Arial" w:hAnsi="Arial"/>
                <w:color w:val="000000"/>
                <w:sz w:val="18"/>
              </w:rPr>
            </w:pPr>
            <w:r>
              <w:rPr>
                <w:rFonts w:ascii="Arial" w:hAnsi="Arial"/>
                <w:color w:val="000000"/>
                <w:sz w:val="18"/>
              </w:rPr>
              <w:t>3 503</w:t>
            </w:r>
          </w:p>
        </w:tc>
        <w:tc>
          <w:tcPr>
            <w:tcW w:w="615" w:type="dxa"/>
          </w:tcPr>
          <w:p w:rsidR="00000000" w:rsidRDefault="001F233B">
            <w:pPr>
              <w:keepNext/>
              <w:jc w:val="right"/>
              <w:rPr>
                <w:rFonts w:ascii="Arial" w:hAnsi="Arial"/>
                <w:color w:val="000000"/>
                <w:sz w:val="18"/>
              </w:rPr>
            </w:pPr>
            <w:r>
              <w:rPr>
                <w:rFonts w:ascii="Arial" w:hAnsi="Arial"/>
                <w:color w:val="000000"/>
                <w:sz w:val="18"/>
              </w:rPr>
              <w:t>3 618</w:t>
            </w:r>
          </w:p>
        </w:tc>
        <w:tc>
          <w:tcPr>
            <w:tcW w:w="614" w:type="dxa"/>
          </w:tcPr>
          <w:p w:rsidR="00000000" w:rsidRDefault="001F233B">
            <w:pPr>
              <w:keepNext/>
              <w:jc w:val="right"/>
              <w:rPr>
                <w:rFonts w:ascii="Arial" w:hAnsi="Arial"/>
                <w:color w:val="000000"/>
                <w:sz w:val="18"/>
              </w:rPr>
            </w:pPr>
            <w:r>
              <w:rPr>
                <w:rFonts w:ascii="Arial" w:hAnsi="Arial"/>
                <w:color w:val="000000"/>
                <w:sz w:val="18"/>
              </w:rPr>
              <w:t>3 927</w:t>
            </w:r>
          </w:p>
        </w:tc>
        <w:tc>
          <w:tcPr>
            <w:tcW w:w="614" w:type="dxa"/>
          </w:tcPr>
          <w:p w:rsidR="00000000" w:rsidRDefault="001F233B">
            <w:pPr>
              <w:keepNext/>
              <w:jc w:val="right"/>
              <w:rPr>
                <w:rFonts w:ascii="Arial" w:hAnsi="Arial"/>
                <w:color w:val="000000"/>
                <w:sz w:val="18"/>
              </w:rPr>
            </w:pPr>
            <w:r>
              <w:rPr>
                <w:rFonts w:ascii="Arial" w:hAnsi="Arial"/>
                <w:color w:val="000000"/>
                <w:sz w:val="18"/>
              </w:rPr>
              <w:t>4 095</w:t>
            </w:r>
          </w:p>
        </w:tc>
        <w:tc>
          <w:tcPr>
            <w:tcW w:w="821" w:type="dxa"/>
          </w:tcPr>
          <w:p w:rsidR="00000000" w:rsidRDefault="001F233B">
            <w:pPr>
              <w:keepNext/>
              <w:jc w:val="right"/>
              <w:rPr>
                <w:rFonts w:ascii="Arial" w:hAnsi="Arial"/>
                <w:color w:val="000000"/>
                <w:sz w:val="18"/>
              </w:rPr>
            </w:pPr>
            <w:r>
              <w:rPr>
                <w:rFonts w:ascii="Arial" w:hAnsi="Arial"/>
                <w:color w:val="000000"/>
                <w:sz w:val="18"/>
              </w:rPr>
              <w:t>4 350</w:t>
            </w:r>
          </w:p>
        </w:tc>
        <w:tc>
          <w:tcPr>
            <w:tcW w:w="742" w:type="dxa"/>
          </w:tcPr>
          <w:p w:rsidR="00000000" w:rsidRDefault="001F233B">
            <w:pPr>
              <w:keepNext/>
              <w:jc w:val="right"/>
              <w:rPr>
                <w:rFonts w:ascii="Arial" w:hAnsi="Arial"/>
                <w:color w:val="000000"/>
                <w:sz w:val="18"/>
              </w:rPr>
            </w:pPr>
            <w:r>
              <w:rPr>
                <w:rFonts w:ascii="Arial" w:hAnsi="Arial"/>
                <w:color w:val="000000"/>
                <w:sz w:val="18"/>
              </w:rPr>
              <w:t>4 685</w:t>
            </w:r>
          </w:p>
        </w:tc>
      </w:tr>
      <w:tr w:rsidR="00000000">
        <w:tblPrEx>
          <w:tblCellMar>
            <w:top w:w="0" w:type="dxa"/>
            <w:bottom w:w="0" w:type="dxa"/>
          </w:tblCellMar>
        </w:tblPrEx>
        <w:trPr>
          <w:trHeight w:hRule="exact" w:val="240"/>
        </w:trPr>
        <w:tc>
          <w:tcPr>
            <w:tcW w:w="931" w:type="dxa"/>
            <w:tcBorders>
              <w:bottom w:val="single" w:sz="12" w:space="0" w:color="auto"/>
            </w:tcBorders>
          </w:tcPr>
          <w:p w:rsidR="00000000" w:rsidRDefault="001F233B">
            <w:pPr>
              <w:keepNext/>
              <w:jc w:val="right"/>
              <w:rPr>
                <w:rFonts w:ascii="Arial" w:hAnsi="Arial"/>
                <w:color w:val="000000"/>
                <w:sz w:val="18"/>
              </w:rPr>
            </w:pPr>
          </w:p>
        </w:tc>
        <w:tc>
          <w:tcPr>
            <w:tcW w:w="977" w:type="dxa"/>
            <w:tcBorders>
              <w:bottom w:val="single" w:sz="12" w:space="0" w:color="auto"/>
            </w:tcBorders>
          </w:tcPr>
          <w:p w:rsidR="00000000" w:rsidRDefault="001F233B">
            <w:pPr>
              <w:keepNext/>
              <w:rPr>
                <w:rFonts w:ascii="Arial" w:hAnsi="Arial"/>
                <w:color w:val="000000"/>
                <w:sz w:val="18"/>
              </w:rPr>
            </w:pPr>
            <w:r>
              <w:rPr>
                <w:rFonts w:ascii="Arial" w:hAnsi="Arial"/>
                <w:color w:val="000000"/>
                <w:sz w:val="18"/>
              </w:rPr>
              <w:t>Real</w:t>
            </w:r>
          </w:p>
        </w:tc>
        <w:tc>
          <w:tcPr>
            <w:tcW w:w="614" w:type="dxa"/>
            <w:tcBorders>
              <w:bottom w:val="single" w:sz="12" w:space="0" w:color="auto"/>
            </w:tcBorders>
          </w:tcPr>
          <w:p w:rsidR="00000000" w:rsidRDefault="001F233B">
            <w:pPr>
              <w:keepNext/>
              <w:jc w:val="right"/>
              <w:rPr>
                <w:rFonts w:ascii="Arial" w:hAnsi="Arial"/>
                <w:color w:val="000000"/>
                <w:sz w:val="18"/>
              </w:rPr>
            </w:pPr>
            <w:r>
              <w:rPr>
                <w:rFonts w:ascii="Arial" w:hAnsi="Arial"/>
                <w:color w:val="000000"/>
                <w:sz w:val="18"/>
              </w:rPr>
              <w:t>3 520</w:t>
            </w:r>
          </w:p>
        </w:tc>
        <w:tc>
          <w:tcPr>
            <w:tcW w:w="615" w:type="dxa"/>
            <w:tcBorders>
              <w:bottom w:val="single" w:sz="12" w:space="0" w:color="auto"/>
            </w:tcBorders>
          </w:tcPr>
          <w:p w:rsidR="00000000" w:rsidRDefault="001F233B">
            <w:pPr>
              <w:keepNext/>
              <w:jc w:val="right"/>
              <w:rPr>
                <w:rFonts w:ascii="Arial" w:hAnsi="Arial"/>
                <w:color w:val="000000"/>
                <w:sz w:val="18"/>
              </w:rPr>
            </w:pPr>
            <w:r>
              <w:rPr>
                <w:rFonts w:ascii="Arial" w:hAnsi="Arial"/>
                <w:color w:val="000000"/>
                <w:sz w:val="18"/>
              </w:rPr>
              <w:t>3 497</w:t>
            </w:r>
          </w:p>
        </w:tc>
        <w:tc>
          <w:tcPr>
            <w:tcW w:w="614" w:type="dxa"/>
            <w:tcBorders>
              <w:bottom w:val="single" w:sz="12" w:space="0" w:color="auto"/>
            </w:tcBorders>
          </w:tcPr>
          <w:p w:rsidR="00000000" w:rsidRDefault="001F233B">
            <w:pPr>
              <w:keepNext/>
              <w:jc w:val="right"/>
              <w:rPr>
                <w:rFonts w:ascii="Arial" w:hAnsi="Arial"/>
                <w:color w:val="000000"/>
                <w:sz w:val="18"/>
              </w:rPr>
            </w:pPr>
            <w:r>
              <w:rPr>
                <w:rFonts w:ascii="Arial" w:hAnsi="Arial"/>
                <w:color w:val="000000"/>
                <w:sz w:val="18"/>
              </w:rPr>
              <w:t>3 368</w:t>
            </w:r>
          </w:p>
        </w:tc>
        <w:tc>
          <w:tcPr>
            <w:tcW w:w="615" w:type="dxa"/>
            <w:tcBorders>
              <w:bottom w:val="single" w:sz="12" w:space="0" w:color="auto"/>
            </w:tcBorders>
          </w:tcPr>
          <w:p w:rsidR="00000000" w:rsidRDefault="001F233B">
            <w:pPr>
              <w:keepNext/>
              <w:jc w:val="right"/>
              <w:rPr>
                <w:rFonts w:ascii="Arial" w:hAnsi="Arial"/>
                <w:color w:val="000000"/>
                <w:sz w:val="18"/>
              </w:rPr>
            </w:pPr>
            <w:r>
              <w:rPr>
                <w:rFonts w:ascii="Arial" w:hAnsi="Arial"/>
                <w:color w:val="000000"/>
                <w:sz w:val="18"/>
              </w:rPr>
              <w:t>3 490</w:t>
            </w:r>
          </w:p>
        </w:tc>
        <w:tc>
          <w:tcPr>
            <w:tcW w:w="614" w:type="dxa"/>
            <w:tcBorders>
              <w:bottom w:val="single" w:sz="12" w:space="0" w:color="auto"/>
            </w:tcBorders>
          </w:tcPr>
          <w:p w:rsidR="00000000" w:rsidRDefault="001F233B">
            <w:pPr>
              <w:keepNext/>
              <w:jc w:val="right"/>
              <w:rPr>
                <w:rFonts w:ascii="Arial" w:hAnsi="Arial"/>
                <w:color w:val="000000"/>
                <w:sz w:val="18"/>
              </w:rPr>
            </w:pPr>
            <w:r>
              <w:rPr>
                <w:rFonts w:ascii="Arial" w:hAnsi="Arial"/>
                <w:color w:val="000000"/>
                <w:sz w:val="18"/>
              </w:rPr>
              <w:t>3 635</w:t>
            </w:r>
          </w:p>
        </w:tc>
        <w:tc>
          <w:tcPr>
            <w:tcW w:w="614" w:type="dxa"/>
            <w:tcBorders>
              <w:bottom w:val="single" w:sz="12" w:space="0" w:color="auto"/>
            </w:tcBorders>
          </w:tcPr>
          <w:p w:rsidR="00000000" w:rsidRDefault="001F233B">
            <w:pPr>
              <w:keepNext/>
              <w:jc w:val="right"/>
              <w:rPr>
                <w:rFonts w:ascii="Arial" w:hAnsi="Arial"/>
                <w:color w:val="000000"/>
                <w:sz w:val="18"/>
              </w:rPr>
            </w:pPr>
            <w:r>
              <w:rPr>
                <w:rFonts w:ascii="Arial" w:hAnsi="Arial"/>
                <w:color w:val="000000"/>
                <w:sz w:val="18"/>
              </w:rPr>
              <w:t>3 743</w:t>
            </w:r>
          </w:p>
        </w:tc>
        <w:tc>
          <w:tcPr>
            <w:tcW w:w="821" w:type="dxa"/>
            <w:tcBorders>
              <w:bottom w:val="single" w:sz="12" w:space="0" w:color="auto"/>
            </w:tcBorders>
          </w:tcPr>
          <w:p w:rsidR="00000000" w:rsidRDefault="001F233B">
            <w:pPr>
              <w:keepNext/>
              <w:jc w:val="right"/>
              <w:rPr>
                <w:rFonts w:ascii="Arial" w:hAnsi="Arial"/>
                <w:color w:val="000000"/>
                <w:sz w:val="18"/>
              </w:rPr>
            </w:pPr>
            <w:r>
              <w:rPr>
                <w:rFonts w:ascii="Arial" w:hAnsi="Arial"/>
                <w:color w:val="000000"/>
                <w:sz w:val="18"/>
              </w:rPr>
              <w:t>3 966</w:t>
            </w:r>
          </w:p>
        </w:tc>
        <w:tc>
          <w:tcPr>
            <w:tcW w:w="742" w:type="dxa"/>
            <w:tcBorders>
              <w:bottom w:val="single" w:sz="12" w:space="0" w:color="auto"/>
            </w:tcBorders>
          </w:tcPr>
          <w:p w:rsidR="00000000" w:rsidRDefault="001F233B">
            <w:pPr>
              <w:keepNext/>
              <w:jc w:val="right"/>
              <w:rPr>
                <w:rFonts w:ascii="Arial" w:hAnsi="Arial"/>
                <w:color w:val="000000"/>
                <w:sz w:val="18"/>
              </w:rPr>
            </w:pPr>
            <w:r>
              <w:rPr>
                <w:rFonts w:ascii="Arial" w:hAnsi="Arial"/>
                <w:color w:val="000000"/>
                <w:sz w:val="18"/>
              </w:rPr>
              <w:t>4 165</w:t>
            </w:r>
          </w:p>
        </w:tc>
      </w:tr>
    </w:tbl>
    <w:p w:rsidR="00000000" w:rsidRDefault="001F233B">
      <w:pPr>
        <w:pStyle w:val="Source"/>
        <w:keepNext/>
        <w:spacing w:after="0"/>
      </w:pPr>
      <w:r>
        <w:t>Source:</w:t>
      </w:r>
      <w:r>
        <w:tab/>
        <w:t>Department of Treasury and Fin</w:t>
      </w:r>
      <w:r>
        <w:t>ance.</w:t>
      </w:r>
    </w:p>
    <w:p w:rsidR="00000000" w:rsidRDefault="001F233B">
      <w:pPr>
        <w:pStyle w:val="Notes"/>
        <w:keepNext/>
        <w:spacing w:before="120"/>
      </w:pPr>
      <w:r>
        <w:t>Note:</w:t>
      </w:r>
    </w:p>
    <w:p w:rsidR="00000000" w:rsidRDefault="001F233B">
      <w:pPr>
        <w:pStyle w:val="Source"/>
        <w:keepNext/>
        <w:spacing w:after="0"/>
      </w:pPr>
      <w:r>
        <w:t>Uniform Presentation Format consistent with Australian Bureau of Statistics Government Finance Statistics (GFS) standards.</w:t>
      </w:r>
    </w:p>
    <w:p w:rsidR="00000000" w:rsidRDefault="001F233B"/>
    <w:p w:rsidR="00000000" w:rsidRDefault="001F233B">
      <w:r>
        <w:t>Action by the Government to dramatically reduce debt levels has cut the State’s interest payments and created scope for new service delivery</w:t>
      </w:r>
      <w:r>
        <w:fldChar w:fldCharType="begin"/>
      </w:r>
      <w:r>
        <w:instrText>xe "Service delivery"</w:instrText>
      </w:r>
      <w:r>
        <w:fldChar w:fldCharType="end"/>
      </w:r>
      <w:r>
        <w:t xml:space="preserve"> initiatives</w:t>
      </w:r>
      <w:r>
        <w:fldChar w:fldCharType="begin"/>
      </w:r>
      <w:r>
        <w:instrText>xe "Service delivery:Service delivery initiatives"</w:instrText>
      </w:r>
      <w:r>
        <w:fldChar w:fldCharType="end"/>
      </w:r>
      <w:r>
        <w:fldChar w:fldCharType="begin"/>
      </w:r>
      <w:r>
        <w:instrText>xe "Service delivery initiatives"</w:instrText>
      </w:r>
      <w:r>
        <w:fldChar w:fldCharType="end"/>
      </w:r>
      <w:r>
        <w:t>. In 1991</w:t>
      </w:r>
      <w:r>
        <w:noBreakHyphen/>
        <w:t>92 interest payments accounted for 14 per cent of current outlays</w:t>
      </w:r>
      <w:r>
        <w:fldChar w:fldCharType="begin"/>
      </w:r>
      <w:r>
        <w:instrText>xe "Current outlays"</w:instrText>
      </w:r>
      <w:r>
        <w:fldChar w:fldCharType="end"/>
      </w:r>
      <w:r>
        <w:t>. By 1998</w:t>
      </w:r>
      <w:r>
        <w:noBreakHyphen/>
        <w:t xml:space="preserve">99 the </w:t>
      </w:r>
      <w:r>
        <w:t>proportion of spending on interest payments will be halved, allowing the share of spending on health</w:t>
      </w:r>
      <w:r>
        <w:fldChar w:fldCharType="begin"/>
      </w:r>
      <w:r>
        <w:instrText>xe "Health"</w:instrText>
      </w:r>
      <w:r>
        <w:fldChar w:fldCharType="end"/>
      </w:r>
      <w:r>
        <w:t>, social security and welfare to increase from 26 per cent in 1991</w:t>
      </w:r>
      <w:r>
        <w:noBreakHyphen/>
        <w:t>92 to a forecast 30 per cent in 1998-99.</w:t>
      </w:r>
    </w:p>
    <w:p w:rsidR="00000000" w:rsidRDefault="001F233B">
      <w:pPr>
        <w:pStyle w:val="Chartheading"/>
        <w:keepLines/>
      </w:pPr>
      <w:r>
        <w:t>Chart 1.3: Proportion of Current Outlays by Purpose: Victoria 1991</w:t>
      </w:r>
      <w:r>
        <w:noBreakHyphen/>
        <w:t>92</w:t>
      </w:r>
    </w:p>
    <w:p w:rsidR="00000000" w:rsidRDefault="001F233B">
      <w:pPr>
        <w:keepLines/>
        <w:spacing w:after="0"/>
        <w:jc w:val="left"/>
      </w:pPr>
      <w:r>
        <w:rPr>
          <w:noProof/>
          <w:sz w:val="20"/>
        </w:rPr>
        <w:drawing>
          <wp:inline distT="0" distB="0" distL="0" distR="0">
            <wp:extent cx="4429125" cy="207645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00000" w:rsidRDefault="001F233B">
      <w:pPr>
        <w:keepLines/>
        <w:spacing w:after="0"/>
        <w:jc w:val="left"/>
        <w:rPr>
          <w:i/>
          <w:sz w:val="18"/>
        </w:rPr>
      </w:pPr>
      <w:r>
        <w:rPr>
          <w:i/>
          <w:sz w:val="18"/>
        </w:rPr>
        <w:t>Source: Department of Treasury and Finance.</w:t>
      </w:r>
    </w:p>
    <w:p w:rsidR="00000000" w:rsidRDefault="001F233B">
      <w:pPr>
        <w:pStyle w:val="Notes"/>
        <w:keepLines/>
        <w:spacing w:before="120"/>
      </w:pPr>
      <w:r>
        <w:t>Note:</w:t>
      </w:r>
    </w:p>
    <w:p w:rsidR="00000000" w:rsidRDefault="001F233B">
      <w:pPr>
        <w:pStyle w:val="Notes"/>
        <w:keepLines/>
      </w:pPr>
      <w:r>
        <w:t>Uniform Presentation Format consistent with Australian Bureau of Statistics Government Finance Statistics standards.</w:t>
      </w:r>
    </w:p>
    <w:p w:rsidR="00000000" w:rsidRDefault="001F233B">
      <w:pPr>
        <w:pStyle w:val="Chartheading"/>
        <w:keepLines/>
      </w:pPr>
      <w:r>
        <w:lastRenderedPageBreak/>
        <w:t>Chart 1.4: Proportion of Curre</w:t>
      </w:r>
      <w:r>
        <w:t>nt Outlays by Purpose: Victoria 1998-99 (Estimate)</w:t>
      </w:r>
    </w:p>
    <w:p w:rsidR="00000000" w:rsidRDefault="001F233B">
      <w:pPr>
        <w:keepNext/>
        <w:keepLines/>
        <w:spacing w:after="0"/>
      </w:pPr>
      <w:r>
        <w:rPr>
          <w:noProof/>
          <w:sz w:val="20"/>
        </w:rPr>
        <w:drawing>
          <wp:inline distT="0" distB="0" distL="0" distR="0">
            <wp:extent cx="4429125" cy="2076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29125" cy="2076450"/>
                    </a:xfrm>
                    <a:prstGeom prst="rect">
                      <a:avLst/>
                    </a:prstGeom>
                    <a:noFill/>
                    <a:ln>
                      <a:noFill/>
                    </a:ln>
                  </pic:spPr>
                </pic:pic>
              </a:graphicData>
            </a:graphic>
          </wp:inline>
        </w:drawing>
      </w:r>
    </w:p>
    <w:p w:rsidR="00000000" w:rsidRDefault="001F233B">
      <w:pPr>
        <w:keepNext/>
        <w:keepLines/>
        <w:spacing w:after="0"/>
        <w:rPr>
          <w:i/>
          <w:sz w:val="18"/>
        </w:rPr>
      </w:pPr>
      <w:r>
        <w:rPr>
          <w:i/>
          <w:sz w:val="18"/>
        </w:rPr>
        <w:t xml:space="preserve">Source: </w:t>
      </w:r>
      <w:r>
        <w:rPr>
          <w:i/>
          <w:sz w:val="18"/>
        </w:rPr>
        <w:tab/>
        <w:t>Department of Treasury and Finance.</w:t>
      </w:r>
    </w:p>
    <w:p w:rsidR="00000000" w:rsidRDefault="001F233B">
      <w:pPr>
        <w:pStyle w:val="Notes"/>
        <w:keepNext/>
        <w:keepLines/>
        <w:spacing w:before="120"/>
      </w:pPr>
      <w:r>
        <w:t>Notes:</w:t>
      </w:r>
    </w:p>
    <w:p w:rsidR="00000000" w:rsidRDefault="001F233B">
      <w:pPr>
        <w:pStyle w:val="Notes"/>
        <w:keepNext/>
        <w:keepLines/>
      </w:pPr>
      <w:r>
        <w:t>Uniform Presentation Format consistent with Australian Bureau of Statistics Government Finance Statistics (GFS) standards.</w:t>
      </w:r>
    </w:p>
    <w:p w:rsidR="00000000" w:rsidRDefault="001F233B">
      <w:pPr>
        <w:pStyle w:val="Notes"/>
        <w:keepNext/>
        <w:keepLines/>
      </w:pPr>
      <w:r>
        <w:t>The 'All Other’ category includes Superannuation which has been boosted in 1998-99 by the restructuring of the Public Transport Corporation</w:t>
      </w:r>
      <w:r>
        <w:fldChar w:fldCharType="begin"/>
      </w:r>
      <w:r>
        <w:instrText>xe "Public Transport Corporation"</w:instrText>
      </w:r>
      <w:r>
        <w:fldChar w:fldCharType="end"/>
      </w:r>
      <w:r>
        <w:t>. This accounts for a 2 percentage point increase in the ‘All Other’ category share.</w:t>
      </w:r>
    </w:p>
    <w:p w:rsidR="00000000" w:rsidRDefault="001F233B">
      <w:pPr>
        <w:pStyle w:val="Notes"/>
      </w:pPr>
    </w:p>
    <w:p w:rsidR="00000000" w:rsidRDefault="001F233B">
      <w:r>
        <w:t>Had these policies not b</w:t>
      </w:r>
      <w:r>
        <w:t>een implemented, public sector</w:t>
      </w:r>
      <w:r>
        <w:rPr>
          <w:i/>
        </w:rPr>
        <w:t xml:space="preserve"> </w:t>
      </w:r>
      <w:r>
        <w:t>net debt</w:t>
      </w:r>
      <w:r>
        <w:fldChar w:fldCharType="begin"/>
      </w:r>
      <w:r>
        <w:instrText>xe "Public sector net debt"</w:instrText>
      </w:r>
      <w:r>
        <w:fldChar w:fldCharType="end"/>
      </w:r>
      <w:r>
        <w:t xml:space="preserve"> would have grown to around $48 billion and budget sector net debt</w:t>
      </w:r>
      <w:r>
        <w:fldChar w:fldCharType="begin"/>
      </w:r>
      <w:r>
        <w:instrText>xe "Budget sector net debt"</w:instrText>
      </w:r>
      <w:r>
        <w:fldChar w:fldCharType="end"/>
      </w:r>
      <w:r>
        <w:t xml:space="preserve"> would have increased to $33 billion by June 1998. This is around $37 billion and $25 billion higher, respectively, than the current estimated debt levels. As illustrated in Chart 1.5, this would have led to further rapid rises in debt servicing costs with an ever</w:t>
      </w:r>
      <w:r>
        <w:noBreakHyphen/>
        <w:t>increasing proportion of revenue required to meet interest costs. The consequences o</w:t>
      </w:r>
      <w:r>
        <w:t>f this would have been dramatic cuts in services and substantially higher taxes. It is estimated that Government policies implemented since 1992 have resulted in interest savings</w:t>
      </w:r>
      <w:r>
        <w:fldChar w:fldCharType="begin"/>
      </w:r>
      <w:r>
        <w:instrText>xe "Interest savings"</w:instrText>
      </w:r>
      <w:r>
        <w:fldChar w:fldCharType="end"/>
      </w:r>
      <w:r>
        <w:t xml:space="preserve"> to date (relative to unchanged pre</w:t>
      </w:r>
      <w:r>
        <w:noBreakHyphen/>
        <w:t>1992 policy settings) of over $2 000 million per annum or around $450 per person.</w:t>
      </w:r>
    </w:p>
    <w:p w:rsidR="00000000" w:rsidRDefault="001F233B">
      <w:pPr>
        <w:pStyle w:val="Chartheading"/>
        <w:keepLines/>
        <w:tabs>
          <w:tab w:val="left" w:pos="0"/>
        </w:tabs>
        <w:spacing w:before="0"/>
        <w:rPr>
          <w:i/>
          <w:sz w:val="24"/>
          <w:vertAlign w:val="superscript"/>
        </w:rPr>
      </w:pPr>
      <w:r>
        <w:br w:type="page"/>
      </w:r>
      <w:r>
        <w:lastRenderedPageBreak/>
        <w:t xml:space="preserve">Chart 1.5: Budget Sector Debt Servicing Burden </w:t>
      </w:r>
      <w:r>
        <w:rPr>
          <w:b w:val="0"/>
          <w:i/>
          <w:sz w:val="24"/>
          <w:vertAlign w:val="superscript"/>
        </w:rPr>
        <w:t>(a)(b)</w:t>
      </w:r>
    </w:p>
    <w:p w:rsidR="00000000" w:rsidRDefault="001F233B">
      <w:pPr>
        <w:keepNext/>
        <w:keepLines/>
        <w:spacing w:after="0"/>
      </w:pPr>
      <w:r>
        <w:rPr>
          <w:noProof/>
          <w:sz w:val="20"/>
        </w:rPr>
        <w:drawing>
          <wp:inline distT="0" distB="0" distL="0" distR="0">
            <wp:extent cx="4400550" cy="1933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00550" cy="1933575"/>
                    </a:xfrm>
                    <a:prstGeom prst="rect">
                      <a:avLst/>
                    </a:prstGeom>
                    <a:noFill/>
                    <a:ln>
                      <a:noFill/>
                    </a:ln>
                  </pic:spPr>
                </pic:pic>
              </a:graphicData>
            </a:graphic>
          </wp:inline>
        </w:drawing>
      </w:r>
    </w:p>
    <w:p w:rsidR="00000000" w:rsidRDefault="001F233B">
      <w:pPr>
        <w:keepNext/>
        <w:keepLines/>
        <w:tabs>
          <w:tab w:val="left" w:pos="720"/>
        </w:tabs>
        <w:spacing w:after="0"/>
        <w:ind w:left="720" w:hanging="720"/>
        <w:rPr>
          <w:i/>
          <w:sz w:val="18"/>
        </w:rPr>
      </w:pPr>
      <w:r>
        <w:rPr>
          <w:i/>
          <w:sz w:val="18"/>
        </w:rPr>
        <w:t>Source:</w:t>
      </w:r>
      <w:r>
        <w:rPr>
          <w:i/>
          <w:sz w:val="18"/>
        </w:rPr>
        <w:tab/>
        <w:t>Department of Treasury and Finance forward estimates (actual) and Department of Treasury and Finance estimates (unchanged 1991</w:t>
      </w:r>
      <w:r>
        <w:rPr>
          <w:i/>
          <w:sz w:val="18"/>
        </w:rPr>
        <w:noBreakHyphen/>
        <w:t>9</w:t>
      </w:r>
      <w:r>
        <w:rPr>
          <w:i/>
          <w:sz w:val="18"/>
        </w:rPr>
        <w:t xml:space="preserve">2 policy). </w:t>
      </w:r>
    </w:p>
    <w:p w:rsidR="00000000" w:rsidRDefault="001F233B">
      <w:pPr>
        <w:pStyle w:val="Notes"/>
        <w:keepNext/>
        <w:keepLines/>
        <w:tabs>
          <w:tab w:val="clear" w:pos="454"/>
        </w:tabs>
        <w:spacing w:before="120"/>
      </w:pPr>
      <w:r>
        <w:t>Notes:</w:t>
      </w:r>
    </w:p>
    <w:p w:rsidR="00000000" w:rsidRDefault="001F233B" w:rsidP="001F233B">
      <w:pPr>
        <w:pStyle w:val="Notes"/>
        <w:keepNext/>
        <w:keepLines/>
        <w:numPr>
          <w:ilvl w:val="0"/>
          <w:numId w:val="2"/>
        </w:numPr>
        <w:tabs>
          <w:tab w:val="clear" w:pos="454"/>
          <w:tab w:val="left" w:pos="360"/>
        </w:tabs>
        <w:jc w:val="both"/>
      </w:pPr>
      <w:r>
        <w:t xml:space="preserve">Unchanged 1991-92 projections are Department of Treasury and Finance projections based on assumed continuation of 1991-92 Budget policies of the previous government. While removing the impact of 1992-93 initiatives proposed by the previous government, the projections assume continuation of its overall budgetary and financial management policies. The projections are consistent with unchanged 1991-92 policy projections published in the October 1992 </w:t>
      </w:r>
      <w:r>
        <w:rPr>
          <w:i w:val="0"/>
        </w:rPr>
        <w:t>Statement on Victoria’s Financial Manageme</w:t>
      </w:r>
      <w:r>
        <w:rPr>
          <w:i w:val="0"/>
        </w:rPr>
        <w:t xml:space="preserve">nt Strategy </w:t>
      </w:r>
      <w:r>
        <w:t xml:space="preserve">(Restoring Victoria’s Finances, A Beginning). However the projections have been adjusted to reflect the impact of subsequent growth in Commonwealth Grants, partly offset by the inclusion of recurring budget obligations in respect of the flexible tariff arrangements for the aluminium industry. </w:t>
      </w:r>
    </w:p>
    <w:p w:rsidR="00000000" w:rsidRDefault="001F233B">
      <w:pPr>
        <w:pStyle w:val="Notes"/>
        <w:keepNext/>
        <w:keepLines/>
        <w:tabs>
          <w:tab w:val="clear" w:pos="454"/>
          <w:tab w:val="left" w:pos="360"/>
        </w:tabs>
        <w:jc w:val="both"/>
      </w:pPr>
      <w:r>
        <w:t>(b)</w:t>
      </w:r>
      <w:r>
        <w:tab/>
        <w:t>Budget sector interest costs as a proportion of revenue and grants.</w:t>
      </w:r>
    </w:p>
    <w:p w:rsidR="00000000" w:rsidRDefault="001F233B"/>
    <w:p w:rsidR="00000000" w:rsidRDefault="001F233B">
      <w:r>
        <w:t>By contrast, sound financial management and the substantial improvement in the budget position</w:t>
      </w:r>
      <w:r>
        <w:fldChar w:fldCharType="begin"/>
      </w:r>
      <w:r>
        <w:instrText>xe "Budget:Position"</w:instrText>
      </w:r>
      <w:r>
        <w:fldChar w:fldCharType="end"/>
      </w:r>
      <w:r>
        <w:t xml:space="preserve"> has allowed the</w:t>
      </w:r>
      <w:r>
        <w:t xml:space="preserve"> Government not only to increase spending in priority areas, but also to consistently ease the tax burden, after initial adjustments to taxes and charges in 1992-93 to address the Budget deficit.</w:t>
      </w:r>
    </w:p>
    <w:p w:rsidR="00000000" w:rsidRDefault="001F233B">
      <w:r>
        <w:t>A list of discretionary taxation policy measures introduced since 1993</w:t>
      </w:r>
      <w:r>
        <w:noBreakHyphen/>
        <w:t>94 is set out in Table 1.3. ‘Annual savings’ represent the annual full-year reduction in revenue earned from the measures, estimated at the time the measure was introduced (a negative number indicates an increase in revenue).</w:t>
      </w:r>
    </w:p>
    <w:p w:rsidR="00000000" w:rsidRDefault="001F233B">
      <w:r>
        <w:rPr>
          <w:color w:val="000000"/>
        </w:rPr>
        <w:t>As is usual practic</w:t>
      </w:r>
      <w:r>
        <w:rPr>
          <w:color w:val="000000"/>
        </w:rPr>
        <w:t xml:space="preserve">e these estimates do not take into account </w:t>
      </w:r>
      <w:r>
        <w:t>changes in the behaviour of taxpayers (except in certain isolated instances). Consequently, any changes in economic activity induced by the tax changes are generally ignored.</w:t>
      </w:r>
    </w:p>
    <w:p w:rsidR="00000000" w:rsidRDefault="001F233B">
      <w:r>
        <w:t>Estimates have also been converted into constant 1998</w:t>
      </w:r>
      <w:r>
        <w:noBreakHyphen/>
        <w:t xml:space="preserve">99 prices by indexing to the consumer price index for Melbourne. This is only an approximate means of expressing the measures on a common basis. The relevant tax bases are also </w:t>
      </w:r>
      <w:r>
        <w:br w:type="page"/>
      </w:r>
      <w:r>
        <w:lastRenderedPageBreak/>
        <w:t>affected by changes in wage rates, employment</w:t>
      </w:r>
      <w:r>
        <w:fldChar w:fldCharType="begin"/>
      </w:r>
      <w:r>
        <w:instrText>xe "Economy:Empl</w:instrText>
      </w:r>
      <w:r>
        <w:instrText>oyment"</w:instrText>
      </w:r>
      <w:r>
        <w:fldChar w:fldCharType="end"/>
      </w:r>
      <w:r>
        <w:t>, the size of the Victorian economy and other factors. None of these effects have been taken into account in Table 1.3.</w:t>
      </w:r>
    </w:p>
    <w:p w:rsidR="00000000" w:rsidRDefault="001F233B">
      <w:pPr>
        <w:pStyle w:val="Tableheading"/>
        <w:keepNext/>
      </w:pPr>
      <w:bookmarkStart w:id="13" w:name="_Toc417552734"/>
      <w:r>
        <w:t>Table 1.3: Taxation policy measures</w:t>
      </w:r>
      <w:bookmarkEnd w:id="13"/>
    </w:p>
    <w:p w:rsidR="00000000" w:rsidRDefault="001F233B">
      <w:pPr>
        <w:pStyle w:val="Tabletext"/>
        <w:keepNext/>
        <w:jc w:val="center"/>
        <w:rPr>
          <w:i/>
          <w:vertAlign w:val="superscript"/>
        </w:rPr>
      </w:pPr>
      <w:r>
        <w:rPr>
          <w:i/>
        </w:rPr>
        <w:t>$ million at average 1998-99 prices</w:t>
      </w:r>
      <w:r>
        <w:rPr>
          <w:i/>
          <w:sz w:val="16"/>
        </w:rPr>
        <w:t xml:space="preserve"> </w:t>
      </w:r>
      <w:r>
        <w:rPr>
          <w:i/>
          <w:sz w:val="16"/>
          <w:vertAlign w:val="superscript"/>
        </w:rPr>
        <w:t>(a)</w:t>
      </w:r>
    </w:p>
    <w:tbl>
      <w:tblPr>
        <w:tblW w:w="0" w:type="auto"/>
        <w:tblInd w:w="101" w:type="dxa"/>
        <w:tblLayout w:type="fixed"/>
        <w:tblLook w:val="0000" w:firstRow="0" w:lastRow="0" w:firstColumn="0" w:lastColumn="0" w:noHBand="0" w:noVBand="0"/>
      </w:tblPr>
      <w:tblGrid>
        <w:gridCol w:w="7"/>
        <w:gridCol w:w="983"/>
        <w:gridCol w:w="4950"/>
        <w:gridCol w:w="7"/>
        <w:gridCol w:w="1138"/>
        <w:gridCol w:w="25"/>
        <w:gridCol w:w="11"/>
      </w:tblGrid>
      <w:tr w:rsidR="00000000">
        <w:tblPrEx>
          <w:tblCellMar>
            <w:top w:w="0" w:type="dxa"/>
            <w:bottom w:w="0" w:type="dxa"/>
          </w:tblCellMar>
        </w:tblPrEx>
        <w:trPr>
          <w:gridBefore w:val="1"/>
          <w:wBefore w:w="7" w:type="dxa"/>
          <w:trHeight w:val="480"/>
        </w:trPr>
        <w:tc>
          <w:tcPr>
            <w:tcW w:w="983" w:type="dxa"/>
            <w:tcBorders>
              <w:top w:val="single" w:sz="6" w:space="0" w:color="auto"/>
              <w:bottom w:val="single" w:sz="6" w:space="0" w:color="auto"/>
            </w:tcBorders>
          </w:tcPr>
          <w:p w:rsidR="00000000" w:rsidRDefault="001F233B">
            <w:pPr>
              <w:keepNext/>
              <w:spacing w:after="0"/>
              <w:jc w:val="left"/>
              <w:rPr>
                <w:rFonts w:ascii="Arial" w:hAnsi="Arial"/>
                <w:i/>
                <w:sz w:val="18"/>
              </w:rPr>
            </w:pPr>
            <w:r>
              <w:rPr>
                <w:rFonts w:ascii="Arial" w:hAnsi="Arial"/>
                <w:i/>
                <w:sz w:val="18"/>
              </w:rPr>
              <w:t xml:space="preserve">Year </w:t>
            </w:r>
          </w:p>
        </w:tc>
        <w:tc>
          <w:tcPr>
            <w:tcW w:w="4950" w:type="dxa"/>
            <w:tcBorders>
              <w:top w:val="single" w:sz="6" w:space="0" w:color="auto"/>
              <w:bottom w:val="single" w:sz="6" w:space="0" w:color="auto"/>
            </w:tcBorders>
          </w:tcPr>
          <w:p w:rsidR="00000000" w:rsidRDefault="001F233B">
            <w:pPr>
              <w:keepNext/>
              <w:spacing w:after="0"/>
              <w:jc w:val="left"/>
              <w:rPr>
                <w:rFonts w:ascii="Arial" w:hAnsi="Arial"/>
                <w:i/>
                <w:sz w:val="18"/>
              </w:rPr>
            </w:pPr>
            <w:r>
              <w:rPr>
                <w:rFonts w:ascii="Arial" w:hAnsi="Arial"/>
                <w:i/>
                <w:sz w:val="18"/>
              </w:rPr>
              <w:t>Measure</w:t>
            </w:r>
          </w:p>
        </w:tc>
        <w:tc>
          <w:tcPr>
            <w:tcW w:w="1177" w:type="dxa"/>
            <w:gridSpan w:val="4"/>
            <w:tcBorders>
              <w:top w:val="single" w:sz="6" w:space="0" w:color="auto"/>
              <w:bottom w:val="single" w:sz="6" w:space="0" w:color="auto"/>
            </w:tcBorders>
          </w:tcPr>
          <w:p w:rsidR="00000000" w:rsidRDefault="001F233B">
            <w:pPr>
              <w:keepNext/>
              <w:spacing w:after="0"/>
              <w:jc w:val="right"/>
              <w:rPr>
                <w:rFonts w:ascii="Arial" w:hAnsi="Arial"/>
                <w:i/>
                <w:sz w:val="18"/>
              </w:rPr>
            </w:pPr>
            <w:r>
              <w:rPr>
                <w:rFonts w:ascii="Arial" w:hAnsi="Arial"/>
                <w:i/>
                <w:sz w:val="18"/>
              </w:rPr>
              <w:t>Annual savings</w:t>
            </w:r>
            <w:r>
              <w:rPr>
                <w:rFonts w:ascii="Arial" w:hAnsi="Arial"/>
                <w:i/>
                <w:sz w:val="16"/>
                <w:vertAlign w:val="superscript"/>
              </w:rPr>
              <w:t>(b)</w:t>
            </w:r>
          </w:p>
        </w:tc>
      </w:tr>
      <w:tr w:rsidR="00000000">
        <w:tblPrEx>
          <w:tblCellMar>
            <w:top w:w="0" w:type="dxa"/>
            <w:bottom w:w="0" w:type="dxa"/>
          </w:tblCellMar>
        </w:tblPrEx>
        <w:trPr>
          <w:gridBefore w:val="1"/>
          <w:wBefore w:w="7" w:type="dxa"/>
          <w:trHeight w:val="240"/>
        </w:trPr>
        <w:tc>
          <w:tcPr>
            <w:tcW w:w="983" w:type="dxa"/>
          </w:tcPr>
          <w:p w:rsidR="00000000" w:rsidRDefault="001F233B">
            <w:pPr>
              <w:keepNext/>
              <w:spacing w:before="30" w:after="30"/>
              <w:jc w:val="left"/>
              <w:rPr>
                <w:rFonts w:ascii="Arial" w:hAnsi="Arial"/>
                <w:sz w:val="18"/>
              </w:rPr>
            </w:pPr>
            <w:r>
              <w:rPr>
                <w:rFonts w:ascii="Arial" w:hAnsi="Arial"/>
                <w:sz w:val="18"/>
              </w:rPr>
              <w:t>1993–94</w:t>
            </w:r>
          </w:p>
        </w:tc>
        <w:tc>
          <w:tcPr>
            <w:tcW w:w="4950" w:type="dxa"/>
          </w:tcPr>
          <w:p w:rsidR="00000000" w:rsidRDefault="001F233B">
            <w:pPr>
              <w:keepNext/>
              <w:spacing w:before="30" w:after="30"/>
              <w:jc w:val="left"/>
              <w:rPr>
                <w:rFonts w:ascii="Arial" w:hAnsi="Arial"/>
                <w:sz w:val="18"/>
              </w:rPr>
            </w:pPr>
            <w:r>
              <w:rPr>
                <w:rFonts w:ascii="Arial" w:hAnsi="Arial"/>
                <w:sz w:val="18"/>
              </w:rPr>
              <w:t>Imposition of the Better Roads</w:t>
            </w:r>
            <w:r>
              <w:rPr>
                <w:rFonts w:ascii="Arial" w:hAnsi="Arial"/>
                <w:sz w:val="18"/>
              </w:rPr>
              <w:fldChar w:fldCharType="begin"/>
            </w:r>
            <w:r>
              <w:rPr>
                <w:rFonts w:ascii="Arial" w:hAnsi="Arial"/>
                <w:sz w:val="18"/>
              </w:rPr>
              <w:instrText>xe "Roads"</w:instrText>
            </w:r>
            <w:r>
              <w:rPr>
                <w:rFonts w:ascii="Arial" w:hAnsi="Arial"/>
                <w:sz w:val="18"/>
              </w:rPr>
              <w:fldChar w:fldCharType="end"/>
            </w:r>
            <w:r>
              <w:rPr>
                <w:rFonts w:ascii="Arial" w:hAnsi="Arial"/>
                <w:sz w:val="18"/>
              </w:rPr>
              <w:t xml:space="preserve"> Levy.</w:t>
            </w:r>
          </w:p>
        </w:tc>
        <w:tc>
          <w:tcPr>
            <w:tcW w:w="1177" w:type="dxa"/>
            <w:gridSpan w:val="4"/>
          </w:tcPr>
          <w:p w:rsidR="00000000" w:rsidRDefault="001F233B">
            <w:pPr>
              <w:keepNext/>
              <w:spacing w:before="30" w:after="30"/>
              <w:jc w:val="right"/>
              <w:rPr>
                <w:rFonts w:ascii="Arial" w:hAnsi="Arial"/>
                <w:sz w:val="18"/>
              </w:rPr>
            </w:pPr>
            <w:r>
              <w:rPr>
                <w:rFonts w:ascii="Arial" w:hAnsi="Arial"/>
                <w:sz w:val="18"/>
              </w:rPr>
              <w:t>-174</w:t>
            </w:r>
          </w:p>
        </w:tc>
      </w:tr>
      <w:tr w:rsidR="00000000">
        <w:tblPrEx>
          <w:tblCellMar>
            <w:top w:w="0" w:type="dxa"/>
            <w:bottom w:w="0" w:type="dxa"/>
          </w:tblCellMar>
        </w:tblPrEx>
        <w:trPr>
          <w:gridBefore w:val="1"/>
          <w:wBefore w:w="7" w:type="dxa"/>
          <w:trHeight w:val="240"/>
        </w:trPr>
        <w:tc>
          <w:tcPr>
            <w:tcW w:w="983" w:type="dxa"/>
          </w:tcPr>
          <w:p w:rsidR="00000000" w:rsidRDefault="001F233B">
            <w:pPr>
              <w:keepNext/>
              <w:spacing w:before="30" w:after="30"/>
              <w:jc w:val="left"/>
              <w:rPr>
                <w:rFonts w:ascii="Arial" w:hAnsi="Arial"/>
                <w:sz w:val="18"/>
              </w:rPr>
            </w:pPr>
            <w:r>
              <w:rPr>
                <w:rFonts w:ascii="Arial" w:hAnsi="Arial"/>
                <w:sz w:val="18"/>
              </w:rPr>
              <w:t>1994</w:t>
            </w:r>
            <w:r>
              <w:rPr>
                <w:rFonts w:ascii="Arial" w:hAnsi="Arial"/>
                <w:sz w:val="18"/>
              </w:rPr>
              <w:noBreakHyphen/>
              <w:t>95</w:t>
            </w:r>
          </w:p>
        </w:tc>
        <w:tc>
          <w:tcPr>
            <w:tcW w:w="4950" w:type="dxa"/>
          </w:tcPr>
          <w:p w:rsidR="00000000" w:rsidRDefault="001F233B">
            <w:pPr>
              <w:keepNext/>
              <w:spacing w:before="30" w:after="30"/>
              <w:jc w:val="left"/>
              <w:rPr>
                <w:rFonts w:ascii="Arial" w:hAnsi="Arial"/>
                <w:sz w:val="18"/>
              </w:rPr>
            </w:pPr>
            <w:r>
              <w:rPr>
                <w:rFonts w:ascii="Arial" w:hAnsi="Arial"/>
                <w:sz w:val="18"/>
              </w:rPr>
              <w:t>Commission and tax structures on wagering simplified and tax rate on totalisators effectively reduced.</w:t>
            </w:r>
            <w:r>
              <w:rPr>
                <w:rFonts w:ascii="Arial" w:hAnsi="Arial"/>
                <w:sz w:val="18"/>
                <w:vertAlign w:val="superscript"/>
              </w:rPr>
              <w:t xml:space="preserve"> </w:t>
            </w:r>
          </w:p>
        </w:tc>
        <w:tc>
          <w:tcPr>
            <w:tcW w:w="1177" w:type="dxa"/>
            <w:gridSpan w:val="4"/>
          </w:tcPr>
          <w:p w:rsidR="00000000" w:rsidRDefault="001F233B">
            <w:pPr>
              <w:keepNext/>
              <w:spacing w:before="30" w:after="30"/>
              <w:jc w:val="right"/>
              <w:rPr>
                <w:rFonts w:ascii="Arial" w:hAnsi="Arial"/>
                <w:sz w:val="18"/>
              </w:rPr>
            </w:pPr>
            <w:r>
              <w:rPr>
                <w:rFonts w:ascii="Arial" w:hAnsi="Arial"/>
                <w:sz w:val="18"/>
              </w:rPr>
              <w:t>76</w:t>
            </w:r>
          </w:p>
        </w:tc>
      </w:tr>
      <w:tr w:rsidR="00000000">
        <w:tblPrEx>
          <w:tblCellMar>
            <w:top w:w="0" w:type="dxa"/>
            <w:bottom w:w="0" w:type="dxa"/>
          </w:tblCellMar>
        </w:tblPrEx>
        <w:trPr>
          <w:gridAfter w:val="1"/>
          <w:wAfter w:w="7" w:type="dxa"/>
          <w:trHeight w:val="240"/>
        </w:trPr>
        <w:tc>
          <w:tcPr>
            <w:tcW w:w="990" w:type="dxa"/>
            <w:gridSpan w:val="2"/>
          </w:tcPr>
          <w:p w:rsidR="00000000" w:rsidRDefault="001F233B">
            <w:pPr>
              <w:keepNext/>
              <w:spacing w:before="30" w:after="30"/>
              <w:jc w:val="left"/>
              <w:rPr>
                <w:rFonts w:ascii="Arial" w:hAnsi="Arial"/>
                <w:sz w:val="18"/>
              </w:rPr>
            </w:pPr>
          </w:p>
        </w:tc>
        <w:tc>
          <w:tcPr>
            <w:tcW w:w="4957" w:type="dxa"/>
            <w:gridSpan w:val="2"/>
          </w:tcPr>
          <w:p w:rsidR="00000000" w:rsidRDefault="001F233B">
            <w:pPr>
              <w:keepNext/>
              <w:spacing w:before="30" w:after="30"/>
              <w:jc w:val="left"/>
              <w:rPr>
                <w:rFonts w:ascii="Arial" w:hAnsi="Arial"/>
                <w:sz w:val="18"/>
              </w:rPr>
            </w:pPr>
            <w:r>
              <w:rPr>
                <w:rFonts w:ascii="Arial" w:hAnsi="Arial"/>
                <w:sz w:val="18"/>
              </w:rPr>
              <w:t>Land tax capping introduced.</w:t>
            </w:r>
            <w:r>
              <w:rPr>
                <w:rFonts w:ascii="Arial" w:hAnsi="Arial"/>
                <w:sz w:val="18"/>
                <w:vertAlign w:val="superscript"/>
              </w:rPr>
              <w:t xml:space="preserve"> </w:t>
            </w:r>
          </w:p>
        </w:tc>
        <w:tc>
          <w:tcPr>
            <w:tcW w:w="1163" w:type="dxa"/>
            <w:gridSpan w:val="2"/>
          </w:tcPr>
          <w:p w:rsidR="00000000" w:rsidRDefault="001F233B">
            <w:pPr>
              <w:keepNext/>
              <w:spacing w:before="30" w:after="30"/>
              <w:jc w:val="right"/>
              <w:rPr>
                <w:rFonts w:ascii="Arial" w:hAnsi="Arial"/>
                <w:sz w:val="18"/>
              </w:rPr>
            </w:pPr>
            <w:r>
              <w:rPr>
                <w:rFonts w:ascii="Arial" w:hAnsi="Arial"/>
                <w:sz w:val="18"/>
              </w:rPr>
              <w:t>23</w:t>
            </w:r>
          </w:p>
        </w:tc>
      </w:tr>
      <w:tr w:rsidR="00000000">
        <w:tblPrEx>
          <w:tblCellMar>
            <w:top w:w="0" w:type="dxa"/>
            <w:bottom w:w="0" w:type="dxa"/>
          </w:tblCellMar>
        </w:tblPrEx>
        <w:trPr>
          <w:gridAfter w:val="1"/>
          <w:wAfter w:w="7" w:type="dxa"/>
          <w:trHeight w:val="240"/>
        </w:trPr>
        <w:tc>
          <w:tcPr>
            <w:tcW w:w="990" w:type="dxa"/>
            <w:gridSpan w:val="2"/>
          </w:tcPr>
          <w:p w:rsidR="00000000" w:rsidRDefault="001F233B">
            <w:pPr>
              <w:keepNext/>
              <w:spacing w:before="30" w:after="30"/>
              <w:jc w:val="left"/>
              <w:rPr>
                <w:rFonts w:ascii="Arial" w:hAnsi="Arial"/>
                <w:sz w:val="18"/>
              </w:rPr>
            </w:pPr>
            <w:r>
              <w:rPr>
                <w:rFonts w:ascii="Arial" w:hAnsi="Arial"/>
                <w:sz w:val="18"/>
              </w:rPr>
              <w:t>1995</w:t>
            </w:r>
            <w:r>
              <w:rPr>
                <w:rFonts w:ascii="Arial" w:hAnsi="Arial"/>
                <w:sz w:val="18"/>
              </w:rPr>
              <w:noBreakHyphen/>
              <w:t>96</w:t>
            </w:r>
          </w:p>
        </w:tc>
        <w:tc>
          <w:tcPr>
            <w:tcW w:w="4957" w:type="dxa"/>
            <w:gridSpan w:val="2"/>
          </w:tcPr>
          <w:p w:rsidR="00000000" w:rsidRDefault="001F233B">
            <w:pPr>
              <w:keepNext/>
              <w:spacing w:before="30" w:after="30"/>
              <w:jc w:val="left"/>
              <w:rPr>
                <w:rFonts w:ascii="Arial" w:hAnsi="Arial"/>
                <w:b/>
                <w:sz w:val="18"/>
              </w:rPr>
            </w:pPr>
            <w:r>
              <w:rPr>
                <w:rFonts w:ascii="Arial" w:hAnsi="Arial"/>
                <w:sz w:val="18"/>
              </w:rPr>
              <w:t>State Deficit Levy abolished.</w:t>
            </w:r>
          </w:p>
        </w:tc>
        <w:tc>
          <w:tcPr>
            <w:tcW w:w="1163" w:type="dxa"/>
            <w:gridSpan w:val="2"/>
          </w:tcPr>
          <w:p w:rsidR="00000000" w:rsidRDefault="001F233B">
            <w:pPr>
              <w:keepNext/>
              <w:spacing w:before="30" w:after="30"/>
              <w:jc w:val="right"/>
              <w:rPr>
                <w:rFonts w:ascii="Arial" w:hAnsi="Arial"/>
                <w:sz w:val="18"/>
              </w:rPr>
            </w:pPr>
            <w:r>
              <w:rPr>
                <w:rFonts w:ascii="Arial" w:hAnsi="Arial"/>
                <w:sz w:val="18"/>
              </w:rPr>
              <w:t>204</w:t>
            </w:r>
          </w:p>
        </w:tc>
      </w:tr>
      <w:tr w:rsidR="00000000">
        <w:tblPrEx>
          <w:tblCellMar>
            <w:top w:w="0" w:type="dxa"/>
            <w:bottom w:w="0" w:type="dxa"/>
          </w:tblCellMar>
        </w:tblPrEx>
        <w:trPr>
          <w:gridAfter w:val="1"/>
          <w:wAfter w:w="7" w:type="dxa"/>
          <w:trHeight w:val="240"/>
        </w:trPr>
        <w:tc>
          <w:tcPr>
            <w:tcW w:w="990" w:type="dxa"/>
            <w:gridSpan w:val="2"/>
          </w:tcPr>
          <w:p w:rsidR="00000000" w:rsidRDefault="001F233B">
            <w:pPr>
              <w:keepNext/>
              <w:spacing w:before="30" w:after="30"/>
              <w:jc w:val="left"/>
              <w:rPr>
                <w:rFonts w:ascii="Arial" w:hAnsi="Arial"/>
                <w:sz w:val="18"/>
              </w:rPr>
            </w:pPr>
          </w:p>
        </w:tc>
        <w:tc>
          <w:tcPr>
            <w:tcW w:w="4957" w:type="dxa"/>
            <w:gridSpan w:val="2"/>
          </w:tcPr>
          <w:p w:rsidR="00000000" w:rsidRDefault="001F233B">
            <w:pPr>
              <w:keepNext/>
              <w:spacing w:before="30" w:after="30"/>
              <w:jc w:val="left"/>
              <w:rPr>
                <w:rFonts w:ascii="Arial" w:hAnsi="Arial"/>
                <w:sz w:val="18"/>
              </w:rPr>
            </w:pPr>
            <w:r>
              <w:rPr>
                <w:rFonts w:ascii="Arial" w:hAnsi="Arial"/>
                <w:sz w:val="18"/>
              </w:rPr>
              <w:t>Lower cap on land</w:t>
            </w:r>
            <w:r>
              <w:rPr>
                <w:rFonts w:ascii="Arial" w:hAnsi="Arial"/>
                <w:sz w:val="18"/>
              </w:rPr>
              <w:t xml:space="preserve"> tax removed.</w:t>
            </w:r>
            <w:r>
              <w:rPr>
                <w:rFonts w:ascii="Arial" w:hAnsi="Arial"/>
                <w:sz w:val="18"/>
                <w:vertAlign w:val="superscript"/>
              </w:rPr>
              <w:t xml:space="preserve"> </w:t>
            </w:r>
          </w:p>
        </w:tc>
        <w:tc>
          <w:tcPr>
            <w:tcW w:w="1163" w:type="dxa"/>
            <w:gridSpan w:val="2"/>
          </w:tcPr>
          <w:p w:rsidR="00000000" w:rsidRDefault="001F233B">
            <w:pPr>
              <w:keepNext/>
              <w:spacing w:before="30" w:after="30"/>
              <w:jc w:val="right"/>
              <w:rPr>
                <w:rFonts w:ascii="Arial" w:hAnsi="Arial"/>
                <w:sz w:val="18"/>
              </w:rPr>
            </w:pPr>
            <w:r>
              <w:rPr>
                <w:rFonts w:ascii="Arial" w:hAnsi="Arial"/>
                <w:sz w:val="18"/>
              </w:rPr>
              <w:t>7</w:t>
            </w:r>
          </w:p>
        </w:tc>
      </w:tr>
      <w:tr w:rsidR="00000000">
        <w:tblPrEx>
          <w:tblCellMar>
            <w:top w:w="0" w:type="dxa"/>
            <w:bottom w:w="0" w:type="dxa"/>
          </w:tblCellMar>
        </w:tblPrEx>
        <w:trPr>
          <w:gridAfter w:val="1"/>
          <w:wAfter w:w="7" w:type="dxa"/>
          <w:trHeight w:val="240"/>
        </w:trPr>
        <w:tc>
          <w:tcPr>
            <w:tcW w:w="990" w:type="dxa"/>
            <w:gridSpan w:val="2"/>
          </w:tcPr>
          <w:p w:rsidR="00000000" w:rsidRDefault="001F233B">
            <w:pPr>
              <w:keepNext/>
              <w:spacing w:before="30" w:after="30"/>
              <w:jc w:val="left"/>
              <w:rPr>
                <w:rFonts w:ascii="Arial" w:hAnsi="Arial"/>
                <w:sz w:val="18"/>
              </w:rPr>
            </w:pPr>
          </w:p>
        </w:tc>
        <w:tc>
          <w:tcPr>
            <w:tcW w:w="4957" w:type="dxa"/>
            <w:gridSpan w:val="2"/>
          </w:tcPr>
          <w:p w:rsidR="00000000" w:rsidRDefault="001F233B">
            <w:pPr>
              <w:keepNext/>
              <w:spacing w:before="30" w:after="30"/>
              <w:jc w:val="left"/>
              <w:rPr>
                <w:rFonts w:ascii="Arial" w:hAnsi="Arial"/>
                <w:sz w:val="18"/>
              </w:rPr>
            </w:pPr>
            <w:r>
              <w:rPr>
                <w:rFonts w:ascii="Arial" w:hAnsi="Arial"/>
                <w:sz w:val="18"/>
              </w:rPr>
              <w:t>Marketable securities duty for listed shares reduced.</w:t>
            </w:r>
          </w:p>
        </w:tc>
        <w:tc>
          <w:tcPr>
            <w:tcW w:w="1163" w:type="dxa"/>
            <w:gridSpan w:val="2"/>
          </w:tcPr>
          <w:p w:rsidR="00000000" w:rsidRDefault="001F233B">
            <w:pPr>
              <w:keepNext/>
              <w:spacing w:before="30" w:after="30"/>
              <w:jc w:val="right"/>
              <w:rPr>
                <w:rFonts w:ascii="Arial" w:hAnsi="Arial"/>
                <w:sz w:val="18"/>
              </w:rPr>
            </w:pPr>
            <w:r>
              <w:rPr>
                <w:rFonts w:ascii="Arial" w:hAnsi="Arial"/>
                <w:sz w:val="18"/>
              </w:rPr>
              <w:t>151</w:t>
            </w:r>
          </w:p>
        </w:tc>
      </w:tr>
      <w:tr w:rsidR="00000000">
        <w:tblPrEx>
          <w:tblCellMar>
            <w:top w:w="0" w:type="dxa"/>
            <w:bottom w:w="0" w:type="dxa"/>
          </w:tblCellMar>
        </w:tblPrEx>
        <w:trPr>
          <w:gridAfter w:val="1"/>
          <w:wAfter w:w="7" w:type="dxa"/>
          <w:trHeight w:val="240"/>
        </w:trPr>
        <w:tc>
          <w:tcPr>
            <w:tcW w:w="990" w:type="dxa"/>
            <w:gridSpan w:val="2"/>
          </w:tcPr>
          <w:p w:rsidR="00000000" w:rsidRDefault="001F233B">
            <w:pPr>
              <w:keepNext/>
              <w:spacing w:before="30" w:after="30"/>
              <w:jc w:val="left"/>
              <w:rPr>
                <w:rFonts w:ascii="Arial" w:hAnsi="Arial"/>
                <w:sz w:val="18"/>
              </w:rPr>
            </w:pPr>
          </w:p>
        </w:tc>
        <w:tc>
          <w:tcPr>
            <w:tcW w:w="4957" w:type="dxa"/>
            <w:gridSpan w:val="2"/>
          </w:tcPr>
          <w:p w:rsidR="00000000" w:rsidRDefault="001F233B">
            <w:pPr>
              <w:keepNext/>
              <w:spacing w:before="30" w:after="30"/>
              <w:jc w:val="left"/>
              <w:rPr>
                <w:rFonts w:ascii="Arial" w:hAnsi="Arial"/>
                <w:sz w:val="18"/>
              </w:rPr>
            </w:pPr>
            <w:r>
              <w:rPr>
                <w:rFonts w:ascii="Arial" w:hAnsi="Arial"/>
                <w:sz w:val="18"/>
              </w:rPr>
              <w:t>Franchise fee rate for tobacco increased.</w:t>
            </w:r>
          </w:p>
        </w:tc>
        <w:tc>
          <w:tcPr>
            <w:tcW w:w="1163" w:type="dxa"/>
            <w:gridSpan w:val="2"/>
          </w:tcPr>
          <w:p w:rsidR="00000000" w:rsidRDefault="001F233B">
            <w:pPr>
              <w:keepNext/>
              <w:spacing w:before="30" w:after="30"/>
              <w:jc w:val="right"/>
              <w:rPr>
                <w:rFonts w:ascii="Arial" w:hAnsi="Arial"/>
                <w:sz w:val="18"/>
              </w:rPr>
            </w:pPr>
            <w:r>
              <w:rPr>
                <w:rFonts w:ascii="Arial" w:hAnsi="Arial"/>
                <w:sz w:val="18"/>
              </w:rPr>
              <w:t>-151</w:t>
            </w:r>
          </w:p>
        </w:tc>
      </w:tr>
      <w:tr w:rsidR="00000000">
        <w:tblPrEx>
          <w:tblCellMar>
            <w:top w:w="0" w:type="dxa"/>
            <w:bottom w:w="0" w:type="dxa"/>
          </w:tblCellMar>
        </w:tblPrEx>
        <w:trPr>
          <w:gridAfter w:val="1"/>
          <w:wAfter w:w="7" w:type="dxa"/>
          <w:trHeight w:val="240"/>
        </w:trPr>
        <w:tc>
          <w:tcPr>
            <w:tcW w:w="990" w:type="dxa"/>
            <w:gridSpan w:val="2"/>
          </w:tcPr>
          <w:p w:rsidR="00000000" w:rsidRDefault="001F233B">
            <w:pPr>
              <w:keepNext/>
              <w:spacing w:before="30" w:after="30"/>
              <w:jc w:val="left"/>
              <w:rPr>
                <w:rFonts w:ascii="Arial" w:hAnsi="Arial"/>
                <w:sz w:val="18"/>
              </w:rPr>
            </w:pPr>
            <w:r>
              <w:rPr>
                <w:rFonts w:ascii="Arial" w:hAnsi="Arial"/>
                <w:sz w:val="18"/>
              </w:rPr>
              <w:t>1996</w:t>
            </w:r>
            <w:r>
              <w:rPr>
                <w:rFonts w:ascii="Arial" w:hAnsi="Arial"/>
                <w:sz w:val="18"/>
              </w:rPr>
              <w:noBreakHyphen/>
              <w:t>97</w:t>
            </w:r>
          </w:p>
        </w:tc>
        <w:tc>
          <w:tcPr>
            <w:tcW w:w="4957" w:type="dxa"/>
            <w:gridSpan w:val="2"/>
          </w:tcPr>
          <w:p w:rsidR="00000000" w:rsidRDefault="001F233B">
            <w:pPr>
              <w:keepNext/>
              <w:spacing w:before="30" w:after="30"/>
              <w:jc w:val="left"/>
              <w:rPr>
                <w:rFonts w:ascii="Arial" w:hAnsi="Arial"/>
                <w:sz w:val="18"/>
              </w:rPr>
            </w:pPr>
            <w:r>
              <w:rPr>
                <w:rFonts w:ascii="Arial" w:hAnsi="Arial"/>
                <w:sz w:val="18"/>
              </w:rPr>
              <w:t>Mortgage Duty Exemption for re-financing business loans.</w:t>
            </w:r>
          </w:p>
        </w:tc>
        <w:tc>
          <w:tcPr>
            <w:tcW w:w="1163" w:type="dxa"/>
            <w:gridSpan w:val="2"/>
          </w:tcPr>
          <w:p w:rsidR="00000000" w:rsidRDefault="001F233B">
            <w:pPr>
              <w:keepNext/>
              <w:spacing w:before="30" w:after="30"/>
              <w:jc w:val="right"/>
              <w:rPr>
                <w:rFonts w:ascii="Arial" w:hAnsi="Arial"/>
                <w:sz w:val="18"/>
              </w:rPr>
            </w:pPr>
            <w:r>
              <w:rPr>
                <w:rFonts w:ascii="Arial" w:hAnsi="Arial"/>
                <w:sz w:val="18"/>
              </w:rPr>
              <w:t>1</w:t>
            </w:r>
          </w:p>
        </w:tc>
      </w:tr>
      <w:tr w:rsidR="00000000">
        <w:tblPrEx>
          <w:tblCellMar>
            <w:top w:w="0" w:type="dxa"/>
            <w:bottom w:w="0" w:type="dxa"/>
          </w:tblCellMar>
        </w:tblPrEx>
        <w:trPr>
          <w:gridAfter w:val="1"/>
          <w:wAfter w:w="7" w:type="dxa"/>
          <w:trHeight w:val="240"/>
        </w:trPr>
        <w:tc>
          <w:tcPr>
            <w:tcW w:w="990" w:type="dxa"/>
            <w:gridSpan w:val="2"/>
          </w:tcPr>
          <w:p w:rsidR="00000000" w:rsidRDefault="001F233B">
            <w:pPr>
              <w:keepNext/>
              <w:spacing w:before="30" w:after="30"/>
              <w:jc w:val="left"/>
              <w:rPr>
                <w:rFonts w:ascii="Arial" w:hAnsi="Arial"/>
                <w:sz w:val="18"/>
              </w:rPr>
            </w:pPr>
          </w:p>
        </w:tc>
        <w:tc>
          <w:tcPr>
            <w:tcW w:w="4957" w:type="dxa"/>
            <w:gridSpan w:val="2"/>
          </w:tcPr>
          <w:p w:rsidR="00000000" w:rsidRDefault="001F233B">
            <w:pPr>
              <w:keepNext/>
              <w:spacing w:before="30" w:after="30"/>
              <w:jc w:val="left"/>
              <w:rPr>
                <w:rFonts w:ascii="Arial" w:hAnsi="Arial"/>
                <w:sz w:val="18"/>
              </w:rPr>
            </w:pPr>
            <w:r>
              <w:rPr>
                <w:rFonts w:ascii="Arial" w:hAnsi="Arial"/>
                <w:sz w:val="18"/>
              </w:rPr>
              <w:t>Halving of rental duty.</w:t>
            </w:r>
          </w:p>
        </w:tc>
        <w:tc>
          <w:tcPr>
            <w:tcW w:w="1163" w:type="dxa"/>
            <w:gridSpan w:val="2"/>
          </w:tcPr>
          <w:p w:rsidR="00000000" w:rsidRDefault="001F233B">
            <w:pPr>
              <w:keepNext/>
              <w:spacing w:before="30" w:after="30"/>
              <w:jc w:val="right"/>
              <w:rPr>
                <w:rFonts w:ascii="Arial" w:hAnsi="Arial"/>
                <w:sz w:val="18"/>
              </w:rPr>
            </w:pPr>
            <w:r>
              <w:rPr>
                <w:rFonts w:ascii="Arial" w:hAnsi="Arial"/>
                <w:sz w:val="18"/>
              </w:rPr>
              <w:t>5</w:t>
            </w:r>
          </w:p>
        </w:tc>
      </w:tr>
      <w:tr w:rsidR="00000000">
        <w:tblPrEx>
          <w:tblCellMar>
            <w:top w:w="0" w:type="dxa"/>
            <w:bottom w:w="0" w:type="dxa"/>
          </w:tblCellMar>
        </w:tblPrEx>
        <w:trPr>
          <w:gridAfter w:val="1"/>
          <w:wAfter w:w="7" w:type="dxa"/>
          <w:trHeight w:val="240"/>
        </w:trPr>
        <w:tc>
          <w:tcPr>
            <w:tcW w:w="990" w:type="dxa"/>
            <w:gridSpan w:val="2"/>
          </w:tcPr>
          <w:p w:rsidR="00000000" w:rsidRDefault="001F233B">
            <w:pPr>
              <w:keepNext/>
              <w:spacing w:before="30" w:after="30"/>
              <w:jc w:val="left"/>
              <w:rPr>
                <w:rFonts w:ascii="Arial" w:hAnsi="Arial"/>
                <w:sz w:val="18"/>
              </w:rPr>
            </w:pPr>
          </w:p>
        </w:tc>
        <w:tc>
          <w:tcPr>
            <w:tcW w:w="4957" w:type="dxa"/>
            <w:gridSpan w:val="2"/>
          </w:tcPr>
          <w:p w:rsidR="00000000" w:rsidRDefault="001F233B">
            <w:pPr>
              <w:keepNext/>
              <w:spacing w:before="30" w:after="30"/>
              <w:jc w:val="left"/>
              <w:rPr>
                <w:rFonts w:ascii="Arial" w:hAnsi="Arial"/>
                <w:sz w:val="18"/>
              </w:rPr>
            </w:pPr>
            <w:r>
              <w:rPr>
                <w:rFonts w:ascii="Arial" w:hAnsi="Arial"/>
                <w:sz w:val="18"/>
              </w:rPr>
              <w:t>Extension of first home-buyer and pensioner stamp duty concessions.</w:t>
            </w:r>
          </w:p>
        </w:tc>
        <w:tc>
          <w:tcPr>
            <w:tcW w:w="1163" w:type="dxa"/>
            <w:gridSpan w:val="2"/>
          </w:tcPr>
          <w:p w:rsidR="00000000" w:rsidRDefault="001F233B">
            <w:pPr>
              <w:keepNext/>
              <w:spacing w:before="30" w:after="30"/>
              <w:jc w:val="right"/>
              <w:rPr>
                <w:rFonts w:ascii="Arial" w:hAnsi="Arial"/>
                <w:sz w:val="18"/>
              </w:rPr>
            </w:pPr>
            <w:r>
              <w:rPr>
                <w:rFonts w:ascii="Arial" w:hAnsi="Arial"/>
                <w:sz w:val="18"/>
              </w:rPr>
              <w:t>5</w:t>
            </w:r>
          </w:p>
        </w:tc>
      </w:tr>
      <w:tr w:rsidR="00000000">
        <w:tblPrEx>
          <w:tblCellMar>
            <w:top w:w="0" w:type="dxa"/>
            <w:bottom w:w="0" w:type="dxa"/>
          </w:tblCellMar>
        </w:tblPrEx>
        <w:trPr>
          <w:gridAfter w:val="1"/>
          <w:wAfter w:w="7" w:type="dxa"/>
          <w:trHeight w:val="240"/>
        </w:trPr>
        <w:tc>
          <w:tcPr>
            <w:tcW w:w="990" w:type="dxa"/>
            <w:gridSpan w:val="2"/>
          </w:tcPr>
          <w:p w:rsidR="00000000" w:rsidRDefault="001F233B">
            <w:pPr>
              <w:keepNext/>
              <w:spacing w:before="30" w:after="30"/>
              <w:jc w:val="left"/>
              <w:rPr>
                <w:rFonts w:ascii="Arial" w:hAnsi="Arial"/>
                <w:sz w:val="18"/>
              </w:rPr>
            </w:pPr>
          </w:p>
        </w:tc>
        <w:tc>
          <w:tcPr>
            <w:tcW w:w="4957" w:type="dxa"/>
            <w:gridSpan w:val="2"/>
          </w:tcPr>
          <w:p w:rsidR="00000000" w:rsidRDefault="001F233B">
            <w:pPr>
              <w:keepNext/>
              <w:spacing w:before="30" w:after="30"/>
              <w:jc w:val="left"/>
              <w:rPr>
                <w:rFonts w:ascii="Arial" w:hAnsi="Arial"/>
                <w:sz w:val="18"/>
              </w:rPr>
            </w:pPr>
            <w:r>
              <w:rPr>
                <w:rFonts w:ascii="Arial" w:hAnsi="Arial"/>
                <w:sz w:val="18"/>
              </w:rPr>
              <w:t>Removal of lucky envelope, bingo and raffle surcharge.</w:t>
            </w:r>
          </w:p>
        </w:tc>
        <w:tc>
          <w:tcPr>
            <w:tcW w:w="1163" w:type="dxa"/>
            <w:gridSpan w:val="2"/>
          </w:tcPr>
          <w:p w:rsidR="00000000" w:rsidRDefault="001F233B">
            <w:pPr>
              <w:keepNext/>
              <w:spacing w:before="30" w:after="30"/>
              <w:jc w:val="right"/>
              <w:rPr>
                <w:rFonts w:ascii="Arial" w:hAnsi="Arial"/>
                <w:sz w:val="18"/>
              </w:rPr>
            </w:pPr>
            <w:r>
              <w:rPr>
                <w:rFonts w:ascii="Arial" w:hAnsi="Arial"/>
                <w:sz w:val="18"/>
              </w:rPr>
              <w:t>6</w:t>
            </w:r>
          </w:p>
        </w:tc>
      </w:tr>
      <w:tr w:rsidR="00000000">
        <w:tblPrEx>
          <w:tblCellMar>
            <w:top w:w="0" w:type="dxa"/>
            <w:bottom w:w="0" w:type="dxa"/>
          </w:tblCellMar>
        </w:tblPrEx>
        <w:trPr>
          <w:gridAfter w:val="1"/>
          <w:wAfter w:w="7" w:type="dxa"/>
          <w:trHeight w:val="240"/>
        </w:trPr>
        <w:tc>
          <w:tcPr>
            <w:tcW w:w="990" w:type="dxa"/>
            <w:gridSpan w:val="2"/>
          </w:tcPr>
          <w:p w:rsidR="00000000" w:rsidRDefault="001F233B">
            <w:pPr>
              <w:keepNext/>
              <w:spacing w:before="30" w:after="30"/>
              <w:jc w:val="left"/>
              <w:rPr>
                <w:rFonts w:ascii="Arial" w:hAnsi="Arial"/>
                <w:sz w:val="18"/>
              </w:rPr>
            </w:pPr>
            <w:r>
              <w:rPr>
                <w:rFonts w:ascii="Arial" w:hAnsi="Arial"/>
                <w:sz w:val="18"/>
              </w:rPr>
              <w:t>1997–98</w:t>
            </w:r>
          </w:p>
        </w:tc>
        <w:tc>
          <w:tcPr>
            <w:tcW w:w="4957" w:type="dxa"/>
            <w:gridSpan w:val="2"/>
          </w:tcPr>
          <w:p w:rsidR="00000000" w:rsidRDefault="001F233B">
            <w:pPr>
              <w:keepNext/>
              <w:spacing w:before="30" w:after="30"/>
              <w:jc w:val="left"/>
              <w:rPr>
                <w:rFonts w:ascii="Arial" w:hAnsi="Arial"/>
                <w:sz w:val="18"/>
              </w:rPr>
            </w:pPr>
            <w:r>
              <w:rPr>
                <w:rFonts w:ascii="Arial" w:hAnsi="Arial"/>
                <w:sz w:val="18"/>
              </w:rPr>
              <w:t>Payroll tax</w:t>
            </w:r>
            <w:r>
              <w:rPr>
                <w:rFonts w:ascii="Arial" w:hAnsi="Arial"/>
                <w:sz w:val="18"/>
              </w:rPr>
              <w:fldChar w:fldCharType="begin"/>
            </w:r>
            <w:r>
              <w:rPr>
                <w:rFonts w:ascii="Arial" w:hAnsi="Arial"/>
                <w:sz w:val="18"/>
              </w:rPr>
              <w:instrText>xe "Tax:Payroll tax"</w:instrText>
            </w:r>
            <w:r>
              <w:rPr>
                <w:rFonts w:ascii="Arial" w:hAnsi="Arial"/>
                <w:sz w:val="18"/>
              </w:rPr>
              <w:fldChar w:fldCharType="end"/>
            </w:r>
            <w:r>
              <w:rPr>
                <w:rFonts w:ascii="Arial" w:hAnsi="Arial"/>
                <w:sz w:val="18"/>
              </w:rPr>
              <w:fldChar w:fldCharType="begin"/>
            </w:r>
            <w:r>
              <w:rPr>
                <w:rFonts w:ascii="Arial" w:hAnsi="Arial"/>
                <w:sz w:val="18"/>
              </w:rPr>
              <w:instrText>xe "Payroll tax"</w:instrText>
            </w:r>
            <w:r>
              <w:rPr>
                <w:rFonts w:ascii="Arial" w:hAnsi="Arial"/>
                <w:sz w:val="18"/>
              </w:rPr>
              <w:fldChar w:fldCharType="end"/>
            </w:r>
            <w:r>
              <w:rPr>
                <w:rFonts w:ascii="Arial" w:hAnsi="Arial"/>
                <w:sz w:val="18"/>
              </w:rPr>
              <w:t xml:space="preserve"> cut from 7% to 6.25%.</w:t>
            </w:r>
          </w:p>
        </w:tc>
        <w:tc>
          <w:tcPr>
            <w:tcW w:w="1163" w:type="dxa"/>
            <w:gridSpan w:val="2"/>
          </w:tcPr>
          <w:p w:rsidR="00000000" w:rsidRDefault="001F233B">
            <w:pPr>
              <w:keepNext/>
              <w:spacing w:before="30" w:after="30"/>
              <w:jc w:val="right"/>
              <w:rPr>
                <w:rFonts w:ascii="Arial" w:hAnsi="Arial"/>
                <w:sz w:val="18"/>
              </w:rPr>
            </w:pPr>
            <w:r>
              <w:rPr>
                <w:rFonts w:ascii="Arial" w:hAnsi="Arial"/>
                <w:sz w:val="18"/>
              </w:rPr>
              <w:t>106</w:t>
            </w:r>
          </w:p>
        </w:tc>
      </w:tr>
      <w:tr w:rsidR="00000000">
        <w:tblPrEx>
          <w:tblCellMar>
            <w:top w:w="0" w:type="dxa"/>
            <w:bottom w:w="0" w:type="dxa"/>
          </w:tblCellMar>
        </w:tblPrEx>
        <w:trPr>
          <w:gridAfter w:val="1"/>
          <w:wAfter w:w="7" w:type="dxa"/>
          <w:trHeight w:val="240"/>
        </w:trPr>
        <w:tc>
          <w:tcPr>
            <w:tcW w:w="990" w:type="dxa"/>
            <w:gridSpan w:val="2"/>
          </w:tcPr>
          <w:p w:rsidR="00000000" w:rsidRDefault="001F233B">
            <w:pPr>
              <w:keepNext/>
              <w:spacing w:before="30" w:after="30"/>
              <w:jc w:val="left"/>
              <w:rPr>
                <w:rFonts w:ascii="Arial" w:hAnsi="Arial"/>
                <w:sz w:val="18"/>
              </w:rPr>
            </w:pPr>
          </w:p>
        </w:tc>
        <w:tc>
          <w:tcPr>
            <w:tcW w:w="4957" w:type="dxa"/>
            <w:gridSpan w:val="2"/>
          </w:tcPr>
          <w:p w:rsidR="00000000" w:rsidRDefault="001F233B">
            <w:pPr>
              <w:keepNext/>
              <w:spacing w:before="30" w:after="30"/>
              <w:jc w:val="left"/>
              <w:rPr>
                <w:rFonts w:ascii="Arial" w:hAnsi="Arial"/>
                <w:sz w:val="18"/>
              </w:rPr>
            </w:pPr>
            <w:r>
              <w:rPr>
                <w:rFonts w:ascii="Arial" w:hAnsi="Arial"/>
                <w:sz w:val="18"/>
              </w:rPr>
              <w:t>Petrol and diesel franchise fees cut.</w:t>
            </w:r>
          </w:p>
        </w:tc>
        <w:tc>
          <w:tcPr>
            <w:tcW w:w="1163" w:type="dxa"/>
            <w:gridSpan w:val="2"/>
          </w:tcPr>
          <w:p w:rsidR="00000000" w:rsidRDefault="001F233B">
            <w:pPr>
              <w:keepNext/>
              <w:spacing w:before="30" w:after="30"/>
              <w:jc w:val="right"/>
              <w:rPr>
                <w:rFonts w:ascii="Arial" w:hAnsi="Arial"/>
                <w:sz w:val="18"/>
              </w:rPr>
            </w:pPr>
            <w:r>
              <w:rPr>
                <w:rFonts w:ascii="Arial" w:hAnsi="Arial"/>
                <w:sz w:val="18"/>
              </w:rPr>
              <w:t>109</w:t>
            </w:r>
          </w:p>
        </w:tc>
      </w:tr>
      <w:tr w:rsidR="00000000">
        <w:tblPrEx>
          <w:tblCellMar>
            <w:top w:w="0" w:type="dxa"/>
            <w:bottom w:w="0" w:type="dxa"/>
          </w:tblCellMar>
        </w:tblPrEx>
        <w:trPr>
          <w:gridAfter w:val="1"/>
          <w:wAfter w:w="7" w:type="dxa"/>
          <w:trHeight w:val="240"/>
        </w:trPr>
        <w:tc>
          <w:tcPr>
            <w:tcW w:w="990" w:type="dxa"/>
            <w:gridSpan w:val="2"/>
          </w:tcPr>
          <w:p w:rsidR="00000000" w:rsidRDefault="001F233B">
            <w:pPr>
              <w:keepNext/>
              <w:spacing w:before="30" w:after="30"/>
              <w:jc w:val="left"/>
              <w:rPr>
                <w:rFonts w:ascii="Arial" w:hAnsi="Arial"/>
                <w:sz w:val="18"/>
              </w:rPr>
            </w:pPr>
          </w:p>
        </w:tc>
        <w:tc>
          <w:tcPr>
            <w:tcW w:w="4957" w:type="dxa"/>
            <w:gridSpan w:val="2"/>
          </w:tcPr>
          <w:p w:rsidR="00000000" w:rsidRDefault="001F233B">
            <w:pPr>
              <w:keepNext/>
              <w:spacing w:before="30" w:after="30"/>
              <w:jc w:val="left"/>
              <w:rPr>
                <w:rFonts w:ascii="Arial" w:hAnsi="Arial"/>
                <w:sz w:val="18"/>
              </w:rPr>
            </w:pPr>
            <w:r>
              <w:rPr>
                <w:rFonts w:ascii="Arial" w:hAnsi="Arial"/>
                <w:sz w:val="18"/>
              </w:rPr>
              <w:t>Exemption from duty on ref</w:t>
            </w:r>
            <w:r>
              <w:rPr>
                <w:rFonts w:ascii="Arial" w:hAnsi="Arial"/>
                <w:sz w:val="18"/>
              </w:rPr>
              <w:t>inancing non-business loans.</w:t>
            </w:r>
          </w:p>
        </w:tc>
        <w:tc>
          <w:tcPr>
            <w:tcW w:w="1163" w:type="dxa"/>
            <w:gridSpan w:val="2"/>
          </w:tcPr>
          <w:p w:rsidR="00000000" w:rsidRDefault="001F233B">
            <w:pPr>
              <w:keepNext/>
              <w:spacing w:before="30" w:after="30"/>
              <w:jc w:val="right"/>
              <w:rPr>
                <w:rFonts w:ascii="Arial" w:hAnsi="Arial"/>
                <w:sz w:val="18"/>
              </w:rPr>
            </w:pPr>
            <w:r>
              <w:rPr>
                <w:rFonts w:ascii="Arial" w:hAnsi="Arial"/>
                <w:sz w:val="18"/>
              </w:rPr>
              <w:t>1</w:t>
            </w:r>
          </w:p>
        </w:tc>
      </w:tr>
      <w:tr w:rsidR="00000000">
        <w:tblPrEx>
          <w:tblCellMar>
            <w:top w:w="0" w:type="dxa"/>
            <w:bottom w:w="0" w:type="dxa"/>
          </w:tblCellMar>
        </w:tblPrEx>
        <w:trPr>
          <w:gridAfter w:val="2"/>
          <w:wAfter w:w="32" w:type="dxa"/>
          <w:trHeight w:val="240"/>
        </w:trPr>
        <w:tc>
          <w:tcPr>
            <w:tcW w:w="990" w:type="dxa"/>
            <w:gridSpan w:val="2"/>
          </w:tcPr>
          <w:p w:rsidR="00000000" w:rsidRDefault="001F233B">
            <w:pPr>
              <w:keepNext/>
              <w:spacing w:before="30" w:after="30"/>
              <w:jc w:val="left"/>
              <w:rPr>
                <w:rFonts w:ascii="Arial" w:hAnsi="Arial"/>
                <w:sz w:val="18"/>
              </w:rPr>
            </w:pPr>
          </w:p>
        </w:tc>
        <w:tc>
          <w:tcPr>
            <w:tcW w:w="4957" w:type="dxa"/>
            <w:gridSpan w:val="2"/>
          </w:tcPr>
          <w:p w:rsidR="00000000" w:rsidRDefault="001F233B">
            <w:pPr>
              <w:keepNext/>
              <w:spacing w:before="30" w:after="30"/>
              <w:jc w:val="left"/>
              <w:rPr>
                <w:rFonts w:ascii="Arial" w:hAnsi="Arial"/>
                <w:sz w:val="18"/>
              </w:rPr>
            </w:pPr>
            <w:r>
              <w:rPr>
                <w:rFonts w:ascii="Arial" w:hAnsi="Arial"/>
                <w:sz w:val="18"/>
              </w:rPr>
              <w:t>Elimination of energy consumption levy.</w:t>
            </w:r>
          </w:p>
        </w:tc>
        <w:tc>
          <w:tcPr>
            <w:tcW w:w="1138" w:type="dxa"/>
          </w:tcPr>
          <w:p w:rsidR="00000000" w:rsidRDefault="001F233B">
            <w:pPr>
              <w:keepNext/>
              <w:spacing w:before="30" w:after="30"/>
              <w:jc w:val="right"/>
              <w:rPr>
                <w:rFonts w:ascii="Arial" w:hAnsi="Arial"/>
                <w:sz w:val="18"/>
              </w:rPr>
            </w:pPr>
            <w:r>
              <w:rPr>
                <w:rFonts w:ascii="Arial" w:hAnsi="Arial"/>
                <w:sz w:val="18"/>
              </w:rPr>
              <w:t>1</w:t>
            </w:r>
          </w:p>
        </w:tc>
      </w:tr>
      <w:tr w:rsidR="00000000">
        <w:tblPrEx>
          <w:tblCellMar>
            <w:top w:w="0" w:type="dxa"/>
            <w:bottom w:w="0" w:type="dxa"/>
          </w:tblCellMar>
        </w:tblPrEx>
        <w:trPr>
          <w:gridAfter w:val="2"/>
          <w:wAfter w:w="36" w:type="dxa"/>
          <w:trHeight w:val="240"/>
        </w:trPr>
        <w:tc>
          <w:tcPr>
            <w:tcW w:w="990" w:type="dxa"/>
            <w:gridSpan w:val="2"/>
          </w:tcPr>
          <w:p w:rsidR="00000000" w:rsidRDefault="001F233B">
            <w:pPr>
              <w:keepNext/>
              <w:spacing w:before="30" w:after="30"/>
              <w:jc w:val="left"/>
              <w:rPr>
                <w:rFonts w:ascii="Arial" w:hAnsi="Arial"/>
                <w:sz w:val="18"/>
              </w:rPr>
            </w:pPr>
          </w:p>
        </w:tc>
        <w:tc>
          <w:tcPr>
            <w:tcW w:w="4957" w:type="dxa"/>
            <w:gridSpan w:val="2"/>
          </w:tcPr>
          <w:p w:rsidR="00000000" w:rsidRDefault="001F233B">
            <w:pPr>
              <w:keepNext/>
              <w:spacing w:before="30" w:after="30"/>
              <w:jc w:val="left"/>
              <w:rPr>
                <w:rFonts w:ascii="Arial" w:hAnsi="Arial"/>
                <w:sz w:val="18"/>
              </w:rPr>
            </w:pPr>
            <w:r>
              <w:rPr>
                <w:rFonts w:ascii="Arial" w:hAnsi="Arial"/>
                <w:sz w:val="18"/>
              </w:rPr>
              <w:t>Abolition of deed duty.</w:t>
            </w:r>
          </w:p>
        </w:tc>
        <w:tc>
          <w:tcPr>
            <w:tcW w:w="1134" w:type="dxa"/>
          </w:tcPr>
          <w:p w:rsidR="00000000" w:rsidRDefault="001F233B">
            <w:pPr>
              <w:keepNext/>
              <w:spacing w:before="30" w:after="30"/>
              <w:jc w:val="right"/>
              <w:rPr>
                <w:rFonts w:ascii="Arial" w:hAnsi="Arial"/>
                <w:sz w:val="18"/>
              </w:rPr>
            </w:pPr>
            <w:r>
              <w:rPr>
                <w:rFonts w:ascii="Arial" w:hAnsi="Arial"/>
                <w:sz w:val="18"/>
              </w:rPr>
              <w:t>1</w:t>
            </w:r>
          </w:p>
        </w:tc>
      </w:tr>
      <w:tr w:rsidR="00000000">
        <w:tblPrEx>
          <w:tblCellMar>
            <w:top w:w="0" w:type="dxa"/>
            <w:bottom w:w="0" w:type="dxa"/>
          </w:tblCellMar>
        </w:tblPrEx>
        <w:trPr>
          <w:gridAfter w:val="2"/>
          <w:wAfter w:w="36" w:type="dxa"/>
          <w:trHeight w:val="240"/>
        </w:trPr>
        <w:tc>
          <w:tcPr>
            <w:tcW w:w="990" w:type="dxa"/>
            <w:gridSpan w:val="2"/>
          </w:tcPr>
          <w:p w:rsidR="00000000" w:rsidRDefault="001F233B">
            <w:pPr>
              <w:keepNext/>
              <w:spacing w:before="30" w:after="30"/>
              <w:jc w:val="left"/>
              <w:rPr>
                <w:rFonts w:ascii="Arial" w:hAnsi="Arial"/>
                <w:sz w:val="18"/>
              </w:rPr>
            </w:pPr>
          </w:p>
        </w:tc>
        <w:tc>
          <w:tcPr>
            <w:tcW w:w="4957" w:type="dxa"/>
            <w:gridSpan w:val="2"/>
          </w:tcPr>
          <w:p w:rsidR="00000000" w:rsidRDefault="001F233B">
            <w:pPr>
              <w:keepNext/>
              <w:spacing w:before="30" w:after="30"/>
              <w:jc w:val="left"/>
              <w:rPr>
                <w:rFonts w:ascii="Arial" w:hAnsi="Arial"/>
                <w:sz w:val="18"/>
                <w:vertAlign w:val="superscript"/>
              </w:rPr>
            </w:pPr>
            <w:r>
              <w:rPr>
                <w:rFonts w:ascii="Arial" w:hAnsi="Arial"/>
                <w:sz w:val="18"/>
              </w:rPr>
              <w:t>Land tax reforms.</w:t>
            </w:r>
            <w:r>
              <w:rPr>
                <w:rFonts w:ascii="Arial" w:hAnsi="Arial"/>
                <w:sz w:val="18"/>
              </w:rPr>
              <w:fldChar w:fldCharType="begin"/>
            </w:r>
            <w:r>
              <w:rPr>
                <w:rFonts w:ascii="Arial" w:hAnsi="Arial"/>
                <w:sz w:val="18"/>
              </w:rPr>
              <w:instrText>xe "Land tax:Reforms"</w:instrText>
            </w:r>
            <w:r>
              <w:rPr>
                <w:rFonts w:ascii="Arial" w:hAnsi="Arial"/>
                <w:sz w:val="18"/>
              </w:rPr>
              <w:fldChar w:fldCharType="end"/>
            </w:r>
            <w:r>
              <w:rPr>
                <w:rFonts w:ascii="Arial" w:hAnsi="Arial"/>
                <w:sz w:val="18"/>
                <w:vertAlign w:val="superscript"/>
              </w:rPr>
              <w:t>(b)</w:t>
            </w:r>
          </w:p>
        </w:tc>
        <w:tc>
          <w:tcPr>
            <w:tcW w:w="1134" w:type="dxa"/>
          </w:tcPr>
          <w:p w:rsidR="00000000" w:rsidRDefault="001F233B">
            <w:pPr>
              <w:pStyle w:val="TableofFigures"/>
              <w:keepNext/>
              <w:spacing w:before="30" w:after="30"/>
            </w:pPr>
            <w:r>
              <w:t>34</w:t>
            </w:r>
          </w:p>
        </w:tc>
      </w:tr>
      <w:tr w:rsidR="00000000">
        <w:tblPrEx>
          <w:tblCellMar>
            <w:top w:w="0" w:type="dxa"/>
            <w:bottom w:w="0" w:type="dxa"/>
          </w:tblCellMar>
        </w:tblPrEx>
        <w:trPr>
          <w:gridAfter w:val="2"/>
          <w:wAfter w:w="36" w:type="dxa"/>
          <w:trHeight w:val="240"/>
        </w:trPr>
        <w:tc>
          <w:tcPr>
            <w:tcW w:w="990" w:type="dxa"/>
            <w:gridSpan w:val="2"/>
          </w:tcPr>
          <w:p w:rsidR="00000000" w:rsidRDefault="001F233B">
            <w:pPr>
              <w:keepNext/>
              <w:spacing w:before="30" w:after="30"/>
              <w:jc w:val="left"/>
              <w:rPr>
                <w:rFonts w:ascii="Arial" w:hAnsi="Arial"/>
                <w:sz w:val="18"/>
              </w:rPr>
            </w:pPr>
            <w:r>
              <w:rPr>
                <w:rFonts w:ascii="Arial" w:hAnsi="Arial"/>
                <w:sz w:val="18"/>
              </w:rPr>
              <w:t>1998-99</w:t>
            </w:r>
          </w:p>
        </w:tc>
        <w:tc>
          <w:tcPr>
            <w:tcW w:w="4957" w:type="dxa"/>
            <w:gridSpan w:val="2"/>
          </w:tcPr>
          <w:p w:rsidR="00000000" w:rsidRDefault="001F233B">
            <w:pPr>
              <w:keepNext/>
              <w:spacing w:before="30" w:after="30"/>
              <w:jc w:val="left"/>
              <w:rPr>
                <w:rFonts w:ascii="Arial" w:hAnsi="Arial"/>
                <w:sz w:val="18"/>
              </w:rPr>
            </w:pPr>
            <w:r>
              <w:rPr>
                <w:rFonts w:ascii="Arial" w:hAnsi="Arial"/>
                <w:sz w:val="18"/>
              </w:rPr>
              <w:t>Payroll tax</w:t>
            </w:r>
            <w:r>
              <w:rPr>
                <w:rFonts w:ascii="Arial" w:hAnsi="Arial"/>
                <w:sz w:val="18"/>
              </w:rPr>
              <w:fldChar w:fldCharType="begin"/>
            </w:r>
            <w:r>
              <w:rPr>
                <w:rFonts w:ascii="Arial" w:hAnsi="Arial"/>
                <w:sz w:val="18"/>
              </w:rPr>
              <w:instrText>xe "Tax:Payroll tax"</w:instrText>
            </w:r>
            <w:r>
              <w:rPr>
                <w:rFonts w:ascii="Arial" w:hAnsi="Arial"/>
                <w:sz w:val="18"/>
              </w:rPr>
              <w:fldChar w:fldCharType="end"/>
            </w:r>
            <w:r>
              <w:rPr>
                <w:rFonts w:ascii="Arial" w:hAnsi="Arial"/>
                <w:sz w:val="18"/>
              </w:rPr>
              <w:fldChar w:fldCharType="begin"/>
            </w:r>
            <w:r>
              <w:rPr>
                <w:rFonts w:ascii="Arial" w:hAnsi="Arial"/>
                <w:sz w:val="18"/>
              </w:rPr>
              <w:instrText>xe "Payroll tax"</w:instrText>
            </w:r>
            <w:r>
              <w:rPr>
                <w:rFonts w:ascii="Arial" w:hAnsi="Arial"/>
                <w:sz w:val="18"/>
              </w:rPr>
              <w:fldChar w:fldCharType="end"/>
            </w:r>
            <w:r>
              <w:rPr>
                <w:rFonts w:ascii="Arial" w:hAnsi="Arial"/>
                <w:sz w:val="18"/>
              </w:rPr>
              <w:t xml:space="preserve"> cut from 6.25% to 6%.</w:t>
            </w:r>
          </w:p>
        </w:tc>
        <w:tc>
          <w:tcPr>
            <w:tcW w:w="1134" w:type="dxa"/>
          </w:tcPr>
          <w:p w:rsidR="00000000" w:rsidRDefault="001F233B">
            <w:pPr>
              <w:keepNext/>
              <w:spacing w:before="30" w:after="30"/>
              <w:jc w:val="right"/>
              <w:rPr>
                <w:rFonts w:ascii="Arial" w:hAnsi="Arial"/>
                <w:sz w:val="18"/>
              </w:rPr>
            </w:pPr>
            <w:r>
              <w:rPr>
                <w:rFonts w:ascii="Arial" w:hAnsi="Arial"/>
                <w:sz w:val="18"/>
              </w:rPr>
              <w:t>90</w:t>
            </w:r>
          </w:p>
        </w:tc>
      </w:tr>
      <w:tr w:rsidR="00000000">
        <w:tblPrEx>
          <w:tblCellMar>
            <w:top w:w="0" w:type="dxa"/>
            <w:bottom w:w="0" w:type="dxa"/>
          </w:tblCellMar>
        </w:tblPrEx>
        <w:trPr>
          <w:gridAfter w:val="2"/>
          <w:wAfter w:w="36" w:type="dxa"/>
          <w:trHeight w:val="240"/>
        </w:trPr>
        <w:tc>
          <w:tcPr>
            <w:tcW w:w="990" w:type="dxa"/>
            <w:gridSpan w:val="2"/>
          </w:tcPr>
          <w:p w:rsidR="00000000" w:rsidRDefault="001F233B">
            <w:pPr>
              <w:keepNext/>
              <w:spacing w:before="30" w:after="30"/>
              <w:jc w:val="left"/>
              <w:rPr>
                <w:rFonts w:ascii="Arial" w:hAnsi="Arial"/>
                <w:sz w:val="18"/>
              </w:rPr>
            </w:pPr>
          </w:p>
        </w:tc>
        <w:tc>
          <w:tcPr>
            <w:tcW w:w="4957" w:type="dxa"/>
            <w:gridSpan w:val="2"/>
          </w:tcPr>
          <w:p w:rsidR="00000000" w:rsidRDefault="001F233B">
            <w:pPr>
              <w:keepNext/>
              <w:spacing w:before="30" w:after="30"/>
              <w:jc w:val="left"/>
              <w:rPr>
                <w:rFonts w:ascii="Arial" w:hAnsi="Arial"/>
                <w:sz w:val="18"/>
              </w:rPr>
            </w:pPr>
            <w:r>
              <w:rPr>
                <w:rFonts w:ascii="Arial" w:hAnsi="Arial"/>
                <w:sz w:val="18"/>
              </w:rPr>
              <w:t>Increased thresholds for stamp duty on conveyancing.</w:t>
            </w:r>
            <w:r>
              <w:rPr>
                <w:rFonts w:ascii="Arial" w:hAnsi="Arial"/>
                <w:sz w:val="18"/>
              </w:rPr>
              <w:fldChar w:fldCharType="begin"/>
            </w:r>
            <w:r>
              <w:rPr>
                <w:rFonts w:ascii="Arial" w:hAnsi="Arial"/>
                <w:sz w:val="18"/>
              </w:rPr>
              <w:instrText>xe "Stamp duty:Conveyancing"</w:instrText>
            </w:r>
            <w:r>
              <w:rPr>
                <w:rFonts w:ascii="Arial" w:hAnsi="Arial"/>
                <w:sz w:val="18"/>
              </w:rPr>
              <w:fldChar w:fldCharType="end"/>
            </w:r>
          </w:p>
        </w:tc>
        <w:tc>
          <w:tcPr>
            <w:tcW w:w="1134" w:type="dxa"/>
            <w:tcBorders>
              <w:bottom w:val="single" w:sz="6" w:space="0" w:color="auto"/>
            </w:tcBorders>
          </w:tcPr>
          <w:p w:rsidR="00000000" w:rsidRDefault="001F233B">
            <w:pPr>
              <w:keepNext/>
              <w:spacing w:before="30" w:after="30"/>
              <w:jc w:val="right"/>
              <w:rPr>
                <w:rFonts w:ascii="Arial" w:hAnsi="Arial"/>
                <w:sz w:val="18"/>
              </w:rPr>
            </w:pPr>
            <w:r>
              <w:rPr>
                <w:rFonts w:ascii="Arial" w:hAnsi="Arial"/>
                <w:sz w:val="18"/>
              </w:rPr>
              <w:t>42</w:t>
            </w:r>
          </w:p>
        </w:tc>
      </w:tr>
      <w:tr w:rsidR="00000000">
        <w:tblPrEx>
          <w:tblCellMar>
            <w:top w:w="0" w:type="dxa"/>
            <w:bottom w:w="0" w:type="dxa"/>
          </w:tblCellMar>
        </w:tblPrEx>
        <w:trPr>
          <w:gridAfter w:val="2"/>
          <w:wAfter w:w="36" w:type="dxa"/>
          <w:trHeight w:val="240"/>
        </w:trPr>
        <w:tc>
          <w:tcPr>
            <w:tcW w:w="990" w:type="dxa"/>
            <w:gridSpan w:val="2"/>
            <w:tcBorders>
              <w:bottom w:val="single" w:sz="6" w:space="0" w:color="auto"/>
            </w:tcBorders>
          </w:tcPr>
          <w:p w:rsidR="00000000" w:rsidRDefault="001F233B">
            <w:pPr>
              <w:keepNext/>
              <w:spacing w:before="30" w:after="30"/>
              <w:jc w:val="left"/>
              <w:rPr>
                <w:rFonts w:ascii="Arial" w:hAnsi="Arial"/>
                <w:b/>
                <w:sz w:val="18"/>
              </w:rPr>
            </w:pPr>
          </w:p>
        </w:tc>
        <w:tc>
          <w:tcPr>
            <w:tcW w:w="4957" w:type="dxa"/>
            <w:gridSpan w:val="2"/>
            <w:tcBorders>
              <w:bottom w:val="single" w:sz="6" w:space="0" w:color="auto"/>
            </w:tcBorders>
          </w:tcPr>
          <w:p w:rsidR="00000000" w:rsidRDefault="001F233B">
            <w:pPr>
              <w:keepNext/>
              <w:spacing w:before="30" w:after="30"/>
              <w:jc w:val="left"/>
              <w:rPr>
                <w:rFonts w:ascii="Arial" w:hAnsi="Arial"/>
                <w:b/>
                <w:sz w:val="18"/>
              </w:rPr>
            </w:pPr>
            <w:r>
              <w:rPr>
                <w:rFonts w:ascii="Arial" w:hAnsi="Arial"/>
                <w:b/>
                <w:sz w:val="18"/>
              </w:rPr>
              <w:t>Total</w:t>
            </w:r>
          </w:p>
        </w:tc>
        <w:tc>
          <w:tcPr>
            <w:tcW w:w="1134" w:type="dxa"/>
            <w:tcBorders>
              <w:bottom w:val="single" w:sz="6" w:space="0" w:color="auto"/>
            </w:tcBorders>
          </w:tcPr>
          <w:p w:rsidR="00000000" w:rsidRDefault="001F233B">
            <w:pPr>
              <w:keepNext/>
              <w:spacing w:before="30" w:after="30"/>
              <w:jc w:val="right"/>
              <w:rPr>
                <w:rFonts w:ascii="Arial" w:hAnsi="Arial"/>
                <w:b/>
                <w:sz w:val="18"/>
              </w:rPr>
            </w:pPr>
            <w:r>
              <w:rPr>
                <w:rFonts w:ascii="Arial" w:hAnsi="Arial"/>
                <w:b/>
                <w:sz w:val="18"/>
              </w:rPr>
              <w:t>537</w:t>
            </w:r>
          </w:p>
        </w:tc>
      </w:tr>
    </w:tbl>
    <w:p w:rsidR="00000000" w:rsidRDefault="001F233B">
      <w:pPr>
        <w:keepNext/>
        <w:tabs>
          <w:tab w:val="left" w:pos="720"/>
        </w:tabs>
        <w:spacing w:after="0"/>
        <w:rPr>
          <w:i/>
          <w:sz w:val="20"/>
        </w:rPr>
      </w:pPr>
      <w:r>
        <w:rPr>
          <w:i/>
          <w:sz w:val="20"/>
        </w:rPr>
        <w:t>Note:</w:t>
      </w:r>
    </w:p>
    <w:p w:rsidR="00000000" w:rsidRDefault="001F233B" w:rsidP="001F233B">
      <w:pPr>
        <w:keepNext/>
        <w:numPr>
          <w:ilvl w:val="0"/>
          <w:numId w:val="3"/>
        </w:numPr>
        <w:tabs>
          <w:tab w:val="left" w:pos="360"/>
        </w:tabs>
        <w:spacing w:after="0"/>
        <w:rPr>
          <w:i/>
          <w:sz w:val="20"/>
        </w:rPr>
      </w:pPr>
      <w:r>
        <w:rPr>
          <w:i/>
          <w:sz w:val="20"/>
        </w:rPr>
        <w:t>After indexation to the Melbourne consumer price index.</w:t>
      </w:r>
    </w:p>
    <w:p w:rsidR="00000000" w:rsidRDefault="001F233B" w:rsidP="001F233B">
      <w:pPr>
        <w:keepNext/>
        <w:numPr>
          <w:ilvl w:val="0"/>
          <w:numId w:val="3"/>
        </w:numPr>
        <w:tabs>
          <w:tab w:val="left" w:pos="360"/>
        </w:tabs>
        <w:spacing w:after="0"/>
        <w:rPr>
          <w:i/>
          <w:sz w:val="20"/>
        </w:rPr>
      </w:pPr>
      <w:r>
        <w:rPr>
          <w:i/>
          <w:sz w:val="20"/>
        </w:rPr>
        <w:t>Estimated at time measure announced.</w:t>
      </w:r>
    </w:p>
    <w:p w:rsidR="00000000" w:rsidRDefault="001F233B"/>
    <w:p w:rsidR="00000000" w:rsidRDefault="001F233B">
      <w:r>
        <w:t>Major non-taxation measures introduced since 1993</w:t>
      </w:r>
      <w:r>
        <w:noBreakHyphen/>
        <w:t>94 are set out in Table</w:t>
      </w:r>
      <w:r>
        <w:t> 1.4. These differ from the taxation measures in that, in most cases, they have been estimated relative to a hypothetical growth benchmark. In the case of electricity</w:t>
      </w:r>
      <w:r>
        <w:fldChar w:fldCharType="begin"/>
      </w:r>
      <w:r>
        <w:instrText>xe "Electricity"</w:instrText>
      </w:r>
      <w:r>
        <w:fldChar w:fldCharType="end"/>
      </w:r>
      <w:r>
        <w:t>, gas</w:t>
      </w:r>
      <w:r>
        <w:fldChar w:fldCharType="begin"/>
      </w:r>
      <w:r>
        <w:instrText>xe "Gas"</w:instrText>
      </w:r>
      <w:r>
        <w:fldChar w:fldCharType="end"/>
      </w:r>
      <w:r>
        <w:t xml:space="preserve"> and water measures, the savings are calculated on the assumption that </w:t>
      </w:r>
      <w:r>
        <w:br w:type="page"/>
      </w:r>
      <w:r>
        <w:lastRenderedPageBreak/>
        <w:t>charges would have otherwise grown in line with the consumer price index for Melbourne. For WorkCover, the savings have been estimated by allowing for growth in the total remuneration to which the relevant premiums are applied.</w:t>
      </w:r>
    </w:p>
    <w:p w:rsidR="00000000" w:rsidRDefault="001F233B">
      <w:pPr>
        <w:pStyle w:val="Tableheading"/>
      </w:pPr>
      <w:bookmarkStart w:id="14" w:name="_Toc417552735"/>
      <w:r>
        <w:t>Table 1.4: No</w:t>
      </w:r>
      <w:r>
        <w:t>n-taxation policy measures</w:t>
      </w:r>
      <w:bookmarkEnd w:id="14"/>
    </w:p>
    <w:p w:rsidR="00000000" w:rsidRDefault="001F233B">
      <w:pPr>
        <w:pStyle w:val="Tabletext"/>
        <w:keepNext/>
        <w:jc w:val="center"/>
        <w:rPr>
          <w:i/>
          <w:vertAlign w:val="superscript"/>
        </w:rPr>
      </w:pPr>
      <w:r>
        <w:rPr>
          <w:i/>
        </w:rPr>
        <w:t>$ million at average 1998-99 prices</w:t>
      </w:r>
      <w:r>
        <w:rPr>
          <w:i/>
          <w:sz w:val="16"/>
          <w:vertAlign w:val="superscript"/>
        </w:rPr>
        <w:t>(a)</w:t>
      </w:r>
    </w:p>
    <w:tbl>
      <w:tblPr>
        <w:tblW w:w="0" w:type="auto"/>
        <w:tblInd w:w="108" w:type="dxa"/>
        <w:tblLayout w:type="fixed"/>
        <w:tblLook w:val="0000" w:firstRow="0" w:lastRow="0" w:firstColumn="0" w:lastColumn="0" w:noHBand="0" w:noVBand="0"/>
      </w:tblPr>
      <w:tblGrid>
        <w:gridCol w:w="1021"/>
        <w:gridCol w:w="5026"/>
        <w:gridCol w:w="1134"/>
      </w:tblGrid>
      <w:tr w:rsidR="00000000">
        <w:tblPrEx>
          <w:tblCellMar>
            <w:top w:w="0" w:type="dxa"/>
            <w:bottom w:w="0" w:type="dxa"/>
          </w:tblCellMar>
        </w:tblPrEx>
        <w:tc>
          <w:tcPr>
            <w:tcW w:w="1021" w:type="dxa"/>
            <w:tcBorders>
              <w:top w:val="single" w:sz="6" w:space="0" w:color="auto"/>
              <w:bottom w:val="single" w:sz="6" w:space="0" w:color="auto"/>
            </w:tcBorders>
          </w:tcPr>
          <w:p w:rsidR="00000000" w:rsidRDefault="001F233B">
            <w:pPr>
              <w:pStyle w:val="Tabletext"/>
              <w:keepNext/>
              <w:rPr>
                <w:i/>
              </w:rPr>
            </w:pPr>
            <w:r>
              <w:rPr>
                <w:i/>
              </w:rPr>
              <w:t>Year</w:t>
            </w:r>
          </w:p>
        </w:tc>
        <w:tc>
          <w:tcPr>
            <w:tcW w:w="5026" w:type="dxa"/>
            <w:tcBorders>
              <w:top w:val="single" w:sz="6" w:space="0" w:color="auto"/>
              <w:bottom w:val="single" w:sz="6" w:space="0" w:color="auto"/>
            </w:tcBorders>
          </w:tcPr>
          <w:p w:rsidR="00000000" w:rsidRDefault="001F233B">
            <w:pPr>
              <w:pStyle w:val="Tabletext"/>
              <w:keepNext/>
              <w:rPr>
                <w:i/>
              </w:rPr>
            </w:pPr>
            <w:r>
              <w:rPr>
                <w:i/>
              </w:rPr>
              <w:t>Measure</w:t>
            </w:r>
          </w:p>
        </w:tc>
        <w:tc>
          <w:tcPr>
            <w:tcW w:w="1134" w:type="dxa"/>
            <w:tcBorders>
              <w:top w:val="single" w:sz="6" w:space="0" w:color="auto"/>
              <w:bottom w:val="single" w:sz="6" w:space="0" w:color="auto"/>
            </w:tcBorders>
          </w:tcPr>
          <w:p w:rsidR="00000000" w:rsidRDefault="001F233B">
            <w:pPr>
              <w:pStyle w:val="Tabletext"/>
              <w:keepNext/>
              <w:jc w:val="right"/>
              <w:rPr>
                <w:i/>
              </w:rPr>
            </w:pPr>
            <w:r>
              <w:rPr>
                <w:i/>
              </w:rPr>
              <w:t xml:space="preserve">Annual savings </w:t>
            </w:r>
          </w:p>
        </w:tc>
      </w:tr>
      <w:tr w:rsidR="00000000">
        <w:tblPrEx>
          <w:tblCellMar>
            <w:top w:w="0" w:type="dxa"/>
            <w:bottom w:w="0" w:type="dxa"/>
          </w:tblCellMar>
        </w:tblPrEx>
        <w:tc>
          <w:tcPr>
            <w:tcW w:w="1021" w:type="dxa"/>
          </w:tcPr>
          <w:p w:rsidR="00000000" w:rsidRDefault="001F233B">
            <w:pPr>
              <w:pStyle w:val="Tabletext"/>
              <w:keepNext/>
              <w:spacing w:before="60" w:after="60"/>
            </w:pPr>
            <w:r>
              <w:t>1993</w:t>
            </w:r>
            <w:r>
              <w:noBreakHyphen/>
              <w:t>94</w:t>
            </w:r>
          </w:p>
        </w:tc>
        <w:tc>
          <w:tcPr>
            <w:tcW w:w="5026" w:type="dxa"/>
          </w:tcPr>
          <w:p w:rsidR="00000000" w:rsidRDefault="001F233B">
            <w:pPr>
              <w:pStyle w:val="Tabletext"/>
              <w:keepNext/>
              <w:spacing w:before="60" w:after="60"/>
              <w:rPr>
                <w:vertAlign w:val="superscript"/>
              </w:rPr>
            </w:pPr>
            <w:r>
              <w:t xml:space="preserve">Water price increase on 1 July 1993. </w:t>
            </w:r>
            <w:r>
              <w:rPr>
                <w:i/>
                <w:sz w:val="16"/>
                <w:vertAlign w:val="superscript"/>
              </w:rPr>
              <w:t>(b)(d)</w:t>
            </w:r>
          </w:p>
        </w:tc>
        <w:tc>
          <w:tcPr>
            <w:tcW w:w="1134" w:type="dxa"/>
          </w:tcPr>
          <w:p w:rsidR="00000000" w:rsidRDefault="001F233B">
            <w:pPr>
              <w:pStyle w:val="Tabletext"/>
              <w:keepNext/>
              <w:spacing w:before="60" w:after="60"/>
              <w:jc w:val="right"/>
            </w:pPr>
            <w:r>
              <w:t>-56</w:t>
            </w:r>
          </w:p>
        </w:tc>
      </w:tr>
      <w:tr w:rsidR="00000000">
        <w:tblPrEx>
          <w:tblCellMar>
            <w:top w:w="0" w:type="dxa"/>
            <w:bottom w:w="0" w:type="dxa"/>
          </w:tblCellMar>
        </w:tblPrEx>
        <w:tc>
          <w:tcPr>
            <w:tcW w:w="1021" w:type="dxa"/>
          </w:tcPr>
          <w:p w:rsidR="00000000" w:rsidRDefault="001F233B">
            <w:pPr>
              <w:pStyle w:val="Tabletext"/>
              <w:keepNext/>
              <w:spacing w:before="60" w:after="60"/>
            </w:pPr>
          </w:p>
        </w:tc>
        <w:tc>
          <w:tcPr>
            <w:tcW w:w="5026" w:type="dxa"/>
          </w:tcPr>
          <w:p w:rsidR="00000000" w:rsidRDefault="001F233B">
            <w:pPr>
              <w:pStyle w:val="Tabletext"/>
              <w:keepNext/>
              <w:spacing w:before="60" w:after="60"/>
            </w:pPr>
            <w:r>
              <w:t>WorkCover average premiums begin to decline from 3.0% in 1992</w:t>
            </w:r>
            <w:r>
              <w:noBreakHyphen/>
              <w:t>93 to 1.9% in 1998</w:t>
            </w:r>
            <w:r>
              <w:noBreakHyphen/>
              <w:t>99.</w:t>
            </w:r>
          </w:p>
        </w:tc>
        <w:tc>
          <w:tcPr>
            <w:tcW w:w="1134" w:type="dxa"/>
          </w:tcPr>
          <w:p w:rsidR="00000000" w:rsidRDefault="001F233B">
            <w:pPr>
              <w:pStyle w:val="Tabletext"/>
              <w:keepNext/>
              <w:spacing w:before="60" w:after="60"/>
              <w:jc w:val="right"/>
            </w:pPr>
            <w:r>
              <w:t>511</w:t>
            </w:r>
          </w:p>
        </w:tc>
      </w:tr>
      <w:tr w:rsidR="00000000">
        <w:tblPrEx>
          <w:tblCellMar>
            <w:top w:w="0" w:type="dxa"/>
            <w:bottom w:w="0" w:type="dxa"/>
          </w:tblCellMar>
        </w:tblPrEx>
        <w:tc>
          <w:tcPr>
            <w:tcW w:w="1021" w:type="dxa"/>
          </w:tcPr>
          <w:p w:rsidR="00000000" w:rsidRDefault="001F233B">
            <w:pPr>
              <w:pStyle w:val="Tabletext"/>
              <w:keepNext/>
              <w:spacing w:before="60" w:after="60"/>
            </w:pPr>
            <w:r>
              <w:t>1994–95</w:t>
            </w:r>
          </w:p>
        </w:tc>
        <w:tc>
          <w:tcPr>
            <w:tcW w:w="5026" w:type="dxa"/>
          </w:tcPr>
          <w:p w:rsidR="00000000" w:rsidRDefault="001F233B">
            <w:pPr>
              <w:pStyle w:val="Tabletext"/>
              <w:keepNext/>
              <w:spacing w:before="60" w:after="60"/>
            </w:pPr>
            <w:r>
              <w:t>Electricity</w:t>
            </w:r>
            <w:r>
              <w:fldChar w:fldCharType="begin"/>
            </w:r>
            <w:r>
              <w:instrText>xe "Electricity"</w:instrText>
            </w:r>
            <w:r>
              <w:fldChar w:fldCharType="end"/>
            </w:r>
            <w:r>
              <w:t xml:space="preserve"> real price reductions commence. </w:t>
            </w:r>
            <w:r>
              <w:rPr>
                <w:i/>
                <w:sz w:val="16"/>
                <w:vertAlign w:val="superscript"/>
              </w:rPr>
              <w:t>(c)</w:t>
            </w:r>
          </w:p>
        </w:tc>
        <w:tc>
          <w:tcPr>
            <w:tcW w:w="1134" w:type="dxa"/>
          </w:tcPr>
          <w:p w:rsidR="00000000" w:rsidRDefault="001F233B">
            <w:pPr>
              <w:pStyle w:val="Tabletext"/>
              <w:keepNext/>
              <w:spacing w:before="60" w:after="60"/>
              <w:jc w:val="right"/>
            </w:pPr>
            <w:r>
              <w:t>124</w:t>
            </w:r>
          </w:p>
        </w:tc>
      </w:tr>
      <w:tr w:rsidR="00000000">
        <w:tblPrEx>
          <w:tblCellMar>
            <w:top w:w="0" w:type="dxa"/>
            <w:bottom w:w="0" w:type="dxa"/>
          </w:tblCellMar>
        </w:tblPrEx>
        <w:tc>
          <w:tcPr>
            <w:tcW w:w="1021" w:type="dxa"/>
          </w:tcPr>
          <w:p w:rsidR="00000000" w:rsidRDefault="001F233B">
            <w:pPr>
              <w:pStyle w:val="Tabletext"/>
              <w:keepNext/>
              <w:spacing w:before="60" w:after="60"/>
            </w:pPr>
          </w:p>
        </w:tc>
        <w:tc>
          <w:tcPr>
            <w:tcW w:w="5026" w:type="dxa"/>
          </w:tcPr>
          <w:p w:rsidR="00000000" w:rsidRDefault="001F233B">
            <w:pPr>
              <w:pStyle w:val="Tabletext"/>
              <w:keepNext/>
              <w:spacing w:before="60" w:after="60"/>
            </w:pPr>
            <w:r>
              <w:t>Gas</w:t>
            </w:r>
            <w:r>
              <w:fldChar w:fldCharType="begin"/>
            </w:r>
            <w:r>
              <w:instrText>xe "Gas"</w:instrText>
            </w:r>
            <w:r>
              <w:fldChar w:fldCharType="end"/>
            </w:r>
            <w:r>
              <w:t xml:space="preserve"> real price reductions commence.</w:t>
            </w:r>
            <w:r>
              <w:rPr>
                <w:vertAlign w:val="superscript"/>
              </w:rPr>
              <w:t xml:space="preserve"> </w:t>
            </w:r>
          </w:p>
        </w:tc>
        <w:tc>
          <w:tcPr>
            <w:tcW w:w="1134" w:type="dxa"/>
          </w:tcPr>
          <w:p w:rsidR="00000000" w:rsidRDefault="001F233B">
            <w:pPr>
              <w:pStyle w:val="Tabletext"/>
              <w:keepNext/>
              <w:spacing w:before="60" w:after="60"/>
              <w:jc w:val="right"/>
            </w:pPr>
            <w:r>
              <w:t>33</w:t>
            </w:r>
          </w:p>
        </w:tc>
      </w:tr>
      <w:tr w:rsidR="00000000">
        <w:tblPrEx>
          <w:tblCellMar>
            <w:top w:w="0" w:type="dxa"/>
            <w:bottom w:w="0" w:type="dxa"/>
          </w:tblCellMar>
        </w:tblPrEx>
        <w:tc>
          <w:tcPr>
            <w:tcW w:w="1021" w:type="dxa"/>
          </w:tcPr>
          <w:p w:rsidR="00000000" w:rsidRDefault="001F233B">
            <w:pPr>
              <w:pStyle w:val="Tabletext"/>
              <w:keepNext/>
              <w:spacing w:before="60" w:after="60"/>
            </w:pPr>
          </w:p>
        </w:tc>
        <w:tc>
          <w:tcPr>
            <w:tcW w:w="5026" w:type="dxa"/>
          </w:tcPr>
          <w:p w:rsidR="00000000" w:rsidRDefault="001F233B">
            <w:pPr>
              <w:pStyle w:val="Tabletext"/>
              <w:keepNext/>
              <w:spacing w:before="60" w:after="60"/>
            </w:pPr>
            <w:r>
              <w:t xml:space="preserve">Water real price reductions commence. </w:t>
            </w:r>
            <w:r>
              <w:rPr>
                <w:i/>
                <w:sz w:val="16"/>
                <w:vertAlign w:val="superscript"/>
              </w:rPr>
              <w:t>(d)</w:t>
            </w:r>
          </w:p>
        </w:tc>
        <w:tc>
          <w:tcPr>
            <w:tcW w:w="1134" w:type="dxa"/>
          </w:tcPr>
          <w:p w:rsidR="00000000" w:rsidRDefault="001F233B">
            <w:pPr>
              <w:pStyle w:val="Tabletext"/>
              <w:keepNext/>
              <w:spacing w:before="60" w:after="60"/>
              <w:jc w:val="right"/>
            </w:pPr>
            <w:r>
              <w:t>56</w:t>
            </w:r>
          </w:p>
        </w:tc>
      </w:tr>
      <w:tr w:rsidR="00000000">
        <w:tblPrEx>
          <w:tblCellMar>
            <w:top w:w="0" w:type="dxa"/>
            <w:bottom w:w="0" w:type="dxa"/>
          </w:tblCellMar>
        </w:tblPrEx>
        <w:tc>
          <w:tcPr>
            <w:tcW w:w="1021" w:type="dxa"/>
          </w:tcPr>
          <w:p w:rsidR="00000000" w:rsidRDefault="001F233B">
            <w:pPr>
              <w:pStyle w:val="Tabletext"/>
              <w:keepNext/>
              <w:spacing w:before="60" w:after="60"/>
            </w:pPr>
          </w:p>
        </w:tc>
        <w:tc>
          <w:tcPr>
            <w:tcW w:w="5026" w:type="dxa"/>
          </w:tcPr>
          <w:p w:rsidR="00000000" w:rsidRDefault="001F233B">
            <w:pPr>
              <w:pStyle w:val="Tabletext"/>
              <w:keepNext/>
              <w:spacing w:before="60" w:after="60"/>
            </w:pPr>
            <w:r>
              <w:t>Local Government</w:t>
            </w:r>
            <w:r>
              <w:fldChar w:fldCharType="begin"/>
            </w:r>
            <w:r>
              <w:instrText>xe "Local Government"</w:instrText>
            </w:r>
            <w:r>
              <w:fldChar w:fldCharType="end"/>
            </w:r>
            <w:r>
              <w:t xml:space="preserve"> rate reductions commence.</w:t>
            </w:r>
          </w:p>
        </w:tc>
        <w:tc>
          <w:tcPr>
            <w:tcW w:w="1134" w:type="dxa"/>
          </w:tcPr>
          <w:p w:rsidR="00000000" w:rsidRDefault="001F233B">
            <w:pPr>
              <w:pStyle w:val="Tabletext"/>
              <w:keepNext/>
              <w:spacing w:before="60" w:after="60"/>
              <w:jc w:val="right"/>
            </w:pPr>
            <w:r>
              <w:t>281</w:t>
            </w:r>
          </w:p>
        </w:tc>
      </w:tr>
      <w:tr w:rsidR="00000000">
        <w:tblPrEx>
          <w:tblCellMar>
            <w:top w:w="0" w:type="dxa"/>
            <w:bottom w:w="0" w:type="dxa"/>
          </w:tblCellMar>
        </w:tblPrEx>
        <w:tc>
          <w:tcPr>
            <w:tcW w:w="1021" w:type="dxa"/>
          </w:tcPr>
          <w:p w:rsidR="00000000" w:rsidRDefault="001F233B">
            <w:pPr>
              <w:pStyle w:val="Tabletext"/>
              <w:keepNext/>
              <w:spacing w:before="60" w:after="60"/>
            </w:pPr>
            <w:r>
              <w:t>1995–96</w:t>
            </w:r>
          </w:p>
        </w:tc>
        <w:tc>
          <w:tcPr>
            <w:tcW w:w="5026" w:type="dxa"/>
          </w:tcPr>
          <w:p w:rsidR="00000000" w:rsidRDefault="001F233B">
            <w:pPr>
              <w:pStyle w:val="Tabletext"/>
              <w:keepNext/>
              <w:spacing w:before="60" w:after="60"/>
            </w:pPr>
            <w:r>
              <w:t>Government</w:t>
            </w:r>
            <w:r>
              <w:t xml:space="preserve"> port charges begin to fall. </w:t>
            </w:r>
            <w:r>
              <w:rPr>
                <w:i/>
                <w:sz w:val="16"/>
                <w:vertAlign w:val="superscript"/>
              </w:rPr>
              <w:t>(e)</w:t>
            </w:r>
          </w:p>
        </w:tc>
        <w:tc>
          <w:tcPr>
            <w:tcW w:w="1134" w:type="dxa"/>
          </w:tcPr>
          <w:p w:rsidR="00000000" w:rsidRDefault="001F233B">
            <w:pPr>
              <w:pStyle w:val="Tabletext"/>
              <w:keepNext/>
              <w:spacing w:before="60" w:after="60"/>
              <w:jc w:val="right"/>
            </w:pPr>
            <w:r>
              <w:t>35</w:t>
            </w:r>
          </w:p>
        </w:tc>
      </w:tr>
      <w:tr w:rsidR="00000000">
        <w:tblPrEx>
          <w:tblCellMar>
            <w:top w:w="0" w:type="dxa"/>
            <w:bottom w:w="0" w:type="dxa"/>
          </w:tblCellMar>
        </w:tblPrEx>
        <w:tc>
          <w:tcPr>
            <w:tcW w:w="1021" w:type="dxa"/>
          </w:tcPr>
          <w:p w:rsidR="00000000" w:rsidRDefault="001F233B">
            <w:pPr>
              <w:pStyle w:val="Tabletext"/>
              <w:keepNext/>
              <w:spacing w:before="60" w:after="60"/>
            </w:pPr>
            <w:r>
              <w:t>1997–98</w:t>
            </w:r>
          </w:p>
        </w:tc>
        <w:tc>
          <w:tcPr>
            <w:tcW w:w="5026" w:type="dxa"/>
          </w:tcPr>
          <w:p w:rsidR="00000000" w:rsidRDefault="001F233B">
            <w:pPr>
              <w:pStyle w:val="Tabletext"/>
              <w:keepNext/>
              <w:spacing w:before="60" w:after="60"/>
            </w:pPr>
            <w:r>
              <w:t>New water pricing reforms from 1 January 1998.</w:t>
            </w:r>
            <w:r>
              <w:rPr>
                <w:vertAlign w:val="superscript"/>
              </w:rPr>
              <w:t xml:space="preserve"> </w:t>
            </w:r>
          </w:p>
        </w:tc>
        <w:tc>
          <w:tcPr>
            <w:tcW w:w="1134" w:type="dxa"/>
          </w:tcPr>
          <w:p w:rsidR="00000000" w:rsidRDefault="001F233B">
            <w:pPr>
              <w:pStyle w:val="Tabletext"/>
              <w:keepNext/>
              <w:spacing w:before="60" w:after="60"/>
              <w:jc w:val="right"/>
            </w:pPr>
            <w:r>
              <w:t>420</w:t>
            </w:r>
          </w:p>
        </w:tc>
      </w:tr>
      <w:tr w:rsidR="00000000">
        <w:tblPrEx>
          <w:tblCellMar>
            <w:top w:w="0" w:type="dxa"/>
            <w:bottom w:w="0" w:type="dxa"/>
          </w:tblCellMar>
        </w:tblPrEx>
        <w:tc>
          <w:tcPr>
            <w:tcW w:w="1021" w:type="dxa"/>
          </w:tcPr>
          <w:p w:rsidR="00000000" w:rsidRDefault="001F233B">
            <w:pPr>
              <w:pStyle w:val="Tabletext"/>
              <w:keepNext/>
              <w:spacing w:before="60" w:after="60"/>
            </w:pPr>
            <w:r>
              <w:t>1998</w:t>
            </w:r>
            <w:r>
              <w:noBreakHyphen/>
              <w:t>99</w:t>
            </w:r>
          </w:p>
        </w:tc>
        <w:tc>
          <w:tcPr>
            <w:tcW w:w="5026" w:type="dxa"/>
          </w:tcPr>
          <w:p w:rsidR="00000000" w:rsidRDefault="001F233B">
            <w:pPr>
              <w:pStyle w:val="Tabletext"/>
              <w:keepNext/>
              <w:spacing w:before="60" w:after="60"/>
            </w:pPr>
            <w:r>
              <w:t>Winter Power Bonus.</w:t>
            </w:r>
            <w:r>
              <w:fldChar w:fldCharType="begin"/>
            </w:r>
            <w:r>
              <w:instrText>xe "Winter power bonus"</w:instrText>
            </w:r>
            <w:r>
              <w:fldChar w:fldCharType="end"/>
            </w:r>
            <w:r>
              <w:t xml:space="preserve"> </w:t>
            </w:r>
            <w:r>
              <w:rPr>
                <w:i/>
                <w:sz w:val="16"/>
                <w:vertAlign w:val="superscript"/>
              </w:rPr>
              <w:t>(f)</w:t>
            </w:r>
          </w:p>
        </w:tc>
        <w:tc>
          <w:tcPr>
            <w:tcW w:w="1134" w:type="dxa"/>
          </w:tcPr>
          <w:p w:rsidR="00000000" w:rsidRDefault="001F233B">
            <w:pPr>
              <w:pStyle w:val="Tabletext"/>
              <w:keepNext/>
              <w:spacing w:before="60" w:after="60"/>
              <w:jc w:val="right"/>
            </w:pPr>
            <w:r>
              <w:t>120</w:t>
            </w:r>
          </w:p>
        </w:tc>
      </w:tr>
      <w:tr w:rsidR="00000000">
        <w:tblPrEx>
          <w:tblCellMar>
            <w:top w:w="0" w:type="dxa"/>
            <w:bottom w:w="0" w:type="dxa"/>
          </w:tblCellMar>
        </w:tblPrEx>
        <w:tc>
          <w:tcPr>
            <w:tcW w:w="1021" w:type="dxa"/>
            <w:tcBorders>
              <w:bottom w:val="single" w:sz="6" w:space="0" w:color="auto"/>
            </w:tcBorders>
          </w:tcPr>
          <w:p w:rsidR="00000000" w:rsidRDefault="001F233B">
            <w:pPr>
              <w:pStyle w:val="Tabletext"/>
              <w:keepNext/>
              <w:spacing w:before="60" w:after="60"/>
              <w:rPr>
                <w:b/>
              </w:rPr>
            </w:pPr>
          </w:p>
        </w:tc>
        <w:tc>
          <w:tcPr>
            <w:tcW w:w="5026" w:type="dxa"/>
            <w:tcBorders>
              <w:bottom w:val="single" w:sz="6" w:space="0" w:color="auto"/>
            </w:tcBorders>
          </w:tcPr>
          <w:p w:rsidR="00000000" w:rsidRDefault="001F233B">
            <w:pPr>
              <w:pStyle w:val="Tabletext"/>
              <w:keepNext/>
              <w:spacing w:before="60" w:after="60"/>
              <w:rPr>
                <w:b/>
              </w:rPr>
            </w:pPr>
            <w:r>
              <w:rPr>
                <w:b/>
              </w:rPr>
              <w:t>Total</w:t>
            </w:r>
          </w:p>
        </w:tc>
        <w:tc>
          <w:tcPr>
            <w:tcW w:w="1134" w:type="dxa"/>
            <w:tcBorders>
              <w:top w:val="single" w:sz="6" w:space="0" w:color="auto"/>
              <w:bottom w:val="single" w:sz="6" w:space="0" w:color="auto"/>
            </w:tcBorders>
          </w:tcPr>
          <w:p w:rsidR="00000000" w:rsidRDefault="001F233B">
            <w:pPr>
              <w:pStyle w:val="Tabletext"/>
              <w:keepNext/>
              <w:spacing w:before="60" w:after="60"/>
              <w:jc w:val="right"/>
              <w:rPr>
                <w:b/>
              </w:rPr>
            </w:pPr>
            <w:r>
              <w:rPr>
                <w:b/>
              </w:rPr>
              <w:t>1 524</w:t>
            </w:r>
          </w:p>
        </w:tc>
      </w:tr>
    </w:tbl>
    <w:p w:rsidR="00000000" w:rsidRDefault="001F233B">
      <w:pPr>
        <w:keepNext/>
        <w:tabs>
          <w:tab w:val="left" w:pos="720"/>
        </w:tabs>
        <w:spacing w:after="0"/>
        <w:rPr>
          <w:i/>
          <w:sz w:val="20"/>
        </w:rPr>
      </w:pPr>
      <w:r>
        <w:rPr>
          <w:i/>
          <w:sz w:val="20"/>
        </w:rPr>
        <w:t>Notes:</w:t>
      </w:r>
    </w:p>
    <w:p w:rsidR="00000000" w:rsidRDefault="001F233B" w:rsidP="001F233B">
      <w:pPr>
        <w:keepNext/>
        <w:numPr>
          <w:ilvl w:val="0"/>
          <w:numId w:val="4"/>
        </w:numPr>
        <w:tabs>
          <w:tab w:val="left" w:pos="360"/>
        </w:tabs>
        <w:spacing w:after="0"/>
        <w:rPr>
          <w:i/>
          <w:sz w:val="20"/>
        </w:rPr>
      </w:pPr>
      <w:r>
        <w:rPr>
          <w:i/>
          <w:sz w:val="20"/>
        </w:rPr>
        <w:t>After indexation to the Melbourne consumer price index.</w:t>
      </w:r>
    </w:p>
    <w:p w:rsidR="00000000" w:rsidRDefault="001F233B" w:rsidP="001F233B">
      <w:pPr>
        <w:keepNext/>
        <w:numPr>
          <w:ilvl w:val="0"/>
          <w:numId w:val="4"/>
        </w:numPr>
        <w:tabs>
          <w:tab w:val="left" w:pos="360"/>
        </w:tabs>
        <w:spacing w:after="0"/>
        <w:rPr>
          <w:i/>
          <w:sz w:val="20"/>
        </w:rPr>
      </w:pPr>
      <w:r>
        <w:rPr>
          <w:i/>
          <w:sz w:val="20"/>
        </w:rPr>
        <w:t>Upper limit of cost (precise amount difficult to quantity).</w:t>
      </w:r>
    </w:p>
    <w:p w:rsidR="00000000" w:rsidRDefault="001F233B" w:rsidP="001F233B">
      <w:pPr>
        <w:keepNext/>
        <w:numPr>
          <w:ilvl w:val="0"/>
          <w:numId w:val="4"/>
        </w:numPr>
        <w:tabs>
          <w:tab w:val="left" w:pos="360"/>
        </w:tabs>
        <w:spacing w:after="0"/>
        <w:rPr>
          <w:i/>
          <w:sz w:val="20"/>
        </w:rPr>
      </w:pPr>
      <w:r>
        <w:rPr>
          <w:i/>
          <w:sz w:val="20"/>
        </w:rPr>
        <w:t>Excludes savings achieved by contestable customers.</w:t>
      </w:r>
    </w:p>
    <w:p w:rsidR="00000000" w:rsidRDefault="001F233B">
      <w:pPr>
        <w:keepNext/>
        <w:tabs>
          <w:tab w:val="left" w:pos="360"/>
        </w:tabs>
        <w:spacing w:after="0"/>
        <w:rPr>
          <w:i/>
          <w:sz w:val="20"/>
        </w:rPr>
      </w:pPr>
      <w:r>
        <w:rPr>
          <w:i/>
          <w:sz w:val="20"/>
        </w:rPr>
        <w:t>(d)</w:t>
      </w:r>
      <w:r>
        <w:rPr>
          <w:i/>
          <w:sz w:val="20"/>
        </w:rPr>
        <w:tab/>
        <w:t>Melbourne metropolitan customers only.</w:t>
      </w:r>
    </w:p>
    <w:p w:rsidR="00000000" w:rsidRDefault="001F233B">
      <w:pPr>
        <w:keepNext/>
        <w:tabs>
          <w:tab w:val="left" w:pos="360"/>
        </w:tabs>
        <w:spacing w:after="0"/>
        <w:rPr>
          <w:i/>
          <w:sz w:val="20"/>
        </w:rPr>
      </w:pPr>
      <w:r>
        <w:rPr>
          <w:i/>
          <w:sz w:val="20"/>
        </w:rPr>
        <w:t>(e)</w:t>
      </w:r>
      <w:r>
        <w:rPr>
          <w:i/>
          <w:sz w:val="20"/>
        </w:rPr>
        <w:tab/>
        <w:t>Estimated full-year saving published in Budget Paper No.2 1997</w:t>
      </w:r>
      <w:r>
        <w:rPr>
          <w:i/>
          <w:sz w:val="20"/>
        </w:rPr>
        <w:noBreakHyphen/>
        <w:t>98.</w:t>
      </w:r>
    </w:p>
    <w:p w:rsidR="00000000" w:rsidRDefault="001F233B" w:rsidP="001F233B">
      <w:pPr>
        <w:keepNext/>
        <w:numPr>
          <w:ilvl w:val="0"/>
          <w:numId w:val="5"/>
        </w:numPr>
        <w:tabs>
          <w:tab w:val="left" w:pos="360"/>
        </w:tabs>
        <w:spacing w:after="0"/>
        <w:rPr>
          <w:i/>
          <w:sz w:val="20"/>
        </w:rPr>
      </w:pPr>
      <w:r>
        <w:rPr>
          <w:i/>
          <w:sz w:val="20"/>
        </w:rPr>
        <w:t>Estimated full-year saving for first year of redu</w:t>
      </w:r>
      <w:r>
        <w:rPr>
          <w:i/>
          <w:sz w:val="20"/>
        </w:rPr>
        <w:t>ction — 3-year initiative.</w:t>
      </w:r>
    </w:p>
    <w:p w:rsidR="00000000" w:rsidRDefault="001F233B">
      <w:pPr>
        <w:pStyle w:val="Heading2"/>
      </w:pPr>
      <w:bookmarkStart w:id="15" w:name="_Toc417119815"/>
      <w:bookmarkStart w:id="16" w:name="_Toc417552067"/>
      <w:r>
        <w:t>Benefits of competition</w:t>
      </w:r>
      <w:r>
        <w:fldChar w:fldCharType="begin"/>
      </w:r>
      <w:r>
        <w:instrText>xe "Competition:Benefits of competition"</w:instrText>
      </w:r>
      <w:r>
        <w:fldChar w:fldCharType="end"/>
      </w:r>
      <w:r>
        <w:t xml:space="preserve"> and service delivery</w:t>
      </w:r>
      <w:r>
        <w:fldChar w:fldCharType="begin"/>
      </w:r>
      <w:r>
        <w:instrText>xe "Service delivery"</w:instrText>
      </w:r>
      <w:r>
        <w:fldChar w:fldCharType="end"/>
      </w:r>
      <w:r>
        <w:t xml:space="preserve"> reforms</w:t>
      </w:r>
      <w:bookmarkEnd w:id="15"/>
      <w:bookmarkEnd w:id="16"/>
      <w:r>
        <w:fldChar w:fldCharType="begin"/>
      </w:r>
      <w:r>
        <w:instrText>xe "Service delivery:Service delivery reforms"</w:instrText>
      </w:r>
      <w:r>
        <w:fldChar w:fldCharType="end"/>
      </w:r>
    </w:p>
    <w:p w:rsidR="00000000" w:rsidRDefault="001F233B">
      <w:r>
        <w:t>While the restoration of the State’s finances has attracted most attention, the benefits flowing from the competition and service delivery</w:t>
      </w:r>
      <w:r>
        <w:fldChar w:fldCharType="begin"/>
      </w:r>
      <w:r>
        <w:instrText>xe "Service delivery"</w:instrText>
      </w:r>
      <w:r>
        <w:fldChar w:fldCharType="end"/>
      </w:r>
      <w:r>
        <w:t xml:space="preserve"> reforms</w:t>
      </w:r>
      <w:r>
        <w:fldChar w:fldCharType="begin"/>
      </w:r>
      <w:r>
        <w:instrText>xe "Service delivery:Service delivery reforms"</w:instrText>
      </w:r>
      <w:r>
        <w:fldChar w:fldCharType="end"/>
      </w:r>
      <w:r>
        <w:t xml:space="preserve"> introduced over the past six years have also had a pervasive influence.</w:t>
      </w:r>
    </w:p>
    <w:p w:rsidR="00000000" w:rsidRDefault="001F233B">
      <w:r>
        <w:t>The Victorian economy has gro</w:t>
      </w:r>
      <w:r>
        <w:t>wn by almost 25 per cent since the 1991</w:t>
      </w:r>
      <w:r>
        <w:noBreakHyphen/>
        <w:t>92 recession and private business investment</w:t>
      </w:r>
      <w:r>
        <w:fldChar w:fldCharType="begin"/>
      </w:r>
      <w:r>
        <w:instrText>xe "Economy:Investment"</w:instrText>
      </w:r>
      <w:r>
        <w:fldChar w:fldCharType="end"/>
      </w:r>
      <w:r>
        <w:t xml:space="preserve"> has more than doubled. The labour market has improved markedly. Structural reforms have led to an underlying productivity</w:t>
      </w:r>
      <w:r>
        <w:fldChar w:fldCharType="begin"/>
      </w:r>
      <w:r>
        <w:instrText>xe "Economy:Productivity"</w:instrText>
      </w:r>
      <w:r>
        <w:fldChar w:fldCharType="end"/>
      </w:r>
      <w:r>
        <w:t xml:space="preserve"> growth in Victoria that outstrips that for the rest of Australia. </w:t>
      </w:r>
    </w:p>
    <w:p w:rsidR="00000000" w:rsidRDefault="001F233B">
      <w:pPr>
        <w:keepNext/>
      </w:pPr>
      <w:r>
        <w:lastRenderedPageBreak/>
        <w:t>Service delivery</w:t>
      </w:r>
      <w:r>
        <w:fldChar w:fldCharType="begin"/>
      </w:r>
      <w:r>
        <w:instrText>xe "Service delivery"</w:instrText>
      </w:r>
      <w:r>
        <w:fldChar w:fldCharType="end"/>
      </w:r>
      <w:r>
        <w:t xml:space="preserve"> reforms</w:t>
      </w:r>
      <w:r>
        <w:fldChar w:fldCharType="begin"/>
      </w:r>
      <w:r>
        <w:instrText>xe "Service delivery:Service delivery reforms"</w:instrText>
      </w:r>
      <w:r>
        <w:fldChar w:fldCharType="end"/>
      </w:r>
      <w:r>
        <w:t xml:space="preserve"> have improved the quality and range of public services available to Victorians in many are</w:t>
      </w:r>
      <w:r>
        <w:t>as:</w:t>
      </w:r>
    </w:p>
    <w:p w:rsidR="00000000" w:rsidRDefault="001F233B" w:rsidP="001F233B">
      <w:pPr>
        <w:pStyle w:val="BulletText"/>
        <w:keepNext/>
        <w:numPr>
          <w:ilvl w:val="0"/>
          <w:numId w:val="1"/>
        </w:numPr>
        <w:tabs>
          <w:tab w:val="left" w:pos="360"/>
        </w:tabs>
        <w:rPr>
          <w:lang w:val="en-AU"/>
        </w:rPr>
      </w:pPr>
      <w:r>
        <w:rPr>
          <w:lang w:val="en-AU"/>
        </w:rPr>
        <w:t>provision of health</w:t>
      </w:r>
      <w:r>
        <w:rPr>
          <w:lang w:val="en-AU"/>
        </w:rPr>
        <w:fldChar w:fldCharType="begin"/>
      </w:r>
      <w:r>
        <w:rPr>
          <w:lang w:val="en-AU"/>
        </w:rPr>
        <w:instrText>xe "Health"</w:instrText>
      </w:r>
      <w:r>
        <w:rPr>
          <w:lang w:val="en-AU"/>
        </w:rPr>
        <w:fldChar w:fldCharType="end"/>
      </w:r>
      <w:r>
        <w:rPr>
          <w:lang w:val="en-AU"/>
        </w:rPr>
        <w:t xml:space="preserve"> services (number of patients treated) has increased by 45 per cent since 1990</w:t>
      </w:r>
      <w:r>
        <w:rPr>
          <w:lang w:val="en-AU"/>
        </w:rPr>
        <w:noBreakHyphen/>
        <w:t>91 and the State now has no patients with urgent needs (Category 1) waiting longer than 30 days for hospital admission. An independent survey shows that patients’ satisfaction with the care they receive in public hospital</w:t>
      </w:r>
      <w:r>
        <w:rPr>
          <w:lang w:val="en-AU"/>
        </w:rPr>
        <w:fldChar w:fldCharType="begin"/>
      </w:r>
      <w:r>
        <w:rPr>
          <w:lang w:val="en-AU"/>
        </w:rPr>
        <w:instrText>xe "Department of Human Services:Public hospital"</w:instrText>
      </w:r>
      <w:r>
        <w:rPr>
          <w:lang w:val="en-AU"/>
        </w:rPr>
        <w:fldChar w:fldCharType="end"/>
      </w:r>
      <w:r>
        <w:rPr>
          <w:lang w:val="en-AU"/>
        </w:rPr>
        <w:t xml:space="preserve">s in Victoria is the second highest in Australia. According to the </w:t>
      </w:r>
      <w:r>
        <w:rPr>
          <w:i/>
          <w:lang w:val="en-AU"/>
        </w:rPr>
        <w:t>Report on Government Service Provision</w:t>
      </w:r>
      <w:r>
        <w:rPr>
          <w:i/>
          <w:lang w:val="en-AU"/>
        </w:rPr>
        <w:fldChar w:fldCharType="begin"/>
      </w:r>
      <w:r>
        <w:rPr>
          <w:lang w:val="en-AU"/>
        </w:rPr>
        <w:instrText>xe "Service deliver</w:instrText>
      </w:r>
      <w:r>
        <w:rPr>
          <w:lang w:val="en-AU"/>
        </w:rPr>
        <w:instrText>y:Report on Government Service Provision"</w:instrText>
      </w:r>
      <w:r>
        <w:rPr>
          <w:i/>
          <w:lang w:val="en-AU"/>
        </w:rPr>
        <w:fldChar w:fldCharType="end"/>
      </w:r>
      <w:r>
        <w:rPr>
          <w:i/>
          <w:lang w:val="en-AU"/>
        </w:rPr>
        <w:t xml:space="preserve"> </w:t>
      </w:r>
      <w:r>
        <w:rPr>
          <w:lang w:val="en-AU"/>
        </w:rPr>
        <w:t>Victoria recorded the lowest cost per casemix</w:t>
      </w:r>
      <w:r>
        <w:rPr>
          <w:lang w:val="en-AU"/>
        </w:rPr>
        <w:noBreakHyphen/>
        <w:t xml:space="preserve">adjusted separation of all States in 1995-96; </w:t>
      </w:r>
    </w:p>
    <w:p w:rsidR="00000000" w:rsidRDefault="001F233B" w:rsidP="001F233B">
      <w:pPr>
        <w:pStyle w:val="BulletText"/>
        <w:numPr>
          <w:ilvl w:val="0"/>
          <w:numId w:val="1"/>
        </w:numPr>
        <w:tabs>
          <w:tab w:val="left" w:pos="360"/>
        </w:tabs>
        <w:rPr>
          <w:lang w:val="en-AU"/>
        </w:rPr>
      </w:pPr>
      <w:r>
        <w:rPr>
          <w:lang w:val="en-AU"/>
        </w:rPr>
        <w:t>in education</w:t>
      </w:r>
      <w:r>
        <w:rPr>
          <w:lang w:val="en-AU"/>
        </w:rPr>
        <w:fldChar w:fldCharType="begin"/>
      </w:r>
      <w:r>
        <w:rPr>
          <w:lang w:val="en-AU"/>
        </w:rPr>
        <w:instrText>xe "Education"</w:instrText>
      </w:r>
      <w:r>
        <w:rPr>
          <w:lang w:val="en-AU"/>
        </w:rPr>
        <w:fldChar w:fldCharType="end"/>
      </w:r>
      <w:r>
        <w:rPr>
          <w:lang w:val="en-AU"/>
        </w:rPr>
        <w:t>, after falling below the national average in 1989 to 1992 Victorian literacy</w:t>
      </w:r>
      <w:r>
        <w:rPr>
          <w:lang w:val="en-AU"/>
        </w:rPr>
        <w:fldChar w:fldCharType="begin"/>
      </w:r>
      <w:r>
        <w:rPr>
          <w:lang w:val="en-AU"/>
        </w:rPr>
        <w:instrText>xe "Department of Education:Literacy"</w:instrText>
      </w:r>
      <w:r>
        <w:rPr>
          <w:lang w:val="en-AU"/>
        </w:rPr>
        <w:fldChar w:fldCharType="end"/>
      </w:r>
      <w:r>
        <w:rPr>
          <w:lang w:val="en-AU"/>
        </w:rPr>
        <w:t xml:space="preserve"> levels are now back above the national average. Victoria has the second highest retention rate from Year 7 to Year 12 and the number of government school students receiving the Premier’s Victorian Certificate of Education Award has</w:t>
      </w:r>
      <w:r>
        <w:rPr>
          <w:lang w:val="en-AU"/>
        </w:rPr>
        <w:t xml:space="preserve"> increased by 14 per cent over the past five years; </w:t>
      </w:r>
    </w:p>
    <w:p w:rsidR="00000000" w:rsidRDefault="001F233B" w:rsidP="001F233B">
      <w:pPr>
        <w:pStyle w:val="BulletText"/>
        <w:numPr>
          <w:ilvl w:val="0"/>
          <w:numId w:val="1"/>
        </w:numPr>
        <w:tabs>
          <w:tab w:val="left" w:pos="360"/>
        </w:tabs>
        <w:rPr>
          <w:lang w:val="en-AU"/>
        </w:rPr>
      </w:pPr>
      <w:r>
        <w:rPr>
          <w:lang w:val="en-AU"/>
        </w:rPr>
        <w:t>the Victorian TAFE</w:t>
      </w:r>
      <w:r>
        <w:rPr>
          <w:lang w:val="en-AU"/>
        </w:rPr>
        <w:fldChar w:fldCharType="begin"/>
      </w:r>
      <w:r>
        <w:rPr>
          <w:lang w:val="en-AU"/>
        </w:rPr>
        <w:instrText>xe "Department of Education:TAFE"</w:instrText>
      </w:r>
      <w:r>
        <w:rPr>
          <w:lang w:val="en-AU"/>
        </w:rPr>
        <w:fldChar w:fldCharType="end"/>
      </w:r>
      <w:r>
        <w:rPr>
          <w:lang w:val="en-AU"/>
        </w:rPr>
        <w:t xml:space="preserve"> system is now the most efficient, most widely used and most highly rated by employers in the country;</w:t>
      </w:r>
    </w:p>
    <w:p w:rsidR="00000000" w:rsidRDefault="001F233B" w:rsidP="001F233B">
      <w:pPr>
        <w:pStyle w:val="BulletText"/>
        <w:numPr>
          <w:ilvl w:val="0"/>
          <w:numId w:val="1"/>
        </w:numPr>
        <w:tabs>
          <w:tab w:val="left" w:pos="360"/>
        </w:tabs>
        <w:rPr>
          <w:lang w:val="en-AU"/>
        </w:rPr>
      </w:pPr>
      <w:r>
        <w:rPr>
          <w:lang w:val="en-AU"/>
        </w:rPr>
        <w:t>Victoria has the highest level of Home and Community Care (HACC</w:t>
      </w:r>
      <w:r>
        <w:rPr>
          <w:lang w:val="en-AU"/>
        </w:rPr>
        <w:fldChar w:fldCharType="begin"/>
      </w:r>
      <w:r>
        <w:rPr>
          <w:lang w:val="en-AU"/>
        </w:rPr>
        <w:instrText>xe "Home and Community Care (HACC) Agreement"</w:instrText>
      </w:r>
      <w:r>
        <w:rPr>
          <w:lang w:val="en-AU"/>
        </w:rPr>
        <w:fldChar w:fldCharType="end"/>
      </w:r>
      <w:r>
        <w:rPr>
          <w:lang w:val="en-AU"/>
        </w:rPr>
        <w:t>) service provision of any State;</w:t>
      </w:r>
    </w:p>
    <w:p w:rsidR="00000000" w:rsidRDefault="001F233B" w:rsidP="001F233B">
      <w:pPr>
        <w:pStyle w:val="BulletText"/>
        <w:numPr>
          <w:ilvl w:val="0"/>
          <w:numId w:val="1"/>
        </w:numPr>
        <w:tabs>
          <w:tab w:val="left" w:pos="360"/>
        </w:tabs>
        <w:rPr>
          <w:lang w:val="en-AU"/>
        </w:rPr>
      </w:pPr>
      <w:r>
        <w:rPr>
          <w:lang w:val="en-AU"/>
        </w:rPr>
        <w:t>Victoria spends more on services for people with disabilities than any other State and meets a higher proportion of the estimated potential population</w:t>
      </w:r>
      <w:r>
        <w:rPr>
          <w:lang w:val="en-AU"/>
        </w:rPr>
        <w:fldChar w:fldCharType="begin"/>
      </w:r>
      <w:r>
        <w:rPr>
          <w:lang w:val="en-AU"/>
        </w:rPr>
        <w:instrText>xe "Econ</w:instrText>
      </w:r>
      <w:r>
        <w:rPr>
          <w:lang w:val="en-AU"/>
        </w:rPr>
        <w:instrText>omy:Population"</w:instrText>
      </w:r>
      <w:r>
        <w:rPr>
          <w:lang w:val="en-AU"/>
        </w:rPr>
        <w:fldChar w:fldCharType="end"/>
      </w:r>
      <w:r>
        <w:rPr>
          <w:lang w:val="en-AU"/>
        </w:rPr>
        <w:t xml:space="preserve"> for accommodation and support services than any other State except South Australia; and</w:t>
      </w:r>
    </w:p>
    <w:p w:rsidR="00000000" w:rsidRDefault="001F233B" w:rsidP="001F233B">
      <w:pPr>
        <w:pStyle w:val="BulletText"/>
        <w:numPr>
          <w:ilvl w:val="0"/>
          <w:numId w:val="1"/>
        </w:numPr>
        <w:tabs>
          <w:tab w:val="left" w:pos="360"/>
        </w:tabs>
        <w:rPr>
          <w:lang w:val="en-AU"/>
        </w:rPr>
      </w:pPr>
      <w:r>
        <w:rPr>
          <w:lang w:val="en-AU"/>
        </w:rPr>
        <w:t>Victoria’s 1996 crime rate</w:t>
      </w:r>
      <w:r>
        <w:rPr>
          <w:lang w:val="en-AU"/>
        </w:rPr>
        <w:fldChar w:fldCharType="begin"/>
      </w:r>
      <w:r>
        <w:rPr>
          <w:lang w:val="en-AU"/>
        </w:rPr>
        <w:instrText>xe "Department of Justice:Crime rate"</w:instrText>
      </w:r>
      <w:r>
        <w:rPr>
          <w:lang w:val="en-AU"/>
        </w:rPr>
        <w:fldChar w:fldCharType="end"/>
      </w:r>
      <w:r>
        <w:rPr>
          <w:lang w:val="en-AU"/>
        </w:rPr>
        <w:t xml:space="preserve"> for major offences was the lowest of all Australian States.</w:t>
      </w:r>
    </w:p>
    <w:p w:rsidR="00000000" w:rsidRDefault="001F233B">
      <w:pPr>
        <w:pStyle w:val="Heading2"/>
      </w:pPr>
      <w:bookmarkStart w:id="17" w:name="_Toc417119816"/>
      <w:bookmarkStart w:id="18" w:name="_Toc417552068"/>
      <w:r>
        <w:t>National tax reform</w:t>
      </w:r>
      <w:bookmarkEnd w:id="17"/>
      <w:bookmarkEnd w:id="18"/>
      <w:r>
        <w:fldChar w:fldCharType="begin"/>
      </w:r>
      <w:r>
        <w:instrText>xe "National tax reform"</w:instrText>
      </w:r>
      <w:r>
        <w:fldChar w:fldCharType="end"/>
      </w:r>
    </w:p>
    <w:p w:rsidR="00000000" w:rsidRDefault="001F233B">
      <w:r>
        <w:t>The States’ revenue autonomy has been further compromised by the High Court decision on business franchise fees</w:t>
      </w:r>
      <w:r>
        <w:fldChar w:fldCharType="begin"/>
      </w:r>
      <w:r>
        <w:instrText>xe "Franchise fees:Business"</w:instrText>
      </w:r>
      <w:r>
        <w:fldChar w:fldCharType="end"/>
      </w:r>
      <w:r>
        <w:t>. The Commonwealth’s actions in implementing the safety</w:t>
      </w:r>
      <w:r>
        <w:noBreakHyphen/>
        <w:t xml:space="preserve">net arrangements averted major losses </w:t>
      </w:r>
      <w:r>
        <w:t>to the States’ revenue flows. However, the new constraints on the States’ revenue</w:t>
      </w:r>
      <w:r>
        <w:noBreakHyphen/>
        <w:t>raising ability and the refusal by the Commonwealth to return an appropriate share of its total revenues to the States are severely restricting our ability to deliver services to the community.</w:t>
      </w:r>
    </w:p>
    <w:p w:rsidR="00000000" w:rsidRDefault="001F233B">
      <w:r>
        <w:br w:type="page"/>
      </w:r>
      <w:r>
        <w:lastRenderedPageBreak/>
        <w:t>While demands for State services have continued to grow, the Commonwealth has reduced the share of its taxation revenue provided to the States from 27 per cent to 21 per cent since 1993</w:t>
      </w:r>
      <w:r>
        <w:noBreakHyphen/>
        <w:t>94. This represents a funding shortfall to Victor</w:t>
      </w:r>
      <w:r>
        <w:t>ia of around $1 700</w:t>
      </w:r>
      <w:r>
        <w:rPr>
          <w:rFonts w:ascii="Arial" w:hAnsi="Arial"/>
          <w:sz w:val="18"/>
        </w:rPr>
        <w:t> </w:t>
      </w:r>
      <w:r>
        <w:t>million in 1997</w:t>
      </w:r>
      <w:r>
        <w:noBreakHyphen/>
        <w:t>98.</w:t>
      </w:r>
    </w:p>
    <w:p w:rsidR="00000000" w:rsidRDefault="001F233B">
      <w:r>
        <w:t>The inadequacy of the Commonwealth’s health</w:t>
      </w:r>
      <w:r>
        <w:fldChar w:fldCharType="begin"/>
      </w:r>
      <w:r>
        <w:instrText>xe "Health"</w:instrText>
      </w:r>
      <w:r>
        <w:fldChar w:fldCharType="end"/>
      </w:r>
      <w:r>
        <w:t xml:space="preserve"> funding offer highlights the growing problems with the existing division of tax and spending powers between the Commonwealth and the States. Clearly, national tax reform</w:t>
      </w:r>
      <w:r>
        <w:fldChar w:fldCharType="begin"/>
      </w:r>
      <w:r>
        <w:instrText>xe "National tax reform"</w:instrText>
      </w:r>
      <w:r>
        <w:fldChar w:fldCharType="end"/>
      </w:r>
      <w:r>
        <w:t xml:space="preserve"> must address the States’ need to gain access to a tax base that grows in line with the service needs of the community. National tax reform must also address the need to replace some of the States’ most distortionary ind</w:t>
      </w:r>
      <w:r>
        <w:t>irect taxes.</w:t>
      </w:r>
    </w:p>
    <w:p w:rsidR="00000000" w:rsidRDefault="001F233B">
      <w:pPr>
        <w:pStyle w:val="Heading1"/>
      </w:pPr>
      <w:bookmarkStart w:id="19" w:name="_Toc417482313"/>
      <w:r>
        <w:br w:type="page"/>
      </w:r>
      <w:r>
        <w:lastRenderedPageBreak/>
        <w:br w:type="page"/>
      </w:r>
      <w:bookmarkStart w:id="20" w:name="_Toc417552069"/>
      <w:r>
        <w:lastRenderedPageBreak/>
        <w:t>Chapter 2: Budget Strategy</w:t>
      </w:r>
      <w:bookmarkEnd w:id="19"/>
      <w:bookmarkEnd w:id="20"/>
      <w:r>
        <w:fldChar w:fldCharType="begin"/>
      </w:r>
      <w:r>
        <w:instrText>xe "Budget:Budget strategy"</w:instrText>
      </w:r>
      <w:r>
        <w:fldChar w:fldCharType="end"/>
      </w:r>
    </w:p>
    <w:p w:rsidR="00000000" w:rsidRDefault="001F233B">
      <w:pPr>
        <w:pStyle w:val="Heading2"/>
      </w:pPr>
      <w:bookmarkStart w:id="21" w:name="_Toc417482314"/>
      <w:bookmarkStart w:id="22" w:name="_Toc417552070"/>
      <w:r>
        <w:t>Introduction</w:t>
      </w:r>
      <w:bookmarkEnd w:id="21"/>
      <w:bookmarkEnd w:id="22"/>
    </w:p>
    <w:p w:rsidR="00000000" w:rsidRDefault="001F233B">
      <w:r>
        <w:t>The Victorian Government’s overriding objective is to make Victoria a better place to live, to invest and to do business. To achieve this objective, the Government is pursuing a broad economic strategy focused on creating a world</w:t>
      </w:r>
      <w:r>
        <w:noBreakHyphen/>
        <w:t>class business environment conducive to investment</w:t>
      </w:r>
      <w:r>
        <w:fldChar w:fldCharType="begin"/>
      </w:r>
      <w:r>
        <w:instrText>xe "Economy:Investment"</w:instrText>
      </w:r>
      <w:r>
        <w:fldChar w:fldCharType="end"/>
      </w:r>
      <w:r>
        <w:t xml:space="preserve"> and job creation, and a more efficient and effective State public sector. </w:t>
      </w:r>
    </w:p>
    <w:p w:rsidR="00000000" w:rsidRDefault="001F233B">
      <w:r>
        <w:t xml:space="preserve">The Budget’s role within this broader strategy </w:t>
      </w:r>
      <w:r>
        <w:t xml:space="preserve">has been to ensure: </w:t>
      </w:r>
    </w:p>
    <w:p w:rsidR="00000000" w:rsidRDefault="001F233B" w:rsidP="001F233B">
      <w:pPr>
        <w:pStyle w:val="BulletText"/>
        <w:numPr>
          <w:ilvl w:val="0"/>
          <w:numId w:val="1"/>
        </w:numPr>
      </w:pPr>
      <w:r>
        <w:t xml:space="preserve">financial discipline and responsible fiscal management; and </w:t>
      </w:r>
    </w:p>
    <w:p w:rsidR="00000000" w:rsidRDefault="001F233B" w:rsidP="001F233B">
      <w:pPr>
        <w:pStyle w:val="BulletText"/>
        <w:numPr>
          <w:ilvl w:val="0"/>
          <w:numId w:val="1"/>
        </w:numPr>
      </w:pPr>
      <w:r>
        <w:t>the delivery of quality, value</w:t>
      </w:r>
      <w:r>
        <w:noBreakHyphen/>
        <w:t>for</w:t>
      </w:r>
      <w:r>
        <w:noBreakHyphen/>
        <w:t>money public services and infrastructure</w:t>
      </w:r>
      <w:r>
        <w:fldChar w:fldCharType="begin"/>
      </w:r>
      <w:r>
        <w:instrText>xe "Economy:Infrastructure"</w:instrText>
      </w:r>
      <w:r>
        <w:fldChar w:fldCharType="end"/>
      </w:r>
      <w:r>
        <w:t xml:space="preserve"> for the community.</w:t>
      </w:r>
    </w:p>
    <w:p w:rsidR="00000000" w:rsidRDefault="001F233B">
      <w:r>
        <w:t>Chart 2.1 illustrates the relationship between these dual cornerstones of the Victorian Government’s fiscal strategy and the related long</w:t>
      </w:r>
      <w:r>
        <w:noBreakHyphen/>
        <w:t>term budget targets.</w:t>
      </w:r>
    </w:p>
    <w:p w:rsidR="00000000" w:rsidRDefault="001F233B">
      <w:r>
        <w:t xml:space="preserve">When the Government came to office in October 1992, it was faced with a major financial crisis. This was evidenced by escalating structural budget </w:t>
      </w:r>
      <w:r>
        <w:t xml:space="preserve">deficits resulting in burgeoning public sector debt and debt servicing levels, and a growing State tax burden. Because of the urgent need to reduce debt levels and to repair the budget problems, the restoration of </w:t>
      </w:r>
      <w:r>
        <w:rPr>
          <w:i/>
        </w:rPr>
        <w:t>financial discipline and responsible fiscal management</w:t>
      </w:r>
      <w:r>
        <w:t xml:space="preserve"> was a major priority of budget strategy</w:t>
      </w:r>
      <w:r>
        <w:fldChar w:fldCharType="begin"/>
      </w:r>
      <w:r>
        <w:instrText>xe "Budget:Budget strategy"</w:instrText>
      </w:r>
      <w:r>
        <w:fldChar w:fldCharType="end"/>
      </w:r>
      <w:r>
        <w:t>. As indicated in Chapter 1, without corrective action to restore the State’s finances, the Government’s ability to deliver quality public services and infrastructure</w:t>
      </w:r>
      <w:r>
        <w:fldChar w:fldCharType="begin"/>
      </w:r>
      <w:r>
        <w:instrText>xe "Econ</w:instrText>
      </w:r>
      <w:r>
        <w:instrText>omy:Infrastructure"</w:instrText>
      </w:r>
      <w:r>
        <w:fldChar w:fldCharType="end"/>
      </w:r>
      <w:r>
        <w:t xml:space="preserve"> to the Victorian community would have been seriously jeopardised. </w:t>
      </w:r>
    </w:p>
    <w:p w:rsidR="00000000" w:rsidRDefault="001F233B">
      <w:pPr>
        <w:pStyle w:val="Chartheading"/>
        <w:keepNext/>
      </w:pPr>
      <w:r>
        <w:lastRenderedPageBreak/>
        <w:t>Chart 2.1 : Budget Strategy</w:t>
      </w:r>
      <w:r>
        <w:fldChar w:fldCharType="begin"/>
      </w:r>
      <w:r>
        <w:instrText>xe "Budget:Budget strategy"</w:instrText>
      </w:r>
      <w:r>
        <w:fldChar w:fldCharType="end"/>
      </w:r>
      <w:r>
        <w:t xml:space="preserve"> Framework</w:t>
      </w:r>
    </w:p>
    <w:p w:rsidR="00000000" w:rsidRDefault="001F233B">
      <w:pPr>
        <w:spacing w:after="240"/>
        <w:rPr>
          <w:noProof/>
        </w:rPr>
      </w:pPr>
      <w:r>
        <w:rPr>
          <w:noProof/>
          <w:sz w:val="20"/>
        </w:rPr>
        <w:drawing>
          <wp:inline distT="0" distB="0" distL="0" distR="0">
            <wp:extent cx="4495800" cy="396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95800" cy="3962400"/>
                    </a:xfrm>
                    <a:prstGeom prst="rect">
                      <a:avLst/>
                    </a:prstGeom>
                    <a:noFill/>
                    <a:ln>
                      <a:noFill/>
                    </a:ln>
                  </pic:spPr>
                </pic:pic>
              </a:graphicData>
            </a:graphic>
          </wp:inline>
        </w:drawing>
      </w:r>
    </w:p>
    <w:p w:rsidR="00000000" w:rsidRDefault="001F233B">
      <w:r>
        <w:t xml:space="preserve">The strategy to arrest spiralling public sector debt and budget deficits required significant initial recurrent expenditure savings, supported by a commitment to ongoing expenditure restraint and regular reassessment of spending priorities to ensure that Government services were best targeted, within available resources, to meet community needs. At the </w:t>
      </w:r>
      <w:r>
        <w:t>same time the Government also implemented major service delivery</w:t>
      </w:r>
      <w:r>
        <w:fldChar w:fldCharType="begin"/>
      </w:r>
      <w:r>
        <w:instrText>xe "Service delivery"</w:instrText>
      </w:r>
      <w:r>
        <w:fldChar w:fldCharType="end"/>
      </w:r>
      <w:r>
        <w:t xml:space="preserve"> reform initiatives which produced significant efficiency and output improvements. As a result, service delivery </w:t>
      </w:r>
      <w:r>
        <w:rPr>
          <w:i/>
        </w:rPr>
        <w:t>outcomes</w:t>
      </w:r>
      <w:r>
        <w:t xml:space="preserve"> have generally remained steady or have actually improved across core service delivery functions despite the expenditure restraint. (See Chapter 4, </w:t>
      </w:r>
      <w:r>
        <w:rPr>
          <w:i/>
        </w:rPr>
        <w:t>Service Delivery</w:t>
      </w:r>
      <w:r>
        <w:t>, for information on Victorian service delivery achievements in recent years.)</w:t>
      </w:r>
    </w:p>
    <w:p w:rsidR="00000000" w:rsidRDefault="001F233B">
      <w:r>
        <w:t>The Government’s budget strategy</w:t>
      </w:r>
      <w:r>
        <w:fldChar w:fldCharType="begin"/>
      </w:r>
      <w:r>
        <w:instrText>xe "Budget:Budget strategy"</w:instrText>
      </w:r>
      <w:r>
        <w:fldChar w:fldCharType="end"/>
      </w:r>
      <w:r>
        <w:t xml:space="preserve"> and associated economic, financial and management reforms implemented since 1992 have resulted in a significant turnaround in the State’s budget position</w:t>
      </w:r>
      <w:r>
        <w:fldChar w:fldCharType="begin"/>
      </w:r>
      <w:r>
        <w:instrText>xe "Budget:Position"</w:instrText>
      </w:r>
      <w:r>
        <w:fldChar w:fldCharType="end"/>
      </w:r>
      <w:r>
        <w:t>. Public sector net debt</w:t>
      </w:r>
      <w:r>
        <w:fldChar w:fldCharType="begin"/>
      </w:r>
      <w:r>
        <w:instrText>xe "Public sector net debt"</w:instrText>
      </w:r>
      <w:r>
        <w:fldChar w:fldCharType="end"/>
      </w:r>
      <w:r>
        <w:t xml:space="preserve"> has been reduced by two</w:t>
      </w:r>
      <w:r>
        <w:noBreakHyphen/>
        <w:t xml:space="preserve">thirds and the budget is now in a sustainable surplus position. </w:t>
      </w:r>
    </w:p>
    <w:p w:rsidR="00000000" w:rsidRDefault="001F233B">
      <w:r>
        <w:lastRenderedPageBreak/>
        <w:t>To protect these gains and guard against spiralling debt, the Government must maintain its commitment to financial discipline and responsible fiscal management. However, in recent years substan</w:t>
      </w:r>
      <w:r>
        <w:t>tial improvement in the underlying budget position</w:t>
      </w:r>
      <w:r>
        <w:fldChar w:fldCharType="begin"/>
      </w:r>
      <w:r>
        <w:instrText>xe "Budget:Position"</w:instrText>
      </w:r>
      <w:r>
        <w:fldChar w:fldCharType="end"/>
      </w:r>
      <w:r>
        <w:t xml:space="preserve"> has enabled the Government to deliver the social benefits</w:t>
      </w:r>
      <w:r>
        <w:fldChar w:fldCharType="begin"/>
      </w:r>
      <w:r>
        <w:instrText>xe "Social dividend"</w:instrText>
      </w:r>
      <w:r>
        <w:fldChar w:fldCharType="end"/>
      </w:r>
      <w:r>
        <w:t xml:space="preserve"> of its sound financial management to the Victorian community. This is reflected in 1998</w:t>
      </w:r>
      <w:r>
        <w:noBreakHyphen/>
        <w:t>99 Budget initiatives</w:t>
      </w:r>
      <w:r>
        <w:fldChar w:fldCharType="begin"/>
      </w:r>
      <w:r>
        <w:instrText>xe "Budget:1998</w:instrText>
      </w:r>
      <w:r>
        <w:noBreakHyphen/>
        <w:instrText>99 Budget initiatives"</w:instrText>
      </w:r>
      <w:r>
        <w:fldChar w:fldCharType="end"/>
      </w:r>
      <w:r>
        <w:t xml:space="preserve"> that include: </w:t>
      </w:r>
    </w:p>
    <w:p w:rsidR="00000000" w:rsidRDefault="001F233B" w:rsidP="001F233B">
      <w:pPr>
        <w:pStyle w:val="BulletText"/>
        <w:numPr>
          <w:ilvl w:val="0"/>
          <w:numId w:val="1"/>
        </w:numPr>
      </w:pPr>
      <w:r>
        <w:t>new recurrent spending initiatives</w:t>
      </w:r>
      <w:r>
        <w:fldChar w:fldCharType="begin"/>
      </w:r>
      <w:r>
        <w:instrText>xe "Spending initiatives"</w:instrText>
      </w:r>
      <w:r>
        <w:fldChar w:fldCharType="end"/>
      </w:r>
      <w:r>
        <w:t xml:space="preserve"> totalling $271 million in a full year, targeted to high priority needs in the health</w:t>
      </w:r>
      <w:r>
        <w:fldChar w:fldCharType="begin"/>
      </w:r>
      <w:r>
        <w:instrText>xe "Health"</w:instrText>
      </w:r>
      <w:r>
        <w:fldChar w:fldCharType="end"/>
      </w:r>
      <w:r>
        <w:t xml:space="preserve"> and eduction sectors; and</w:t>
      </w:r>
    </w:p>
    <w:p w:rsidR="00000000" w:rsidRDefault="001F233B" w:rsidP="001F233B">
      <w:pPr>
        <w:pStyle w:val="BulletText"/>
        <w:numPr>
          <w:ilvl w:val="0"/>
          <w:numId w:val="1"/>
        </w:numPr>
      </w:pPr>
      <w:r>
        <w:t>tax cuts</w:t>
      </w:r>
      <w:r>
        <w:t xml:space="preserve"> totalling $132 million in a full year, building on the $211 million of tax cuts announced in the 1997</w:t>
      </w:r>
      <w:r>
        <w:noBreakHyphen/>
      </w:r>
      <w:r>
        <w:softHyphen/>
        <w:t xml:space="preserve">98 Budget. </w:t>
      </w:r>
    </w:p>
    <w:p w:rsidR="00000000" w:rsidRDefault="001F233B">
      <w:r>
        <w:t>The following section provides further information on the Government’s specific long-</w:t>
      </w:r>
      <w:r>
        <w:softHyphen/>
        <w:t xml:space="preserve">term budgetary objectives and targets. </w:t>
      </w:r>
    </w:p>
    <w:p w:rsidR="00000000" w:rsidRDefault="001F233B">
      <w:pPr>
        <w:pStyle w:val="Heading2"/>
      </w:pPr>
      <w:bookmarkStart w:id="23" w:name="BudgetTargets"/>
      <w:bookmarkStart w:id="24" w:name="_Toc417482315"/>
      <w:bookmarkStart w:id="25" w:name="_Toc417552071"/>
      <w:bookmarkEnd w:id="23"/>
      <w:r>
        <w:t>Long-term budget objectives</w:t>
      </w:r>
      <w:bookmarkEnd w:id="24"/>
      <w:bookmarkEnd w:id="25"/>
    </w:p>
    <w:p w:rsidR="00000000" w:rsidRDefault="001F233B">
      <w:r>
        <w:t>The budget strategy</w:t>
      </w:r>
      <w:r>
        <w:fldChar w:fldCharType="begin"/>
      </w:r>
      <w:r>
        <w:instrText>xe "Budget:Budget strategy"</w:instrText>
      </w:r>
      <w:r>
        <w:fldChar w:fldCharType="end"/>
      </w:r>
      <w:r>
        <w:t xml:space="preserve"> has been guided by a number of long-</w:t>
      </w:r>
      <w:r>
        <w:softHyphen/>
        <w:t>term budget objectives and medium</w:t>
      </w:r>
      <w:r>
        <w:noBreakHyphen/>
        <w:t>term operational targets. These objectives and targets were designed to overcome the major financial crisis facing Victori</w:t>
      </w:r>
      <w:r>
        <w:t xml:space="preserve">a in the early 1990s. They were formulated within a budget sector financial reporting framework that focused on cash transactions rather than full cost reporting, and which provided limited balance sheet information. </w:t>
      </w:r>
    </w:p>
    <w:p w:rsidR="00000000" w:rsidRDefault="001F233B">
      <w:r>
        <w:t>The specific targets have been modified slightly since 1992 as initial benchmarks have been achieved. The Government’s decision to shift to a more transparent, accrual</w:t>
      </w:r>
      <w:r>
        <w:noBreakHyphen/>
        <w:t xml:space="preserve">based budgeting and reporting framework in this Budget requires further minor modification to the budget targets. (A detailed </w:t>
      </w:r>
      <w:r>
        <w:t>explanation of the new reporting framework is contained in the</w:t>
      </w:r>
      <w:r>
        <w:rPr>
          <w:i/>
        </w:rPr>
        <w:t xml:space="preserve"> Guide to the 1998</w:t>
      </w:r>
      <w:r>
        <w:rPr>
          <w:i/>
        </w:rPr>
        <w:noBreakHyphen/>
        <w:t>99 Budget Papers</w:t>
      </w:r>
      <w:r>
        <w:t xml:space="preserve">). In particular, the </w:t>
      </w:r>
      <w:r>
        <w:rPr>
          <w:i/>
        </w:rPr>
        <w:t>budget balance</w:t>
      </w:r>
      <w:r>
        <w:t xml:space="preserve"> target needs to be redefined to reflect the new reporting framework. Nevertheless, the underlying budget objectives, which are summarised in Table 2.1, remain broadly unchanged.</w:t>
      </w:r>
    </w:p>
    <w:p w:rsidR="00000000" w:rsidRDefault="001F233B">
      <w:pPr>
        <w:pStyle w:val="Tableheading"/>
        <w:keepNext/>
      </w:pPr>
      <w:bookmarkStart w:id="26" w:name="_Toc417482507"/>
      <w:bookmarkStart w:id="27" w:name="_Toc417552736"/>
      <w:r>
        <w:lastRenderedPageBreak/>
        <w:t>Table 2.1: Long</w:t>
      </w:r>
      <w:r>
        <w:noBreakHyphen/>
        <w:t>Term Budget Objectives</w:t>
      </w:r>
      <w:bookmarkEnd w:id="26"/>
      <w:bookmarkEnd w:id="27"/>
    </w:p>
    <w:tbl>
      <w:tblPr>
        <w:tblW w:w="0" w:type="auto"/>
        <w:tblInd w:w="108" w:type="dxa"/>
        <w:tblLayout w:type="fixed"/>
        <w:tblLook w:val="0000" w:firstRow="0" w:lastRow="0" w:firstColumn="0" w:lastColumn="0" w:noHBand="0" w:noVBand="0"/>
      </w:tblPr>
      <w:tblGrid>
        <w:gridCol w:w="3651"/>
        <w:gridCol w:w="3459"/>
      </w:tblGrid>
      <w:tr w:rsidR="00000000">
        <w:tblPrEx>
          <w:tblCellMar>
            <w:top w:w="0" w:type="dxa"/>
            <w:bottom w:w="0" w:type="dxa"/>
          </w:tblCellMar>
        </w:tblPrEx>
        <w:tc>
          <w:tcPr>
            <w:tcW w:w="3651" w:type="dxa"/>
            <w:tcBorders>
              <w:top w:val="single" w:sz="6" w:space="0" w:color="auto"/>
              <w:bottom w:val="single" w:sz="6" w:space="0" w:color="auto"/>
            </w:tcBorders>
          </w:tcPr>
          <w:p w:rsidR="00000000" w:rsidRDefault="001F233B">
            <w:pPr>
              <w:pStyle w:val="Tabletextheading"/>
              <w:keepNext/>
              <w:spacing w:before="60" w:after="60"/>
              <w:jc w:val="left"/>
            </w:pPr>
            <w:r>
              <w:t>Long</w:t>
            </w:r>
            <w:r>
              <w:noBreakHyphen/>
              <w:t>Term Target</w:t>
            </w:r>
          </w:p>
        </w:tc>
        <w:tc>
          <w:tcPr>
            <w:tcW w:w="3459" w:type="dxa"/>
            <w:tcBorders>
              <w:top w:val="single" w:sz="6" w:space="0" w:color="auto"/>
              <w:bottom w:val="single" w:sz="6" w:space="0" w:color="auto"/>
            </w:tcBorders>
          </w:tcPr>
          <w:p w:rsidR="00000000" w:rsidRDefault="001F233B">
            <w:pPr>
              <w:pStyle w:val="Tabletextheading"/>
              <w:keepNext/>
              <w:spacing w:before="60" w:after="60"/>
              <w:jc w:val="left"/>
            </w:pPr>
            <w:r>
              <w:t>Medium</w:t>
            </w:r>
            <w:r>
              <w:noBreakHyphen/>
              <w:t xml:space="preserve">Term Operational Target </w:t>
            </w:r>
          </w:p>
        </w:tc>
      </w:tr>
      <w:tr w:rsidR="00000000">
        <w:tblPrEx>
          <w:tblCellMar>
            <w:top w:w="0" w:type="dxa"/>
            <w:bottom w:w="0" w:type="dxa"/>
          </w:tblCellMar>
        </w:tblPrEx>
        <w:tc>
          <w:tcPr>
            <w:tcW w:w="3651" w:type="dxa"/>
          </w:tcPr>
          <w:p w:rsidR="00000000" w:rsidRDefault="001F233B">
            <w:pPr>
              <w:pStyle w:val="Tabletext"/>
              <w:keepNext/>
              <w:spacing w:before="60" w:after="60"/>
            </w:pPr>
            <w:r>
              <w:t>Maintain public sector debt at levels consistent with triple</w:t>
            </w:r>
            <w:r>
              <w:noBreakHyphen/>
              <w:t>A credit rating</w:t>
            </w:r>
          </w:p>
        </w:tc>
        <w:tc>
          <w:tcPr>
            <w:tcW w:w="3459" w:type="dxa"/>
          </w:tcPr>
          <w:p w:rsidR="00000000" w:rsidRDefault="001F233B">
            <w:pPr>
              <w:pStyle w:val="Tabletext"/>
              <w:keepNext/>
              <w:spacing w:before="60" w:after="60"/>
            </w:pPr>
            <w:r>
              <w:t>Privatisation</w:t>
            </w:r>
            <w:r>
              <w:fldChar w:fldCharType="begin"/>
            </w:r>
            <w:r>
              <w:instrText>xe "Privatisation"</w:instrText>
            </w:r>
            <w:r>
              <w:fldChar w:fldCharType="end"/>
            </w:r>
            <w:r>
              <w:t xml:space="preserve"> </w:t>
            </w:r>
            <w:r>
              <w:t xml:space="preserve">proceeds applied to reduce net debt and other liabilities </w:t>
            </w:r>
          </w:p>
        </w:tc>
      </w:tr>
      <w:tr w:rsidR="00000000">
        <w:tblPrEx>
          <w:tblCellMar>
            <w:top w:w="0" w:type="dxa"/>
            <w:bottom w:w="0" w:type="dxa"/>
          </w:tblCellMar>
        </w:tblPrEx>
        <w:tc>
          <w:tcPr>
            <w:tcW w:w="3651" w:type="dxa"/>
          </w:tcPr>
          <w:p w:rsidR="00000000" w:rsidRDefault="001F233B">
            <w:pPr>
              <w:pStyle w:val="Tabletext"/>
              <w:keepNext/>
              <w:spacing w:before="60" w:after="60"/>
            </w:pPr>
            <w:r>
              <w:t xml:space="preserve">Maintain a sustainable budget </w:t>
            </w:r>
            <w:r>
              <w:rPr>
                <w:i/>
              </w:rPr>
              <w:t>operating surplus</w:t>
            </w:r>
            <w:r>
              <w:rPr>
                <w:i/>
              </w:rPr>
              <w:fldChar w:fldCharType="begin"/>
            </w:r>
            <w:r>
              <w:rPr>
                <w:i/>
              </w:rPr>
              <w:instrText>xe "Operating surplus"</w:instrText>
            </w:r>
            <w:r>
              <w:rPr>
                <w:i/>
              </w:rPr>
              <w:fldChar w:fldCharType="end"/>
            </w:r>
            <w:r>
              <w:t xml:space="preserve"> sufficient to fully fund infrastructure</w:t>
            </w:r>
            <w:r>
              <w:fldChar w:fldCharType="begin"/>
            </w:r>
            <w:r>
              <w:instrText>xe "Economy:Infrastructure"</w:instrText>
            </w:r>
            <w:r>
              <w:fldChar w:fldCharType="end"/>
            </w:r>
            <w:r>
              <w:t xml:space="preserve"> investment</w:t>
            </w:r>
            <w:r>
              <w:fldChar w:fldCharType="begin"/>
            </w:r>
            <w:r>
              <w:instrText>xe "Economy:Investment"</w:instrText>
            </w:r>
            <w:r>
              <w:fldChar w:fldCharType="end"/>
            </w:r>
          </w:p>
        </w:tc>
        <w:tc>
          <w:tcPr>
            <w:tcW w:w="3459" w:type="dxa"/>
          </w:tcPr>
          <w:p w:rsidR="00000000" w:rsidRDefault="001F233B">
            <w:pPr>
              <w:pStyle w:val="Tabletext"/>
              <w:keepNext/>
              <w:spacing w:before="60" w:after="60"/>
            </w:pPr>
          </w:p>
        </w:tc>
      </w:tr>
      <w:tr w:rsidR="00000000">
        <w:tblPrEx>
          <w:tblCellMar>
            <w:top w:w="0" w:type="dxa"/>
            <w:bottom w:w="0" w:type="dxa"/>
          </w:tblCellMar>
        </w:tblPrEx>
        <w:tc>
          <w:tcPr>
            <w:tcW w:w="3651" w:type="dxa"/>
          </w:tcPr>
          <w:p w:rsidR="00000000" w:rsidRDefault="001F233B">
            <w:pPr>
              <w:pStyle w:val="Tabletext"/>
              <w:keepNext/>
              <w:spacing w:before="60" w:after="60"/>
            </w:pPr>
            <w:r>
              <w:t>Low cost, high quality service delivery</w:t>
            </w:r>
            <w:r>
              <w:fldChar w:fldCharType="begin"/>
            </w:r>
            <w:r>
              <w:instrText>xe "Service delivery"</w:instrText>
            </w:r>
            <w:r>
              <w:fldChar w:fldCharType="end"/>
            </w:r>
          </w:p>
        </w:tc>
        <w:tc>
          <w:tcPr>
            <w:tcW w:w="3459" w:type="dxa"/>
          </w:tcPr>
          <w:p w:rsidR="00000000" w:rsidRDefault="001F233B">
            <w:pPr>
              <w:pStyle w:val="Tabletext"/>
              <w:keepNext/>
              <w:spacing w:before="60" w:after="60"/>
            </w:pPr>
          </w:p>
        </w:tc>
      </w:tr>
      <w:tr w:rsidR="00000000">
        <w:tblPrEx>
          <w:tblCellMar>
            <w:top w:w="0" w:type="dxa"/>
            <w:bottom w:w="0" w:type="dxa"/>
          </w:tblCellMar>
        </w:tblPrEx>
        <w:tc>
          <w:tcPr>
            <w:tcW w:w="3651" w:type="dxa"/>
          </w:tcPr>
          <w:p w:rsidR="00000000" w:rsidRDefault="001F233B">
            <w:pPr>
              <w:pStyle w:val="Tabletext"/>
              <w:keepNext/>
              <w:spacing w:before="60" w:after="60"/>
            </w:pPr>
            <w:r>
              <w:t>Ensure adequate infrastructure</w:t>
            </w:r>
            <w:r>
              <w:fldChar w:fldCharType="begin"/>
            </w:r>
            <w:r>
              <w:instrText>xe "Economy:Infrastructure"</w:instrText>
            </w:r>
            <w:r>
              <w:fldChar w:fldCharType="end"/>
            </w:r>
            <w:r>
              <w:t xml:space="preserve"> to support service delivery</w:t>
            </w:r>
            <w:r>
              <w:fldChar w:fldCharType="begin"/>
            </w:r>
            <w:r>
              <w:instrText>xe "Service delivery"</w:instrText>
            </w:r>
            <w:r>
              <w:fldChar w:fldCharType="end"/>
            </w:r>
            <w:r>
              <w:t xml:space="preserve"> and economic growth</w:t>
            </w:r>
            <w:r>
              <w:fldChar w:fldCharType="begin"/>
            </w:r>
            <w:r>
              <w:instrText>xe "Economic growth"</w:instrText>
            </w:r>
            <w:r>
              <w:fldChar w:fldCharType="end"/>
            </w:r>
          </w:p>
        </w:tc>
        <w:tc>
          <w:tcPr>
            <w:tcW w:w="3459" w:type="dxa"/>
          </w:tcPr>
          <w:p w:rsidR="00000000" w:rsidRDefault="001F233B">
            <w:pPr>
              <w:pStyle w:val="Tabletext"/>
              <w:keepNext/>
              <w:spacing w:before="60" w:after="60"/>
            </w:pPr>
            <w:r>
              <w:t>Budget sector investment</w:t>
            </w:r>
            <w:r>
              <w:fldChar w:fldCharType="begin"/>
            </w:r>
            <w:r>
              <w:instrText>xe "Economy:Investment"</w:instrText>
            </w:r>
            <w:r>
              <w:fldChar w:fldCharType="end"/>
            </w:r>
            <w:r>
              <w:t xml:space="preserve"> to be</w:t>
            </w:r>
            <w:r>
              <w:t xml:space="preserve"> maintained at around 1¼ per cent of GSP</w:t>
            </w:r>
            <w:r>
              <w:fldChar w:fldCharType="begin"/>
            </w:r>
            <w:r>
              <w:instrText>xe "Economy:Gross State Products (GSP)"</w:instrText>
            </w:r>
            <w:r>
              <w:fldChar w:fldCharType="end"/>
            </w:r>
          </w:p>
        </w:tc>
      </w:tr>
      <w:tr w:rsidR="00000000">
        <w:tblPrEx>
          <w:tblCellMar>
            <w:top w:w="0" w:type="dxa"/>
            <w:bottom w:w="0" w:type="dxa"/>
          </w:tblCellMar>
        </w:tblPrEx>
        <w:tc>
          <w:tcPr>
            <w:tcW w:w="3651" w:type="dxa"/>
            <w:tcBorders>
              <w:bottom w:val="single" w:sz="6" w:space="0" w:color="auto"/>
            </w:tcBorders>
          </w:tcPr>
          <w:p w:rsidR="00000000" w:rsidRDefault="001F233B">
            <w:pPr>
              <w:pStyle w:val="Tabletext"/>
              <w:keepNext/>
              <w:spacing w:before="60" w:after="60"/>
            </w:pPr>
            <w:r>
              <w:t xml:space="preserve">Bring Victoria’s tax rates into alignment with the national average </w:t>
            </w:r>
          </w:p>
        </w:tc>
        <w:tc>
          <w:tcPr>
            <w:tcW w:w="3459" w:type="dxa"/>
            <w:tcBorders>
              <w:bottom w:val="single" w:sz="6" w:space="0" w:color="auto"/>
            </w:tcBorders>
          </w:tcPr>
          <w:p w:rsidR="00000000" w:rsidRDefault="001F233B">
            <w:pPr>
              <w:pStyle w:val="Tabletext"/>
              <w:keepNext/>
              <w:spacing w:before="60" w:after="60"/>
            </w:pPr>
          </w:p>
        </w:tc>
      </w:tr>
    </w:tbl>
    <w:p w:rsidR="00000000" w:rsidRDefault="001F233B"/>
    <w:p w:rsidR="00000000" w:rsidRDefault="001F233B">
      <w:r>
        <w:t>The following sections provide a discussion of these budget objectives and targets, including a summary of progress to date.</w:t>
      </w:r>
    </w:p>
    <w:p w:rsidR="00000000" w:rsidRDefault="001F233B">
      <w:pPr>
        <w:pStyle w:val="Heading3"/>
      </w:pPr>
      <w:r>
        <w:t>Public sector debt</w:t>
      </w:r>
    </w:p>
    <w:p w:rsidR="00000000" w:rsidRDefault="001F233B">
      <w:r>
        <w:t>The Government has made significant progress towards achieving its target of reducing State debt to levels consistent with restoration of a triple</w:t>
      </w:r>
      <w:r>
        <w:noBreakHyphen/>
        <w:t>A credit rating. Public sector net debt</w:t>
      </w:r>
      <w:r>
        <w:fldChar w:fldCharType="begin"/>
      </w:r>
      <w:r>
        <w:instrText>xe "Public sector net debt</w:instrText>
      </w:r>
      <w:r>
        <w:instrText>"</w:instrText>
      </w:r>
      <w:r>
        <w:fldChar w:fldCharType="end"/>
      </w:r>
      <w:r>
        <w:t xml:space="preserve"> has declined from $32.9 billion (or 30.7 per cent of GSP</w:t>
      </w:r>
      <w:r>
        <w:fldChar w:fldCharType="begin"/>
      </w:r>
      <w:r>
        <w:instrText>xe "Economy:Gross State Products (GSP)"</w:instrText>
      </w:r>
      <w:r>
        <w:fldChar w:fldCharType="end"/>
      </w:r>
      <w:r>
        <w:t>) in June 1993 to an estimated $11.1 billion (7.9 per cent of GSP) by 30 June 1998. Chart 2.2 shows that this is well within the range of triple</w:t>
      </w:r>
      <w:r>
        <w:noBreakHyphen/>
        <w:t xml:space="preserve">A rated States. As a result, Victoria now enjoys favourable borrowing costs compared with other States. </w:t>
      </w:r>
    </w:p>
    <w:p w:rsidR="00000000" w:rsidRDefault="001F233B">
      <w:pPr>
        <w:pStyle w:val="Notes"/>
      </w:pPr>
    </w:p>
    <w:p w:rsidR="00000000" w:rsidRDefault="001F233B">
      <w:r>
        <w:t>The application of privatisation</w:t>
      </w:r>
      <w:r>
        <w:fldChar w:fldCharType="begin"/>
      </w:r>
      <w:r>
        <w:instrText>xe "Privatisation"</w:instrText>
      </w:r>
      <w:r>
        <w:fldChar w:fldCharType="end"/>
      </w:r>
      <w:r>
        <w:t xml:space="preserve"> proceeds to debt reduction has made a significant contribution to the overall reduction in public sector deb</w:t>
      </w:r>
      <w:r>
        <w:t xml:space="preserve">t over this period. The Government is committed to ensuring that privatisation proceeds continue to be applied to reducing net debt and other liabilities to generate the best return for Victorian taxpayers. </w:t>
      </w:r>
    </w:p>
    <w:p w:rsidR="00000000" w:rsidRDefault="001F233B">
      <w:pPr>
        <w:pStyle w:val="Chartheading"/>
        <w:keepNext/>
      </w:pPr>
      <w:r>
        <w:lastRenderedPageBreak/>
        <w:t>Chart 2.2: State Government Net Debt to Gross State Product</w:t>
      </w:r>
      <w:r>
        <w:fldChar w:fldCharType="begin"/>
      </w:r>
      <w:r>
        <w:instrText>xe "Economy:Gross State Products (GSP)"</w:instrText>
      </w:r>
      <w:r>
        <w:fldChar w:fldCharType="end"/>
      </w:r>
      <w:r>
        <w:t xml:space="preserve"> </w:t>
      </w:r>
      <w:r>
        <w:rPr>
          <w:i/>
          <w:vertAlign w:val="superscript"/>
        </w:rPr>
        <w:t>(a)</w:t>
      </w:r>
      <w:r>
        <w:rPr>
          <w:i/>
        </w:rPr>
        <w:t xml:space="preserve"> </w:t>
      </w:r>
      <w:r>
        <w:t>and Current Australian State Ratings</w:t>
      </w:r>
    </w:p>
    <w:p w:rsidR="00000000" w:rsidRDefault="001F233B">
      <w:pPr>
        <w:spacing w:after="0"/>
        <w:jc w:val="center"/>
        <w:rPr>
          <w:noProof/>
        </w:rPr>
      </w:pPr>
      <w:r>
        <w:rPr>
          <w:noProof/>
          <w:sz w:val="20"/>
        </w:rPr>
        <w:drawing>
          <wp:inline distT="0" distB="0" distL="0" distR="0">
            <wp:extent cx="4400550"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00550" cy="2047875"/>
                    </a:xfrm>
                    <a:prstGeom prst="rect">
                      <a:avLst/>
                    </a:prstGeom>
                    <a:noFill/>
                    <a:ln>
                      <a:noFill/>
                    </a:ln>
                  </pic:spPr>
                </pic:pic>
              </a:graphicData>
            </a:graphic>
          </wp:inline>
        </w:drawing>
      </w:r>
    </w:p>
    <w:p w:rsidR="00000000" w:rsidRDefault="001F233B">
      <w:pPr>
        <w:pStyle w:val="Source"/>
        <w:tabs>
          <w:tab w:val="left" w:pos="630"/>
        </w:tabs>
        <w:spacing w:after="0"/>
        <w:ind w:left="630" w:right="67" w:hanging="630"/>
      </w:pPr>
      <w:r>
        <w:t>Source:</w:t>
      </w:r>
      <w:r>
        <w:tab/>
        <w:t>ABS Catalogue No. 5513 and 5542.0, Department of Treasury and Finance estimate for 1998.</w:t>
      </w:r>
    </w:p>
    <w:p w:rsidR="00000000" w:rsidRDefault="001F233B">
      <w:pPr>
        <w:spacing w:after="0"/>
        <w:rPr>
          <w:i/>
        </w:rPr>
      </w:pPr>
      <w:r>
        <w:rPr>
          <w:i/>
          <w:sz w:val="18"/>
        </w:rPr>
        <w:t>Notes:</w:t>
      </w:r>
    </w:p>
    <w:p w:rsidR="00000000" w:rsidRDefault="001F233B" w:rsidP="001F233B">
      <w:pPr>
        <w:pStyle w:val="Notes"/>
        <w:numPr>
          <w:ilvl w:val="0"/>
          <w:numId w:val="6"/>
        </w:numPr>
        <w:tabs>
          <w:tab w:val="clear" w:pos="454"/>
          <w:tab w:val="left" w:pos="450"/>
        </w:tabs>
      </w:pPr>
      <w:r>
        <w:t xml:space="preserve">State Public Sector Net Debt as at 30 June 1997, unless </w:t>
      </w:r>
      <w:r>
        <w:t>otherwise indicated.</w:t>
      </w:r>
    </w:p>
    <w:p w:rsidR="00000000" w:rsidRDefault="001F233B" w:rsidP="001F233B">
      <w:pPr>
        <w:pStyle w:val="Notes"/>
        <w:numPr>
          <w:ilvl w:val="0"/>
          <w:numId w:val="6"/>
        </w:numPr>
        <w:tabs>
          <w:tab w:val="clear" w:pos="454"/>
          <w:tab w:val="left" w:pos="450"/>
        </w:tabs>
      </w:pPr>
      <w:r>
        <w:t>Victoria was placed on CreditWatch Positive on 27 March 1998 by Standard &amp; Poor's.</w:t>
      </w:r>
    </w:p>
    <w:p w:rsidR="00000000" w:rsidRDefault="001F233B">
      <w:pPr>
        <w:pStyle w:val="Heading3"/>
      </w:pPr>
      <w:r>
        <w:t>Sustainable budget balance</w:t>
      </w:r>
    </w:p>
    <w:p w:rsidR="00000000" w:rsidRDefault="001F233B">
      <w:r>
        <w:t>In the 1997</w:t>
      </w:r>
      <w:r>
        <w:noBreakHyphen/>
        <w:t xml:space="preserve">98 Budget, the Government announced its long-term target of achieving a </w:t>
      </w:r>
      <w:r>
        <w:rPr>
          <w:i/>
        </w:rPr>
        <w:t>sustained budget balance</w:t>
      </w:r>
      <w:r>
        <w:t>, with a surplus on current account at least sufficient to meet depreciation expenses. Because this budget balance target was based on a cash accounting framework, it has been revised slightly to reflect the shift to a full accrual</w:t>
      </w:r>
      <w:r>
        <w:noBreakHyphen/>
        <w:t>based financial reporting framework for t</w:t>
      </w:r>
      <w:r>
        <w:t xml:space="preserve">he Victorian budget sector. </w:t>
      </w:r>
    </w:p>
    <w:p w:rsidR="00000000" w:rsidRDefault="001F233B">
      <w:r>
        <w:t>Under accrual accounting standards, the budget operating statement</w:t>
      </w:r>
      <w:r>
        <w:fldChar w:fldCharType="begin"/>
      </w:r>
      <w:r>
        <w:instrText>xe "Operating statement"</w:instrText>
      </w:r>
      <w:r>
        <w:fldChar w:fldCharType="end"/>
      </w:r>
      <w:r>
        <w:t xml:space="preserve"> (and therefore the reported ‘budget balance’) takes into account all operating</w:t>
      </w:r>
      <w:r>
        <w:rPr>
          <w:i/>
        </w:rPr>
        <w:t xml:space="preserve"> </w:t>
      </w:r>
      <w:r>
        <w:t>revenue and expenses incurred during a period, and hence reflects the full cost of resources consumed by the Government during this period. The operating statement includes non</w:t>
      </w:r>
      <w:r>
        <w:noBreakHyphen/>
        <w:t>cash costs such as the depreciation of fixed assets during the period and growth in superannuation obligations to employees, but exclu</w:t>
      </w:r>
      <w:r>
        <w:t>des the cost of funding net increases in budget sector infrastructure</w:t>
      </w:r>
      <w:r>
        <w:fldChar w:fldCharType="begin"/>
      </w:r>
      <w:r>
        <w:instrText>xe "Economy:Infrastructure"</w:instrText>
      </w:r>
      <w:r>
        <w:fldChar w:fldCharType="end"/>
      </w:r>
      <w:r>
        <w:t xml:space="preserve"> and other additions to net assets. </w:t>
      </w:r>
    </w:p>
    <w:p w:rsidR="00000000" w:rsidRDefault="001F233B">
      <w:r>
        <w:t>To ensure that the Government is able to fully fund its capital expenditure program without borrowing, the Government needs to run an operating surplus</w:t>
      </w:r>
      <w:r>
        <w:fldChar w:fldCharType="begin"/>
      </w:r>
      <w:r>
        <w:instrText>xe "Operating surplus"</w:instrText>
      </w:r>
      <w:r>
        <w:fldChar w:fldCharType="end"/>
      </w:r>
      <w:r>
        <w:t>. This is illustrated in Chart 2.3, which shows, in broad terms, the source of funding for 1998-99 budget sector investment</w:t>
      </w:r>
      <w:r>
        <w:fldChar w:fldCharType="begin"/>
      </w:r>
      <w:r>
        <w:instrText>xe "Economy:Investment"</w:instrText>
      </w:r>
      <w:r>
        <w:fldChar w:fldCharType="end"/>
      </w:r>
      <w:r>
        <w:t xml:space="preserve"> in infrastructure</w:t>
      </w:r>
      <w:r>
        <w:fldChar w:fldCharType="begin"/>
      </w:r>
      <w:r>
        <w:instrText>xe "Economy:Infrastructure"</w:instrText>
      </w:r>
      <w:r>
        <w:fldChar w:fldCharType="end"/>
      </w:r>
      <w:r>
        <w:t xml:space="preserve"> and ot</w:t>
      </w:r>
      <w:r>
        <w:t xml:space="preserve">her assets. Growth in depreciation and other provisions reduce the reported accrual operating surplus, but since they do not involve immediate cash outlays, the </w:t>
      </w:r>
      <w:r>
        <w:lastRenderedPageBreak/>
        <w:t>funds are available to partly fund capital expenditure. As shown in the Chart, an operating surplus is required to fund the balance of investment expenditure.</w:t>
      </w:r>
    </w:p>
    <w:p w:rsidR="00000000" w:rsidRDefault="001F233B">
      <w:r>
        <w:t>Over the long term, the Government’s target is to maintain</w:t>
      </w:r>
      <w:r>
        <w:rPr>
          <w:i/>
        </w:rPr>
        <w:t xml:space="preserve"> a sustainable budget operating surplus</w:t>
      </w:r>
      <w:r>
        <w:rPr>
          <w:i/>
        </w:rPr>
        <w:fldChar w:fldCharType="begin"/>
      </w:r>
      <w:r>
        <w:rPr>
          <w:i/>
        </w:rPr>
        <w:instrText>xe "Operating surplus"</w:instrText>
      </w:r>
      <w:r>
        <w:rPr>
          <w:i/>
        </w:rPr>
        <w:fldChar w:fldCharType="end"/>
      </w:r>
      <w:r>
        <w:rPr>
          <w:i/>
        </w:rPr>
        <w:t xml:space="preserve"> sufficient to fully fund budget sector infrastructure</w:t>
      </w:r>
      <w:r>
        <w:rPr>
          <w:i/>
        </w:rPr>
        <w:fldChar w:fldCharType="begin"/>
      </w:r>
      <w:r>
        <w:rPr>
          <w:i/>
        </w:rPr>
        <w:instrText>xe "Economy:Infr</w:instrText>
      </w:r>
      <w:r>
        <w:rPr>
          <w:i/>
        </w:rPr>
        <w:instrText>astructure"</w:instrText>
      </w:r>
      <w:r>
        <w:rPr>
          <w:i/>
        </w:rPr>
        <w:fldChar w:fldCharType="end"/>
      </w:r>
      <w:r>
        <w:rPr>
          <w:i/>
        </w:rPr>
        <w:t xml:space="preserve"> investment</w:t>
      </w:r>
      <w:r>
        <w:rPr>
          <w:i/>
        </w:rPr>
        <w:fldChar w:fldCharType="begin"/>
      </w:r>
      <w:r>
        <w:instrText>xe "Economy:Investment"</w:instrText>
      </w:r>
      <w:r>
        <w:rPr>
          <w:i/>
        </w:rPr>
        <w:fldChar w:fldCharType="end"/>
      </w:r>
      <w:r>
        <w:t xml:space="preserve">. This revised budget target is </w:t>
      </w:r>
      <w:r>
        <w:rPr>
          <w:i/>
        </w:rPr>
        <w:t xml:space="preserve">equivalent </w:t>
      </w:r>
      <w:r>
        <w:t>to the previous target of achieving a sustained (cash) budget balance with a surplus on current account at least sufficient to meet depreciation expenses. Both targets effectively ensure that the Government:</w:t>
      </w:r>
    </w:p>
    <w:p w:rsidR="00000000" w:rsidRDefault="001F233B" w:rsidP="001F233B">
      <w:pPr>
        <w:pStyle w:val="BulletText"/>
        <w:numPr>
          <w:ilvl w:val="0"/>
          <w:numId w:val="1"/>
        </w:numPr>
      </w:pPr>
      <w:r>
        <w:t>meets the cost of all resources in the course of its operations during the year (including depreciation of capital stock); and</w:t>
      </w:r>
    </w:p>
    <w:p w:rsidR="00000000" w:rsidRDefault="001F233B" w:rsidP="001F233B">
      <w:pPr>
        <w:pStyle w:val="BulletText"/>
        <w:numPr>
          <w:ilvl w:val="0"/>
          <w:numId w:val="1"/>
        </w:numPr>
      </w:pPr>
      <w:r>
        <w:t>is not required to borrow to fund its operating or normal investment</w:t>
      </w:r>
      <w:r>
        <w:fldChar w:fldCharType="begin"/>
      </w:r>
      <w:r>
        <w:instrText>xe "Economy:Inves</w:instrText>
      </w:r>
      <w:r>
        <w:instrText>tment"</w:instrText>
      </w:r>
      <w:r>
        <w:fldChar w:fldCharType="end"/>
      </w:r>
      <w:r>
        <w:t xml:space="preserve"> expenditures. </w:t>
      </w:r>
    </w:p>
    <w:p w:rsidR="00000000" w:rsidRDefault="001F233B">
      <w:pPr>
        <w:pStyle w:val="Chartheading"/>
        <w:keepNext/>
      </w:pPr>
      <w:r>
        <w:t xml:space="preserve">Chart 2.3: Budget Operating Surplus </w:t>
      </w:r>
      <w:r>
        <w:noBreakHyphen/>
        <w:t xml:space="preserve"> Contribution to Funding Gross Investment</w:t>
      </w:r>
      <w:r>
        <w:fldChar w:fldCharType="begin"/>
      </w:r>
      <w:r>
        <w:instrText>xe "Economy:Investment"</w:instrText>
      </w:r>
      <w:r>
        <w:fldChar w:fldCharType="end"/>
      </w:r>
      <w:r>
        <w:t xml:space="preserve"> in Assets </w:t>
      </w:r>
    </w:p>
    <w:p w:rsidR="00000000" w:rsidRDefault="001F233B">
      <w:pPr>
        <w:pStyle w:val="Source"/>
        <w:jc w:val="center"/>
        <w:rPr>
          <w:noProof/>
          <w:sz w:val="20"/>
        </w:rPr>
      </w:pPr>
      <w:r>
        <w:rPr>
          <w:noProof/>
          <w:sz w:val="20"/>
        </w:rPr>
        <w:drawing>
          <wp:inline distT="0" distB="0" distL="0" distR="0">
            <wp:extent cx="4467225" cy="2743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67225" cy="2743200"/>
                    </a:xfrm>
                    <a:prstGeom prst="rect">
                      <a:avLst/>
                    </a:prstGeom>
                    <a:noFill/>
                    <a:ln>
                      <a:noFill/>
                    </a:ln>
                  </pic:spPr>
                </pic:pic>
              </a:graphicData>
            </a:graphic>
          </wp:inline>
        </w:drawing>
      </w:r>
    </w:p>
    <w:p w:rsidR="00000000" w:rsidRDefault="001F233B">
      <w:pPr>
        <w:pStyle w:val="Source"/>
      </w:pPr>
      <w:r>
        <w:t>Source: Department of Treasury and Finance.</w:t>
      </w:r>
    </w:p>
    <w:p w:rsidR="00000000" w:rsidRDefault="001F233B">
      <w:r>
        <w:t>On an unchanged policy basis, the Government is projected to achieve a sustainable operating surplus</w:t>
      </w:r>
      <w:r>
        <w:fldChar w:fldCharType="begin"/>
      </w:r>
      <w:r>
        <w:instrText>xe "Operating surplus"</w:instrText>
      </w:r>
      <w:r>
        <w:fldChar w:fldCharType="end"/>
      </w:r>
      <w:r>
        <w:t xml:space="preserve"> of around $701 million in 1998</w:t>
      </w:r>
      <w:r>
        <w:noBreakHyphen/>
        <w:t xml:space="preserve">99 rising to $949 million by the end of the forward estimates period. As indicated in Table 2.2, this is in excess of the operating surplus required under the Government’s </w:t>
      </w:r>
      <w:r>
        <w:t>revised budget target. Over the forward estimates period, the contribution of the operating surplus to funding gross investment</w:t>
      </w:r>
      <w:r>
        <w:fldChar w:fldCharType="begin"/>
      </w:r>
      <w:r>
        <w:instrText>xe "Economy:Investment"</w:instrText>
      </w:r>
      <w:r>
        <w:fldChar w:fldCharType="end"/>
      </w:r>
      <w:r>
        <w:t xml:space="preserve"> is expected to </w:t>
      </w:r>
      <w:r>
        <w:lastRenderedPageBreak/>
        <w:t>increase significantly. This is reflected in the decline in the margin between the target and forecast sustainable operating surplus from $547 million in 1989</w:t>
      </w:r>
      <w:r>
        <w:noBreakHyphen/>
        <w:t>99 to an average of around $260 million over the forward estimates period. This margin is equivalent to the sustainable cash surplus.</w:t>
      </w:r>
    </w:p>
    <w:p w:rsidR="00000000" w:rsidRDefault="001F233B">
      <w:pPr>
        <w:pStyle w:val="Tableheading"/>
        <w:rPr>
          <w:i/>
          <w:vertAlign w:val="superscript"/>
        </w:rPr>
      </w:pPr>
      <w:bookmarkStart w:id="28" w:name="_Toc417482508"/>
      <w:bookmarkStart w:id="29" w:name="_Toc417552737"/>
      <w:r>
        <w:t>Table 2.2: Investment</w:t>
      </w:r>
      <w:r>
        <w:fldChar w:fldCharType="begin"/>
      </w:r>
      <w:r>
        <w:instrText>xe "Economy:Investment"</w:instrText>
      </w:r>
      <w:r>
        <w:fldChar w:fldCharType="end"/>
      </w:r>
      <w:r>
        <w:t xml:space="preserve"> Fund</w:t>
      </w:r>
      <w:r>
        <w:t xml:space="preserve">ing and Target Operating Surplus </w:t>
      </w:r>
      <w:r>
        <w:rPr>
          <w:i/>
          <w:vertAlign w:val="superscript"/>
        </w:rPr>
        <w:t>(a)</w:t>
      </w:r>
      <w:bookmarkEnd w:id="28"/>
      <w:bookmarkEnd w:id="29"/>
    </w:p>
    <w:p w:rsidR="00000000" w:rsidRDefault="001F233B">
      <w:pPr>
        <w:pStyle w:val="dollars"/>
        <w:rPr>
          <w:rFonts w:ascii="Times New Roman" w:hAnsi="Times New Roman"/>
          <w:b/>
          <w:noProof/>
        </w:rPr>
      </w:pPr>
    </w:p>
    <w:tbl>
      <w:tblPr>
        <w:tblW w:w="0" w:type="auto"/>
        <w:tblLayout w:type="fixed"/>
        <w:tblCellMar>
          <w:left w:w="30" w:type="dxa"/>
          <w:right w:w="30" w:type="dxa"/>
        </w:tblCellMar>
        <w:tblLook w:val="0000" w:firstRow="0" w:lastRow="0" w:firstColumn="0" w:lastColumn="0" w:noHBand="0" w:noVBand="0"/>
      </w:tblPr>
      <w:tblGrid>
        <w:gridCol w:w="3540"/>
        <w:gridCol w:w="900"/>
        <w:gridCol w:w="900"/>
        <w:gridCol w:w="900"/>
        <w:gridCol w:w="900"/>
      </w:tblGrid>
      <w:tr w:rsidR="00000000">
        <w:tblPrEx>
          <w:tblCellMar>
            <w:top w:w="0" w:type="dxa"/>
            <w:bottom w:w="0" w:type="dxa"/>
          </w:tblCellMar>
        </w:tblPrEx>
        <w:trPr>
          <w:trHeight w:val="269"/>
        </w:trPr>
        <w:tc>
          <w:tcPr>
            <w:tcW w:w="3540" w:type="dxa"/>
            <w:tcBorders>
              <w:top w:val="single" w:sz="6" w:space="0" w:color="auto"/>
            </w:tcBorders>
          </w:tcPr>
          <w:p w:rsidR="00000000" w:rsidRDefault="001F233B">
            <w:pPr>
              <w:pStyle w:val="Tabletext"/>
              <w:jc w:val="right"/>
              <w:rPr>
                <w:i/>
              </w:rPr>
            </w:pPr>
          </w:p>
        </w:tc>
        <w:tc>
          <w:tcPr>
            <w:tcW w:w="900" w:type="dxa"/>
            <w:tcBorders>
              <w:top w:val="single" w:sz="6" w:space="0" w:color="auto"/>
            </w:tcBorders>
          </w:tcPr>
          <w:p w:rsidR="00000000" w:rsidRDefault="001F233B">
            <w:pPr>
              <w:pStyle w:val="Tabletext"/>
              <w:jc w:val="right"/>
              <w:rPr>
                <w:i/>
              </w:rPr>
            </w:pPr>
            <w:r>
              <w:rPr>
                <w:i/>
              </w:rPr>
              <w:t>1998-99</w:t>
            </w:r>
          </w:p>
        </w:tc>
        <w:tc>
          <w:tcPr>
            <w:tcW w:w="900" w:type="dxa"/>
            <w:tcBorders>
              <w:top w:val="single" w:sz="6" w:space="0" w:color="auto"/>
            </w:tcBorders>
          </w:tcPr>
          <w:p w:rsidR="00000000" w:rsidRDefault="001F233B">
            <w:pPr>
              <w:pStyle w:val="Tabletext"/>
              <w:jc w:val="right"/>
              <w:rPr>
                <w:i/>
              </w:rPr>
            </w:pPr>
            <w:r>
              <w:rPr>
                <w:i/>
              </w:rPr>
              <w:t>1999-00</w:t>
            </w:r>
          </w:p>
        </w:tc>
        <w:tc>
          <w:tcPr>
            <w:tcW w:w="900" w:type="dxa"/>
            <w:tcBorders>
              <w:top w:val="single" w:sz="6" w:space="0" w:color="auto"/>
            </w:tcBorders>
          </w:tcPr>
          <w:p w:rsidR="00000000" w:rsidRDefault="001F233B">
            <w:pPr>
              <w:pStyle w:val="Tabletext"/>
              <w:jc w:val="right"/>
              <w:rPr>
                <w:i/>
              </w:rPr>
            </w:pPr>
            <w:r>
              <w:rPr>
                <w:i/>
              </w:rPr>
              <w:t>2000-01</w:t>
            </w:r>
          </w:p>
        </w:tc>
        <w:tc>
          <w:tcPr>
            <w:tcW w:w="900" w:type="dxa"/>
            <w:tcBorders>
              <w:top w:val="single" w:sz="6" w:space="0" w:color="auto"/>
            </w:tcBorders>
          </w:tcPr>
          <w:p w:rsidR="00000000" w:rsidRDefault="001F233B">
            <w:pPr>
              <w:pStyle w:val="Tabletext"/>
              <w:jc w:val="right"/>
              <w:rPr>
                <w:i/>
              </w:rPr>
            </w:pPr>
            <w:r>
              <w:rPr>
                <w:i/>
              </w:rPr>
              <w:t>2001-02</w:t>
            </w:r>
          </w:p>
        </w:tc>
      </w:tr>
      <w:tr w:rsidR="00000000">
        <w:tblPrEx>
          <w:tblCellMar>
            <w:top w:w="0" w:type="dxa"/>
            <w:bottom w:w="0" w:type="dxa"/>
          </w:tblCellMar>
        </w:tblPrEx>
        <w:trPr>
          <w:trHeight w:val="269"/>
        </w:trPr>
        <w:tc>
          <w:tcPr>
            <w:tcW w:w="3540" w:type="dxa"/>
            <w:tcBorders>
              <w:bottom w:val="single" w:sz="6" w:space="0" w:color="auto"/>
            </w:tcBorders>
          </w:tcPr>
          <w:p w:rsidR="00000000" w:rsidRDefault="001F233B">
            <w:pPr>
              <w:pStyle w:val="Tabletext"/>
              <w:jc w:val="right"/>
              <w:rPr>
                <w:i/>
              </w:rPr>
            </w:pPr>
          </w:p>
        </w:tc>
        <w:tc>
          <w:tcPr>
            <w:tcW w:w="900" w:type="dxa"/>
            <w:tcBorders>
              <w:bottom w:val="single" w:sz="6" w:space="0" w:color="auto"/>
            </w:tcBorders>
          </w:tcPr>
          <w:p w:rsidR="00000000" w:rsidRDefault="001F233B">
            <w:pPr>
              <w:pStyle w:val="Tabletext"/>
              <w:jc w:val="right"/>
              <w:rPr>
                <w:i/>
              </w:rPr>
            </w:pPr>
            <w:r>
              <w:rPr>
                <w:i/>
              </w:rPr>
              <w:t>Budget</w:t>
            </w:r>
          </w:p>
        </w:tc>
        <w:tc>
          <w:tcPr>
            <w:tcW w:w="900" w:type="dxa"/>
            <w:tcBorders>
              <w:bottom w:val="single" w:sz="6" w:space="0" w:color="auto"/>
            </w:tcBorders>
          </w:tcPr>
          <w:p w:rsidR="00000000" w:rsidRDefault="001F233B">
            <w:pPr>
              <w:pStyle w:val="Tabletext"/>
              <w:jc w:val="right"/>
              <w:rPr>
                <w:i/>
              </w:rPr>
            </w:pPr>
            <w:r>
              <w:rPr>
                <w:i/>
              </w:rPr>
              <w:t>Estimate</w:t>
            </w:r>
          </w:p>
        </w:tc>
        <w:tc>
          <w:tcPr>
            <w:tcW w:w="900" w:type="dxa"/>
            <w:tcBorders>
              <w:bottom w:val="single" w:sz="6" w:space="0" w:color="auto"/>
            </w:tcBorders>
          </w:tcPr>
          <w:p w:rsidR="00000000" w:rsidRDefault="001F233B">
            <w:pPr>
              <w:pStyle w:val="Tabletext"/>
              <w:jc w:val="right"/>
              <w:rPr>
                <w:i/>
              </w:rPr>
            </w:pPr>
            <w:r>
              <w:rPr>
                <w:i/>
              </w:rPr>
              <w:t>Estimate</w:t>
            </w:r>
          </w:p>
        </w:tc>
        <w:tc>
          <w:tcPr>
            <w:tcW w:w="900" w:type="dxa"/>
            <w:tcBorders>
              <w:bottom w:val="single" w:sz="6" w:space="0" w:color="auto"/>
            </w:tcBorders>
          </w:tcPr>
          <w:p w:rsidR="00000000" w:rsidRDefault="001F233B">
            <w:pPr>
              <w:pStyle w:val="Tabletext"/>
              <w:jc w:val="right"/>
              <w:rPr>
                <w:i/>
              </w:rPr>
            </w:pPr>
            <w:r>
              <w:rPr>
                <w:i/>
              </w:rPr>
              <w:t>Estimate</w:t>
            </w:r>
          </w:p>
        </w:tc>
      </w:tr>
      <w:tr w:rsidR="00000000">
        <w:tblPrEx>
          <w:tblCellMar>
            <w:top w:w="0" w:type="dxa"/>
            <w:bottom w:w="0" w:type="dxa"/>
          </w:tblCellMar>
        </w:tblPrEx>
        <w:trPr>
          <w:trHeight w:val="269"/>
        </w:trPr>
        <w:tc>
          <w:tcPr>
            <w:tcW w:w="3540" w:type="dxa"/>
          </w:tcPr>
          <w:p w:rsidR="00000000" w:rsidRDefault="001F233B">
            <w:pPr>
              <w:pStyle w:val="Tabletext"/>
              <w:rPr>
                <w:i/>
                <w:sz w:val="16"/>
                <w:vertAlign w:val="superscript"/>
              </w:rPr>
            </w:pPr>
            <w:r>
              <w:t>Direct Gross Investment</w:t>
            </w:r>
            <w:r>
              <w:fldChar w:fldCharType="begin"/>
            </w:r>
            <w:r>
              <w:instrText>xe "Economy:Investment"</w:instrText>
            </w:r>
            <w:r>
              <w:fldChar w:fldCharType="end"/>
            </w:r>
            <w:r>
              <w:t xml:space="preserve"> in Assets </w:t>
            </w:r>
            <w:r>
              <w:rPr>
                <w:i/>
                <w:sz w:val="16"/>
                <w:vertAlign w:val="superscript"/>
              </w:rPr>
              <w:t>(b)(c)</w:t>
            </w:r>
          </w:p>
        </w:tc>
        <w:tc>
          <w:tcPr>
            <w:tcW w:w="900" w:type="dxa"/>
          </w:tcPr>
          <w:p w:rsidR="00000000" w:rsidRDefault="001F233B">
            <w:pPr>
              <w:pStyle w:val="Tabletext"/>
              <w:jc w:val="right"/>
            </w:pPr>
            <w:r>
              <w:t>1 339</w:t>
            </w:r>
          </w:p>
        </w:tc>
        <w:tc>
          <w:tcPr>
            <w:tcW w:w="900" w:type="dxa"/>
          </w:tcPr>
          <w:p w:rsidR="00000000" w:rsidRDefault="001F233B">
            <w:pPr>
              <w:pStyle w:val="Tabletext"/>
              <w:jc w:val="right"/>
            </w:pPr>
            <w:r>
              <w:t>1 519</w:t>
            </w:r>
          </w:p>
        </w:tc>
        <w:tc>
          <w:tcPr>
            <w:tcW w:w="900" w:type="dxa"/>
          </w:tcPr>
          <w:p w:rsidR="00000000" w:rsidRDefault="001F233B">
            <w:pPr>
              <w:pStyle w:val="Tabletext"/>
              <w:jc w:val="right"/>
            </w:pPr>
            <w:r>
              <w:t>1 630</w:t>
            </w:r>
          </w:p>
        </w:tc>
        <w:tc>
          <w:tcPr>
            <w:tcW w:w="900" w:type="dxa"/>
          </w:tcPr>
          <w:p w:rsidR="00000000" w:rsidRDefault="001F233B">
            <w:pPr>
              <w:pStyle w:val="Tabletext"/>
              <w:jc w:val="right"/>
            </w:pPr>
            <w:r>
              <w:t>1 804</w:t>
            </w:r>
          </w:p>
        </w:tc>
      </w:tr>
      <w:tr w:rsidR="00000000">
        <w:tblPrEx>
          <w:tblCellMar>
            <w:top w:w="0" w:type="dxa"/>
            <w:bottom w:w="0" w:type="dxa"/>
          </w:tblCellMar>
        </w:tblPrEx>
        <w:trPr>
          <w:trHeight w:val="269"/>
        </w:trPr>
        <w:tc>
          <w:tcPr>
            <w:tcW w:w="3540" w:type="dxa"/>
          </w:tcPr>
          <w:p w:rsidR="00000000" w:rsidRDefault="001F233B">
            <w:pPr>
              <w:pStyle w:val="Tabletext"/>
              <w:rPr>
                <w:i/>
              </w:rPr>
            </w:pPr>
            <w:r>
              <w:rPr>
                <w:i/>
              </w:rPr>
              <w:t>Less :</w:t>
            </w:r>
          </w:p>
        </w:tc>
        <w:tc>
          <w:tcPr>
            <w:tcW w:w="900" w:type="dxa"/>
          </w:tcPr>
          <w:p w:rsidR="00000000" w:rsidRDefault="001F233B">
            <w:pPr>
              <w:pStyle w:val="Tabletext"/>
              <w:jc w:val="right"/>
            </w:pPr>
          </w:p>
        </w:tc>
        <w:tc>
          <w:tcPr>
            <w:tcW w:w="900" w:type="dxa"/>
          </w:tcPr>
          <w:p w:rsidR="00000000" w:rsidRDefault="001F233B">
            <w:pPr>
              <w:pStyle w:val="Tabletext"/>
              <w:jc w:val="right"/>
            </w:pPr>
          </w:p>
        </w:tc>
        <w:tc>
          <w:tcPr>
            <w:tcW w:w="900" w:type="dxa"/>
          </w:tcPr>
          <w:p w:rsidR="00000000" w:rsidRDefault="001F233B">
            <w:pPr>
              <w:pStyle w:val="Tabletext"/>
              <w:jc w:val="right"/>
            </w:pPr>
          </w:p>
        </w:tc>
        <w:tc>
          <w:tcPr>
            <w:tcW w:w="900" w:type="dxa"/>
          </w:tcPr>
          <w:p w:rsidR="00000000" w:rsidRDefault="001F233B">
            <w:pPr>
              <w:pStyle w:val="Tabletext"/>
              <w:jc w:val="right"/>
            </w:pPr>
          </w:p>
        </w:tc>
      </w:tr>
      <w:tr w:rsidR="00000000">
        <w:tblPrEx>
          <w:tblCellMar>
            <w:top w:w="0" w:type="dxa"/>
            <w:bottom w:w="0" w:type="dxa"/>
          </w:tblCellMar>
        </w:tblPrEx>
        <w:trPr>
          <w:trHeight w:val="269"/>
        </w:trPr>
        <w:tc>
          <w:tcPr>
            <w:tcW w:w="3540" w:type="dxa"/>
          </w:tcPr>
          <w:p w:rsidR="00000000" w:rsidRDefault="001F233B">
            <w:pPr>
              <w:pStyle w:val="Tabletext"/>
            </w:pPr>
            <w:r>
              <w:t>Depreciation</w:t>
            </w:r>
          </w:p>
        </w:tc>
        <w:tc>
          <w:tcPr>
            <w:tcW w:w="900" w:type="dxa"/>
          </w:tcPr>
          <w:p w:rsidR="00000000" w:rsidRDefault="001F233B">
            <w:pPr>
              <w:pStyle w:val="Tabletext"/>
              <w:jc w:val="right"/>
            </w:pPr>
            <w:r>
              <w:t xml:space="preserve">        785 </w:t>
            </w:r>
          </w:p>
        </w:tc>
        <w:tc>
          <w:tcPr>
            <w:tcW w:w="900" w:type="dxa"/>
          </w:tcPr>
          <w:p w:rsidR="00000000" w:rsidRDefault="001F233B">
            <w:pPr>
              <w:pStyle w:val="Tabletext"/>
              <w:jc w:val="right"/>
            </w:pPr>
            <w:r>
              <w:t xml:space="preserve">        795 </w:t>
            </w:r>
          </w:p>
        </w:tc>
        <w:tc>
          <w:tcPr>
            <w:tcW w:w="900" w:type="dxa"/>
          </w:tcPr>
          <w:p w:rsidR="00000000" w:rsidRDefault="001F233B">
            <w:pPr>
              <w:pStyle w:val="Tabletext"/>
              <w:jc w:val="right"/>
            </w:pPr>
            <w:r>
              <w:t xml:space="preserve">        812 </w:t>
            </w:r>
          </w:p>
        </w:tc>
        <w:tc>
          <w:tcPr>
            <w:tcW w:w="900" w:type="dxa"/>
          </w:tcPr>
          <w:p w:rsidR="00000000" w:rsidRDefault="001F233B">
            <w:pPr>
              <w:pStyle w:val="Tabletext"/>
              <w:jc w:val="right"/>
            </w:pPr>
            <w:r>
              <w:t xml:space="preserve">        836 </w:t>
            </w:r>
          </w:p>
        </w:tc>
      </w:tr>
      <w:tr w:rsidR="00000000">
        <w:tblPrEx>
          <w:tblCellMar>
            <w:top w:w="0" w:type="dxa"/>
            <w:bottom w:w="0" w:type="dxa"/>
          </w:tblCellMar>
        </w:tblPrEx>
        <w:trPr>
          <w:trHeight w:val="269"/>
        </w:trPr>
        <w:tc>
          <w:tcPr>
            <w:tcW w:w="3540" w:type="dxa"/>
            <w:tcBorders>
              <w:bottom w:val="single" w:sz="6" w:space="0" w:color="auto"/>
            </w:tcBorders>
          </w:tcPr>
          <w:p w:rsidR="00000000" w:rsidRDefault="001F233B">
            <w:pPr>
              <w:pStyle w:val="Tabletext"/>
              <w:rPr>
                <w:i/>
                <w:sz w:val="16"/>
                <w:vertAlign w:val="superscript"/>
              </w:rPr>
            </w:pPr>
            <w:r>
              <w:t xml:space="preserve">Increase in other provisions (net) </w:t>
            </w:r>
            <w:r>
              <w:rPr>
                <w:i/>
                <w:sz w:val="16"/>
                <w:vertAlign w:val="superscript"/>
              </w:rPr>
              <w:t>(d)</w:t>
            </w:r>
          </w:p>
        </w:tc>
        <w:tc>
          <w:tcPr>
            <w:tcW w:w="900" w:type="dxa"/>
            <w:tcBorders>
              <w:bottom w:val="single" w:sz="6" w:space="0" w:color="auto"/>
            </w:tcBorders>
          </w:tcPr>
          <w:p w:rsidR="00000000" w:rsidRDefault="001F233B">
            <w:pPr>
              <w:pStyle w:val="Tabletext"/>
              <w:jc w:val="right"/>
            </w:pPr>
            <w:r>
              <w:t xml:space="preserve">          400 </w:t>
            </w:r>
          </w:p>
        </w:tc>
        <w:tc>
          <w:tcPr>
            <w:tcW w:w="900" w:type="dxa"/>
            <w:tcBorders>
              <w:bottom w:val="single" w:sz="6" w:space="0" w:color="auto"/>
            </w:tcBorders>
          </w:tcPr>
          <w:p w:rsidR="00000000" w:rsidRDefault="001F233B">
            <w:pPr>
              <w:pStyle w:val="Tabletext"/>
              <w:jc w:val="right"/>
            </w:pPr>
            <w:r>
              <w:t xml:space="preserve">         357 </w:t>
            </w:r>
          </w:p>
        </w:tc>
        <w:tc>
          <w:tcPr>
            <w:tcW w:w="900" w:type="dxa"/>
            <w:tcBorders>
              <w:bottom w:val="single" w:sz="6" w:space="0" w:color="auto"/>
            </w:tcBorders>
          </w:tcPr>
          <w:p w:rsidR="00000000" w:rsidRDefault="001F233B">
            <w:pPr>
              <w:pStyle w:val="Tabletext"/>
              <w:jc w:val="right"/>
            </w:pPr>
            <w:r>
              <w:t xml:space="preserve">        309 </w:t>
            </w:r>
          </w:p>
        </w:tc>
        <w:tc>
          <w:tcPr>
            <w:tcW w:w="900" w:type="dxa"/>
            <w:tcBorders>
              <w:bottom w:val="single" w:sz="6" w:space="0" w:color="auto"/>
            </w:tcBorders>
          </w:tcPr>
          <w:p w:rsidR="00000000" w:rsidRDefault="001F233B">
            <w:pPr>
              <w:pStyle w:val="Tabletext"/>
              <w:jc w:val="right"/>
            </w:pPr>
            <w:r>
              <w:t xml:space="preserve">         281 </w:t>
            </w:r>
          </w:p>
        </w:tc>
      </w:tr>
      <w:tr w:rsidR="00000000">
        <w:tblPrEx>
          <w:tblCellMar>
            <w:top w:w="0" w:type="dxa"/>
            <w:bottom w:w="0" w:type="dxa"/>
          </w:tblCellMar>
        </w:tblPrEx>
        <w:trPr>
          <w:trHeight w:val="360"/>
        </w:trPr>
        <w:tc>
          <w:tcPr>
            <w:tcW w:w="3540" w:type="dxa"/>
            <w:tcBorders>
              <w:bottom w:val="single" w:sz="6" w:space="0" w:color="auto"/>
            </w:tcBorders>
          </w:tcPr>
          <w:p w:rsidR="00000000" w:rsidRDefault="001F233B">
            <w:pPr>
              <w:pStyle w:val="Tabletext"/>
            </w:pPr>
            <w:r>
              <w:t>Equals Required Operating Surplus</w:t>
            </w:r>
          </w:p>
        </w:tc>
        <w:tc>
          <w:tcPr>
            <w:tcW w:w="900" w:type="dxa"/>
            <w:tcBorders>
              <w:bottom w:val="single" w:sz="6" w:space="0" w:color="auto"/>
            </w:tcBorders>
          </w:tcPr>
          <w:p w:rsidR="00000000" w:rsidRDefault="001F233B">
            <w:pPr>
              <w:pStyle w:val="Tabletext"/>
              <w:jc w:val="right"/>
            </w:pPr>
            <w:r>
              <w:t xml:space="preserve">         154 </w:t>
            </w:r>
          </w:p>
        </w:tc>
        <w:tc>
          <w:tcPr>
            <w:tcW w:w="900" w:type="dxa"/>
            <w:tcBorders>
              <w:bottom w:val="single" w:sz="6" w:space="0" w:color="auto"/>
            </w:tcBorders>
          </w:tcPr>
          <w:p w:rsidR="00000000" w:rsidRDefault="001F233B">
            <w:pPr>
              <w:pStyle w:val="Tabletext"/>
              <w:jc w:val="right"/>
            </w:pPr>
            <w:r>
              <w:t xml:space="preserve">          367 </w:t>
            </w:r>
          </w:p>
        </w:tc>
        <w:tc>
          <w:tcPr>
            <w:tcW w:w="900" w:type="dxa"/>
            <w:tcBorders>
              <w:bottom w:val="single" w:sz="6" w:space="0" w:color="auto"/>
            </w:tcBorders>
          </w:tcPr>
          <w:p w:rsidR="00000000" w:rsidRDefault="001F233B">
            <w:pPr>
              <w:pStyle w:val="Tabletext"/>
              <w:jc w:val="right"/>
            </w:pPr>
            <w:r>
              <w:t xml:space="preserve">       509 </w:t>
            </w:r>
          </w:p>
        </w:tc>
        <w:tc>
          <w:tcPr>
            <w:tcW w:w="900" w:type="dxa"/>
            <w:tcBorders>
              <w:bottom w:val="single" w:sz="6" w:space="0" w:color="auto"/>
            </w:tcBorders>
          </w:tcPr>
          <w:p w:rsidR="00000000" w:rsidRDefault="001F233B">
            <w:pPr>
              <w:pStyle w:val="Tabletext"/>
              <w:jc w:val="right"/>
            </w:pPr>
            <w:r>
              <w:t xml:space="preserve">        688 </w:t>
            </w:r>
          </w:p>
        </w:tc>
      </w:tr>
      <w:tr w:rsidR="00000000">
        <w:tblPrEx>
          <w:tblCellMar>
            <w:top w:w="0" w:type="dxa"/>
            <w:bottom w:w="0" w:type="dxa"/>
          </w:tblCellMar>
        </w:tblPrEx>
        <w:trPr>
          <w:trHeight w:val="281"/>
        </w:trPr>
        <w:tc>
          <w:tcPr>
            <w:tcW w:w="3540" w:type="dxa"/>
            <w:tcBorders>
              <w:bottom w:val="single" w:sz="12" w:space="0" w:color="auto"/>
            </w:tcBorders>
          </w:tcPr>
          <w:p w:rsidR="00000000" w:rsidRDefault="001F233B">
            <w:pPr>
              <w:pStyle w:val="Tabletext"/>
              <w:rPr>
                <w:b/>
              </w:rPr>
            </w:pPr>
            <w:r>
              <w:rPr>
                <w:b/>
              </w:rPr>
              <w:t>Forecast Sustainable Operating Surplus</w:t>
            </w:r>
          </w:p>
        </w:tc>
        <w:tc>
          <w:tcPr>
            <w:tcW w:w="900" w:type="dxa"/>
            <w:tcBorders>
              <w:bottom w:val="single" w:sz="12" w:space="0" w:color="auto"/>
            </w:tcBorders>
          </w:tcPr>
          <w:p w:rsidR="00000000" w:rsidRDefault="001F233B">
            <w:pPr>
              <w:pStyle w:val="Tabletext"/>
              <w:jc w:val="right"/>
              <w:rPr>
                <w:b/>
              </w:rPr>
            </w:pPr>
            <w:r>
              <w:rPr>
                <w:b/>
              </w:rPr>
              <w:t xml:space="preserve">       701 </w:t>
            </w:r>
          </w:p>
        </w:tc>
        <w:tc>
          <w:tcPr>
            <w:tcW w:w="900" w:type="dxa"/>
            <w:tcBorders>
              <w:bottom w:val="single" w:sz="12" w:space="0" w:color="auto"/>
            </w:tcBorders>
          </w:tcPr>
          <w:p w:rsidR="00000000" w:rsidRDefault="001F233B">
            <w:pPr>
              <w:pStyle w:val="Tabletext"/>
              <w:jc w:val="right"/>
              <w:rPr>
                <w:b/>
              </w:rPr>
            </w:pPr>
            <w:r>
              <w:rPr>
                <w:b/>
              </w:rPr>
              <w:t xml:space="preserve">      654 </w:t>
            </w:r>
          </w:p>
        </w:tc>
        <w:tc>
          <w:tcPr>
            <w:tcW w:w="900" w:type="dxa"/>
            <w:tcBorders>
              <w:bottom w:val="single" w:sz="12" w:space="0" w:color="auto"/>
            </w:tcBorders>
          </w:tcPr>
          <w:p w:rsidR="00000000" w:rsidRDefault="001F233B">
            <w:pPr>
              <w:pStyle w:val="Tabletext"/>
              <w:jc w:val="right"/>
              <w:rPr>
                <w:b/>
              </w:rPr>
            </w:pPr>
            <w:r>
              <w:rPr>
                <w:b/>
              </w:rPr>
              <w:t xml:space="preserve">       736 </w:t>
            </w:r>
          </w:p>
        </w:tc>
        <w:tc>
          <w:tcPr>
            <w:tcW w:w="900" w:type="dxa"/>
            <w:tcBorders>
              <w:bottom w:val="single" w:sz="12" w:space="0" w:color="auto"/>
            </w:tcBorders>
          </w:tcPr>
          <w:p w:rsidR="00000000" w:rsidRDefault="001F233B">
            <w:pPr>
              <w:pStyle w:val="Tabletext"/>
              <w:jc w:val="right"/>
              <w:rPr>
                <w:b/>
              </w:rPr>
            </w:pPr>
            <w:r>
              <w:rPr>
                <w:b/>
              </w:rPr>
              <w:t xml:space="preserve">      949 </w:t>
            </w:r>
          </w:p>
        </w:tc>
      </w:tr>
    </w:tbl>
    <w:p w:rsidR="00000000" w:rsidRDefault="001F233B">
      <w:pPr>
        <w:pStyle w:val="Source"/>
        <w:spacing w:after="0"/>
      </w:pPr>
      <w:r>
        <w:t>Source: Department of Treasury and Finance.</w:t>
      </w:r>
    </w:p>
    <w:p w:rsidR="00000000" w:rsidRDefault="001F233B">
      <w:pPr>
        <w:keepNext/>
        <w:spacing w:after="0"/>
      </w:pPr>
      <w:r>
        <w:rPr>
          <w:i/>
          <w:sz w:val="18"/>
        </w:rPr>
        <w:t>Notes:</w:t>
      </w:r>
    </w:p>
    <w:p w:rsidR="00000000" w:rsidRDefault="001F233B" w:rsidP="001F233B">
      <w:pPr>
        <w:pStyle w:val="Notes"/>
        <w:keepNext/>
        <w:numPr>
          <w:ilvl w:val="0"/>
          <w:numId w:val="7"/>
        </w:numPr>
        <w:jc w:val="both"/>
      </w:pPr>
      <w:r>
        <w:t>For more detailed information on the forward estimates and sustainable operating surplus</w:t>
      </w:r>
      <w:r>
        <w:fldChar w:fldCharType="begin"/>
      </w:r>
      <w:r>
        <w:instrText>xe "Operating surplus"</w:instrText>
      </w:r>
      <w:r>
        <w:fldChar w:fldCharType="end"/>
      </w:r>
      <w:r>
        <w:t>, see Chapter 3, Fiscal Position and Outlook.</w:t>
      </w:r>
    </w:p>
    <w:p w:rsidR="00000000" w:rsidRDefault="001F233B" w:rsidP="001F233B">
      <w:pPr>
        <w:pStyle w:val="Notes"/>
        <w:keepNext/>
        <w:numPr>
          <w:ilvl w:val="0"/>
          <w:numId w:val="7"/>
        </w:numPr>
        <w:jc w:val="both"/>
      </w:pPr>
      <w:r>
        <w:t>Gross investment</w:t>
      </w:r>
      <w:r>
        <w:fldChar w:fldCharType="begin"/>
      </w:r>
      <w:r>
        <w:instrText>xe "Economy:Investment"</w:instrText>
      </w:r>
      <w:r>
        <w:fldChar w:fldCharType="end"/>
      </w:r>
      <w:r>
        <w:t>, before allowance for depreciation of existing fixed assets. Excludes abnormal capital expenditures and receipts (such as capital restructuring costs and one-off capital repatriations).</w:t>
      </w:r>
    </w:p>
    <w:p w:rsidR="00000000" w:rsidRDefault="001F233B" w:rsidP="001F233B">
      <w:pPr>
        <w:pStyle w:val="Notes"/>
        <w:keepNext/>
        <w:numPr>
          <w:ilvl w:val="0"/>
          <w:numId w:val="7"/>
        </w:numPr>
        <w:tabs>
          <w:tab w:val="clear" w:pos="454"/>
        </w:tabs>
        <w:ind w:left="357" w:hanging="357"/>
        <w:jc w:val="both"/>
      </w:pPr>
      <w:r>
        <w:t>Excludes budget capital transfers to Of</w:t>
      </w:r>
      <w:r>
        <w:t>fice of Housing and PTC, which are classified as operating expenses under current accounting standards.</w:t>
      </w:r>
    </w:p>
    <w:p w:rsidR="00000000" w:rsidRDefault="001F233B" w:rsidP="001F233B">
      <w:pPr>
        <w:pStyle w:val="Notes"/>
        <w:keepNext/>
        <w:numPr>
          <w:ilvl w:val="0"/>
          <w:numId w:val="7"/>
        </w:numPr>
        <w:tabs>
          <w:tab w:val="clear" w:pos="454"/>
        </w:tabs>
        <w:ind w:left="357" w:hanging="357"/>
        <w:jc w:val="both"/>
      </w:pPr>
      <w:r>
        <w:t xml:space="preserve">Includes increase in creditors, employee entitlement and superannuation liabilities, less increase in accrued revenue and other receivables. </w:t>
      </w:r>
    </w:p>
    <w:p w:rsidR="00000000" w:rsidRDefault="001F233B"/>
    <w:p w:rsidR="00000000" w:rsidRDefault="001F233B">
      <w:r>
        <w:t>An operating surplus</w:t>
      </w:r>
      <w:r>
        <w:fldChar w:fldCharType="begin"/>
      </w:r>
      <w:r>
        <w:instrText>xe "Operating surplus"</w:instrText>
      </w:r>
      <w:r>
        <w:fldChar w:fldCharType="end"/>
      </w:r>
      <w:r>
        <w:t xml:space="preserve"> in excess of the target is considered prudent over the medium term, given significant risks and uncertainties associated with budget planning a number of years into the future. The possibility of economic instability ass</w:t>
      </w:r>
      <w:r>
        <w:t>ociated with the economic situation in East Asia</w:t>
      </w:r>
      <w:r>
        <w:fldChar w:fldCharType="begin"/>
      </w:r>
      <w:r>
        <w:instrText>xe "Asia"</w:instrText>
      </w:r>
      <w:r>
        <w:fldChar w:fldCharType="end"/>
      </w:r>
      <w:r>
        <w:t xml:space="preserve"> and Japan is an example of the type of risk that may impact on the budget outlook. Chapter 7, </w:t>
      </w:r>
      <w:r>
        <w:rPr>
          <w:i/>
        </w:rPr>
        <w:t>Economic Outlook,</w:t>
      </w:r>
      <w:r>
        <w:t xml:space="preserve"> provides details on the economic assumptions underlying the 1998</w:t>
      </w:r>
      <w:r>
        <w:noBreakHyphen/>
        <w:t>99 Budget, which allow for a moderate slowdown in the rate of Victorian economic growth</w:t>
      </w:r>
      <w:r>
        <w:fldChar w:fldCharType="begin"/>
      </w:r>
      <w:r>
        <w:instrText>xe "Economic growth"</w:instrText>
      </w:r>
      <w:r>
        <w:fldChar w:fldCharType="end"/>
      </w:r>
      <w:r>
        <w:t xml:space="preserve"> due to the impact of the deterioration in the East Asia</w:t>
      </w:r>
      <w:r>
        <w:fldChar w:fldCharType="begin"/>
      </w:r>
      <w:r>
        <w:instrText>xe "Economy:East Asia"</w:instrText>
      </w:r>
      <w:r>
        <w:fldChar w:fldCharType="end"/>
      </w:r>
      <w:r>
        <w:fldChar w:fldCharType="begin"/>
      </w:r>
      <w:r>
        <w:instrText>xe "East Asia"</w:instrText>
      </w:r>
      <w:r>
        <w:fldChar w:fldCharType="end"/>
      </w:r>
      <w:r>
        <w:t>n economies. There is a risk, however, that the Asian economic situati</w:t>
      </w:r>
      <w:r>
        <w:t xml:space="preserve">on could have a more pronounced impact on Australian and Victorian economic activity than anticipated. It is therefore appropriate and prudent to maintain a ‘risk premium’ in the Budget’s operating surplus to allow for such risks and uncertainties. </w:t>
      </w:r>
    </w:p>
    <w:p w:rsidR="00000000" w:rsidRDefault="001F233B">
      <w:pPr>
        <w:pStyle w:val="Heading2"/>
      </w:pPr>
      <w:bookmarkStart w:id="30" w:name="_Toc417482316"/>
      <w:bookmarkStart w:id="31" w:name="_Toc417552072"/>
      <w:r>
        <w:lastRenderedPageBreak/>
        <w:t>Service delivery</w:t>
      </w:r>
      <w:bookmarkEnd w:id="30"/>
      <w:bookmarkEnd w:id="31"/>
      <w:r>
        <w:fldChar w:fldCharType="begin"/>
      </w:r>
      <w:r>
        <w:instrText>xe "Service delivery"</w:instrText>
      </w:r>
      <w:r>
        <w:fldChar w:fldCharType="end"/>
      </w:r>
    </w:p>
    <w:p w:rsidR="00000000" w:rsidRDefault="001F233B">
      <w:pPr>
        <w:spacing w:after="240"/>
      </w:pPr>
      <w:r>
        <w:t>The underlying level of spending on departmental service delivery</w:t>
      </w:r>
      <w:r>
        <w:fldChar w:fldCharType="begin"/>
      </w:r>
      <w:r>
        <w:instrText>xe "Service delivery"</w:instrText>
      </w:r>
      <w:r>
        <w:fldChar w:fldCharType="end"/>
      </w:r>
      <w:r>
        <w:t xml:space="preserve"> has been reduced from obvious ‘overspending’ at the beginning of the 1990s to levels around the average for other States as assessed </w:t>
      </w:r>
      <w:r>
        <w:t>by the Commonwealth Grants Commission</w:t>
      </w:r>
      <w:r>
        <w:fldChar w:fldCharType="begin"/>
      </w:r>
      <w:r>
        <w:instrText>xe "Commonwealth Grants Commission (CGC)"</w:instrText>
      </w:r>
      <w:r>
        <w:fldChar w:fldCharType="end"/>
      </w:r>
      <w:r>
        <w:t xml:space="preserve"> (CGC). A significant part of the savings has been derived from efficiency improvement and available output benchmarks suggest that Victorians are enjoying service standards at least on a par with other States. </w:t>
      </w:r>
    </w:p>
    <w:p w:rsidR="00000000" w:rsidRDefault="001F233B">
      <w:r>
        <w:t>The $271 million in service delivery</w:t>
      </w:r>
      <w:r>
        <w:fldChar w:fldCharType="begin"/>
      </w:r>
      <w:r>
        <w:instrText>xe "Service delivery"</w:instrText>
      </w:r>
      <w:r>
        <w:fldChar w:fldCharType="end"/>
      </w:r>
      <w:r>
        <w:t xml:space="preserve"> initiatives</w:t>
      </w:r>
      <w:r>
        <w:fldChar w:fldCharType="begin"/>
      </w:r>
      <w:r>
        <w:instrText>xe "Service delivery:Service delivery initiatives"</w:instrText>
      </w:r>
      <w:r>
        <w:fldChar w:fldCharType="end"/>
      </w:r>
      <w:r>
        <w:fldChar w:fldCharType="begin"/>
      </w:r>
      <w:r>
        <w:instrText>xe "Service delivery initiatives"</w:instrText>
      </w:r>
      <w:r>
        <w:fldChar w:fldCharType="end"/>
      </w:r>
      <w:r>
        <w:t xml:space="preserve"> announced in the 1998</w:t>
      </w:r>
      <w:r>
        <w:noBreakHyphen/>
        <w:t>99 Budget are directed mainly to high p</w:t>
      </w:r>
      <w:r>
        <w:t>riority projects in the education</w:t>
      </w:r>
      <w:r>
        <w:fldChar w:fldCharType="begin"/>
      </w:r>
      <w:r>
        <w:instrText>xe "Education"</w:instrText>
      </w:r>
      <w:r>
        <w:fldChar w:fldCharType="end"/>
      </w:r>
      <w:r>
        <w:t xml:space="preserve"> and health</w:t>
      </w:r>
      <w:r>
        <w:fldChar w:fldCharType="begin"/>
      </w:r>
      <w:r>
        <w:instrText>xe "Health"</w:instrText>
      </w:r>
      <w:r>
        <w:fldChar w:fldCharType="end"/>
      </w:r>
      <w:r>
        <w:t xml:space="preserve"> sectors. These initiatives are funded in part by the reprioritisation of expenditure across other departments totalling $125 million in 1998</w:t>
      </w:r>
      <w:r>
        <w:noBreakHyphen/>
        <w:t>99. This reprioritisation of expenditure ensures that Government spending is targeted, within available resources, to best meet community needs. The 1998</w:t>
      </w:r>
      <w:r>
        <w:noBreakHyphen/>
        <w:t>99 spending initiatives</w:t>
      </w:r>
      <w:r>
        <w:fldChar w:fldCharType="begin"/>
      </w:r>
      <w:r>
        <w:instrText>xe "Spending initiatives"</w:instrText>
      </w:r>
      <w:r>
        <w:fldChar w:fldCharType="end"/>
      </w:r>
      <w:r>
        <w:t xml:space="preserve"> will thus ensure that the Government makes further strides toward achieving its objective of</w:t>
      </w:r>
      <w:r>
        <w:t xml:space="preserve"> high quality, value</w:t>
      </w:r>
      <w:r>
        <w:noBreakHyphen/>
        <w:t>for</w:t>
      </w:r>
      <w:r>
        <w:noBreakHyphen/>
        <w:t xml:space="preserve">money service delivery. (For further information see Chapter 4, </w:t>
      </w:r>
      <w:r>
        <w:rPr>
          <w:i/>
        </w:rPr>
        <w:t>Service Delivery</w:t>
      </w:r>
      <w:r>
        <w:t>).</w:t>
      </w:r>
    </w:p>
    <w:p w:rsidR="00000000" w:rsidRDefault="001F233B">
      <w:pPr>
        <w:pStyle w:val="Heading3"/>
      </w:pPr>
      <w:r>
        <w:t xml:space="preserve">Taxation </w:t>
      </w:r>
    </w:p>
    <w:p w:rsidR="00000000" w:rsidRDefault="001F233B">
      <w:r>
        <w:t>The $132 million tax relief package announced in the 1998</w:t>
      </w:r>
      <w:r>
        <w:noBreakHyphen/>
        <w:t>99 Budget represents a further major reduction in State taxes imposed on Victorian households and businesses. It follows other tax reduction initiatives introduced since 1995 at a total cost to revenue of over $400 million, including a reduction in payroll and fuel tax</w:t>
      </w:r>
      <w:r>
        <w:fldChar w:fldCharType="begin"/>
      </w:r>
      <w:r>
        <w:instrText>xe "Tax:Fuel tax"</w:instrText>
      </w:r>
      <w:r>
        <w:fldChar w:fldCharType="end"/>
      </w:r>
      <w:r>
        <w:t>es and the abolition of the State Deficit Levy a</w:t>
      </w:r>
      <w:r>
        <w:t>nd a number of stamp duties. The 1998</w:t>
      </w:r>
      <w:r>
        <w:noBreakHyphen/>
        <w:t>99 Budget initiatives</w:t>
      </w:r>
      <w:r>
        <w:fldChar w:fldCharType="begin"/>
      </w:r>
      <w:r>
        <w:instrText>xe "Budget:1998</w:instrText>
      </w:r>
      <w:r>
        <w:noBreakHyphen/>
        <w:instrText>99 Budget initiatives"</w:instrText>
      </w:r>
      <w:r>
        <w:fldChar w:fldCharType="end"/>
      </w:r>
      <w:r>
        <w:t xml:space="preserve"> therefore take the Government a step closer to achieving its long</w:t>
      </w:r>
      <w:r>
        <w:noBreakHyphen/>
        <w:t xml:space="preserve">term budget objective of bringing Victorian tax rates into alignment with the Australian average. </w:t>
      </w:r>
    </w:p>
    <w:p w:rsidR="00000000" w:rsidRDefault="001F233B">
      <w:r>
        <w:t>In addition, the 1998</w:t>
      </w:r>
      <w:r>
        <w:noBreakHyphen/>
        <w:t>99 Budget includes funding to enable a reduction in household and business electricity</w:t>
      </w:r>
      <w:r>
        <w:fldChar w:fldCharType="begin"/>
      </w:r>
      <w:r>
        <w:instrText>xe "Electricity"</w:instrText>
      </w:r>
      <w:r>
        <w:fldChar w:fldCharType="end"/>
      </w:r>
      <w:r>
        <w:t xml:space="preserve"> charges. Household and small business consumers will receive a Winter Power Bonus</w:t>
      </w:r>
      <w:r>
        <w:fldChar w:fldCharType="begin"/>
      </w:r>
      <w:r>
        <w:instrText>xe "Winter power bonus"</w:instrText>
      </w:r>
      <w:r>
        <w:fldChar w:fldCharType="end"/>
      </w:r>
      <w:r>
        <w:fldChar w:fldCharType="begin"/>
      </w:r>
      <w:r>
        <w:instrText>xe "Winter po</w:instrText>
      </w:r>
      <w:r>
        <w:instrText>wer bonus"</w:instrText>
      </w:r>
      <w:r>
        <w:fldChar w:fldCharType="end"/>
      </w:r>
      <w:r>
        <w:t xml:space="preserve">, which will reduce their electricity bills by $60 per annum for the next three years. </w:t>
      </w:r>
    </w:p>
    <w:p w:rsidR="00000000" w:rsidRDefault="001F233B">
      <w:r>
        <w:t xml:space="preserve">This builds on water industry pricing reforms announced in October 1997 which are projected to deliver an average 18 per cent reduction in domestic water charges across Victoria. Chapter 8, </w:t>
      </w:r>
      <w:r>
        <w:rPr>
          <w:i/>
        </w:rPr>
        <w:t>Competitive Victoria,</w:t>
      </w:r>
      <w:r>
        <w:t xml:space="preserve"> provides further information on savings in utility charges achieved as a result of the Government’s broader public sector reform program. </w:t>
      </w:r>
    </w:p>
    <w:p w:rsidR="00000000" w:rsidRDefault="001F233B">
      <w:pPr>
        <w:rPr>
          <w:i/>
        </w:rPr>
      </w:pPr>
      <w:r>
        <w:t>In the early 1990s the tax burden imposed on Victorian busines</w:t>
      </w:r>
      <w:r>
        <w:t>ses and households, as assessed by the Commonwealth Grants Commission</w:t>
      </w:r>
      <w:r>
        <w:fldChar w:fldCharType="begin"/>
      </w:r>
      <w:r>
        <w:instrText>xe "Commonwealth Grants Commission (CGC)"</w:instrText>
      </w:r>
      <w:r>
        <w:fldChar w:fldCharType="end"/>
      </w:r>
      <w:r>
        <w:t xml:space="preserve"> was clearly the highest of all States. As indicated in Chart 2.4, the impact of Victorian tax </w:t>
      </w:r>
      <w:r>
        <w:lastRenderedPageBreak/>
        <w:t>initiatives</w:t>
      </w:r>
      <w:r>
        <w:fldChar w:fldCharType="begin"/>
      </w:r>
      <w:r>
        <w:instrText>xe "Tax:Initiatives"</w:instrText>
      </w:r>
      <w:r>
        <w:fldChar w:fldCharType="end"/>
      </w:r>
      <w:r>
        <w:t xml:space="preserve"> introduced in recent years has reduced Victorian tax levels to well below those applying in New South Wales. It is estimated that further reductions in Victorian State taxes of around $220 million would be required to match the national average tax effort. Continued prog</w:t>
      </w:r>
      <w:r>
        <w:t>ress on the Government’s taxation objective will depend on the Government’s ability to maintain and improve its underlying sustainable budget position</w:t>
      </w:r>
      <w:r>
        <w:fldChar w:fldCharType="begin"/>
      </w:r>
      <w:r>
        <w:instrText>xe "Budget:Position"</w:instrText>
      </w:r>
      <w:r>
        <w:fldChar w:fldCharType="end"/>
      </w:r>
      <w:r>
        <w:fldChar w:fldCharType="begin"/>
      </w:r>
      <w:r>
        <w:instrText>xe "Service delivery"</w:instrText>
      </w:r>
      <w:r>
        <w:fldChar w:fldCharType="end"/>
      </w:r>
      <w:r>
        <w:t>.</w:t>
      </w:r>
      <w:r>
        <w:rPr>
          <w:i/>
        </w:rPr>
        <w:t xml:space="preserve"> </w:t>
      </w:r>
    </w:p>
    <w:p w:rsidR="00000000" w:rsidRDefault="001F233B">
      <w:pPr>
        <w:pStyle w:val="Chartheading"/>
        <w:keepNext/>
      </w:pPr>
      <w:r>
        <w:t>Chart 2.4: Victorian Tax Levels Relative to New South Wales and Australian Average ($ million)</w:t>
      </w:r>
    </w:p>
    <w:p w:rsidR="00000000" w:rsidRDefault="001F233B">
      <w:pPr>
        <w:keepNext/>
        <w:spacing w:after="0"/>
        <w:rPr>
          <w:noProof/>
        </w:rPr>
      </w:pPr>
      <w:r>
        <w:rPr>
          <w:noProof/>
          <w:sz w:val="20"/>
        </w:rPr>
        <w:drawing>
          <wp:inline distT="0" distB="0" distL="0" distR="0">
            <wp:extent cx="4400550" cy="2047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00550" cy="2047875"/>
                    </a:xfrm>
                    <a:prstGeom prst="rect">
                      <a:avLst/>
                    </a:prstGeom>
                    <a:noFill/>
                    <a:ln>
                      <a:noFill/>
                    </a:ln>
                  </pic:spPr>
                </pic:pic>
              </a:graphicData>
            </a:graphic>
          </wp:inline>
        </w:drawing>
      </w:r>
    </w:p>
    <w:p w:rsidR="00000000" w:rsidRDefault="001F233B">
      <w:pPr>
        <w:pStyle w:val="Source"/>
        <w:keepNext/>
        <w:spacing w:after="0"/>
        <w:ind w:left="720" w:hanging="720"/>
      </w:pPr>
      <w:r>
        <w:t>Source :</w:t>
      </w:r>
      <w:r>
        <w:tab/>
        <w:t>Commonwealth Grants Commission</w:t>
      </w:r>
      <w:r>
        <w:fldChar w:fldCharType="begin"/>
      </w:r>
      <w:r>
        <w:instrText>xe "Commonwealth Grants Commission (CGC)"</w:instrText>
      </w:r>
      <w:r>
        <w:fldChar w:fldCharType="end"/>
      </w:r>
      <w:r>
        <w:t>, Report on General Revenue Relativities 1998 Update and Victorian Department of Treasury and Finance estimates (1997</w:t>
      </w:r>
      <w:r>
        <w:noBreakHyphen/>
        <w:t>98 to 1998</w:t>
      </w:r>
      <w:r>
        <w:noBreakHyphen/>
        <w:t>99).</w:t>
      </w:r>
    </w:p>
    <w:p w:rsidR="00000000" w:rsidRDefault="001F233B">
      <w:pPr>
        <w:pStyle w:val="Heading3"/>
      </w:pPr>
      <w:r>
        <w:t>I</w:t>
      </w:r>
      <w:r>
        <w:t>nfrastructure</w:t>
      </w:r>
      <w:r>
        <w:fldChar w:fldCharType="begin"/>
      </w:r>
      <w:r>
        <w:instrText>xe "Economy:Infrastructure"</w:instrText>
      </w:r>
      <w:r>
        <w:fldChar w:fldCharType="end"/>
      </w:r>
    </w:p>
    <w:p w:rsidR="00000000" w:rsidRDefault="001F233B">
      <w:r>
        <w:t>Adequate infrastructure</w:t>
      </w:r>
      <w:r>
        <w:fldChar w:fldCharType="begin"/>
      </w:r>
      <w:r>
        <w:instrText>xe "Economy:Infrastructure"</w:instrText>
      </w:r>
      <w:r>
        <w:fldChar w:fldCharType="end"/>
      </w:r>
      <w:r>
        <w:t xml:space="preserve"> spending is required to support sustained economic growth</w:t>
      </w:r>
      <w:r>
        <w:fldChar w:fldCharType="begin"/>
      </w:r>
      <w:r>
        <w:instrText>xe "Economic growth"</w:instrText>
      </w:r>
      <w:r>
        <w:fldChar w:fldCharType="end"/>
      </w:r>
      <w:r>
        <w:t xml:space="preserve"> and service delivery</w:t>
      </w:r>
      <w:r>
        <w:fldChar w:fldCharType="begin"/>
      </w:r>
      <w:r>
        <w:instrText>xe "Service delivery"</w:instrText>
      </w:r>
      <w:r>
        <w:fldChar w:fldCharType="end"/>
      </w:r>
      <w:r>
        <w:t xml:space="preserve">. As illustrated in Chart 2.5, Victoria’s real per capita spending on general government sector infrastructure declined significantly over the 1980’s and early 1990’s to levels well below the average of other States and Territories. More recently, the Government commitment to maintain budget </w:t>
      </w:r>
      <w:r>
        <w:t>sector infrastructure spending at around 1¼ per cent of GSP</w:t>
      </w:r>
      <w:r>
        <w:fldChar w:fldCharType="begin"/>
      </w:r>
      <w:r>
        <w:instrText>xe "Economy:Gross State Products (GSP)"</w:instrText>
      </w:r>
      <w:r>
        <w:fldChar w:fldCharType="end"/>
      </w:r>
      <w:r>
        <w:t xml:space="preserve"> has resulted in a significant boost in capital funding</w:t>
      </w:r>
      <w:r>
        <w:fldChar w:fldCharType="begin"/>
      </w:r>
      <w:r>
        <w:instrText>xe "Funding:Capital"</w:instrText>
      </w:r>
      <w:r>
        <w:fldChar w:fldCharType="end"/>
      </w:r>
      <w:r>
        <w:t>.</w:t>
      </w:r>
    </w:p>
    <w:p w:rsidR="00000000" w:rsidRDefault="001F233B">
      <w:r>
        <w:t>Real per capita spending on general government sector infrastructure</w:t>
      </w:r>
      <w:r>
        <w:fldChar w:fldCharType="begin"/>
      </w:r>
      <w:r>
        <w:instrText>xe "Economy:Infrastructure"</w:instrText>
      </w:r>
      <w:r>
        <w:fldChar w:fldCharType="end"/>
      </w:r>
      <w:r>
        <w:t xml:space="preserve"> in 1998</w:t>
      </w:r>
      <w:r>
        <w:noBreakHyphen/>
        <w:t>99 will be around 57 per cent above the 1992</w:t>
      </w:r>
      <w:r>
        <w:noBreakHyphen/>
        <w:t>93 level and is expected to grow over the forward estimates period. A number of major projects involving private financing and construction of infrastructure, including the Melbourne</w:t>
      </w:r>
      <w:r>
        <w:t xml:space="preserve"> City Link and upgrades to the Metropolitan Health</w:t>
      </w:r>
      <w:r>
        <w:fldChar w:fldCharType="begin"/>
      </w:r>
      <w:r>
        <w:instrText>xe "Health"</w:instrText>
      </w:r>
      <w:r>
        <w:fldChar w:fldCharType="end"/>
      </w:r>
      <w:r>
        <w:t xml:space="preserve"> Care Network, will provide a further boost to the capital stock over the projection period.</w:t>
      </w:r>
    </w:p>
    <w:p w:rsidR="00000000" w:rsidRDefault="001F233B">
      <w:pPr>
        <w:pStyle w:val="Chartheading"/>
        <w:keepNext/>
      </w:pPr>
      <w:r>
        <w:lastRenderedPageBreak/>
        <w:t>Chart 2.5: Real Gross Fixed Capital Expenditure Per Head, General Government Sector</w:t>
      </w:r>
    </w:p>
    <w:p w:rsidR="00000000" w:rsidRDefault="001F233B">
      <w:pPr>
        <w:pStyle w:val="Source"/>
        <w:spacing w:after="0"/>
      </w:pPr>
      <w:r>
        <w:rPr>
          <w:noProof/>
          <w:sz w:val="20"/>
        </w:rPr>
        <w:drawing>
          <wp:inline distT="0" distB="0" distL="0" distR="0">
            <wp:extent cx="4400550" cy="2047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00550" cy="2047875"/>
                    </a:xfrm>
                    <a:prstGeom prst="rect">
                      <a:avLst/>
                    </a:prstGeom>
                    <a:noFill/>
                    <a:ln>
                      <a:noFill/>
                    </a:ln>
                  </pic:spPr>
                </pic:pic>
              </a:graphicData>
            </a:graphic>
          </wp:inline>
        </w:drawing>
      </w:r>
    </w:p>
    <w:p w:rsidR="00000000" w:rsidRDefault="001F233B">
      <w:pPr>
        <w:pStyle w:val="Source"/>
        <w:tabs>
          <w:tab w:val="left" w:pos="720"/>
        </w:tabs>
        <w:spacing w:after="0"/>
        <w:ind w:left="720" w:hanging="720"/>
      </w:pPr>
      <w:r>
        <w:t>Sources:</w:t>
      </w:r>
      <w:r>
        <w:tab/>
        <w:t>ABS Catalogue Numbers 5501.0 (Government Financial Estimates) and 3101.0 (Australian Demographic Statistics</w:t>
      </w:r>
      <w:r>
        <w:fldChar w:fldCharType="begin"/>
      </w:r>
      <w:r>
        <w:instrText>xe "Economy:Population"</w:instrText>
      </w:r>
      <w:r>
        <w:fldChar w:fldCharType="end"/>
      </w:r>
      <w:r>
        <w:t>). Department of Treasury and Finance forward estimates and estimates beyond 1997</w:t>
      </w:r>
      <w:r>
        <w:noBreakHyphen/>
        <w:t>98.</w:t>
      </w:r>
    </w:p>
    <w:p w:rsidR="00000000" w:rsidRDefault="001F233B"/>
    <w:p w:rsidR="00000000" w:rsidRDefault="001F233B">
      <w:r>
        <w:t>Chart 2.6 illustrates recent trends in gro</w:t>
      </w:r>
      <w:r>
        <w:t>ss budget sector infrastructure</w:t>
      </w:r>
      <w:r>
        <w:fldChar w:fldCharType="begin"/>
      </w:r>
      <w:r>
        <w:instrText>xe "Economy:Infrastructure"</w:instrText>
      </w:r>
      <w:r>
        <w:fldChar w:fldCharType="end"/>
      </w:r>
      <w:r>
        <w:t xml:space="preserve"> investment</w:t>
      </w:r>
      <w:r>
        <w:fldChar w:fldCharType="begin"/>
      </w:r>
      <w:r>
        <w:instrText>xe "Economy:Investment"</w:instrText>
      </w:r>
      <w:r>
        <w:fldChar w:fldCharType="end"/>
      </w:r>
      <w:r>
        <w:t>, which includes capital allocations for public housing and public transport</w:t>
      </w:r>
      <w:r>
        <w:fldChar w:fldCharType="begin"/>
      </w:r>
      <w:r>
        <w:instrText>xe "Transport"</w:instrText>
      </w:r>
      <w:r>
        <w:fldChar w:fldCharType="end"/>
      </w:r>
      <w:r>
        <w:t>. Although consistent with the Government’s infrastructure target, the level of budget infrastructure investment in 1998</w:t>
      </w:r>
      <w:r>
        <w:noBreakHyphen/>
        <w:t>99 is expected to fall slightly in real terms, reflecting the above-target infrastructure expenditure</w:t>
      </w:r>
      <w:r>
        <w:fldChar w:fldCharType="begin"/>
      </w:r>
      <w:r>
        <w:instrText>xe "Funding:Infrastructure expenditure"</w:instrText>
      </w:r>
      <w:r>
        <w:fldChar w:fldCharType="end"/>
      </w:r>
      <w:r>
        <w:t xml:space="preserve"> undertaken in 1997</w:t>
      </w:r>
      <w:r>
        <w:noBreakHyphen/>
        <w:t>98. Nevertheless, budget infrastructure i</w:t>
      </w:r>
      <w:r>
        <w:t>nvestment in 1998</w:t>
      </w:r>
      <w:r>
        <w:noBreakHyphen/>
        <w:t>99 will be around 44 per cent above the 1993</w:t>
      </w:r>
      <w:r>
        <w:noBreakHyphen/>
        <w:t>94 level in real terms. As shown in the Chart, budget sector investment will continue to grow in real terms over the remainder of the forward estimates period, consistent with the GSP</w:t>
      </w:r>
      <w:r>
        <w:noBreakHyphen/>
        <w:t>related target, and this will ensure that budget sector capital stock grows at least in line with the level of economic activity and population</w:t>
      </w:r>
      <w:r>
        <w:fldChar w:fldCharType="begin"/>
      </w:r>
      <w:r>
        <w:instrText>xe "Economy:Population"</w:instrText>
      </w:r>
      <w:r>
        <w:fldChar w:fldCharType="end"/>
      </w:r>
      <w:r>
        <w:t xml:space="preserve">. </w:t>
      </w:r>
    </w:p>
    <w:p w:rsidR="00000000" w:rsidRDefault="001F233B">
      <w:pPr>
        <w:pStyle w:val="Chartheading"/>
        <w:keepNext/>
        <w:rPr>
          <w:vertAlign w:val="superscript"/>
        </w:rPr>
      </w:pPr>
      <w:r>
        <w:lastRenderedPageBreak/>
        <w:t>Chart 2.6: Real Gross Budget Sector Infrastructure</w:t>
      </w:r>
      <w:r>
        <w:fldChar w:fldCharType="begin"/>
      </w:r>
      <w:r>
        <w:instrText>xe "Economy:Infrastructure"</w:instrText>
      </w:r>
      <w:r>
        <w:fldChar w:fldCharType="end"/>
      </w:r>
      <w:r>
        <w:t xml:space="preserve"> Investment</w:t>
      </w:r>
      <w:r>
        <w:fldChar w:fldCharType="begin"/>
      </w:r>
      <w:r>
        <w:instrText xml:space="preserve">xe </w:instrText>
      </w:r>
      <w:r>
        <w:instrText>"Economy:Investment"</w:instrText>
      </w:r>
      <w:r>
        <w:fldChar w:fldCharType="end"/>
      </w:r>
      <w:r>
        <w:t xml:space="preserve"> </w:t>
      </w:r>
      <w:r>
        <w:rPr>
          <w:i/>
          <w:vertAlign w:val="superscript"/>
        </w:rPr>
        <w:t>(a)</w:t>
      </w:r>
    </w:p>
    <w:p w:rsidR="00000000" w:rsidRDefault="001F233B">
      <w:pPr>
        <w:pStyle w:val="Source"/>
        <w:spacing w:after="0"/>
      </w:pPr>
      <w:r>
        <w:rPr>
          <w:noProof/>
          <w:sz w:val="20"/>
        </w:rPr>
        <w:drawing>
          <wp:inline distT="0" distB="0" distL="0" distR="0">
            <wp:extent cx="4476750" cy="2076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76750" cy="2076450"/>
                    </a:xfrm>
                    <a:prstGeom prst="rect">
                      <a:avLst/>
                    </a:prstGeom>
                    <a:noFill/>
                    <a:ln>
                      <a:noFill/>
                    </a:ln>
                  </pic:spPr>
                </pic:pic>
              </a:graphicData>
            </a:graphic>
          </wp:inline>
        </w:drawing>
      </w:r>
      <w:r>
        <w:t>Source: Department of Treasury and Finance.</w:t>
      </w:r>
    </w:p>
    <w:p w:rsidR="00000000" w:rsidRDefault="001F233B">
      <w:pPr>
        <w:spacing w:after="0"/>
      </w:pPr>
      <w:r>
        <w:rPr>
          <w:i/>
          <w:sz w:val="18"/>
        </w:rPr>
        <w:t>Note:</w:t>
      </w:r>
    </w:p>
    <w:p w:rsidR="00000000" w:rsidRDefault="001F233B">
      <w:pPr>
        <w:pStyle w:val="Notes"/>
        <w:ind w:left="454" w:hanging="454"/>
      </w:pPr>
      <w:r>
        <w:t>(a)</w:t>
      </w:r>
      <w:r>
        <w:tab/>
        <w:t>Includes budget sector GFCE (direct additions to public infrastructure</w:t>
      </w:r>
      <w:r>
        <w:fldChar w:fldCharType="begin"/>
      </w:r>
      <w:r>
        <w:instrText>xe "Economy:Infrastructure"</w:instrText>
      </w:r>
      <w:r>
        <w:fldChar w:fldCharType="end"/>
      </w:r>
      <w:r>
        <w:t xml:space="preserve"> net of sales of fixed assets), capital grants to the PTC and Office of Housing and approved privately funded projects, the services of which the government will be the major client.</w:t>
      </w:r>
    </w:p>
    <w:p w:rsidR="00000000" w:rsidRDefault="001F233B">
      <w:pPr>
        <w:sectPr w:rsidR="00000000">
          <w:headerReference w:type="even" r:id="rId35"/>
          <w:footerReference w:type="default" r:id="rId36"/>
          <w:type w:val="oddPage"/>
          <w:pgSz w:w="11907" w:h="16840" w:code="9"/>
          <w:pgMar w:top="1411" w:right="3398" w:bottom="4075" w:left="1411" w:header="720" w:footer="4075" w:gutter="0"/>
          <w:pgNumType w:start="1"/>
          <w:cols w:space="720"/>
        </w:sectPr>
      </w:pPr>
    </w:p>
    <w:p w:rsidR="00000000" w:rsidRDefault="001F233B"/>
    <w:p w:rsidR="00000000" w:rsidRDefault="001F233B">
      <w:pPr>
        <w:sectPr w:rsidR="00000000">
          <w:headerReference w:type="even" r:id="rId37"/>
          <w:footerReference w:type="default" r:id="rId38"/>
          <w:type w:val="continuous"/>
          <w:pgSz w:w="11907" w:h="16840" w:code="9"/>
          <w:pgMar w:top="1440" w:right="3402" w:bottom="4082" w:left="1418" w:header="720" w:footer="4253" w:gutter="0"/>
          <w:cols w:space="720"/>
        </w:sectPr>
      </w:pPr>
      <w:r>
        <w:br w:type="page"/>
      </w:r>
    </w:p>
    <w:p w:rsidR="00000000" w:rsidRDefault="001F233B">
      <w:pPr>
        <w:pStyle w:val="Heading1"/>
      </w:pPr>
      <w:bookmarkStart w:id="32" w:name="_Toc417119821"/>
      <w:bookmarkStart w:id="33" w:name="_Toc417552073"/>
      <w:r>
        <w:lastRenderedPageBreak/>
        <w:t>Chapter 3: Fiscal Position and Outlook</w:t>
      </w:r>
      <w:bookmarkEnd w:id="32"/>
      <w:bookmarkEnd w:id="33"/>
    </w:p>
    <w:p w:rsidR="00000000" w:rsidRDefault="001F233B">
      <w:pPr>
        <w:pStyle w:val="Heading2"/>
      </w:pPr>
      <w:bookmarkStart w:id="34" w:name="_Toc417119822"/>
      <w:bookmarkStart w:id="35" w:name="_Toc417552074"/>
      <w:r>
        <w:t>An accrual output</w:t>
      </w:r>
      <w:r>
        <w:noBreakHyphen/>
        <w:t>based budget</w:t>
      </w:r>
      <w:bookmarkEnd w:id="34"/>
      <w:bookmarkEnd w:id="35"/>
    </w:p>
    <w:p w:rsidR="00000000" w:rsidRDefault="001F233B">
      <w:r>
        <w:t>This is the first Victorian Government Budget to be presented in an accrual</w:t>
      </w:r>
      <w:r>
        <w:t xml:space="preserve"> output</w:t>
      </w:r>
      <w:r>
        <w:noBreakHyphen/>
        <w:t>based format.</w:t>
      </w:r>
    </w:p>
    <w:p w:rsidR="00000000" w:rsidRDefault="001F233B">
      <w:r>
        <w:t>Accrual output</w:t>
      </w:r>
      <w:r>
        <w:noBreakHyphen/>
        <w:t>based budgeting</w:t>
      </w:r>
      <w:r>
        <w:fldChar w:fldCharType="begin"/>
      </w:r>
      <w:r>
        <w:instrText>xe "Accrual:Output based budgeting"</w:instrText>
      </w:r>
      <w:r>
        <w:fldChar w:fldCharType="end"/>
      </w:r>
      <w:r>
        <w:t xml:space="preserve"> recognises revenues and expenses as they are earned or incurred, rather than when cash is received or disbursed. The advantage of accrual</w:t>
      </w:r>
      <w:r>
        <w:noBreakHyphen/>
        <w:t>based budgeting is that it takes into account the full costs of providing outputs</w:t>
      </w:r>
      <w:r>
        <w:fldChar w:fldCharType="begin"/>
      </w:r>
      <w:r>
        <w:instrText>xe "Outputs"</w:instrText>
      </w:r>
      <w:r>
        <w:fldChar w:fldCharType="end"/>
      </w:r>
      <w:r>
        <w:t>. This change will improve the management of the State's resources, as the relationship between outputs and the inputs that are used to produce the outputs is better recognised.</w:t>
      </w:r>
    </w:p>
    <w:p w:rsidR="00000000" w:rsidRDefault="001F233B">
      <w:r>
        <w:t xml:space="preserve">The use of </w:t>
      </w:r>
      <w:r>
        <w:t>accrual output</w:t>
      </w:r>
      <w:r>
        <w:noBreakHyphen/>
        <w:t>based budgeting</w:t>
      </w:r>
      <w:r>
        <w:fldChar w:fldCharType="begin"/>
      </w:r>
      <w:r>
        <w:instrText>xe "Accrual:Output based budgeting"</w:instrText>
      </w:r>
      <w:r>
        <w:fldChar w:fldCharType="end"/>
      </w:r>
      <w:r>
        <w:t xml:space="preserve"> will also improve accountability and transparency</w:t>
      </w:r>
      <w:r>
        <w:fldChar w:fldCharType="begin"/>
      </w:r>
      <w:r>
        <w:instrText>xe "Transparency"</w:instrText>
      </w:r>
      <w:r>
        <w:fldChar w:fldCharType="end"/>
      </w:r>
      <w:r>
        <w:t xml:space="preserve"> in reporting of the Budget to Parliament and to the wider community and will bring the budget sector in line with conventional accounting practices. The full cost of services will be fully transparent, as it will no longer be possible to delay the recognition of costs by deferring cash payments. Parliament must approve and Government must report all costs, including obliga</w:t>
      </w:r>
      <w:r>
        <w:t>tions to incur future cash payments.</w:t>
      </w:r>
    </w:p>
    <w:p w:rsidR="00000000" w:rsidRDefault="001F233B">
      <w:r>
        <w:t>To provide a meaningful yardstick against which the 1998</w:t>
      </w:r>
      <w:r>
        <w:noBreakHyphen/>
        <w:t>99 Budget can be compared, the published 1997</w:t>
      </w:r>
      <w:r>
        <w:noBreakHyphen/>
        <w:t>98 Budget estimates have been converted from their original cash format into the new accrual basis (see Appendix A for details).</w:t>
      </w:r>
    </w:p>
    <w:p w:rsidR="00000000" w:rsidRDefault="001F233B">
      <w:pPr>
        <w:pStyle w:val="Heading2"/>
      </w:pPr>
      <w:bookmarkStart w:id="36" w:name="_Toc417119823"/>
      <w:r>
        <w:br w:type="page"/>
      </w:r>
      <w:bookmarkStart w:id="37" w:name="_Toc417552075"/>
      <w:r>
        <w:lastRenderedPageBreak/>
        <w:t>Revised 1997</w:t>
      </w:r>
      <w:r>
        <w:noBreakHyphen/>
        <w:t>98 budget outcome</w:t>
      </w:r>
      <w:bookmarkEnd w:id="36"/>
      <w:bookmarkEnd w:id="37"/>
    </w:p>
    <w:p w:rsidR="00000000" w:rsidRDefault="001F233B">
      <w:r>
        <w:t>Table 3.1 provides an overview of the 1997</w:t>
      </w:r>
      <w:r>
        <w:noBreakHyphen/>
        <w:t>98 Budget aggregates and summarises revisions to the 1997</w:t>
      </w:r>
      <w:r>
        <w:noBreakHyphen/>
        <w:t>98 Budget estimates. As discussed above, the 1997</w:t>
      </w:r>
      <w:r>
        <w:noBreakHyphen/>
        <w:t>98 Budget estimate has been adjusted to a full accrual basis</w:t>
      </w:r>
      <w:r>
        <w:t>. An operating surplus</w:t>
      </w:r>
      <w:r>
        <w:fldChar w:fldCharType="begin"/>
      </w:r>
      <w:r>
        <w:instrText>xe "Operating surplus"</w:instrText>
      </w:r>
      <w:r>
        <w:fldChar w:fldCharType="end"/>
      </w:r>
      <w:r>
        <w:t xml:space="preserve"> (before abnormals) of $1 153.1 million is now expected for 1997</w:t>
      </w:r>
      <w:r>
        <w:noBreakHyphen/>
        <w:t>98, compared with the Budget estimate of $548.9 million. This improvement is the result of both stronger than expected revenue growth and lower than expected interest and financing expenses.</w:t>
      </w:r>
    </w:p>
    <w:p w:rsidR="00000000" w:rsidRDefault="001F233B">
      <w:r>
        <w:t>The operating surplus</w:t>
      </w:r>
      <w:r>
        <w:fldChar w:fldCharType="begin"/>
      </w:r>
      <w:r>
        <w:instrText>xe "Operating surplus"</w:instrText>
      </w:r>
      <w:r>
        <w:fldChar w:fldCharType="end"/>
      </w:r>
      <w:r>
        <w:t xml:space="preserve"> (after abnormals) for 1997</w:t>
      </w:r>
      <w:r>
        <w:noBreakHyphen/>
        <w:t>98 is now expected to be $2 691.6 million with $1 873.0 million in privatisation</w:t>
      </w:r>
      <w:r>
        <w:fldChar w:fldCharType="begin"/>
      </w:r>
      <w:r>
        <w:instrText>xe "Privatisation"</w:instrText>
      </w:r>
      <w:r>
        <w:fldChar w:fldCharType="end"/>
      </w:r>
      <w:r>
        <w:t xml:space="preserve"> receipts. This was partially offset </w:t>
      </w:r>
      <w:r>
        <w:t>by a $334.4 million abnormal loss on the mark-to-market revaluation of metropolitan water borrowings, assumed by the budget sector as part of the October 1997 water industry reforms.</w:t>
      </w:r>
    </w:p>
    <w:p w:rsidR="00000000" w:rsidRDefault="001F233B">
      <w:pPr>
        <w:pStyle w:val="Tableheading"/>
      </w:pPr>
      <w:bookmarkStart w:id="38" w:name="_Toc417119979"/>
      <w:bookmarkStart w:id="39" w:name="_Toc417552738"/>
      <w:r>
        <w:t>Table 3.1: 1997</w:t>
      </w:r>
      <w:r>
        <w:noBreakHyphen/>
        <w:t>98 Budget Summary</w:t>
      </w:r>
      <w:bookmarkEnd w:id="38"/>
      <w:bookmarkEnd w:id="39"/>
    </w:p>
    <w:p w:rsidR="00000000" w:rsidRDefault="001F233B">
      <w:pPr>
        <w:spacing w:after="0"/>
        <w:jc w:val="center"/>
        <w:rPr>
          <w:rFonts w:ascii="Arial" w:hAnsi="Arial"/>
          <w:i/>
          <w:noProof/>
          <w:sz w:val="18"/>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737"/>
        <w:gridCol w:w="1010"/>
        <w:gridCol w:w="1011"/>
        <w:gridCol w:w="1010"/>
      </w:tblGrid>
      <w:tr w:rsidR="00000000">
        <w:tblPrEx>
          <w:tblCellMar>
            <w:top w:w="0" w:type="dxa"/>
            <w:bottom w:w="0" w:type="dxa"/>
          </w:tblCellMar>
        </w:tblPrEx>
        <w:trPr>
          <w:trHeight w:val="233"/>
        </w:trPr>
        <w:tc>
          <w:tcPr>
            <w:tcW w:w="3737" w:type="dxa"/>
            <w:tcBorders>
              <w:top w:val="single" w:sz="6" w:space="0" w:color="auto"/>
            </w:tcBorders>
          </w:tcPr>
          <w:p w:rsidR="00000000" w:rsidRDefault="001F233B">
            <w:pPr>
              <w:pStyle w:val="Tabletext"/>
              <w:rPr>
                <w:i/>
              </w:rPr>
            </w:pPr>
          </w:p>
        </w:tc>
        <w:tc>
          <w:tcPr>
            <w:tcW w:w="1010" w:type="dxa"/>
            <w:tcBorders>
              <w:top w:val="single" w:sz="6" w:space="0" w:color="auto"/>
            </w:tcBorders>
          </w:tcPr>
          <w:p w:rsidR="00000000" w:rsidRDefault="001F233B">
            <w:pPr>
              <w:pStyle w:val="Tabletextheading"/>
              <w:rPr>
                <w:b w:val="0"/>
                <w:i/>
              </w:rPr>
            </w:pPr>
            <w:r>
              <w:rPr>
                <w:b w:val="0"/>
                <w:i/>
              </w:rPr>
              <w:t>1997-98</w:t>
            </w:r>
          </w:p>
        </w:tc>
        <w:tc>
          <w:tcPr>
            <w:tcW w:w="1011" w:type="dxa"/>
            <w:tcBorders>
              <w:top w:val="single" w:sz="6" w:space="0" w:color="auto"/>
            </w:tcBorders>
          </w:tcPr>
          <w:p w:rsidR="00000000" w:rsidRDefault="001F233B">
            <w:pPr>
              <w:pStyle w:val="Tabletextheading"/>
              <w:rPr>
                <w:b w:val="0"/>
                <w:i/>
              </w:rPr>
            </w:pPr>
            <w:r>
              <w:rPr>
                <w:b w:val="0"/>
                <w:i/>
              </w:rPr>
              <w:t>1997-98</w:t>
            </w:r>
          </w:p>
        </w:tc>
        <w:tc>
          <w:tcPr>
            <w:tcW w:w="1010" w:type="dxa"/>
            <w:tcBorders>
              <w:top w:val="single" w:sz="6" w:space="0" w:color="auto"/>
            </w:tcBorders>
          </w:tcPr>
          <w:p w:rsidR="00000000" w:rsidRDefault="001F233B">
            <w:pPr>
              <w:pStyle w:val="Tabletextheading"/>
              <w:rPr>
                <w:b w:val="0"/>
                <w:i/>
              </w:rPr>
            </w:pPr>
          </w:p>
        </w:tc>
      </w:tr>
      <w:tr w:rsidR="00000000">
        <w:tblPrEx>
          <w:tblCellMar>
            <w:top w:w="0" w:type="dxa"/>
            <w:bottom w:w="0" w:type="dxa"/>
          </w:tblCellMar>
        </w:tblPrEx>
        <w:trPr>
          <w:trHeight w:val="218"/>
        </w:trPr>
        <w:tc>
          <w:tcPr>
            <w:tcW w:w="3737" w:type="dxa"/>
          </w:tcPr>
          <w:p w:rsidR="00000000" w:rsidRDefault="001F233B">
            <w:pPr>
              <w:pStyle w:val="Tabletext"/>
              <w:rPr>
                <w:i/>
              </w:rPr>
            </w:pPr>
          </w:p>
        </w:tc>
        <w:tc>
          <w:tcPr>
            <w:tcW w:w="1010" w:type="dxa"/>
          </w:tcPr>
          <w:p w:rsidR="00000000" w:rsidRDefault="001F233B">
            <w:pPr>
              <w:pStyle w:val="Tabletextheading"/>
              <w:rPr>
                <w:b w:val="0"/>
                <w:i/>
              </w:rPr>
            </w:pPr>
            <w:r>
              <w:rPr>
                <w:b w:val="0"/>
                <w:i/>
              </w:rPr>
              <w:t>Budget</w:t>
            </w:r>
          </w:p>
        </w:tc>
        <w:tc>
          <w:tcPr>
            <w:tcW w:w="1011" w:type="dxa"/>
          </w:tcPr>
          <w:p w:rsidR="00000000" w:rsidRDefault="001F233B">
            <w:pPr>
              <w:pStyle w:val="Tabletextheading"/>
              <w:rPr>
                <w:b w:val="0"/>
                <w:i/>
              </w:rPr>
            </w:pPr>
            <w:r>
              <w:rPr>
                <w:b w:val="0"/>
                <w:i/>
              </w:rPr>
              <w:t>Revised</w:t>
            </w:r>
          </w:p>
        </w:tc>
        <w:tc>
          <w:tcPr>
            <w:tcW w:w="1010" w:type="dxa"/>
          </w:tcPr>
          <w:p w:rsidR="00000000" w:rsidRDefault="001F233B">
            <w:pPr>
              <w:pStyle w:val="Tabletextheading"/>
              <w:rPr>
                <w:b w:val="0"/>
                <w:i/>
              </w:rPr>
            </w:pPr>
            <w:r>
              <w:rPr>
                <w:b w:val="0"/>
                <w:i/>
              </w:rPr>
              <w:t>change</w:t>
            </w:r>
          </w:p>
        </w:tc>
      </w:tr>
      <w:tr w:rsidR="00000000">
        <w:tblPrEx>
          <w:tblCellMar>
            <w:top w:w="0" w:type="dxa"/>
            <w:bottom w:w="0" w:type="dxa"/>
          </w:tblCellMar>
        </w:tblPrEx>
        <w:trPr>
          <w:trHeight w:hRule="exact" w:val="60"/>
        </w:trPr>
        <w:tc>
          <w:tcPr>
            <w:tcW w:w="3737" w:type="dxa"/>
            <w:tcBorders>
              <w:top w:val="single" w:sz="6" w:space="0" w:color="auto"/>
            </w:tcBorders>
          </w:tcPr>
          <w:p w:rsidR="00000000" w:rsidRDefault="001F233B">
            <w:pPr>
              <w:pStyle w:val="Tabletext"/>
            </w:pPr>
          </w:p>
        </w:tc>
        <w:tc>
          <w:tcPr>
            <w:tcW w:w="1010" w:type="dxa"/>
            <w:tcBorders>
              <w:top w:val="single" w:sz="6" w:space="0" w:color="auto"/>
            </w:tcBorders>
          </w:tcPr>
          <w:p w:rsidR="00000000" w:rsidRDefault="001F233B">
            <w:pPr>
              <w:spacing w:after="0"/>
              <w:jc w:val="right"/>
              <w:rPr>
                <w:rFonts w:ascii="Arial" w:hAnsi="Arial"/>
                <w:color w:val="000000"/>
                <w:sz w:val="18"/>
              </w:rPr>
            </w:pPr>
          </w:p>
        </w:tc>
        <w:tc>
          <w:tcPr>
            <w:tcW w:w="1011" w:type="dxa"/>
            <w:tcBorders>
              <w:top w:val="single" w:sz="6" w:space="0" w:color="auto"/>
            </w:tcBorders>
          </w:tcPr>
          <w:p w:rsidR="00000000" w:rsidRDefault="001F233B">
            <w:pPr>
              <w:spacing w:after="0"/>
              <w:jc w:val="right"/>
              <w:rPr>
                <w:rFonts w:ascii="Arial" w:hAnsi="Arial"/>
                <w:color w:val="000000"/>
                <w:sz w:val="18"/>
              </w:rPr>
            </w:pPr>
          </w:p>
        </w:tc>
        <w:tc>
          <w:tcPr>
            <w:tcW w:w="1010" w:type="dxa"/>
            <w:tcBorders>
              <w:top w:val="single" w:sz="6" w:space="0" w:color="auto"/>
            </w:tcBorders>
          </w:tcPr>
          <w:p w:rsidR="00000000" w:rsidRDefault="001F233B">
            <w:pPr>
              <w:spacing w:after="0"/>
              <w:jc w:val="right"/>
              <w:rPr>
                <w:rFonts w:ascii="Arial" w:hAnsi="Arial"/>
                <w:color w:val="000000"/>
                <w:sz w:val="18"/>
              </w:rPr>
            </w:pPr>
          </w:p>
        </w:tc>
      </w:tr>
      <w:tr w:rsidR="00000000">
        <w:tblPrEx>
          <w:tblCellMar>
            <w:top w:w="0" w:type="dxa"/>
            <w:bottom w:w="0" w:type="dxa"/>
          </w:tblCellMar>
        </w:tblPrEx>
        <w:trPr>
          <w:trHeight w:val="233"/>
        </w:trPr>
        <w:tc>
          <w:tcPr>
            <w:tcW w:w="3737" w:type="dxa"/>
          </w:tcPr>
          <w:p w:rsidR="00000000" w:rsidRDefault="001F233B">
            <w:pPr>
              <w:pStyle w:val="Tabletext"/>
            </w:pPr>
            <w:r>
              <w:t xml:space="preserve">Total Revenue </w:t>
            </w:r>
            <w:r>
              <w:rPr>
                <w:i/>
                <w:sz w:val="16"/>
                <w:vertAlign w:val="superscript"/>
              </w:rPr>
              <w:t xml:space="preserve">(a) </w:t>
            </w:r>
          </w:p>
        </w:tc>
        <w:tc>
          <w:tcPr>
            <w:tcW w:w="1010" w:type="dxa"/>
          </w:tcPr>
          <w:p w:rsidR="00000000" w:rsidRDefault="001F233B">
            <w:pPr>
              <w:pStyle w:val="TableofFigures"/>
              <w:rPr>
                <w:color w:val="000000"/>
              </w:rPr>
            </w:pPr>
            <w:r>
              <w:t>18</w:t>
            </w:r>
            <w:r>
              <w:rPr>
                <w:color w:val="000000"/>
              </w:rPr>
              <w:t xml:space="preserve"> 337.6</w:t>
            </w:r>
          </w:p>
        </w:tc>
        <w:tc>
          <w:tcPr>
            <w:tcW w:w="1011" w:type="dxa"/>
          </w:tcPr>
          <w:p w:rsidR="00000000" w:rsidRDefault="001F233B">
            <w:pPr>
              <w:pStyle w:val="TableofFigures"/>
              <w:rPr>
                <w:color w:val="000000"/>
              </w:rPr>
            </w:pPr>
            <w:r>
              <w:t>18</w:t>
            </w:r>
            <w:r>
              <w:rPr>
                <w:color w:val="000000"/>
              </w:rPr>
              <w:t xml:space="preserve"> 650.4</w:t>
            </w:r>
          </w:p>
        </w:tc>
        <w:tc>
          <w:tcPr>
            <w:tcW w:w="1010" w:type="dxa"/>
          </w:tcPr>
          <w:p w:rsidR="00000000" w:rsidRDefault="001F233B">
            <w:pPr>
              <w:pStyle w:val="TableofFigures"/>
              <w:rPr>
                <w:color w:val="000000"/>
              </w:rPr>
            </w:pPr>
            <w:r>
              <w:t xml:space="preserve"> </w:t>
            </w:r>
            <w:r>
              <w:rPr>
                <w:color w:val="000000"/>
              </w:rPr>
              <w:t>312.8</w:t>
            </w:r>
          </w:p>
        </w:tc>
      </w:tr>
      <w:tr w:rsidR="00000000">
        <w:tblPrEx>
          <w:tblCellMar>
            <w:top w:w="0" w:type="dxa"/>
            <w:bottom w:w="0" w:type="dxa"/>
          </w:tblCellMar>
        </w:tblPrEx>
        <w:trPr>
          <w:trHeight w:val="233"/>
        </w:trPr>
        <w:tc>
          <w:tcPr>
            <w:tcW w:w="3737" w:type="dxa"/>
          </w:tcPr>
          <w:p w:rsidR="00000000" w:rsidRDefault="001F233B">
            <w:pPr>
              <w:pStyle w:val="Tabletext"/>
            </w:pPr>
            <w:r>
              <w:t>Less Expenses</w:t>
            </w:r>
          </w:p>
        </w:tc>
        <w:tc>
          <w:tcPr>
            <w:tcW w:w="1010" w:type="dxa"/>
          </w:tcPr>
          <w:p w:rsidR="00000000" w:rsidRDefault="001F233B">
            <w:pPr>
              <w:pStyle w:val="TableofFigures"/>
              <w:rPr>
                <w:color w:val="000000"/>
              </w:rPr>
            </w:pPr>
            <w:r>
              <w:t>17</w:t>
            </w:r>
            <w:r>
              <w:rPr>
                <w:color w:val="000000"/>
              </w:rPr>
              <w:t xml:space="preserve"> 788.7</w:t>
            </w:r>
          </w:p>
        </w:tc>
        <w:tc>
          <w:tcPr>
            <w:tcW w:w="1011" w:type="dxa"/>
          </w:tcPr>
          <w:p w:rsidR="00000000" w:rsidRDefault="001F233B">
            <w:pPr>
              <w:pStyle w:val="TableofFigures"/>
              <w:rPr>
                <w:color w:val="000000"/>
              </w:rPr>
            </w:pPr>
            <w:r>
              <w:t>17</w:t>
            </w:r>
            <w:r>
              <w:rPr>
                <w:color w:val="000000"/>
              </w:rPr>
              <w:t xml:space="preserve"> 497.3</w:t>
            </w:r>
          </w:p>
        </w:tc>
        <w:tc>
          <w:tcPr>
            <w:tcW w:w="1010" w:type="dxa"/>
          </w:tcPr>
          <w:p w:rsidR="00000000" w:rsidRDefault="001F233B">
            <w:pPr>
              <w:pStyle w:val="TableofFigures"/>
              <w:rPr>
                <w:color w:val="000000"/>
              </w:rPr>
            </w:pPr>
            <w:r>
              <w:t xml:space="preserve"> </w:t>
            </w:r>
            <w:r>
              <w:rPr>
                <w:color w:val="000000"/>
              </w:rPr>
              <w:t>291.3</w:t>
            </w:r>
          </w:p>
        </w:tc>
      </w:tr>
      <w:tr w:rsidR="00000000">
        <w:tblPrEx>
          <w:tblCellMar>
            <w:top w:w="0" w:type="dxa"/>
            <w:bottom w:w="0" w:type="dxa"/>
          </w:tblCellMar>
        </w:tblPrEx>
        <w:trPr>
          <w:trHeight w:val="115"/>
        </w:trPr>
        <w:tc>
          <w:tcPr>
            <w:tcW w:w="3737" w:type="dxa"/>
          </w:tcPr>
          <w:p w:rsidR="00000000" w:rsidRDefault="001F233B">
            <w:pPr>
              <w:pStyle w:val="Tabletext"/>
            </w:pPr>
          </w:p>
        </w:tc>
        <w:tc>
          <w:tcPr>
            <w:tcW w:w="1010" w:type="dxa"/>
          </w:tcPr>
          <w:p w:rsidR="00000000" w:rsidRDefault="001F233B">
            <w:pPr>
              <w:pStyle w:val="TableofFigures"/>
            </w:pPr>
          </w:p>
        </w:tc>
        <w:tc>
          <w:tcPr>
            <w:tcW w:w="1011" w:type="dxa"/>
          </w:tcPr>
          <w:p w:rsidR="00000000" w:rsidRDefault="001F233B">
            <w:pPr>
              <w:pStyle w:val="TableofFigures"/>
            </w:pPr>
          </w:p>
        </w:tc>
        <w:tc>
          <w:tcPr>
            <w:tcW w:w="1010" w:type="dxa"/>
          </w:tcPr>
          <w:p w:rsidR="00000000" w:rsidRDefault="001F233B">
            <w:pPr>
              <w:pStyle w:val="TableofFigures"/>
            </w:pPr>
          </w:p>
        </w:tc>
      </w:tr>
      <w:tr w:rsidR="00000000">
        <w:tblPrEx>
          <w:tblCellMar>
            <w:top w:w="0" w:type="dxa"/>
            <w:bottom w:w="0" w:type="dxa"/>
          </w:tblCellMar>
        </w:tblPrEx>
        <w:trPr>
          <w:trHeight w:val="233"/>
        </w:trPr>
        <w:tc>
          <w:tcPr>
            <w:tcW w:w="3737" w:type="dxa"/>
          </w:tcPr>
          <w:p w:rsidR="00000000" w:rsidRDefault="001F233B">
            <w:pPr>
              <w:pStyle w:val="Tabletext"/>
            </w:pPr>
            <w:r>
              <w:t xml:space="preserve">Net Operating Surplus (before abnormals) </w:t>
            </w:r>
          </w:p>
        </w:tc>
        <w:tc>
          <w:tcPr>
            <w:tcW w:w="1010" w:type="dxa"/>
          </w:tcPr>
          <w:p w:rsidR="00000000" w:rsidRDefault="001F233B">
            <w:pPr>
              <w:pStyle w:val="TableofFigures"/>
              <w:rPr>
                <w:color w:val="000000"/>
              </w:rPr>
            </w:pPr>
            <w:r>
              <w:t xml:space="preserve"> </w:t>
            </w:r>
            <w:r>
              <w:rPr>
                <w:color w:val="000000"/>
              </w:rPr>
              <w:t>548.9</w:t>
            </w:r>
          </w:p>
        </w:tc>
        <w:tc>
          <w:tcPr>
            <w:tcW w:w="1011" w:type="dxa"/>
          </w:tcPr>
          <w:p w:rsidR="00000000" w:rsidRDefault="001F233B">
            <w:pPr>
              <w:pStyle w:val="TableofFigures"/>
              <w:rPr>
                <w:color w:val="000000"/>
              </w:rPr>
            </w:pPr>
            <w:r>
              <w:t>1</w:t>
            </w:r>
            <w:r>
              <w:rPr>
                <w:color w:val="000000"/>
              </w:rPr>
              <w:t xml:space="preserve"> 153.1</w:t>
            </w:r>
          </w:p>
        </w:tc>
        <w:tc>
          <w:tcPr>
            <w:tcW w:w="1010" w:type="dxa"/>
          </w:tcPr>
          <w:p w:rsidR="00000000" w:rsidRDefault="001F233B">
            <w:pPr>
              <w:pStyle w:val="TableofFigures"/>
              <w:rPr>
                <w:color w:val="000000"/>
              </w:rPr>
            </w:pPr>
            <w:r>
              <w:t xml:space="preserve"> </w:t>
            </w:r>
            <w:r>
              <w:rPr>
                <w:color w:val="000000"/>
              </w:rPr>
              <w:t>604.2</w:t>
            </w:r>
          </w:p>
        </w:tc>
      </w:tr>
      <w:tr w:rsidR="00000000">
        <w:tblPrEx>
          <w:tblCellMar>
            <w:top w:w="0" w:type="dxa"/>
            <w:bottom w:w="0" w:type="dxa"/>
          </w:tblCellMar>
        </w:tblPrEx>
        <w:trPr>
          <w:trHeight w:val="233"/>
        </w:trPr>
        <w:tc>
          <w:tcPr>
            <w:tcW w:w="3737" w:type="dxa"/>
          </w:tcPr>
          <w:p w:rsidR="00000000" w:rsidRDefault="001F233B">
            <w:pPr>
              <w:pStyle w:val="Tabletext"/>
            </w:pPr>
            <w:r>
              <w:t>Plus: Net Privatisation</w:t>
            </w:r>
            <w:r>
              <w:fldChar w:fldCharType="begin"/>
            </w:r>
            <w:r>
              <w:instrText>xe "Privatisation"</w:instrText>
            </w:r>
            <w:r>
              <w:fldChar w:fldCharType="end"/>
            </w:r>
            <w:r>
              <w:t xml:space="preserve"> Proceeds</w:t>
            </w:r>
          </w:p>
        </w:tc>
        <w:tc>
          <w:tcPr>
            <w:tcW w:w="1010" w:type="dxa"/>
          </w:tcPr>
          <w:p w:rsidR="00000000" w:rsidRDefault="001F233B">
            <w:pPr>
              <w:pStyle w:val="TableofFigures"/>
            </w:pPr>
          </w:p>
        </w:tc>
        <w:tc>
          <w:tcPr>
            <w:tcW w:w="1011" w:type="dxa"/>
          </w:tcPr>
          <w:p w:rsidR="00000000" w:rsidRDefault="001F233B">
            <w:pPr>
              <w:pStyle w:val="TableofFigures"/>
              <w:rPr>
                <w:color w:val="000000"/>
              </w:rPr>
            </w:pPr>
            <w:r>
              <w:t>1</w:t>
            </w:r>
            <w:r>
              <w:rPr>
                <w:color w:val="000000"/>
              </w:rPr>
              <w:t xml:space="preserve"> 873.0</w:t>
            </w:r>
          </w:p>
        </w:tc>
        <w:tc>
          <w:tcPr>
            <w:tcW w:w="1010" w:type="dxa"/>
          </w:tcPr>
          <w:p w:rsidR="00000000" w:rsidRDefault="001F233B">
            <w:pPr>
              <w:pStyle w:val="TableofFigures"/>
            </w:pPr>
          </w:p>
        </w:tc>
      </w:tr>
      <w:tr w:rsidR="00000000">
        <w:tblPrEx>
          <w:tblCellMar>
            <w:top w:w="0" w:type="dxa"/>
            <w:bottom w:w="0" w:type="dxa"/>
          </w:tblCellMar>
        </w:tblPrEx>
        <w:trPr>
          <w:trHeight w:val="233"/>
        </w:trPr>
        <w:tc>
          <w:tcPr>
            <w:tcW w:w="3737" w:type="dxa"/>
          </w:tcPr>
          <w:p w:rsidR="00000000" w:rsidRDefault="001F233B">
            <w:pPr>
              <w:pStyle w:val="Tabletext"/>
            </w:pPr>
            <w:r>
              <w:t>less: Realised los</w:t>
            </w:r>
            <w:r>
              <w:t>s on borrowings</w:t>
            </w:r>
          </w:p>
        </w:tc>
        <w:tc>
          <w:tcPr>
            <w:tcW w:w="1010" w:type="dxa"/>
          </w:tcPr>
          <w:p w:rsidR="00000000" w:rsidRDefault="001F233B">
            <w:pPr>
              <w:pStyle w:val="TableofFigures"/>
            </w:pPr>
          </w:p>
        </w:tc>
        <w:tc>
          <w:tcPr>
            <w:tcW w:w="1011" w:type="dxa"/>
          </w:tcPr>
          <w:p w:rsidR="00000000" w:rsidRDefault="001F233B">
            <w:pPr>
              <w:pStyle w:val="TableofFigures"/>
              <w:rPr>
                <w:color w:val="000000"/>
              </w:rPr>
            </w:pPr>
            <w:r>
              <w:t>-</w:t>
            </w:r>
            <w:r>
              <w:rPr>
                <w:color w:val="000000"/>
              </w:rPr>
              <w:t xml:space="preserve"> 334.4</w:t>
            </w:r>
          </w:p>
        </w:tc>
        <w:tc>
          <w:tcPr>
            <w:tcW w:w="1010" w:type="dxa"/>
          </w:tcPr>
          <w:p w:rsidR="00000000" w:rsidRDefault="001F233B">
            <w:pPr>
              <w:pStyle w:val="TableofFigures"/>
            </w:pPr>
          </w:p>
        </w:tc>
      </w:tr>
      <w:tr w:rsidR="00000000">
        <w:tblPrEx>
          <w:tblCellMar>
            <w:top w:w="0" w:type="dxa"/>
            <w:bottom w:w="0" w:type="dxa"/>
          </w:tblCellMar>
        </w:tblPrEx>
        <w:trPr>
          <w:trHeight w:val="115"/>
        </w:trPr>
        <w:tc>
          <w:tcPr>
            <w:tcW w:w="3737" w:type="dxa"/>
          </w:tcPr>
          <w:p w:rsidR="00000000" w:rsidRDefault="001F233B">
            <w:pPr>
              <w:pStyle w:val="Tabletext"/>
            </w:pPr>
          </w:p>
        </w:tc>
        <w:tc>
          <w:tcPr>
            <w:tcW w:w="1010" w:type="dxa"/>
            <w:tcBorders>
              <w:bottom w:val="single" w:sz="6" w:space="0" w:color="auto"/>
            </w:tcBorders>
          </w:tcPr>
          <w:p w:rsidR="00000000" w:rsidRDefault="001F233B">
            <w:pPr>
              <w:pStyle w:val="TableofFigures"/>
            </w:pPr>
          </w:p>
        </w:tc>
        <w:tc>
          <w:tcPr>
            <w:tcW w:w="1011" w:type="dxa"/>
            <w:tcBorders>
              <w:bottom w:val="single" w:sz="6" w:space="0" w:color="auto"/>
            </w:tcBorders>
          </w:tcPr>
          <w:p w:rsidR="00000000" w:rsidRDefault="001F233B">
            <w:pPr>
              <w:pStyle w:val="TableofFigures"/>
            </w:pPr>
          </w:p>
        </w:tc>
        <w:tc>
          <w:tcPr>
            <w:tcW w:w="1010" w:type="dxa"/>
          </w:tcPr>
          <w:p w:rsidR="00000000" w:rsidRDefault="001F233B">
            <w:pPr>
              <w:pStyle w:val="TableofFigures"/>
            </w:pPr>
          </w:p>
        </w:tc>
      </w:tr>
      <w:tr w:rsidR="00000000">
        <w:tblPrEx>
          <w:tblCellMar>
            <w:top w:w="0" w:type="dxa"/>
            <w:bottom w:w="0" w:type="dxa"/>
          </w:tblCellMar>
        </w:tblPrEx>
        <w:trPr>
          <w:trHeight w:val="233"/>
        </w:trPr>
        <w:tc>
          <w:tcPr>
            <w:tcW w:w="3737" w:type="dxa"/>
            <w:tcBorders>
              <w:top w:val="single" w:sz="6" w:space="0" w:color="auto"/>
            </w:tcBorders>
          </w:tcPr>
          <w:p w:rsidR="00000000" w:rsidRDefault="001F233B">
            <w:pPr>
              <w:pStyle w:val="Tabletext"/>
              <w:rPr>
                <w:b/>
              </w:rPr>
            </w:pPr>
            <w:r>
              <w:rPr>
                <w:b/>
              </w:rPr>
              <w:t>Operating Surplus (after abnormals)</w:t>
            </w:r>
          </w:p>
        </w:tc>
        <w:tc>
          <w:tcPr>
            <w:tcW w:w="1010" w:type="dxa"/>
          </w:tcPr>
          <w:p w:rsidR="00000000" w:rsidRDefault="001F233B">
            <w:pPr>
              <w:pStyle w:val="TableofFigures"/>
              <w:rPr>
                <w:b/>
              </w:rPr>
            </w:pPr>
            <w:r>
              <w:rPr>
                <w:b/>
              </w:rPr>
              <w:t xml:space="preserve"> 548.9</w:t>
            </w:r>
          </w:p>
        </w:tc>
        <w:tc>
          <w:tcPr>
            <w:tcW w:w="1011" w:type="dxa"/>
          </w:tcPr>
          <w:p w:rsidR="00000000" w:rsidRDefault="001F233B">
            <w:pPr>
              <w:pStyle w:val="TableofFigures"/>
              <w:rPr>
                <w:b/>
              </w:rPr>
            </w:pPr>
            <w:r>
              <w:rPr>
                <w:b/>
              </w:rPr>
              <w:t>2 691.6</w:t>
            </w:r>
          </w:p>
        </w:tc>
        <w:tc>
          <w:tcPr>
            <w:tcW w:w="1010" w:type="dxa"/>
            <w:tcBorders>
              <w:top w:val="single" w:sz="6" w:space="0" w:color="auto"/>
            </w:tcBorders>
          </w:tcPr>
          <w:p w:rsidR="00000000" w:rsidRDefault="001F233B">
            <w:pPr>
              <w:pStyle w:val="TableofFigures"/>
            </w:pPr>
          </w:p>
        </w:tc>
      </w:tr>
      <w:tr w:rsidR="00000000">
        <w:tblPrEx>
          <w:tblCellMar>
            <w:top w:w="0" w:type="dxa"/>
            <w:bottom w:w="0" w:type="dxa"/>
          </w:tblCellMar>
        </w:tblPrEx>
        <w:trPr>
          <w:trHeight w:hRule="exact" w:val="60"/>
        </w:trPr>
        <w:tc>
          <w:tcPr>
            <w:tcW w:w="3737" w:type="dxa"/>
            <w:tcBorders>
              <w:bottom w:val="single" w:sz="12" w:space="0" w:color="auto"/>
            </w:tcBorders>
          </w:tcPr>
          <w:p w:rsidR="00000000" w:rsidRDefault="001F233B">
            <w:pPr>
              <w:pStyle w:val="Tabletext"/>
            </w:pPr>
          </w:p>
        </w:tc>
        <w:tc>
          <w:tcPr>
            <w:tcW w:w="1010" w:type="dxa"/>
            <w:tcBorders>
              <w:bottom w:val="single" w:sz="12" w:space="0" w:color="auto"/>
            </w:tcBorders>
          </w:tcPr>
          <w:p w:rsidR="00000000" w:rsidRDefault="001F233B">
            <w:pPr>
              <w:pStyle w:val="TableofFigures"/>
            </w:pPr>
          </w:p>
        </w:tc>
        <w:tc>
          <w:tcPr>
            <w:tcW w:w="1011" w:type="dxa"/>
            <w:tcBorders>
              <w:bottom w:val="single" w:sz="12" w:space="0" w:color="auto"/>
            </w:tcBorders>
          </w:tcPr>
          <w:p w:rsidR="00000000" w:rsidRDefault="001F233B">
            <w:pPr>
              <w:pStyle w:val="TableofFigures"/>
            </w:pPr>
          </w:p>
        </w:tc>
        <w:tc>
          <w:tcPr>
            <w:tcW w:w="1010" w:type="dxa"/>
            <w:tcBorders>
              <w:bottom w:val="single" w:sz="12" w:space="0" w:color="auto"/>
            </w:tcBorders>
          </w:tcPr>
          <w:p w:rsidR="00000000" w:rsidRDefault="001F233B">
            <w:pPr>
              <w:pStyle w:val="TableofFigures"/>
            </w:pPr>
          </w:p>
        </w:tc>
      </w:tr>
    </w:tbl>
    <w:p w:rsidR="00000000" w:rsidRDefault="001F233B">
      <w:pPr>
        <w:pStyle w:val="Source"/>
        <w:spacing w:after="0"/>
      </w:pPr>
      <w:r>
        <w:t>Source: Department of Treasury and Finance.</w:t>
      </w:r>
    </w:p>
    <w:p w:rsidR="00000000" w:rsidRDefault="001F233B">
      <w:pPr>
        <w:pStyle w:val="Source"/>
        <w:spacing w:after="0"/>
      </w:pPr>
      <w:r>
        <w:t>Note:</w:t>
      </w:r>
    </w:p>
    <w:p w:rsidR="00000000" w:rsidRDefault="001F233B">
      <w:pPr>
        <w:pStyle w:val="Notes"/>
        <w:tabs>
          <w:tab w:val="clear" w:pos="454"/>
          <w:tab w:val="left" w:pos="360"/>
        </w:tabs>
        <w:spacing w:after="240"/>
      </w:pPr>
      <w:r>
        <w:t>(a)</w:t>
      </w:r>
      <w:r>
        <w:tab/>
        <w:t>Adjusted for the effect of privatisation</w:t>
      </w:r>
      <w:r>
        <w:fldChar w:fldCharType="begin"/>
      </w:r>
      <w:r>
        <w:instrText>xe "Privatisation"</w:instrText>
      </w:r>
      <w:r>
        <w:fldChar w:fldCharType="end"/>
      </w:r>
      <w:r>
        <w:t xml:space="preserve"> receipts.</w:t>
      </w:r>
    </w:p>
    <w:p w:rsidR="00000000" w:rsidRDefault="001F233B">
      <w:r>
        <w:t>Table 3.2 provides additional detail on revisions to the 1997</w:t>
      </w:r>
      <w:r>
        <w:noBreakHyphen/>
        <w:t>98 Budget estimates.</w:t>
      </w:r>
    </w:p>
    <w:p w:rsidR="00000000" w:rsidRDefault="001F233B">
      <w:pPr>
        <w:pStyle w:val="Tableheading"/>
        <w:keepNext/>
        <w:spacing w:before="0"/>
      </w:pPr>
      <w:r>
        <w:br w:type="page"/>
      </w:r>
      <w:bookmarkStart w:id="40" w:name="_Toc417119980"/>
      <w:bookmarkStart w:id="41" w:name="_Toc417552739"/>
      <w:r>
        <w:lastRenderedPageBreak/>
        <w:t>Table 3.2: Revised 1997</w:t>
      </w:r>
      <w:r>
        <w:noBreakHyphen/>
        <w:t>98 Operating Statement</w:t>
      </w:r>
      <w:r>
        <w:fldChar w:fldCharType="begin"/>
      </w:r>
      <w:r>
        <w:instrText>xe "Operating statement"</w:instrText>
      </w:r>
      <w:r>
        <w:fldChar w:fldCharType="end"/>
      </w:r>
      <w:r>
        <w:t xml:space="preserve"> </w:t>
      </w:r>
      <w:r>
        <w:rPr>
          <w:i/>
          <w:sz w:val="22"/>
          <w:vertAlign w:val="superscript"/>
        </w:rPr>
        <w:t>(a)</w:t>
      </w:r>
      <w:bookmarkEnd w:id="40"/>
      <w:bookmarkEnd w:id="41"/>
    </w:p>
    <w:p w:rsidR="00000000" w:rsidRDefault="001F233B">
      <w:pPr>
        <w:keepNext/>
        <w:spacing w:after="0"/>
        <w:jc w:val="center"/>
        <w:rPr>
          <w:rFonts w:ascii="Arial" w:hAnsi="Arial"/>
          <w:i/>
          <w:noProof/>
          <w:sz w:val="18"/>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164"/>
        <w:gridCol w:w="931"/>
        <w:gridCol w:w="883"/>
        <w:gridCol w:w="804"/>
      </w:tblGrid>
      <w:tr w:rsidR="00000000">
        <w:tblPrEx>
          <w:tblCellMar>
            <w:top w:w="0" w:type="dxa"/>
            <w:bottom w:w="0" w:type="dxa"/>
          </w:tblCellMar>
        </w:tblPrEx>
        <w:tc>
          <w:tcPr>
            <w:tcW w:w="4164" w:type="dxa"/>
            <w:tcBorders>
              <w:top w:val="single" w:sz="6" w:space="0" w:color="auto"/>
            </w:tcBorders>
          </w:tcPr>
          <w:p w:rsidR="00000000" w:rsidRDefault="001F233B">
            <w:pPr>
              <w:pStyle w:val="Tabletext"/>
              <w:keepNext/>
              <w:rPr>
                <w:i/>
              </w:rPr>
            </w:pPr>
          </w:p>
        </w:tc>
        <w:tc>
          <w:tcPr>
            <w:tcW w:w="931" w:type="dxa"/>
            <w:tcBorders>
              <w:top w:val="single" w:sz="6" w:space="0" w:color="auto"/>
            </w:tcBorders>
          </w:tcPr>
          <w:p w:rsidR="00000000" w:rsidRDefault="001F233B">
            <w:pPr>
              <w:pStyle w:val="Tabletextheading"/>
              <w:keepNext/>
              <w:rPr>
                <w:b w:val="0"/>
                <w:i/>
              </w:rPr>
            </w:pPr>
            <w:r>
              <w:rPr>
                <w:b w:val="0"/>
                <w:i/>
              </w:rPr>
              <w:t>1997-98</w:t>
            </w:r>
          </w:p>
        </w:tc>
        <w:tc>
          <w:tcPr>
            <w:tcW w:w="883" w:type="dxa"/>
            <w:tcBorders>
              <w:top w:val="single" w:sz="6" w:space="0" w:color="auto"/>
            </w:tcBorders>
          </w:tcPr>
          <w:p w:rsidR="00000000" w:rsidRDefault="001F233B">
            <w:pPr>
              <w:pStyle w:val="Tabletextheading"/>
              <w:keepNext/>
              <w:rPr>
                <w:b w:val="0"/>
                <w:i/>
              </w:rPr>
            </w:pPr>
            <w:r>
              <w:rPr>
                <w:b w:val="0"/>
                <w:i/>
              </w:rPr>
              <w:t>1997-98</w:t>
            </w:r>
          </w:p>
        </w:tc>
        <w:tc>
          <w:tcPr>
            <w:tcW w:w="804" w:type="dxa"/>
            <w:tcBorders>
              <w:top w:val="single" w:sz="6" w:space="0" w:color="auto"/>
            </w:tcBorders>
          </w:tcPr>
          <w:p w:rsidR="00000000" w:rsidRDefault="001F233B">
            <w:pPr>
              <w:pStyle w:val="Tabletextheading"/>
              <w:keepNext/>
              <w:rPr>
                <w:b w:val="0"/>
                <w:i/>
              </w:rPr>
            </w:pPr>
          </w:p>
        </w:tc>
      </w:tr>
      <w:tr w:rsidR="00000000">
        <w:tblPrEx>
          <w:tblCellMar>
            <w:top w:w="0" w:type="dxa"/>
            <w:bottom w:w="0" w:type="dxa"/>
          </w:tblCellMar>
        </w:tblPrEx>
        <w:tc>
          <w:tcPr>
            <w:tcW w:w="4164" w:type="dxa"/>
            <w:tcBorders>
              <w:bottom w:val="single" w:sz="6" w:space="0" w:color="auto"/>
            </w:tcBorders>
          </w:tcPr>
          <w:p w:rsidR="00000000" w:rsidRDefault="001F233B">
            <w:pPr>
              <w:pStyle w:val="Tabletext"/>
              <w:keepNext/>
              <w:rPr>
                <w:i/>
              </w:rPr>
            </w:pPr>
          </w:p>
        </w:tc>
        <w:tc>
          <w:tcPr>
            <w:tcW w:w="931" w:type="dxa"/>
            <w:tcBorders>
              <w:bottom w:val="single" w:sz="6" w:space="0" w:color="auto"/>
            </w:tcBorders>
          </w:tcPr>
          <w:p w:rsidR="00000000" w:rsidRDefault="001F233B">
            <w:pPr>
              <w:pStyle w:val="Tabletextheading"/>
              <w:keepNext/>
              <w:rPr>
                <w:b w:val="0"/>
                <w:i/>
              </w:rPr>
            </w:pPr>
            <w:r>
              <w:rPr>
                <w:b w:val="0"/>
                <w:i/>
              </w:rPr>
              <w:t>Budget</w:t>
            </w:r>
          </w:p>
        </w:tc>
        <w:tc>
          <w:tcPr>
            <w:tcW w:w="883" w:type="dxa"/>
            <w:tcBorders>
              <w:bottom w:val="single" w:sz="6" w:space="0" w:color="auto"/>
            </w:tcBorders>
          </w:tcPr>
          <w:p w:rsidR="00000000" w:rsidRDefault="001F233B">
            <w:pPr>
              <w:pStyle w:val="Tabletextheading"/>
              <w:keepNext/>
              <w:rPr>
                <w:b w:val="0"/>
                <w:i/>
              </w:rPr>
            </w:pPr>
            <w:r>
              <w:rPr>
                <w:b w:val="0"/>
                <w:i/>
              </w:rPr>
              <w:t>Revised</w:t>
            </w:r>
          </w:p>
        </w:tc>
        <w:tc>
          <w:tcPr>
            <w:tcW w:w="804" w:type="dxa"/>
            <w:tcBorders>
              <w:bottom w:val="single" w:sz="6" w:space="0" w:color="auto"/>
            </w:tcBorders>
          </w:tcPr>
          <w:p w:rsidR="00000000" w:rsidRDefault="001F233B">
            <w:pPr>
              <w:pStyle w:val="Tabletextheading"/>
              <w:keepNext/>
              <w:rPr>
                <w:b w:val="0"/>
                <w:i/>
              </w:rPr>
            </w:pPr>
            <w:r>
              <w:rPr>
                <w:b w:val="0"/>
                <w:i/>
              </w:rPr>
              <w:t>Change</w:t>
            </w:r>
          </w:p>
        </w:tc>
      </w:tr>
      <w:tr w:rsidR="00000000">
        <w:tblPrEx>
          <w:tblCellMar>
            <w:top w:w="0" w:type="dxa"/>
            <w:bottom w:w="0" w:type="dxa"/>
          </w:tblCellMar>
        </w:tblPrEx>
        <w:tc>
          <w:tcPr>
            <w:tcW w:w="4164" w:type="dxa"/>
          </w:tcPr>
          <w:p w:rsidR="00000000" w:rsidRDefault="001F233B">
            <w:pPr>
              <w:pStyle w:val="Tabletext"/>
              <w:keepNext/>
              <w:rPr>
                <w:b/>
              </w:rPr>
            </w:pPr>
            <w:r>
              <w:rPr>
                <w:b/>
              </w:rPr>
              <w:t>Net Operating Result</w:t>
            </w:r>
          </w:p>
        </w:tc>
        <w:tc>
          <w:tcPr>
            <w:tcW w:w="931" w:type="dxa"/>
          </w:tcPr>
          <w:p w:rsidR="00000000" w:rsidRDefault="001F233B">
            <w:pPr>
              <w:pStyle w:val="TableofFigures"/>
              <w:keepNext/>
            </w:pPr>
          </w:p>
        </w:tc>
        <w:tc>
          <w:tcPr>
            <w:tcW w:w="883" w:type="dxa"/>
          </w:tcPr>
          <w:p w:rsidR="00000000" w:rsidRDefault="001F233B">
            <w:pPr>
              <w:pStyle w:val="TableofFigures"/>
              <w:keepNext/>
            </w:pPr>
          </w:p>
        </w:tc>
        <w:tc>
          <w:tcPr>
            <w:tcW w:w="804" w:type="dxa"/>
          </w:tcPr>
          <w:p w:rsidR="00000000" w:rsidRDefault="001F233B">
            <w:pPr>
              <w:pStyle w:val="TableofFigures"/>
              <w:keepNext/>
            </w:pPr>
          </w:p>
        </w:tc>
      </w:tr>
      <w:tr w:rsidR="00000000">
        <w:tblPrEx>
          <w:tblCellMar>
            <w:top w:w="0" w:type="dxa"/>
            <w:bottom w:w="0" w:type="dxa"/>
          </w:tblCellMar>
        </w:tblPrEx>
        <w:tc>
          <w:tcPr>
            <w:tcW w:w="4164" w:type="dxa"/>
          </w:tcPr>
          <w:p w:rsidR="00000000" w:rsidRDefault="001F233B">
            <w:pPr>
              <w:pStyle w:val="Tabletext"/>
              <w:keepNext/>
              <w:rPr>
                <w:i/>
                <w:sz w:val="20"/>
                <w:vertAlign w:val="superscript"/>
              </w:rPr>
            </w:pPr>
            <w:r>
              <w:t xml:space="preserve">Taxes </w:t>
            </w:r>
            <w:r>
              <w:rPr>
                <w:i/>
                <w:sz w:val="20"/>
                <w:vertAlign w:val="superscript"/>
              </w:rPr>
              <w:t>(b)</w:t>
            </w:r>
          </w:p>
        </w:tc>
        <w:tc>
          <w:tcPr>
            <w:tcW w:w="931" w:type="dxa"/>
          </w:tcPr>
          <w:p w:rsidR="00000000" w:rsidRDefault="001F233B">
            <w:pPr>
              <w:pStyle w:val="TableofFigures"/>
              <w:keepNext/>
              <w:rPr>
                <w:color w:val="000000"/>
              </w:rPr>
            </w:pPr>
            <w:r>
              <w:t>8</w:t>
            </w:r>
            <w:r>
              <w:rPr>
                <w:color w:val="000000"/>
              </w:rPr>
              <w:t xml:space="preserve"> 417.6</w:t>
            </w:r>
          </w:p>
        </w:tc>
        <w:tc>
          <w:tcPr>
            <w:tcW w:w="883" w:type="dxa"/>
          </w:tcPr>
          <w:p w:rsidR="00000000" w:rsidRDefault="001F233B">
            <w:pPr>
              <w:pStyle w:val="TableofFigures"/>
              <w:keepNext/>
              <w:rPr>
                <w:color w:val="000000"/>
              </w:rPr>
            </w:pPr>
            <w:r>
              <w:t>8</w:t>
            </w:r>
            <w:r>
              <w:rPr>
                <w:color w:val="000000"/>
              </w:rPr>
              <w:t xml:space="preserve"> 316.1</w:t>
            </w:r>
          </w:p>
        </w:tc>
        <w:tc>
          <w:tcPr>
            <w:tcW w:w="804" w:type="dxa"/>
          </w:tcPr>
          <w:p w:rsidR="00000000" w:rsidRDefault="001F233B">
            <w:pPr>
              <w:pStyle w:val="TableofFigures"/>
              <w:keepNext/>
              <w:rPr>
                <w:color w:val="000000"/>
              </w:rPr>
            </w:pPr>
            <w:r>
              <w:t>-</w:t>
            </w:r>
            <w:r>
              <w:rPr>
                <w:color w:val="000000"/>
              </w:rPr>
              <w:t xml:space="preserve"> 101.5</w:t>
            </w:r>
          </w:p>
        </w:tc>
      </w:tr>
      <w:tr w:rsidR="00000000">
        <w:tblPrEx>
          <w:tblCellMar>
            <w:top w:w="0" w:type="dxa"/>
            <w:bottom w:w="0" w:type="dxa"/>
          </w:tblCellMar>
        </w:tblPrEx>
        <w:tc>
          <w:tcPr>
            <w:tcW w:w="4164" w:type="dxa"/>
          </w:tcPr>
          <w:p w:rsidR="00000000" w:rsidRDefault="001F233B">
            <w:pPr>
              <w:pStyle w:val="Tabletext"/>
              <w:keepNext/>
            </w:pPr>
            <w:r>
              <w:t>Regulatory fees and fin</w:t>
            </w:r>
            <w:r>
              <w:t>es</w:t>
            </w:r>
          </w:p>
        </w:tc>
        <w:tc>
          <w:tcPr>
            <w:tcW w:w="931" w:type="dxa"/>
          </w:tcPr>
          <w:p w:rsidR="00000000" w:rsidRDefault="001F233B">
            <w:pPr>
              <w:pStyle w:val="TableofFigures"/>
              <w:keepNext/>
              <w:rPr>
                <w:color w:val="000000"/>
              </w:rPr>
            </w:pPr>
            <w:r>
              <w:t xml:space="preserve"> </w:t>
            </w:r>
            <w:r>
              <w:rPr>
                <w:color w:val="000000"/>
              </w:rPr>
              <w:t>179.1</w:t>
            </w:r>
          </w:p>
        </w:tc>
        <w:tc>
          <w:tcPr>
            <w:tcW w:w="883" w:type="dxa"/>
          </w:tcPr>
          <w:p w:rsidR="00000000" w:rsidRDefault="001F233B">
            <w:pPr>
              <w:pStyle w:val="TableofFigures"/>
              <w:keepNext/>
              <w:rPr>
                <w:color w:val="000000"/>
              </w:rPr>
            </w:pPr>
            <w:r>
              <w:t xml:space="preserve"> </w:t>
            </w:r>
            <w:r>
              <w:rPr>
                <w:color w:val="000000"/>
              </w:rPr>
              <w:t>233.4</w:t>
            </w:r>
          </w:p>
        </w:tc>
        <w:tc>
          <w:tcPr>
            <w:tcW w:w="804" w:type="dxa"/>
          </w:tcPr>
          <w:p w:rsidR="00000000" w:rsidRDefault="001F233B">
            <w:pPr>
              <w:pStyle w:val="TableofFigures"/>
              <w:keepNext/>
              <w:rPr>
                <w:color w:val="000000"/>
              </w:rPr>
            </w:pPr>
            <w:r>
              <w:t xml:space="preserve"> </w:t>
            </w:r>
            <w:r>
              <w:rPr>
                <w:color w:val="000000"/>
              </w:rPr>
              <w:t>54.4</w:t>
            </w:r>
          </w:p>
        </w:tc>
      </w:tr>
      <w:tr w:rsidR="00000000">
        <w:tblPrEx>
          <w:tblCellMar>
            <w:top w:w="0" w:type="dxa"/>
            <w:bottom w:w="0" w:type="dxa"/>
          </w:tblCellMar>
        </w:tblPrEx>
        <w:tc>
          <w:tcPr>
            <w:tcW w:w="4164" w:type="dxa"/>
          </w:tcPr>
          <w:p w:rsidR="00000000" w:rsidRDefault="001F233B">
            <w:pPr>
              <w:pStyle w:val="Tabletext"/>
              <w:keepNext/>
            </w:pPr>
            <w:r>
              <w:t>Sales of goods and services</w:t>
            </w:r>
          </w:p>
        </w:tc>
        <w:tc>
          <w:tcPr>
            <w:tcW w:w="931" w:type="dxa"/>
          </w:tcPr>
          <w:p w:rsidR="00000000" w:rsidRDefault="001F233B">
            <w:pPr>
              <w:pStyle w:val="TableofFigures"/>
              <w:keepNext/>
              <w:rPr>
                <w:color w:val="000000"/>
              </w:rPr>
            </w:pPr>
            <w:r>
              <w:t>1</w:t>
            </w:r>
            <w:r>
              <w:rPr>
                <w:color w:val="000000"/>
              </w:rPr>
              <w:t xml:space="preserve"> 730.3</w:t>
            </w:r>
          </w:p>
        </w:tc>
        <w:tc>
          <w:tcPr>
            <w:tcW w:w="883" w:type="dxa"/>
          </w:tcPr>
          <w:p w:rsidR="00000000" w:rsidRDefault="001F233B">
            <w:pPr>
              <w:pStyle w:val="TableofFigures"/>
              <w:keepNext/>
              <w:rPr>
                <w:color w:val="000000"/>
              </w:rPr>
            </w:pPr>
            <w:r>
              <w:t>1</w:t>
            </w:r>
            <w:r>
              <w:rPr>
                <w:color w:val="000000"/>
              </w:rPr>
              <w:t xml:space="preserve"> 703.3</w:t>
            </w:r>
          </w:p>
        </w:tc>
        <w:tc>
          <w:tcPr>
            <w:tcW w:w="804" w:type="dxa"/>
          </w:tcPr>
          <w:p w:rsidR="00000000" w:rsidRDefault="001F233B">
            <w:pPr>
              <w:pStyle w:val="TableofFigures"/>
              <w:keepNext/>
              <w:rPr>
                <w:color w:val="000000"/>
              </w:rPr>
            </w:pPr>
            <w:r>
              <w:t>-</w:t>
            </w:r>
            <w:r>
              <w:rPr>
                <w:color w:val="000000"/>
              </w:rPr>
              <w:t xml:space="preserve"> 27.0</w:t>
            </w:r>
          </w:p>
        </w:tc>
      </w:tr>
      <w:tr w:rsidR="00000000">
        <w:tblPrEx>
          <w:tblCellMar>
            <w:top w:w="0" w:type="dxa"/>
            <w:bottom w:w="0" w:type="dxa"/>
          </w:tblCellMar>
        </w:tblPrEx>
        <w:tc>
          <w:tcPr>
            <w:tcW w:w="4164" w:type="dxa"/>
          </w:tcPr>
          <w:p w:rsidR="00000000" w:rsidRDefault="001F233B">
            <w:pPr>
              <w:pStyle w:val="Tabletext"/>
              <w:keepNext/>
            </w:pPr>
            <w:r>
              <w:t xml:space="preserve">Public authority income </w:t>
            </w:r>
            <w:r>
              <w:rPr>
                <w:i/>
                <w:sz w:val="20"/>
                <w:vertAlign w:val="superscript"/>
              </w:rPr>
              <w:t>(b)</w:t>
            </w:r>
            <w:r>
              <w:t xml:space="preserve"> </w:t>
            </w:r>
          </w:p>
        </w:tc>
        <w:tc>
          <w:tcPr>
            <w:tcW w:w="931" w:type="dxa"/>
          </w:tcPr>
          <w:p w:rsidR="00000000" w:rsidRDefault="001F233B">
            <w:pPr>
              <w:pStyle w:val="TableofFigures"/>
              <w:keepNext/>
              <w:rPr>
                <w:color w:val="000000"/>
              </w:rPr>
            </w:pPr>
            <w:r>
              <w:t xml:space="preserve"> </w:t>
            </w:r>
            <w:r>
              <w:rPr>
                <w:color w:val="000000"/>
              </w:rPr>
              <w:t>683.5</w:t>
            </w:r>
          </w:p>
        </w:tc>
        <w:tc>
          <w:tcPr>
            <w:tcW w:w="883" w:type="dxa"/>
          </w:tcPr>
          <w:p w:rsidR="00000000" w:rsidRDefault="001F233B">
            <w:pPr>
              <w:pStyle w:val="TableofFigures"/>
              <w:keepNext/>
              <w:rPr>
                <w:color w:val="000000"/>
              </w:rPr>
            </w:pPr>
            <w:r>
              <w:t xml:space="preserve"> </w:t>
            </w:r>
            <w:r>
              <w:rPr>
                <w:color w:val="000000"/>
              </w:rPr>
              <w:t>944.8</w:t>
            </w:r>
          </w:p>
        </w:tc>
        <w:tc>
          <w:tcPr>
            <w:tcW w:w="804" w:type="dxa"/>
          </w:tcPr>
          <w:p w:rsidR="00000000" w:rsidRDefault="001F233B">
            <w:pPr>
              <w:pStyle w:val="TableofFigures"/>
              <w:keepNext/>
              <w:rPr>
                <w:color w:val="000000"/>
              </w:rPr>
            </w:pPr>
            <w:r>
              <w:t xml:space="preserve"> </w:t>
            </w:r>
            <w:r>
              <w:rPr>
                <w:color w:val="000000"/>
              </w:rPr>
              <w:t>261.2</w:t>
            </w:r>
          </w:p>
        </w:tc>
      </w:tr>
      <w:tr w:rsidR="00000000">
        <w:tblPrEx>
          <w:tblCellMar>
            <w:top w:w="0" w:type="dxa"/>
            <w:bottom w:w="0" w:type="dxa"/>
          </w:tblCellMar>
        </w:tblPrEx>
        <w:tc>
          <w:tcPr>
            <w:tcW w:w="4164" w:type="dxa"/>
          </w:tcPr>
          <w:p w:rsidR="00000000" w:rsidRDefault="001F233B">
            <w:pPr>
              <w:pStyle w:val="Tabletext"/>
              <w:keepNext/>
            </w:pPr>
            <w:r>
              <w:t>Current grants - own purpose</w:t>
            </w:r>
          </w:p>
        </w:tc>
        <w:tc>
          <w:tcPr>
            <w:tcW w:w="931" w:type="dxa"/>
          </w:tcPr>
          <w:p w:rsidR="00000000" w:rsidRDefault="001F233B">
            <w:pPr>
              <w:pStyle w:val="TableofFigures"/>
              <w:keepNext/>
              <w:rPr>
                <w:color w:val="000000"/>
              </w:rPr>
            </w:pPr>
            <w:r>
              <w:t>5</w:t>
            </w:r>
            <w:r>
              <w:rPr>
                <w:color w:val="000000"/>
              </w:rPr>
              <w:t xml:space="preserve"> 665.0</w:t>
            </w:r>
          </w:p>
        </w:tc>
        <w:tc>
          <w:tcPr>
            <w:tcW w:w="883" w:type="dxa"/>
          </w:tcPr>
          <w:p w:rsidR="00000000" w:rsidRDefault="001F233B">
            <w:pPr>
              <w:pStyle w:val="TableofFigures"/>
              <w:keepNext/>
              <w:rPr>
                <w:color w:val="000000"/>
              </w:rPr>
            </w:pPr>
            <w:r>
              <w:t>5</w:t>
            </w:r>
            <w:r>
              <w:rPr>
                <w:color w:val="000000"/>
              </w:rPr>
              <w:t xml:space="preserve"> 762.1</w:t>
            </w:r>
          </w:p>
        </w:tc>
        <w:tc>
          <w:tcPr>
            <w:tcW w:w="804" w:type="dxa"/>
          </w:tcPr>
          <w:p w:rsidR="00000000" w:rsidRDefault="001F233B">
            <w:pPr>
              <w:pStyle w:val="TableofFigures"/>
              <w:keepNext/>
              <w:rPr>
                <w:color w:val="000000"/>
              </w:rPr>
            </w:pPr>
            <w:r>
              <w:t xml:space="preserve"> </w:t>
            </w:r>
            <w:r>
              <w:rPr>
                <w:color w:val="000000"/>
              </w:rPr>
              <w:t>97.1</w:t>
            </w:r>
          </w:p>
        </w:tc>
      </w:tr>
      <w:tr w:rsidR="00000000">
        <w:tblPrEx>
          <w:tblCellMar>
            <w:top w:w="0" w:type="dxa"/>
            <w:bottom w:w="0" w:type="dxa"/>
          </w:tblCellMar>
        </w:tblPrEx>
        <w:tc>
          <w:tcPr>
            <w:tcW w:w="4164" w:type="dxa"/>
          </w:tcPr>
          <w:p w:rsidR="00000000" w:rsidRDefault="001F233B">
            <w:pPr>
              <w:pStyle w:val="Tabletext"/>
              <w:keepNext/>
            </w:pPr>
            <w:r>
              <w:t xml:space="preserve">                        for on-passing</w:t>
            </w:r>
          </w:p>
        </w:tc>
        <w:tc>
          <w:tcPr>
            <w:tcW w:w="931" w:type="dxa"/>
          </w:tcPr>
          <w:p w:rsidR="00000000" w:rsidRDefault="001F233B">
            <w:pPr>
              <w:pStyle w:val="TableofFigures"/>
              <w:keepNext/>
              <w:rPr>
                <w:color w:val="000000"/>
              </w:rPr>
            </w:pPr>
            <w:r>
              <w:t xml:space="preserve"> </w:t>
            </w:r>
            <w:r>
              <w:rPr>
                <w:color w:val="000000"/>
              </w:rPr>
              <w:t>863.4</w:t>
            </w:r>
          </w:p>
        </w:tc>
        <w:tc>
          <w:tcPr>
            <w:tcW w:w="883" w:type="dxa"/>
          </w:tcPr>
          <w:p w:rsidR="00000000" w:rsidRDefault="001F233B">
            <w:pPr>
              <w:pStyle w:val="TableofFigures"/>
              <w:keepNext/>
              <w:rPr>
                <w:color w:val="000000"/>
              </w:rPr>
            </w:pPr>
            <w:r>
              <w:t xml:space="preserve"> </w:t>
            </w:r>
            <w:r>
              <w:rPr>
                <w:color w:val="000000"/>
              </w:rPr>
              <w:t>902.0</w:t>
            </w:r>
          </w:p>
        </w:tc>
        <w:tc>
          <w:tcPr>
            <w:tcW w:w="804" w:type="dxa"/>
          </w:tcPr>
          <w:p w:rsidR="00000000" w:rsidRDefault="001F233B">
            <w:pPr>
              <w:pStyle w:val="TableofFigures"/>
              <w:keepNext/>
              <w:rPr>
                <w:color w:val="000000"/>
              </w:rPr>
            </w:pPr>
            <w:r>
              <w:t xml:space="preserve"> </w:t>
            </w:r>
            <w:r>
              <w:rPr>
                <w:color w:val="000000"/>
              </w:rPr>
              <w:t>38.6</w:t>
            </w:r>
          </w:p>
        </w:tc>
      </w:tr>
      <w:tr w:rsidR="00000000">
        <w:tblPrEx>
          <w:tblCellMar>
            <w:top w:w="0" w:type="dxa"/>
            <w:bottom w:w="0" w:type="dxa"/>
          </w:tblCellMar>
        </w:tblPrEx>
        <w:tc>
          <w:tcPr>
            <w:tcW w:w="4164" w:type="dxa"/>
          </w:tcPr>
          <w:p w:rsidR="00000000" w:rsidRDefault="001F233B">
            <w:pPr>
              <w:pStyle w:val="Tabletext"/>
              <w:keepNext/>
            </w:pPr>
            <w:r>
              <w:t>Capital grants - own purpose</w:t>
            </w:r>
          </w:p>
        </w:tc>
        <w:tc>
          <w:tcPr>
            <w:tcW w:w="931" w:type="dxa"/>
          </w:tcPr>
          <w:p w:rsidR="00000000" w:rsidRDefault="001F233B">
            <w:pPr>
              <w:pStyle w:val="TableofFigures"/>
              <w:keepNext/>
              <w:rPr>
                <w:color w:val="000000"/>
              </w:rPr>
            </w:pPr>
            <w:r>
              <w:t xml:space="preserve"> </w:t>
            </w:r>
            <w:r>
              <w:rPr>
                <w:color w:val="000000"/>
              </w:rPr>
              <w:t>492.1</w:t>
            </w:r>
          </w:p>
        </w:tc>
        <w:tc>
          <w:tcPr>
            <w:tcW w:w="883" w:type="dxa"/>
          </w:tcPr>
          <w:p w:rsidR="00000000" w:rsidRDefault="001F233B">
            <w:pPr>
              <w:pStyle w:val="TableofFigures"/>
              <w:keepNext/>
              <w:rPr>
                <w:color w:val="000000"/>
              </w:rPr>
            </w:pPr>
            <w:r>
              <w:t xml:space="preserve"> </w:t>
            </w:r>
            <w:r>
              <w:rPr>
                <w:color w:val="000000"/>
              </w:rPr>
              <w:t>488.0</w:t>
            </w:r>
          </w:p>
        </w:tc>
        <w:tc>
          <w:tcPr>
            <w:tcW w:w="804" w:type="dxa"/>
          </w:tcPr>
          <w:p w:rsidR="00000000" w:rsidRDefault="001F233B">
            <w:pPr>
              <w:pStyle w:val="TableofFigures"/>
              <w:keepNext/>
              <w:rPr>
                <w:color w:val="000000"/>
              </w:rPr>
            </w:pPr>
            <w:r>
              <w:t>-</w:t>
            </w:r>
            <w:r>
              <w:rPr>
                <w:color w:val="000000"/>
              </w:rPr>
              <w:t xml:space="preserve"> 4.2</w:t>
            </w:r>
          </w:p>
        </w:tc>
      </w:tr>
      <w:tr w:rsidR="00000000">
        <w:tblPrEx>
          <w:tblCellMar>
            <w:top w:w="0" w:type="dxa"/>
            <w:bottom w:w="0" w:type="dxa"/>
          </w:tblCellMar>
        </w:tblPrEx>
        <w:tc>
          <w:tcPr>
            <w:tcW w:w="4164" w:type="dxa"/>
          </w:tcPr>
          <w:p w:rsidR="00000000" w:rsidRDefault="001F233B">
            <w:pPr>
              <w:pStyle w:val="Tabletext"/>
              <w:keepNext/>
            </w:pPr>
            <w:r>
              <w:t xml:space="preserve">                       for on-passing</w:t>
            </w:r>
          </w:p>
        </w:tc>
        <w:tc>
          <w:tcPr>
            <w:tcW w:w="931" w:type="dxa"/>
          </w:tcPr>
          <w:p w:rsidR="00000000" w:rsidRDefault="001F233B">
            <w:pPr>
              <w:pStyle w:val="TableofFigures"/>
              <w:keepNext/>
              <w:rPr>
                <w:color w:val="000000"/>
              </w:rPr>
            </w:pPr>
            <w:r>
              <w:t xml:space="preserve"> </w:t>
            </w:r>
            <w:r>
              <w:rPr>
                <w:color w:val="000000"/>
              </w:rPr>
              <w:t>24.6</w:t>
            </w:r>
          </w:p>
        </w:tc>
        <w:tc>
          <w:tcPr>
            <w:tcW w:w="883" w:type="dxa"/>
          </w:tcPr>
          <w:p w:rsidR="00000000" w:rsidRDefault="001F233B">
            <w:pPr>
              <w:pStyle w:val="TableofFigures"/>
              <w:keepNext/>
              <w:rPr>
                <w:color w:val="000000"/>
              </w:rPr>
            </w:pPr>
            <w:r>
              <w:t xml:space="preserve"> </w:t>
            </w:r>
            <w:r>
              <w:rPr>
                <w:color w:val="000000"/>
              </w:rPr>
              <w:t>23.0</w:t>
            </w:r>
          </w:p>
        </w:tc>
        <w:tc>
          <w:tcPr>
            <w:tcW w:w="804" w:type="dxa"/>
          </w:tcPr>
          <w:p w:rsidR="00000000" w:rsidRDefault="001F233B">
            <w:pPr>
              <w:pStyle w:val="TableofFigures"/>
              <w:keepNext/>
              <w:rPr>
                <w:color w:val="000000"/>
              </w:rPr>
            </w:pPr>
            <w:r>
              <w:t>-</w:t>
            </w:r>
            <w:r>
              <w:rPr>
                <w:color w:val="000000"/>
              </w:rPr>
              <w:t xml:space="preserve"> 1.6</w:t>
            </w:r>
          </w:p>
        </w:tc>
      </w:tr>
      <w:tr w:rsidR="00000000">
        <w:tblPrEx>
          <w:tblCellMar>
            <w:top w:w="0" w:type="dxa"/>
            <w:bottom w:w="0" w:type="dxa"/>
          </w:tblCellMar>
        </w:tblPrEx>
        <w:tc>
          <w:tcPr>
            <w:tcW w:w="4164" w:type="dxa"/>
          </w:tcPr>
          <w:p w:rsidR="00000000" w:rsidRDefault="001F233B">
            <w:pPr>
              <w:pStyle w:val="Tabletext"/>
              <w:keepNext/>
            </w:pPr>
            <w:r>
              <w:t xml:space="preserve">Profit on sale of secondhand assets </w:t>
            </w:r>
          </w:p>
        </w:tc>
        <w:tc>
          <w:tcPr>
            <w:tcW w:w="931" w:type="dxa"/>
          </w:tcPr>
          <w:p w:rsidR="00000000" w:rsidRDefault="001F233B">
            <w:pPr>
              <w:pStyle w:val="TableofFigures"/>
              <w:keepNext/>
              <w:rPr>
                <w:color w:val="000000"/>
              </w:rPr>
            </w:pPr>
            <w:r>
              <w:t>-</w:t>
            </w:r>
            <w:r>
              <w:rPr>
                <w:color w:val="000000"/>
              </w:rPr>
              <w:t xml:space="preserve"> 2.8</w:t>
            </w:r>
          </w:p>
        </w:tc>
        <w:tc>
          <w:tcPr>
            <w:tcW w:w="883" w:type="dxa"/>
          </w:tcPr>
          <w:p w:rsidR="00000000" w:rsidRDefault="001F233B">
            <w:pPr>
              <w:pStyle w:val="TableofFigures"/>
              <w:keepNext/>
              <w:rPr>
                <w:color w:val="000000"/>
              </w:rPr>
            </w:pPr>
            <w:r>
              <w:t xml:space="preserve"> </w:t>
            </w:r>
            <w:r>
              <w:rPr>
                <w:color w:val="000000"/>
              </w:rPr>
              <w:t>0.0</w:t>
            </w:r>
          </w:p>
        </w:tc>
        <w:tc>
          <w:tcPr>
            <w:tcW w:w="804" w:type="dxa"/>
          </w:tcPr>
          <w:p w:rsidR="00000000" w:rsidRDefault="001F233B">
            <w:pPr>
              <w:pStyle w:val="TableofFigures"/>
              <w:keepNext/>
              <w:rPr>
                <w:color w:val="000000"/>
              </w:rPr>
            </w:pPr>
            <w:r>
              <w:t xml:space="preserve"> </w:t>
            </w:r>
            <w:r>
              <w:rPr>
                <w:color w:val="000000"/>
              </w:rPr>
              <w:t>2.8</w:t>
            </w:r>
          </w:p>
        </w:tc>
      </w:tr>
      <w:tr w:rsidR="00000000">
        <w:tblPrEx>
          <w:tblCellMar>
            <w:top w:w="0" w:type="dxa"/>
            <w:bottom w:w="0" w:type="dxa"/>
          </w:tblCellMar>
        </w:tblPrEx>
        <w:tc>
          <w:tcPr>
            <w:tcW w:w="4164" w:type="dxa"/>
          </w:tcPr>
          <w:p w:rsidR="00000000" w:rsidRDefault="001F233B">
            <w:pPr>
              <w:pStyle w:val="Tabletext"/>
              <w:keepNext/>
            </w:pPr>
            <w:r>
              <w:t>Other revenue</w:t>
            </w:r>
          </w:p>
        </w:tc>
        <w:tc>
          <w:tcPr>
            <w:tcW w:w="931" w:type="dxa"/>
          </w:tcPr>
          <w:p w:rsidR="00000000" w:rsidRDefault="001F233B">
            <w:pPr>
              <w:pStyle w:val="TableofFigures"/>
              <w:keepNext/>
              <w:rPr>
                <w:color w:val="000000"/>
              </w:rPr>
            </w:pPr>
            <w:r>
              <w:t xml:space="preserve"> </w:t>
            </w:r>
            <w:r>
              <w:rPr>
                <w:color w:val="000000"/>
              </w:rPr>
              <w:t>284.6</w:t>
            </w:r>
          </w:p>
        </w:tc>
        <w:tc>
          <w:tcPr>
            <w:tcW w:w="883" w:type="dxa"/>
          </w:tcPr>
          <w:p w:rsidR="00000000" w:rsidRDefault="001F233B">
            <w:pPr>
              <w:pStyle w:val="TableofFigures"/>
              <w:keepNext/>
              <w:rPr>
                <w:color w:val="000000"/>
              </w:rPr>
            </w:pPr>
            <w:r>
              <w:t xml:space="preserve"> </w:t>
            </w:r>
            <w:r>
              <w:rPr>
                <w:color w:val="000000"/>
              </w:rPr>
              <w:t>277.7</w:t>
            </w:r>
          </w:p>
        </w:tc>
        <w:tc>
          <w:tcPr>
            <w:tcW w:w="804" w:type="dxa"/>
          </w:tcPr>
          <w:p w:rsidR="00000000" w:rsidRDefault="001F233B">
            <w:pPr>
              <w:pStyle w:val="TableofFigures"/>
              <w:keepNext/>
              <w:rPr>
                <w:color w:val="000000"/>
              </w:rPr>
            </w:pPr>
            <w:r>
              <w:t>-</w:t>
            </w:r>
            <w:r>
              <w:rPr>
                <w:color w:val="000000"/>
              </w:rPr>
              <w:t xml:space="preserve"> 7.0</w:t>
            </w:r>
          </w:p>
        </w:tc>
      </w:tr>
      <w:tr w:rsidR="00000000">
        <w:tblPrEx>
          <w:tblCellMar>
            <w:top w:w="0" w:type="dxa"/>
            <w:bottom w:w="0" w:type="dxa"/>
          </w:tblCellMar>
        </w:tblPrEx>
        <w:tc>
          <w:tcPr>
            <w:tcW w:w="4164" w:type="dxa"/>
          </w:tcPr>
          <w:p w:rsidR="00000000" w:rsidRDefault="001F233B">
            <w:pPr>
              <w:pStyle w:val="Tabletext"/>
              <w:keepNext/>
              <w:rPr>
                <w:b/>
              </w:rPr>
            </w:pPr>
            <w:r>
              <w:rPr>
                <w:b/>
              </w:rPr>
              <w:t>Total Revenue</w:t>
            </w:r>
          </w:p>
        </w:tc>
        <w:tc>
          <w:tcPr>
            <w:tcW w:w="931" w:type="dxa"/>
            <w:tcBorders>
              <w:top w:val="single" w:sz="6" w:space="0" w:color="auto"/>
            </w:tcBorders>
          </w:tcPr>
          <w:p w:rsidR="00000000" w:rsidRDefault="001F233B">
            <w:pPr>
              <w:pStyle w:val="TableofFigures"/>
              <w:keepNext/>
              <w:rPr>
                <w:b/>
                <w:color w:val="000000"/>
              </w:rPr>
            </w:pPr>
            <w:r>
              <w:rPr>
                <w:b/>
              </w:rPr>
              <w:t>18</w:t>
            </w:r>
            <w:r>
              <w:rPr>
                <w:b/>
                <w:color w:val="000000"/>
              </w:rPr>
              <w:t xml:space="preserve"> 337.6</w:t>
            </w:r>
          </w:p>
        </w:tc>
        <w:tc>
          <w:tcPr>
            <w:tcW w:w="883" w:type="dxa"/>
            <w:tcBorders>
              <w:top w:val="single" w:sz="6" w:space="0" w:color="auto"/>
            </w:tcBorders>
          </w:tcPr>
          <w:p w:rsidR="00000000" w:rsidRDefault="001F233B">
            <w:pPr>
              <w:pStyle w:val="TableofFigures"/>
              <w:keepNext/>
              <w:rPr>
                <w:b/>
                <w:color w:val="000000"/>
              </w:rPr>
            </w:pPr>
            <w:r>
              <w:rPr>
                <w:b/>
              </w:rPr>
              <w:t>18</w:t>
            </w:r>
            <w:r>
              <w:rPr>
                <w:b/>
                <w:color w:val="000000"/>
              </w:rPr>
              <w:t xml:space="preserve"> 650.4</w:t>
            </w:r>
          </w:p>
        </w:tc>
        <w:tc>
          <w:tcPr>
            <w:tcW w:w="804" w:type="dxa"/>
            <w:tcBorders>
              <w:top w:val="single" w:sz="6" w:space="0" w:color="auto"/>
            </w:tcBorders>
          </w:tcPr>
          <w:p w:rsidR="00000000" w:rsidRDefault="001F233B">
            <w:pPr>
              <w:pStyle w:val="TableofFigures"/>
              <w:keepNext/>
              <w:rPr>
                <w:b/>
                <w:color w:val="000000"/>
              </w:rPr>
            </w:pPr>
            <w:r>
              <w:t xml:space="preserve"> </w:t>
            </w:r>
            <w:r>
              <w:rPr>
                <w:b/>
                <w:color w:val="000000"/>
              </w:rPr>
              <w:t>312.8</w:t>
            </w:r>
          </w:p>
        </w:tc>
      </w:tr>
      <w:tr w:rsidR="00000000">
        <w:tblPrEx>
          <w:tblCellMar>
            <w:top w:w="0" w:type="dxa"/>
            <w:bottom w:w="0" w:type="dxa"/>
          </w:tblCellMar>
        </w:tblPrEx>
        <w:tc>
          <w:tcPr>
            <w:tcW w:w="4164" w:type="dxa"/>
          </w:tcPr>
          <w:p w:rsidR="00000000" w:rsidRDefault="001F233B">
            <w:pPr>
              <w:pStyle w:val="Tabletext"/>
              <w:keepNext/>
            </w:pPr>
          </w:p>
        </w:tc>
        <w:tc>
          <w:tcPr>
            <w:tcW w:w="931" w:type="dxa"/>
          </w:tcPr>
          <w:p w:rsidR="00000000" w:rsidRDefault="001F233B">
            <w:pPr>
              <w:pStyle w:val="TableofFigures"/>
              <w:keepNext/>
            </w:pPr>
          </w:p>
        </w:tc>
        <w:tc>
          <w:tcPr>
            <w:tcW w:w="883" w:type="dxa"/>
          </w:tcPr>
          <w:p w:rsidR="00000000" w:rsidRDefault="001F233B">
            <w:pPr>
              <w:pStyle w:val="TableofFigures"/>
              <w:keepNext/>
            </w:pPr>
          </w:p>
        </w:tc>
        <w:tc>
          <w:tcPr>
            <w:tcW w:w="804" w:type="dxa"/>
          </w:tcPr>
          <w:p w:rsidR="00000000" w:rsidRDefault="001F233B">
            <w:pPr>
              <w:pStyle w:val="TableofFigures"/>
              <w:keepNext/>
            </w:pPr>
          </w:p>
        </w:tc>
      </w:tr>
      <w:tr w:rsidR="00000000">
        <w:tblPrEx>
          <w:tblCellMar>
            <w:top w:w="0" w:type="dxa"/>
            <w:bottom w:w="0" w:type="dxa"/>
          </w:tblCellMar>
        </w:tblPrEx>
        <w:tc>
          <w:tcPr>
            <w:tcW w:w="4164" w:type="dxa"/>
          </w:tcPr>
          <w:p w:rsidR="00000000" w:rsidRDefault="001F233B">
            <w:pPr>
              <w:pStyle w:val="Tabletext"/>
              <w:keepNext/>
              <w:rPr>
                <w:b/>
              </w:rPr>
            </w:pPr>
            <w:r>
              <w:rPr>
                <w:b/>
              </w:rPr>
              <w:t>Less Expenses</w:t>
            </w:r>
          </w:p>
        </w:tc>
        <w:tc>
          <w:tcPr>
            <w:tcW w:w="931" w:type="dxa"/>
          </w:tcPr>
          <w:p w:rsidR="00000000" w:rsidRDefault="001F233B">
            <w:pPr>
              <w:pStyle w:val="TableofFigures"/>
              <w:keepNext/>
            </w:pPr>
          </w:p>
        </w:tc>
        <w:tc>
          <w:tcPr>
            <w:tcW w:w="883" w:type="dxa"/>
          </w:tcPr>
          <w:p w:rsidR="00000000" w:rsidRDefault="001F233B">
            <w:pPr>
              <w:pStyle w:val="TableofFigures"/>
              <w:keepNext/>
            </w:pPr>
          </w:p>
        </w:tc>
        <w:tc>
          <w:tcPr>
            <w:tcW w:w="804" w:type="dxa"/>
          </w:tcPr>
          <w:p w:rsidR="00000000" w:rsidRDefault="001F233B">
            <w:pPr>
              <w:pStyle w:val="TableofFigures"/>
              <w:keepNext/>
            </w:pPr>
          </w:p>
        </w:tc>
      </w:tr>
      <w:tr w:rsidR="00000000">
        <w:tblPrEx>
          <w:tblCellMar>
            <w:top w:w="0" w:type="dxa"/>
            <w:bottom w:w="0" w:type="dxa"/>
          </w:tblCellMar>
        </w:tblPrEx>
        <w:tc>
          <w:tcPr>
            <w:tcW w:w="4164" w:type="dxa"/>
          </w:tcPr>
          <w:p w:rsidR="00000000" w:rsidRDefault="001F233B">
            <w:pPr>
              <w:pStyle w:val="Tabletext"/>
              <w:keepNext/>
            </w:pPr>
            <w:r>
              <w:t>Gross operatin</w:t>
            </w:r>
            <w:r>
              <w:t>g expenditure</w:t>
            </w:r>
          </w:p>
        </w:tc>
        <w:tc>
          <w:tcPr>
            <w:tcW w:w="931" w:type="dxa"/>
          </w:tcPr>
          <w:p w:rsidR="00000000" w:rsidRDefault="001F233B">
            <w:pPr>
              <w:pStyle w:val="TableofFigures"/>
              <w:keepNext/>
            </w:pPr>
          </w:p>
        </w:tc>
        <w:tc>
          <w:tcPr>
            <w:tcW w:w="883" w:type="dxa"/>
          </w:tcPr>
          <w:p w:rsidR="00000000" w:rsidRDefault="001F233B">
            <w:pPr>
              <w:pStyle w:val="TableofFigures"/>
              <w:keepNext/>
            </w:pPr>
          </w:p>
        </w:tc>
        <w:tc>
          <w:tcPr>
            <w:tcW w:w="804" w:type="dxa"/>
          </w:tcPr>
          <w:p w:rsidR="00000000" w:rsidRDefault="001F233B">
            <w:pPr>
              <w:pStyle w:val="TableofFigures"/>
              <w:keepNext/>
            </w:pPr>
          </w:p>
        </w:tc>
      </w:tr>
      <w:tr w:rsidR="00000000">
        <w:tblPrEx>
          <w:tblCellMar>
            <w:top w:w="0" w:type="dxa"/>
            <w:bottom w:w="0" w:type="dxa"/>
          </w:tblCellMar>
        </w:tblPrEx>
        <w:tc>
          <w:tcPr>
            <w:tcW w:w="4164" w:type="dxa"/>
          </w:tcPr>
          <w:p w:rsidR="00000000" w:rsidRDefault="001F233B">
            <w:pPr>
              <w:pStyle w:val="Tabletext"/>
              <w:keepNext/>
            </w:pPr>
            <w:r>
              <w:t xml:space="preserve">   Depreciation</w:t>
            </w:r>
          </w:p>
        </w:tc>
        <w:tc>
          <w:tcPr>
            <w:tcW w:w="931" w:type="dxa"/>
          </w:tcPr>
          <w:p w:rsidR="00000000" w:rsidRDefault="001F233B">
            <w:pPr>
              <w:pStyle w:val="TableofFigures"/>
              <w:keepNext/>
              <w:rPr>
                <w:color w:val="000000"/>
              </w:rPr>
            </w:pPr>
            <w:r>
              <w:t xml:space="preserve"> </w:t>
            </w:r>
            <w:r>
              <w:rPr>
                <w:color w:val="000000"/>
              </w:rPr>
              <w:t>757.3</w:t>
            </w:r>
          </w:p>
        </w:tc>
        <w:tc>
          <w:tcPr>
            <w:tcW w:w="883" w:type="dxa"/>
          </w:tcPr>
          <w:p w:rsidR="00000000" w:rsidRDefault="001F233B">
            <w:pPr>
              <w:pStyle w:val="TableofFigures"/>
              <w:keepNext/>
              <w:rPr>
                <w:color w:val="000000"/>
              </w:rPr>
            </w:pPr>
            <w:r>
              <w:t xml:space="preserve"> </w:t>
            </w:r>
            <w:r>
              <w:rPr>
                <w:color w:val="000000"/>
              </w:rPr>
              <w:t>757.7</w:t>
            </w:r>
          </w:p>
        </w:tc>
        <w:tc>
          <w:tcPr>
            <w:tcW w:w="804" w:type="dxa"/>
          </w:tcPr>
          <w:p w:rsidR="00000000" w:rsidRDefault="001F233B">
            <w:pPr>
              <w:pStyle w:val="TableofFigures"/>
              <w:keepNext/>
              <w:rPr>
                <w:color w:val="000000"/>
              </w:rPr>
            </w:pPr>
            <w:r>
              <w:t xml:space="preserve"> </w:t>
            </w:r>
            <w:r>
              <w:rPr>
                <w:color w:val="000000"/>
              </w:rPr>
              <w:t>0.3</w:t>
            </w:r>
          </w:p>
        </w:tc>
      </w:tr>
      <w:tr w:rsidR="00000000">
        <w:tblPrEx>
          <w:tblCellMar>
            <w:top w:w="0" w:type="dxa"/>
            <w:bottom w:w="0" w:type="dxa"/>
          </w:tblCellMar>
        </w:tblPrEx>
        <w:tc>
          <w:tcPr>
            <w:tcW w:w="4164" w:type="dxa"/>
          </w:tcPr>
          <w:p w:rsidR="00000000" w:rsidRDefault="001F233B">
            <w:pPr>
              <w:pStyle w:val="Tabletext"/>
              <w:keepNext/>
            </w:pPr>
            <w:r>
              <w:t xml:space="preserve">   Superannuation</w:t>
            </w:r>
          </w:p>
        </w:tc>
        <w:tc>
          <w:tcPr>
            <w:tcW w:w="931" w:type="dxa"/>
          </w:tcPr>
          <w:p w:rsidR="00000000" w:rsidRDefault="001F233B">
            <w:pPr>
              <w:pStyle w:val="TableofFigures"/>
              <w:keepNext/>
              <w:rPr>
                <w:color w:val="000000"/>
              </w:rPr>
            </w:pPr>
            <w:r>
              <w:t>1</w:t>
            </w:r>
            <w:r>
              <w:rPr>
                <w:color w:val="000000"/>
              </w:rPr>
              <w:t xml:space="preserve"> 531.9</w:t>
            </w:r>
          </w:p>
        </w:tc>
        <w:tc>
          <w:tcPr>
            <w:tcW w:w="883" w:type="dxa"/>
          </w:tcPr>
          <w:p w:rsidR="00000000" w:rsidRDefault="001F233B">
            <w:pPr>
              <w:pStyle w:val="TableofFigures"/>
              <w:keepNext/>
              <w:rPr>
                <w:color w:val="000000"/>
              </w:rPr>
            </w:pPr>
            <w:r>
              <w:t>1</w:t>
            </w:r>
            <w:r>
              <w:rPr>
                <w:color w:val="000000"/>
              </w:rPr>
              <w:t xml:space="preserve"> 500.2</w:t>
            </w:r>
          </w:p>
        </w:tc>
        <w:tc>
          <w:tcPr>
            <w:tcW w:w="804" w:type="dxa"/>
          </w:tcPr>
          <w:p w:rsidR="00000000" w:rsidRDefault="001F233B">
            <w:pPr>
              <w:pStyle w:val="TableofFigures"/>
              <w:keepNext/>
              <w:rPr>
                <w:color w:val="000000"/>
              </w:rPr>
            </w:pPr>
            <w:r>
              <w:t>-</w:t>
            </w:r>
            <w:r>
              <w:rPr>
                <w:color w:val="000000"/>
              </w:rPr>
              <w:t xml:space="preserve"> 31.7</w:t>
            </w:r>
          </w:p>
        </w:tc>
      </w:tr>
      <w:tr w:rsidR="00000000">
        <w:tblPrEx>
          <w:tblCellMar>
            <w:top w:w="0" w:type="dxa"/>
            <w:bottom w:w="0" w:type="dxa"/>
          </w:tblCellMar>
        </w:tblPrEx>
        <w:tc>
          <w:tcPr>
            <w:tcW w:w="4164" w:type="dxa"/>
          </w:tcPr>
          <w:p w:rsidR="00000000" w:rsidRDefault="001F233B">
            <w:pPr>
              <w:pStyle w:val="Tabletext"/>
              <w:keepNext/>
              <w:tabs>
                <w:tab w:val="left" w:pos="180"/>
              </w:tabs>
              <w:rPr>
                <w:b/>
                <w:color w:val="000000"/>
              </w:rPr>
            </w:pPr>
            <w:r>
              <w:t xml:space="preserve">   Employee entitlements &amp; other operating</w:t>
            </w:r>
            <w:r>
              <w:rPr>
                <w:b/>
                <w:color w:val="000000"/>
              </w:rPr>
              <w:t xml:space="preserve"> </w:t>
            </w:r>
            <w:r>
              <w:rPr>
                <w:b/>
                <w:color w:val="000000"/>
              </w:rPr>
              <w:tab/>
            </w:r>
            <w:r>
              <w:t>expenses</w:t>
            </w:r>
          </w:p>
        </w:tc>
        <w:tc>
          <w:tcPr>
            <w:tcW w:w="931" w:type="dxa"/>
          </w:tcPr>
          <w:p w:rsidR="00000000" w:rsidRDefault="001F233B">
            <w:pPr>
              <w:pStyle w:val="TableofFigures"/>
              <w:keepNext/>
              <w:rPr>
                <w:color w:val="000000"/>
              </w:rPr>
            </w:pPr>
            <w:r>
              <w:t>11</w:t>
            </w:r>
            <w:r>
              <w:rPr>
                <w:color w:val="000000"/>
              </w:rPr>
              <w:t xml:space="preserve"> 086.2</w:t>
            </w:r>
          </w:p>
        </w:tc>
        <w:tc>
          <w:tcPr>
            <w:tcW w:w="883" w:type="dxa"/>
            <w:tcBorders>
              <w:bottom w:val="single" w:sz="6" w:space="0" w:color="auto"/>
            </w:tcBorders>
          </w:tcPr>
          <w:p w:rsidR="00000000" w:rsidRDefault="001F233B">
            <w:pPr>
              <w:pStyle w:val="TableofFigures"/>
              <w:keepNext/>
              <w:rPr>
                <w:color w:val="000000"/>
              </w:rPr>
            </w:pPr>
            <w:r>
              <w:t>11</w:t>
            </w:r>
            <w:r>
              <w:rPr>
                <w:color w:val="000000"/>
              </w:rPr>
              <w:t xml:space="preserve"> 189.4</w:t>
            </w:r>
          </w:p>
        </w:tc>
        <w:tc>
          <w:tcPr>
            <w:tcW w:w="804" w:type="dxa"/>
          </w:tcPr>
          <w:p w:rsidR="00000000" w:rsidRDefault="001F233B">
            <w:pPr>
              <w:pStyle w:val="TableofFigures"/>
              <w:keepNext/>
              <w:rPr>
                <w:color w:val="000000"/>
              </w:rPr>
            </w:pPr>
            <w:r>
              <w:t xml:space="preserve"> </w:t>
            </w:r>
            <w:r>
              <w:rPr>
                <w:color w:val="000000"/>
              </w:rPr>
              <w:t>103.1</w:t>
            </w:r>
          </w:p>
        </w:tc>
      </w:tr>
      <w:tr w:rsidR="00000000">
        <w:tblPrEx>
          <w:tblCellMar>
            <w:top w:w="0" w:type="dxa"/>
            <w:bottom w:w="0" w:type="dxa"/>
          </w:tblCellMar>
        </w:tblPrEx>
        <w:tc>
          <w:tcPr>
            <w:tcW w:w="4164" w:type="dxa"/>
          </w:tcPr>
          <w:p w:rsidR="00000000" w:rsidRDefault="001F233B">
            <w:pPr>
              <w:pStyle w:val="Tabletext"/>
              <w:keepNext/>
              <w:rPr>
                <w:b/>
              </w:rPr>
            </w:pPr>
            <w:r>
              <w:rPr>
                <w:b/>
              </w:rPr>
              <w:t>Total gross operating expenditure</w:t>
            </w:r>
          </w:p>
        </w:tc>
        <w:tc>
          <w:tcPr>
            <w:tcW w:w="931" w:type="dxa"/>
            <w:tcBorders>
              <w:top w:val="single" w:sz="6" w:space="0" w:color="auto"/>
            </w:tcBorders>
          </w:tcPr>
          <w:p w:rsidR="00000000" w:rsidRDefault="001F233B">
            <w:pPr>
              <w:pStyle w:val="TableofFigures"/>
              <w:keepNext/>
              <w:rPr>
                <w:b/>
              </w:rPr>
            </w:pPr>
            <w:r>
              <w:rPr>
                <w:b/>
              </w:rPr>
              <w:t>13 375.5</w:t>
            </w:r>
          </w:p>
        </w:tc>
        <w:tc>
          <w:tcPr>
            <w:tcW w:w="883" w:type="dxa"/>
            <w:tcBorders>
              <w:top w:val="single" w:sz="6" w:space="0" w:color="auto"/>
            </w:tcBorders>
          </w:tcPr>
          <w:p w:rsidR="00000000" w:rsidRDefault="001F233B">
            <w:pPr>
              <w:pStyle w:val="TableofFigures"/>
              <w:keepNext/>
              <w:rPr>
                <w:b/>
              </w:rPr>
            </w:pPr>
            <w:r>
              <w:rPr>
                <w:b/>
              </w:rPr>
              <w:t>13 447.2</w:t>
            </w:r>
          </w:p>
        </w:tc>
        <w:tc>
          <w:tcPr>
            <w:tcW w:w="804" w:type="dxa"/>
            <w:tcBorders>
              <w:top w:val="single" w:sz="6" w:space="0" w:color="auto"/>
            </w:tcBorders>
          </w:tcPr>
          <w:p w:rsidR="00000000" w:rsidRDefault="001F233B">
            <w:pPr>
              <w:pStyle w:val="TableofFigures"/>
              <w:keepNext/>
              <w:rPr>
                <w:b/>
                <w:color w:val="000000"/>
              </w:rPr>
            </w:pPr>
            <w:r>
              <w:t xml:space="preserve"> </w:t>
            </w:r>
            <w:r>
              <w:rPr>
                <w:b/>
                <w:color w:val="000000"/>
              </w:rPr>
              <w:t>71.8</w:t>
            </w:r>
          </w:p>
        </w:tc>
      </w:tr>
      <w:tr w:rsidR="00000000">
        <w:tblPrEx>
          <w:tblCellMar>
            <w:top w:w="0" w:type="dxa"/>
            <w:bottom w:w="0" w:type="dxa"/>
          </w:tblCellMar>
        </w:tblPrEx>
        <w:trPr>
          <w:trHeight w:hRule="exact" w:val="320"/>
        </w:trPr>
        <w:tc>
          <w:tcPr>
            <w:tcW w:w="4164" w:type="dxa"/>
          </w:tcPr>
          <w:p w:rsidR="00000000" w:rsidRDefault="001F233B">
            <w:pPr>
              <w:pStyle w:val="Tabletext"/>
              <w:keepNext/>
            </w:pPr>
            <w:r>
              <w:t>Interest Expense</w:t>
            </w:r>
          </w:p>
        </w:tc>
        <w:tc>
          <w:tcPr>
            <w:tcW w:w="931" w:type="dxa"/>
          </w:tcPr>
          <w:p w:rsidR="00000000" w:rsidRDefault="001F233B">
            <w:pPr>
              <w:pStyle w:val="TableofFigures"/>
              <w:keepNext/>
              <w:rPr>
                <w:color w:val="000000"/>
              </w:rPr>
            </w:pPr>
            <w:r>
              <w:t>1</w:t>
            </w:r>
            <w:r>
              <w:rPr>
                <w:color w:val="000000"/>
              </w:rPr>
              <w:t xml:space="preserve"> 121.4</w:t>
            </w:r>
          </w:p>
        </w:tc>
        <w:tc>
          <w:tcPr>
            <w:tcW w:w="883" w:type="dxa"/>
          </w:tcPr>
          <w:p w:rsidR="00000000" w:rsidRDefault="001F233B">
            <w:pPr>
              <w:pStyle w:val="TableofFigures"/>
              <w:keepNext/>
              <w:rPr>
                <w:color w:val="000000"/>
              </w:rPr>
            </w:pPr>
            <w:r>
              <w:t xml:space="preserve"> </w:t>
            </w:r>
            <w:r>
              <w:rPr>
                <w:color w:val="000000"/>
              </w:rPr>
              <w:t>821.3</w:t>
            </w:r>
          </w:p>
        </w:tc>
        <w:tc>
          <w:tcPr>
            <w:tcW w:w="804" w:type="dxa"/>
          </w:tcPr>
          <w:p w:rsidR="00000000" w:rsidRDefault="001F233B">
            <w:pPr>
              <w:pStyle w:val="TableofFigures"/>
              <w:keepNext/>
              <w:rPr>
                <w:color w:val="000000"/>
              </w:rPr>
            </w:pPr>
            <w:r>
              <w:t>-</w:t>
            </w:r>
            <w:r>
              <w:rPr>
                <w:color w:val="000000"/>
              </w:rPr>
              <w:t xml:space="preserve"> 300.2</w:t>
            </w:r>
          </w:p>
        </w:tc>
      </w:tr>
      <w:tr w:rsidR="00000000">
        <w:tblPrEx>
          <w:tblCellMar>
            <w:top w:w="0" w:type="dxa"/>
            <w:bottom w:w="0" w:type="dxa"/>
          </w:tblCellMar>
        </w:tblPrEx>
        <w:tc>
          <w:tcPr>
            <w:tcW w:w="4164" w:type="dxa"/>
          </w:tcPr>
          <w:p w:rsidR="00000000" w:rsidRDefault="001F233B">
            <w:pPr>
              <w:pStyle w:val="Tabletext"/>
              <w:keepNext/>
            </w:pPr>
            <w:r>
              <w:t>Current grants</w:t>
            </w:r>
          </w:p>
        </w:tc>
        <w:tc>
          <w:tcPr>
            <w:tcW w:w="931" w:type="dxa"/>
          </w:tcPr>
          <w:p w:rsidR="00000000" w:rsidRDefault="001F233B">
            <w:pPr>
              <w:pStyle w:val="TableofFigures"/>
              <w:keepNext/>
              <w:rPr>
                <w:color w:val="000000"/>
              </w:rPr>
            </w:pPr>
            <w:r>
              <w:t>1</w:t>
            </w:r>
            <w:r>
              <w:rPr>
                <w:color w:val="000000"/>
              </w:rPr>
              <w:t xml:space="preserve"> 960.4</w:t>
            </w:r>
          </w:p>
        </w:tc>
        <w:tc>
          <w:tcPr>
            <w:tcW w:w="883" w:type="dxa"/>
          </w:tcPr>
          <w:p w:rsidR="00000000" w:rsidRDefault="001F233B">
            <w:pPr>
              <w:pStyle w:val="TableofFigures"/>
              <w:keepNext/>
              <w:rPr>
                <w:color w:val="000000"/>
              </w:rPr>
            </w:pPr>
            <w:r>
              <w:t>1</w:t>
            </w:r>
            <w:r>
              <w:rPr>
                <w:color w:val="000000"/>
              </w:rPr>
              <w:t xml:space="preserve"> 898.7</w:t>
            </w:r>
          </w:p>
        </w:tc>
        <w:tc>
          <w:tcPr>
            <w:tcW w:w="804" w:type="dxa"/>
          </w:tcPr>
          <w:p w:rsidR="00000000" w:rsidRDefault="001F233B">
            <w:pPr>
              <w:pStyle w:val="TableofFigures"/>
              <w:keepNext/>
              <w:rPr>
                <w:color w:val="000000"/>
              </w:rPr>
            </w:pPr>
            <w:r>
              <w:t>-</w:t>
            </w:r>
            <w:r>
              <w:rPr>
                <w:color w:val="000000"/>
              </w:rPr>
              <w:t xml:space="preserve"> 61.7</w:t>
            </w:r>
          </w:p>
        </w:tc>
      </w:tr>
      <w:tr w:rsidR="00000000">
        <w:tblPrEx>
          <w:tblCellMar>
            <w:top w:w="0" w:type="dxa"/>
            <w:bottom w:w="0" w:type="dxa"/>
          </w:tblCellMar>
        </w:tblPrEx>
        <w:tc>
          <w:tcPr>
            <w:tcW w:w="4164" w:type="dxa"/>
          </w:tcPr>
          <w:p w:rsidR="00000000" w:rsidRDefault="001F233B">
            <w:pPr>
              <w:pStyle w:val="Tabletext"/>
              <w:keepNext/>
            </w:pPr>
            <w:r>
              <w:t>Capital transfers</w:t>
            </w:r>
          </w:p>
        </w:tc>
        <w:tc>
          <w:tcPr>
            <w:tcW w:w="931" w:type="dxa"/>
          </w:tcPr>
          <w:p w:rsidR="00000000" w:rsidRDefault="001F233B">
            <w:pPr>
              <w:pStyle w:val="TableofFigures"/>
              <w:keepNext/>
              <w:rPr>
                <w:color w:val="000000"/>
              </w:rPr>
            </w:pPr>
            <w:r>
              <w:t xml:space="preserve"> </w:t>
            </w:r>
            <w:r>
              <w:rPr>
                <w:color w:val="000000"/>
              </w:rPr>
              <w:t>443.4</w:t>
            </w:r>
          </w:p>
        </w:tc>
        <w:tc>
          <w:tcPr>
            <w:tcW w:w="883" w:type="dxa"/>
          </w:tcPr>
          <w:p w:rsidR="00000000" w:rsidRDefault="001F233B">
            <w:pPr>
              <w:pStyle w:val="TableofFigures"/>
              <w:keepNext/>
              <w:rPr>
                <w:color w:val="000000"/>
              </w:rPr>
            </w:pPr>
            <w:r>
              <w:t xml:space="preserve"> </w:t>
            </w:r>
            <w:r>
              <w:rPr>
                <w:color w:val="000000"/>
              </w:rPr>
              <w:t>405.1</w:t>
            </w:r>
          </w:p>
        </w:tc>
        <w:tc>
          <w:tcPr>
            <w:tcW w:w="804" w:type="dxa"/>
          </w:tcPr>
          <w:p w:rsidR="00000000" w:rsidRDefault="001F233B">
            <w:pPr>
              <w:pStyle w:val="TableofFigures"/>
              <w:keepNext/>
              <w:rPr>
                <w:color w:val="000000"/>
              </w:rPr>
            </w:pPr>
            <w:r>
              <w:t>-</w:t>
            </w:r>
            <w:r>
              <w:rPr>
                <w:color w:val="000000"/>
              </w:rPr>
              <w:t xml:space="preserve"> 38.2</w:t>
            </w:r>
          </w:p>
        </w:tc>
      </w:tr>
      <w:tr w:rsidR="00000000">
        <w:tblPrEx>
          <w:tblCellMar>
            <w:top w:w="0" w:type="dxa"/>
            <w:bottom w:w="0" w:type="dxa"/>
          </w:tblCellMar>
        </w:tblPrEx>
        <w:tc>
          <w:tcPr>
            <w:tcW w:w="4164" w:type="dxa"/>
          </w:tcPr>
          <w:p w:rsidR="00000000" w:rsidRDefault="001F233B">
            <w:pPr>
              <w:pStyle w:val="Tabletext"/>
              <w:keepNext/>
            </w:pPr>
            <w:r>
              <w:t>Grants on-passed</w:t>
            </w:r>
          </w:p>
        </w:tc>
        <w:tc>
          <w:tcPr>
            <w:tcW w:w="931" w:type="dxa"/>
          </w:tcPr>
          <w:p w:rsidR="00000000" w:rsidRDefault="001F233B">
            <w:pPr>
              <w:pStyle w:val="TableofFigures"/>
              <w:keepNext/>
              <w:rPr>
                <w:color w:val="000000"/>
              </w:rPr>
            </w:pPr>
            <w:r>
              <w:t xml:space="preserve"> </w:t>
            </w:r>
            <w:r>
              <w:rPr>
                <w:color w:val="000000"/>
              </w:rPr>
              <w:t>888.0</w:t>
            </w:r>
          </w:p>
        </w:tc>
        <w:tc>
          <w:tcPr>
            <w:tcW w:w="883" w:type="dxa"/>
            <w:tcBorders>
              <w:bottom w:val="single" w:sz="6" w:space="0" w:color="auto"/>
            </w:tcBorders>
          </w:tcPr>
          <w:p w:rsidR="00000000" w:rsidRDefault="001F233B">
            <w:pPr>
              <w:pStyle w:val="TableofFigures"/>
              <w:keepNext/>
              <w:rPr>
                <w:color w:val="000000"/>
              </w:rPr>
            </w:pPr>
            <w:r>
              <w:t xml:space="preserve"> </w:t>
            </w:r>
            <w:r>
              <w:rPr>
                <w:color w:val="000000"/>
              </w:rPr>
              <w:t>925.0</w:t>
            </w:r>
          </w:p>
        </w:tc>
        <w:tc>
          <w:tcPr>
            <w:tcW w:w="804" w:type="dxa"/>
          </w:tcPr>
          <w:p w:rsidR="00000000" w:rsidRDefault="001F233B">
            <w:pPr>
              <w:pStyle w:val="TableofFigures"/>
              <w:keepNext/>
              <w:rPr>
                <w:color w:val="000000"/>
              </w:rPr>
            </w:pPr>
            <w:r>
              <w:t xml:space="preserve"> </w:t>
            </w:r>
            <w:r>
              <w:rPr>
                <w:color w:val="000000"/>
              </w:rPr>
              <w:t>37.0</w:t>
            </w:r>
          </w:p>
        </w:tc>
      </w:tr>
      <w:tr w:rsidR="00000000">
        <w:tblPrEx>
          <w:tblCellMar>
            <w:top w:w="0" w:type="dxa"/>
            <w:bottom w:w="0" w:type="dxa"/>
          </w:tblCellMar>
        </w:tblPrEx>
        <w:tc>
          <w:tcPr>
            <w:tcW w:w="4164" w:type="dxa"/>
          </w:tcPr>
          <w:p w:rsidR="00000000" w:rsidRDefault="001F233B">
            <w:pPr>
              <w:pStyle w:val="Tabletext"/>
              <w:keepNext/>
              <w:rPr>
                <w:b/>
              </w:rPr>
            </w:pPr>
            <w:r>
              <w:rPr>
                <w:b/>
              </w:rPr>
              <w:t>Total Expenses</w:t>
            </w:r>
          </w:p>
        </w:tc>
        <w:tc>
          <w:tcPr>
            <w:tcW w:w="931" w:type="dxa"/>
            <w:tcBorders>
              <w:top w:val="single" w:sz="6" w:space="0" w:color="auto"/>
            </w:tcBorders>
          </w:tcPr>
          <w:p w:rsidR="00000000" w:rsidRDefault="001F233B">
            <w:pPr>
              <w:pStyle w:val="TableofFigures"/>
              <w:keepNext/>
              <w:rPr>
                <w:b/>
                <w:color w:val="000000"/>
              </w:rPr>
            </w:pPr>
            <w:r>
              <w:rPr>
                <w:b/>
              </w:rPr>
              <w:t>17</w:t>
            </w:r>
            <w:r>
              <w:rPr>
                <w:b/>
                <w:color w:val="000000"/>
              </w:rPr>
              <w:t xml:space="preserve"> 788.7</w:t>
            </w:r>
          </w:p>
        </w:tc>
        <w:tc>
          <w:tcPr>
            <w:tcW w:w="883" w:type="dxa"/>
            <w:tcBorders>
              <w:top w:val="single" w:sz="6" w:space="0" w:color="auto"/>
            </w:tcBorders>
          </w:tcPr>
          <w:p w:rsidR="00000000" w:rsidRDefault="001F233B">
            <w:pPr>
              <w:pStyle w:val="TableofFigures"/>
              <w:keepNext/>
              <w:rPr>
                <w:b/>
                <w:color w:val="000000"/>
              </w:rPr>
            </w:pPr>
            <w:r>
              <w:rPr>
                <w:b/>
              </w:rPr>
              <w:t xml:space="preserve">17 </w:t>
            </w:r>
            <w:r>
              <w:rPr>
                <w:b/>
                <w:color w:val="000000"/>
              </w:rPr>
              <w:t>497.3</w:t>
            </w:r>
          </w:p>
        </w:tc>
        <w:tc>
          <w:tcPr>
            <w:tcW w:w="804" w:type="dxa"/>
            <w:tcBorders>
              <w:top w:val="single" w:sz="6" w:space="0" w:color="auto"/>
            </w:tcBorders>
          </w:tcPr>
          <w:p w:rsidR="00000000" w:rsidRDefault="001F233B">
            <w:pPr>
              <w:pStyle w:val="TableofFigures"/>
              <w:keepNext/>
              <w:rPr>
                <w:b/>
                <w:color w:val="000000"/>
              </w:rPr>
            </w:pPr>
            <w:r>
              <w:t>-</w:t>
            </w:r>
            <w:r>
              <w:rPr>
                <w:b/>
                <w:color w:val="000000"/>
              </w:rPr>
              <w:t xml:space="preserve"> 291.3</w:t>
            </w:r>
          </w:p>
        </w:tc>
      </w:tr>
      <w:tr w:rsidR="00000000">
        <w:tblPrEx>
          <w:tblCellMar>
            <w:top w:w="0" w:type="dxa"/>
            <w:bottom w:w="0" w:type="dxa"/>
          </w:tblCellMar>
        </w:tblPrEx>
        <w:trPr>
          <w:trHeight w:hRule="exact" w:val="120"/>
        </w:trPr>
        <w:tc>
          <w:tcPr>
            <w:tcW w:w="4164" w:type="dxa"/>
          </w:tcPr>
          <w:p w:rsidR="00000000" w:rsidRDefault="001F233B">
            <w:pPr>
              <w:pStyle w:val="Tabletext"/>
              <w:keepNext/>
            </w:pPr>
          </w:p>
        </w:tc>
        <w:tc>
          <w:tcPr>
            <w:tcW w:w="931" w:type="dxa"/>
          </w:tcPr>
          <w:p w:rsidR="00000000" w:rsidRDefault="001F233B">
            <w:pPr>
              <w:pStyle w:val="TableofFigures"/>
              <w:keepNext/>
            </w:pPr>
          </w:p>
        </w:tc>
        <w:tc>
          <w:tcPr>
            <w:tcW w:w="883" w:type="dxa"/>
          </w:tcPr>
          <w:p w:rsidR="00000000" w:rsidRDefault="001F233B">
            <w:pPr>
              <w:pStyle w:val="TableofFigures"/>
              <w:keepNext/>
            </w:pPr>
          </w:p>
        </w:tc>
        <w:tc>
          <w:tcPr>
            <w:tcW w:w="804" w:type="dxa"/>
            <w:tcBorders>
              <w:bottom w:val="single" w:sz="6" w:space="0" w:color="auto"/>
            </w:tcBorders>
          </w:tcPr>
          <w:p w:rsidR="00000000" w:rsidRDefault="001F233B">
            <w:pPr>
              <w:pStyle w:val="TableofFigures"/>
              <w:keepNext/>
            </w:pPr>
          </w:p>
        </w:tc>
      </w:tr>
      <w:tr w:rsidR="00000000">
        <w:tblPrEx>
          <w:tblCellMar>
            <w:top w:w="0" w:type="dxa"/>
            <w:bottom w:w="0" w:type="dxa"/>
          </w:tblCellMar>
        </w:tblPrEx>
        <w:trPr>
          <w:trHeight w:hRule="exact" w:val="240"/>
        </w:trPr>
        <w:tc>
          <w:tcPr>
            <w:tcW w:w="4164" w:type="dxa"/>
            <w:tcBorders>
              <w:top w:val="single" w:sz="6" w:space="0" w:color="auto"/>
            </w:tcBorders>
          </w:tcPr>
          <w:p w:rsidR="00000000" w:rsidRDefault="001F233B">
            <w:pPr>
              <w:pStyle w:val="Tabletext"/>
              <w:keepNext/>
              <w:rPr>
                <w:b/>
              </w:rPr>
            </w:pPr>
            <w:r>
              <w:rPr>
                <w:b/>
              </w:rPr>
              <w:t>Operating Surplus/(Deficit) before</w:t>
            </w:r>
          </w:p>
        </w:tc>
        <w:tc>
          <w:tcPr>
            <w:tcW w:w="931" w:type="dxa"/>
            <w:tcBorders>
              <w:top w:val="single" w:sz="6" w:space="0" w:color="auto"/>
            </w:tcBorders>
          </w:tcPr>
          <w:p w:rsidR="00000000" w:rsidRDefault="001F233B">
            <w:pPr>
              <w:pStyle w:val="TableofFigures"/>
              <w:keepNext/>
            </w:pPr>
          </w:p>
        </w:tc>
        <w:tc>
          <w:tcPr>
            <w:tcW w:w="883" w:type="dxa"/>
            <w:tcBorders>
              <w:top w:val="single" w:sz="6" w:space="0" w:color="auto"/>
            </w:tcBorders>
          </w:tcPr>
          <w:p w:rsidR="00000000" w:rsidRDefault="001F233B">
            <w:pPr>
              <w:pStyle w:val="TableofFigures"/>
              <w:keepNext/>
            </w:pPr>
          </w:p>
        </w:tc>
        <w:tc>
          <w:tcPr>
            <w:tcW w:w="804" w:type="dxa"/>
            <w:tcBorders>
              <w:top w:val="single" w:sz="6" w:space="0" w:color="auto"/>
            </w:tcBorders>
          </w:tcPr>
          <w:p w:rsidR="00000000" w:rsidRDefault="001F233B">
            <w:pPr>
              <w:pStyle w:val="TableofFigures"/>
              <w:keepNext/>
            </w:pPr>
          </w:p>
        </w:tc>
      </w:tr>
      <w:tr w:rsidR="00000000">
        <w:tblPrEx>
          <w:tblCellMar>
            <w:top w:w="0" w:type="dxa"/>
            <w:bottom w:w="0" w:type="dxa"/>
          </w:tblCellMar>
        </w:tblPrEx>
        <w:tc>
          <w:tcPr>
            <w:tcW w:w="4164" w:type="dxa"/>
            <w:tcBorders>
              <w:bottom w:val="double" w:sz="6" w:space="0" w:color="auto"/>
            </w:tcBorders>
          </w:tcPr>
          <w:p w:rsidR="00000000" w:rsidRDefault="001F233B">
            <w:pPr>
              <w:pStyle w:val="Tabletext"/>
              <w:keepNext/>
              <w:rPr>
                <w:b/>
              </w:rPr>
            </w:pPr>
            <w:r>
              <w:rPr>
                <w:b/>
              </w:rPr>
              <w:t>abnormals</w:t>
            </w:r>
          </w:p>
        </w:tc>
        <w:tc>
          <w:tcPr>
            <w:tcW w:w="931" w:type="dxa"/>
            <w:tcBorders>
              <w:bottom w:val="double" w:sz="6" w:space="0" w:color="auto"/>
            </w:tcBorders>
          </w:tcPr>
          <w:p w:rsidR="00000000" w:rsidRDefault="001F233B">
            <w:pPr>
              <w:pStyle w:val="TableofFigures"/>
              <w:keepNext/>
              <w:rPr>
                <w:b/>
                <w:color w:val="000000"/>
              </w:rPr>
            </w:pPr>
            <w:r>
              <w:t xml:space="preserve"> </w:t>
            </w:r>
            <w:r>
              <w:rPr>
                <w:b/>
                <w:color w:val="000000"/>
              </w:rPr>
              <w:t>548.9</w:t>
            </w:r>
          </w:p>
        </w:tc>
        <w:tc>
          <w:tcPr>
            <w:tcW w:w="883" w:type="dxa"/>
            <w:tcBorders>
              <w:bottom w:val="double" w:sz="6" w:space="0" w:color="auto"/>
            </w:tcBorders>
          </w:tcPr>
          <w:p w:rsidR="00000000" w:rsidRDefault="001F233B">
            <w:pPr>
              <w:pStyle w:val="TableofFigures"/>
              <w:keepNext/>
              <w:rPr>
                <w:b/>
                <w:color w:val="000000"/>
              </w:rPr>
            </w:pPr>
            <w:r>
              <w:rPr>
                <w:b/>
              </w:rPr>
              <w:t>1</w:t>
            </w:r>
            <w:r>
              <w:rPr>
                <w:b/>
                <w:color w:val="000000"/>
              </w:rPr>
              <w:t xml:space="preserve"> 153.1</w:t>
            </w:r>
          </w:p>
        </w:tc>
        <w:tc>
          <w:tcPr>
            <w:tcW w:w="804" w:type="dxa"/>
            <w:tcBorders>
              <w:bottom w:val="double" w:sz="6" w:space="0" w:color="auto"/>
            </w:tcBorders>
          </w:tcPr>
          <w:p w:rsidR="00000000" w:rsidRDefault="001F233B">
            <w:pPr>
              <w:pStyle w:val="TableofFigures"/>
              <w:keepNext/>
              <w:rPr>
                <w:b/>
                <w:color w:val="000000"/>
              </w:rPr>
            </w:pPr>
            <w:r>
              <w:t xml:space="preserve"> </w:t>
            </w:r>
            <w:r>
              <w:rPr>
                <w:b/>
                <w:color w:val="000000"/>
              </w:rPr>
              <w:t>604.2</w:t>
            </w:r>
          </w:p>
        </w:tc>
      </w:tr>
      <w:tr w:rsidR="00000000">
        <w:tblPrEx>
          <w:tblCellMar>
            <w:top w:w="0" w:type="dxa"/>
            <w:bottom w:w="0" w:type="dxa"/>
          </w:tblCellMar>
        </w:tblPrEx>
        <w:tc>
          <w:tcPr>
            <w:tcW w:w="4164" w:type="dxa"/>
          </w:tcPr>
          <w:p w:rsidR="00000000" w:rsidRDefault="001F233B">
            <w:pPr>
              <w:pStyle w:val="Tabletext"/>
              <w:keepNext/>
              <w:rPr>
                <w:vertAlign w:val="superscript"/>
              </w:rPr>
            </w:pPr>
            <w:r>
              <w:t>p</w:t>
            </w:r>
            <w:r>
              <w:t>lus: Privatisation</w:t>
            </w:r>
            <w:r>
              <w:fldChar w:fldCharType="begin"/>
            </w:r>
            <w:r>
              <w:instrText>xe "Privatisation"</w:instrText>
            </w:r>
            <w:r>
              <w:fldChar w:fldCharType="end"/>
            </w:r>
            <w:r>
              <w:t xml:space="preserve"> receipts - current </w:t>
            </w:r>
            <w:r>
              <w:rPr>
                <w:sz w:val="16"/>
                <w:vertAlign w:val="superscript"/>
              </w:rPr>
              <w:t>(c)</w:t>
            </w:r>
          </w:p>
        </w:tc>
        <w:tc>
          <w:tcPr>
            <w:tcW w:w="931" w:type="dxa"/>
          </w:tcPr>
          <w:p w:rsidR="00000000" w:rsidRDefault="001F233B">
            <w:pPr>
              <w:pStyle w:val="TableofFigures"/>
              <w:keepNext/>
            </w:pPr>
            <w:r>
              <w:t>..</w:t>
            </w:r>
          </w:p>
        </w:tc>
        <w:tc>
          <w:tcPr>
            <w:tcW w:w="883" w:type="dxa"/>
          </w:tcPr>
          <w:p w:rsidR="00000000" w:rsidRDefault="001F233B">
            <w:pPr>
              <w:pStyle w:val="TableofFigures"/>
              <w:keepNext/>
              <w:rPr>
                <w:color w:val="000000"/>
              </w:rPr>
            </w:pPr>
            <w:r>
              <w:t xml:space="preserve"> </w:t>
            </w:r>
            <w:r>
              <w:rPr>
                <w:color w:val="000000"/>
              </w:rPr>
              <w:t>199.7</w:t>
            </w:r>
          </w:p>
        </w:tc>
        <w:tc>
          <w:tcPr>
            <w:tcW w:w="804" w:type="dxa"/>
          </w:tcPr>
          <w:p w:rsidR="00000000" w:rsidRDefault="001F233B">
            <w:pPr>
              <w:pStyle w:val="TableofFigures"/>
              <w:keepNext/>
            </w:pPr>
          </w:p>
        </w:tc>
      </w:tr>
      <w:tr w:rsidR="00000000">
        <w:tblPrEx>
          <w:tblCellMar>
            <w:top w:w="0" w:type="dxa"/>
            <w:bottom w:w="0" w:type="dxa"/>
          </w:tblCellMar>
        </w:tblPrEx>
        <w:tc>
          <w:tcPr>
            <w:tcW w:w="4164" w:type="dxa"/>
          </w:tcPr>
          <w:p w:rsidR="00000000" w:rsidRDefault="001F233B">
            <w:pPr>
              <w:pStyle w:val="Tabletext"/>
              <w:keepNext/>
            </w:pPr>
            <w:r>
              <w:t>plus: Privatisation</w:t>
            </w:r>
            <w:r>
              <w:fldChar w:fldCharType="begin"/>
            </w:r>
            <w:r>
              <w:instrText>xe "Privatisation"</w:instrText>
            </w:r>
            <w:r>
              <w:fldChar w:fldCharType="end"/>
            </w:r>
            <w:r>
              <w:t xml:space="preserve"> receipts - proceeds of sale</w:t>
            </w:r>
          </w:p>
        </w:tc>
        <w:tc>
          <w:tcPr>
            <w:tcW w:w="931" w:type="dxa"/>
          </w:tcPr>
          <w:p w:rsidR="00000000" w:rsidRDefault="001F233B">
            <w:pPr>
              <w:pStyle w:val="TableofFigures"/>
              <w:keepNext/>
            </w:pPr>
            <w:r>
              <w:t>..</w:t>
            </w:r>
          </w:p>
        </w:tc>
        <w:tc>
          <w:tcPr>
            <w:tcW w:w="883" w:type="dxa"/>
          </w:tcPr>
          <w:p w:rsidR="00000000" w:rsidRDefault="001F233B">
            <w:pPr>
              <w:pStyle w:val="TableofFigures"/>
              <w:keepNext/>
              <w:rPr>
                <w:color w:val="000000"/>
              </w:rPr>
            </w:pPr>
            <w:r>
              <w:t>1</w:t>
            </w:r>
            <w:r>
              <w:rPr>
                <w:color w:val="000000"/>
              </w:rPr>
              <w:t xml:space="preserve"> 673.2</w:t>
            </w:r>
          </w:p>
        </w:tc>
        <w:tc>
          <w:tcPr>
            <w:tcW w:w="804" w:type="dxa"/>
          </w:tcPr>
          <w:p w:rsidR="00000000" w:rsidRDefault="001F233B">
            <w:pPr>
              <w:pStyle w:val="TableofFigures"/>
              <w:keepNext/>
            </w:pPr>
          </w:p>
        </w:tc>
      </w:tr>
      <w:tr w:rsidR="00000000">
        <w:tblPrEx>
          <w:tblCellMar>
            <w:top w:w="0" w:type="dxa"/>
            <w:bottom w:w="0" w:type="dxa"/>
          </w:tblCellMar>
        </w:tblPrEx>
        <w:tc>
          <w:tcPr>
            <w:tcW w:w="4164" w:type="dxa"/>
            <w:tcBorders>
              <w:bottom w:val="single" w:sz="6" w:space="0" w:color="auto"/>
            </w:tcBorders>
          </w:tcPr>
          <w:p w:rsidR="00000000" w:rsidRDefault="001F233B">
            <w:pPr>
              <w:pStyle w:val="Tabletext"/>
              <w:keepNext/>
            </w:pPr>
            <w:r>
              <w:t>less: Realised loss on borrowings</w:t>
            </w:r>
          </w:p>
        </w:tc>
        <w:tc>
          <w:tcPr>
            <w:tcW w:w="931" w:type="dxa"/>
            <w:tcBorders>
              <w:bottom w:val="single" w:sz="6" w:space="0" w:color="auto"/>
            </w:tcBorders>
          </w:tcPr>
          <w:p w:rsidR="00000000" w:rsidRDefault="001F233B">
            <w:pPr>
              <w:pStyle w:val="TableofFigures"/>
              <w:keepNext/>
            </w:pPr>
            <w:r>
              <w:t>..</w:t>
            </w:r>
          </w:p>
        </w:tc>
        <w:tc>
          <w:tcPr>
            <w:tcW w:w="883" w:type="dxa"/>
            <w:tcBorders>
              <w:bottom w:val="single" w:sz="6" w:space="0" w:color="auto"/>
            </w:tcBorders>
          </w:tcPr>
          <w:p w:rsidR="00000000" w:rsidRDefault="001F233B">
            <w:pPr>
              <w:pStyle w:val="TableofFigures"/>
              <w:keepNext/>
              <w:rPr>
                <w:color w:val="000000"/>
              </w:rPr>
            </w:pPr>
            <w:r>
              <w:t>-</w:t>
            </w:r>
            <w:r>
              <w:rPr>
                <w:color w:val="000000"/>
              </w:rPr>
              <w:t xml:space="preserve"> 334.4</w:t>
            </w:r>
          </w:p>
        </w:tc>
        <w:tc>
          <w:tcPr>
            <w:tcW w:w="804" w:type="dxa"/>
          </w:tcPr>
          <w:p w:rsidR="00000000" w:rsidRDefault="001F233B">
            <w:pPr>
              <w:pStyle w:val="TableofFigures"/>
              <w:keepNext/>
            </w:pPr>
          </w:p>
        </w:tc>
      </w:tr>
      <w:tr w:rsidR="00000000">
        <w:tblPrEx>
          <w:tblCellMar>
            <w:top w:w="0" w:type="dxa"/>
            <w:bottom w:w="0" w:type="dxa"/>
          </w:tblCellMar>
        </w:tblPrEx>
        <w:trPr>
          <w:trHeight w:hRule="exact" w:val="240"/>
        </w:trPr>
        <w:tc>
          <w:tcPr>
            <w:tcW w:w="4164" w:type="dxa"/>
          </w:tcPr>
          <w:p w:rsidR="00000000" w:rsidRDefault="001F233B">
            <w:pPr>
              <w:pStyle w:val="Tabletext"/>
              <w:keepNext/>
              <w:rPr>
                <w:b/>
              </w:rPr>
            </w:pPr>
            <w:r>
              <w:rPr>
                <w:b/>
              </w:rPr>
              <w:t>Operating Surplus/(Deficit) after</w:t>
            </w:r>
          </w:p>
        </w:tc>
        <w:tc>
          <w:tcPr>
            <w:tcW w:w="931" w:type="dxa"/>
          </w:tcPr>
          <w:p w:rsidR="00000000" w:rsidRDefault="001F233B">
            <w:pPr>
              <w:pStyle w:val="TableofFigures"/>
              <w:keepNext/>
            </w:pPr>
          </w:p>
        </w:tc>
        <w:tc>
          <w:tcPr>
            <w:tcW w:w="883" w:type="dxa"/>
          </w:tcPr>
          <w:p w:rsidR="00000000" w:rsidRDefault="001F233B">
            <w:pPr>
              <w:pStyle w:val="TableofFigures"/>
              <w:keepNext/>
            </w:pPr>
          </w:p>
        </w:tc>
        <w:tc>
          <w:tcPr>
            <w:tcW w:w="804" w:type="dxa"/>
            <w:tcBorders>
              <w:top w:val="single" w:sz="6" w:space="0" w:color="auto"/>
            </w:tcBorders>
          </w:tcPr>
          <w:p w:rsidR="00000000" w:rsidRDefault="001F233B">
            <w:pPr>
              <w:pStyle w:val="TableofFigures"/>
              <w:keepNext/>
            </w:pPr>
          </w:p>
        </w:tc>
      </w:tr>
      <w:tr w:rsidR="00000000">
        <w:tblPrEx>
          <w:tblCellMar>
            <w:top w:w="0" w:type="dxa"/>
            <w:bottom w:w="0" w:type="dxa"/>
          </w:tblCellMar>
        </w:tblPrEx>
        <w:tc>
          <w:tcPr>
            <w:tcW w:w="4164" w:type="dxa"/>
            <w:tcBorders>
              <w:bottom w:val="single" w:sz="12" w:space="0" w:color="auto"/>
            </w:tcBorders>
          </w:tcPr>
          <w:p w:rsidR="00000000" w:rsidRDefault="001F233B">
            <w:pPr>
              <w:pStyle w:val="Tabletext"/>
              <w:keepNext/>
              <w:rPr>
                <w:b/>
              </w:rPr>
            </w:pPr>
            <w:r>
              <w:rPr>
                <w:b/>
              </w:rPr>
              <w:t>abnormals</w:t>
            </w:r>
          </w:p>
        </w:tc>
        <w:tc>
          <w:tcPr>
            <w:tcW w:w="931" w:type="dxa"/>
            <w:tcBorders>
              <w:bottom w:val="single" w:sz="12" w:space="0" w:color="auto"/>
            </w:tcBorders>
          </w:tcPr>
          <w:p w:rsidR="00000000" w:rsidRDefault="001F233B">
            <w:pPr>
              <w:pStyle w:val="TableofFigures"/>
              <w:keepNext/>
              <w:rPr>
                <w:b/>
                <w:color w:val="000000"/>
              </w:rPr>
            </w:pPr>
            <w:r>
              <w:t xml:space="preserve"> </w:t>
            </w:r>
            <w:r>
              <w:rPr>
                <w:b/>
                <w:color w:val="000000"/>
              </w:rPr>
              <w:t>548.9</w:t>
            </w:r>
          </w:p>
        </w:tc>
        <w:tc>
          <w:tcPr>
            <w:tcW w:w="883" w:type="dxa"/>
            <w:tcBorders>
              <w:bottom w:val="single" w:sz="12" w:space="0" w:color="auto"/>
            </w:tcBorders>
          </w:tcPr>
          <w:p w:rsidR="00000000" w:rsidRDefault="001F233B">
            <w:pPr>
              <w:pStyle w:val="TableofFigures"/>
              <w:keepNext/>
              <w:rPr>
                <w:b/>
                <w:color w:val="000000"/>
              </w:rPr>
            </w:pPr>
            <w:r>
              <w:rPr>
                <w:b/>
              </w:rPr>
              <w:t>2</w:t>
            </w:r>
            <w:r>
              <w:rPr>
                <w:b/>
                <w:color w:val="000000"/>
              </w:rPr>
              <w:t xml:space="preserve"> 691.6</w:t>
            </w:r>
          </w:p>
        </w:tc>
        <w:tc>
          <w:tcPr>
            <w:tcW w:w="804" w:type="dxa"/>
            <w:tcBorders>
              <w:bottom w:val="single" w:sz="12" w:space="0" w:color="auto"/>
            </w:tcBorders>
          </w:tcPr>
          <w:p w:rsidR="00000000" w:rsidRDefault="001F233B">
            <w:pPr>
              <w:pStyle w:val="TableofFigures"/>
              <w:keepNext/>
              <w:rPr>
                <w:b/>
                <w:color w:val="000000"/>
              </w:rPr>
            </w:pPr>
            <w:r>
              <w:rPr>
                <w:b/>
              </w:rPr>
              <w:t>2</w:t>
            </w:r>
            <w:r>
              <w:rPr>
                <w:b/>
                <w:color w:val="000000"/>
              </w:rPr>
              <w:t xml:space="preserve"> 142.7</w:t>
            </w:r>
          </w:p>
        </w:tc>
      </w:tr>
    </w:tbl>
    <w:p w:rsidR="00000000" w:rsidRDefault="001F233B">
      <w:pPr>
        <w:pStyle w:val="Source"/>
        <w:keepNext/>
        <w:spacing w:after="0"/>
      </w:pPr>
      <w:r>
        <w:t>Source: Department of Treasury and Finance.</w:t>
      </w:r>
    </w:p>
    <w:p w:rsidR="00000000" w:rsidRDefault="001F233B">
      <w:pPr>
        <w:pStyle w:val="Notes"/>
        <w:keepNext/>
      </w:pPr>
      <w:r>
        <w:t>Notes:</w:t>
      </w:r>
    </w:p>
    <w:p w:rsidR="00000000" w:rsidRDefault="001F233B">
      <w:pPr>
        <w:pStyle w:val="Notes"/>
        <w:keepNext/>
        <w:tabs>
          <w:tab w:val="clear" w:pos="454"/>
          <w:tab w:val="left" w:pos="360"/>
        </w:tabs>
      </w:pPr>
      <w:r>
        <w:t>(a)</w:t>
      </w:r>
      <w:r>
        <w:tab/>
        <w:t>Includes grants for on</w:t>
      </w:r>
      <w:r>
        <w:noBreakHyphen/>
        <w:t>passing.</w:t>
      </w:r>
    </w:p>
    <w:p w:rsidR="00000000" w:rsidRDefault="001F233B">
      <w:pPr>
        <w:pStyle w:val="Notes"/>
        <w:keepNext/>
        <w:tabs>
          <w:tab w:val="clear" w:pos="454"/>
          <w:tab w:val="left" w:pos="360"/>
        </w:tabs>
        <w:ind w:left="360" w:hanging="360"/>
      </w:pPr>
      <w:r>
        <w:t>(b)</w:t>
      </w:r>
      <w:r>
        <w:tab/>
        <w:t>Excludes privatisation</w:t>
      </w:r>
      <w:r>
        <w:fldChar w:fldCharType="begin"/>
      </w:r>
      <w:r>
        <w:instrText>xe "Privatisation"</w:instrText>
      </w:r>
      <w:r>
        <w:fldChar w:fldCharType="end"/>
      </w:r>
      <w:r>
        <w:t xml:space="preserve"> proceeds received as stamp duty and tax equivalent receipts.</w:t>
      </w:r>
    </w:p>
    <w:p w:rsidR="00000000" w:rsidRDefault="001F233B">
      <w:pPr>
        <w:pStyle w:val="Notes"/>
        <w:keepNext/>
        <w:tabs>
          <w:tab w:val="clear" w:pos="454"/>
          <w:tab w:val="left" w:pos="360"/>
        </w:tabs>
        <w:ind w:left="360" w:hanging="360"/>
      </w:pPr>
      <w:r>
        <w:t>(c)</w:t>
      </w:r>
      <w:r>
        <w:tab/>
        <w:t>Includes privatisation</w:t>
      </w:r>
      <w:r>
        <w:fldChar w:fldCharType="begin"/>
      </w:r>
      <w:r>
        <w:instrText>xe "Privatisatio</w:instrText>
      </w:r>
      <w:r>
        <w:instrText>n"</w:instrText>
      </w:r>
      <w:r>
        <w:fldChar w:fldCharType="end"/>
      </w:r>
      <w:r>
        <w:t xml:space="preserve"> proceeds received as stamp duty and tax equivalent receipts.</w:t>
      </w:r>
    </w:p>
    <w:p w:rsidR="00000000" w:rsidRDefault="001F233B">
      <w:r>
        <w:br w:type="page"/>
      </w:r>
      <w:r>
        <w:lastRenderedPageBreak/>
        <w:t>Total operating revenue is expected to be $312.8 million higher than the Budget estimate. Interpretation of the movements in individual revenue categories is complicated by some special factors.</w:t>
      </w:r>
    </w:p>
    <w:p w:rsidR="00000000" w:rsidRDefault="001F233B">
      <w:r>
        <w:t>In particular, the decline in taxation revenue masks strong underlying growth flowing from the strengthening in the property market and higher than expected gambling revenue, mainly due to higher use of electronic gaming machines</w:t>
      </w:r>
      <w:r>
        <w:fldChar w:fldCharType="begin"/>
      </w:r>
      <w:r>
        <w:instrText>xe "Electronic gaming</w:instrText>
      </w:r>
      <w:r>
        <w:instrText xml:space="preserve"> machine"</w:instrText>
      </w:r>
      <w:r>
        <w:fldChar w:fldCharType="end"/>
      </w:r>
      <w:r>
        <w:t xml:space="preserve"> (EGMs).  However, this underlying strength in taxation revenue has been offset by:</w:t>
      </w:r>
    </w:p>
    <w:p w:rsidR="00000000" w:rsidRDefault="001F233B" w:rsidP="001F233B">
      <w:pPr>
        <w:pStyle w:val="BulletText"/>
        <w:numPr>
          <w:ilvl w:val="0"/>
          <w:numId w:val="1"/>
        </w:numPr>
      </w:pPr>
      <w:r>
        <w:t>one</w:t>
      </w:r>
      <w:r>
        <w:noBreakHyphen/>
        <w:t>off losses of $155 million in the switch from business franchise fees</w:t>
      </w:r>
      <w:r>
        <w:fldChar w:fldCharType="begin"/>
      </w:r>
      <w:r>
        <w:instrText>xe "Franchise fees:Business"</w:instrText>
      </w:r>
      <w:r>
        <w:fldChar w:fldCharType="end"/>
      </w:r>
      <w:r>
        <w:t xml:space="preserve"> to replacement ‘safety net’ </w:t>
      </w:r>
      <w:r>
        <w:fldChar w:fldCharType="begin"/>
      </w:r>
      <w:r>
        <w:instrText>xe "Safety net arrangements:Revenues"</w:instrText>
      </w:r>
      <w:r>
        <w:fldChar w:fldCharType="end"/>
      </w:r>
      <w:r>
        <w:t xml:space="preserve"> tax collections (following the High Court invalidation of franchise fees); and</w:t>
      </w:r>
    </w:p>
    <w:p w:rsidR="00000000" w:rsidRDefault="001F233B" w:rsidP="001F233B">
      <w:pPr>
        <w:pStyle w:val="BulletText"/>
        <w:numPr>
          <w:ilvl w:val="0"/>
          <w:numId w:val="1"/>
        </w:numPr>
      </w:pPr>
      <w:r>
        <w:t>the abolition of the public authority contribution</w:t>
      </w:r>
      <w:r>
        <w:fldChar w:fldCharType="begin"/>
      </w:r>
      <w:r>
        <w:instrText>xe "Public authority contribution"</w:instrText>
      </w:r>
      <w:r>
        <w:fldChar w:fldCharType="end"/>
      </w:r>
      <w:r>
        <w:t xml:space="preserve"> from December 1997, representing a reduction in taxation receipts of $201.4 mill</w:t>
      </w:r>
      <w:r>
        <w:t>ion in 1997</w:t>
      </w:r>
      <w:r>
        <w:noBreakHyphen/>
        <w:t>98 (largely offset by an increase in public authority income).</w:t>
      </w:r>
    </w:p>
    <w:p w:rsidR="00000000" w:rsidRDefault="001F233B">
      <w:pPr>
        <w:tabs>
          <w:tab w:val="left" w:pos="360"/>
        </w:tabs>
      </w:pPr>
      <w:r>
        <w:t>Public authority income is higher than expected due to increases in dividends from government business enterprises, in large part reflecting the abolition of the public authority contribution</w:t>
      </w:r>
      <w:r>
        <w:fldChar w:fldCharType="begin"/>
      </w:r>
      <w:r>
        <w:instrText>xe "Public authority contribution"</w:instrText>
      </w:r>
      <w:r>
        <w:fldChar w:fldCharType="end"/>
      </w:r>
      <w:r>
        <w:t>, and first time tax equivalent payments from Aluvic</w:t>
      </w:r>
      <w:r>
        <w:fldChar w:fldCharType="begin"/>
      </w:r>
      <w:r>
        <w:instrText>xe "Public authority income:Aluvic"</w:instrText>
      </w:r>
      <w:r>
        <w:fldChar w:fldCharType="end"/>
      </w:r>
      <w:r>
        <w:t>.</w:t>
      </w:r>
    </w:p>
    <w:p w:rsidR="00000000" w:rsidRDefault="001F233B">
      <w:pPr>
        <w:tabs>
          <w:tab w:val="left" w:pos="360"/>
        </w:tabs>
      </w:pPr>
      <w:r>
        <w:t>The increase in own</w:t>
      </w:r>
      <w:r>
        <w:noBreakHyphen/>
        <w:t>purpose current grants is due in part to the commencement of the Commonwealth National Heritage Tru</w:t>
      </w:r>
      <w:r>
        <w:t>st</w:t>
      </w:r>
      <w:r>
        <w:fldChar w:fldCharType="begin"/>
      </w:r>
      <w:r>
        <w:instrText>xe "Commonwealth National Heritage Trust"</w:instrText>
      </w:r>
      <w:r>
        <w:fldChar w:fldCharType="end"/>
      </w:r>
      <w:r>
        <w:t xml:space="preserve"> program and higher than forecast TAFE</w:t>
      </w:r>
      <w:r>
        <w:fldChar w:fldCharType="begin"/>
      </w:r>
      <w:r>
        <w:instrText>xe "Department of Education:TAFE"</w:instrText>
      </w:r>
      <w:r>
        <w:fldChar w:fldCharType="end"/>
      </w:r>
      <w:r>
        <w:t xml:space="preserve"> funding. Own-purpose capital grants for schools and road infrastructure</w:t>
      </w:r>
      <w:r>
        <w:fldChar w:fldCharType="begin"/>
      </w:r>
      <w:r>
        <w:instrText>xe "Economy:Infrastructure"</w:instrText>
      </w:r>
      <w:r>
        <w:fldChar w:fldCharType="end"/>
      </w:r>
      <w:r>
        <w:t xml:space="preserve"> are also forecast to be higher than 1997</w:t>
      </w:r>
      <w:r>
        <w:noBreakHyphen/>
        <w:t>98 Budget estimates.</w:t>
      </w:r>
    </w:p>
    <w:p w:rsidR="00000000" w:rsidRDefault="001F233B">
      <w:r>
        <w:t>Total operating expenses are projected to be $291.3 million lower than the 1997</w:t>
      </w:r>
      <w:r>
        <w:noBreakHyphen/>
        <w:t>98 Budget estimate. The major influence is an expected reduction in interest and financing expense as a result of favourable restructuring of some maj</w:t>
      </w:r>
      <w:r>
        <w:t>or financial transactions, as well as the use of privatisation</w:t>
      </w:r>
      <w:r>
        <w:fldChar w:fldCharType="begin"/>
      </w:r>
      <w:r>
        <w:instrText>xe "Privatisation"</w:instrText>
      </w:r>
      <w:r>
        <w:fldChar w:fldCharType="end"/>
      </w:r>
      <w:r>
        <w:t xml:space="preserve"> proceeds from PowerNet Victoria</w:t>
      </w:r>
      <w:r>
        <w:fldChar w:fldCharType="begin"/>
      </w:r>
      <w:r>
        <w:instrText>xe "Power Net Victoria"</w:instrText>
      </w:r>
      <w:r>
        <w:fldChar w:fldCharType="end"/>
      </w:r>
      <w:r>
        <w:t xml:space="preserve"> to retire debt (which was not included in the 1997</w:t>
      </w:r>
      <w:r>
        <w:noBreakHyphen/>
        <w:t>98 Budget estimates).</w:t>
      </w:r>
    </w:p>
    <w:p w:rsidR="00000000" w:rsidRDefault="001F233B" w:rsidP="001F233B">
      <w:pPr>
        <w:pStyle w:val="BulletText"/>
        <w:numPr>
          <w:ilvl w:val="0"/>
          <w:numId w:val="0"/>
        </w:numPr>
      </w:pPr>
      <w:r>
        <w:t>Current grants are now expected to be lower than the 1997</w:t>
      </w:r>
      <w:r>
        <w:noBreakHyphen/>
        <w:t>98 Budget estimate, mainly due to an anticipated reduction in payments to the Flexible Tariff Management Unit Trust</w:t>
      </w:r>
      <w:r>
        <w:fldChar w:fldCharType="begin"/>
      </w:r>
      <w:r>
        <w:instrText>xe "Flexible Tariff Management Unit Trust"</w:instrText>
      </w:r>
      <w:r>
        <w:fldChar w:fldCharType="end"/>
      </w:r>
      <w:r>
        <w:t xml:space="preserve"> (FTMUT), as a result of higher aluminium prices which act to reduce the subsidy.</w:t>
      </w:r>
    </w:p>
    <w:p w:rsidR="00000000" w:rsidRDefault="001F233B" w:rsidP="001F233B">
      <w:pPr>
        <w:pStyle w:val="BulletText"/>
        <w:numPr>
          <w:ilvl w:val="0"/>
          <w:numId w:val="0"/>
        </w:numPr>
      </w:pPr>
      <w:r>
        <w:t>Reduced capital transfers reflect lower payments for housing assistance than originally estimated.</w:t>
      </w:r>
    </w:p>
    <w:p w:rsidR="00000000" w:rsidRDefault="001F233B" w:rsidP="001F233B">
      <w:pPr>
        <w:pStyle w:val="BulletText"/>
        <w:numPr>
          <w:ilvl w:val="0"/>
          <w:numId w:val="0"/>
        </w:numPr>
      </w:pPr>
      <w:r>
        <w:br w:type="page"/>
      </w:r>
      <w:r>
        <w:lastRenderedPageBreak/>
        <w:t>Partially offsetting these reductions is higher than forecast other operating expenses resulting from the reclassification of transactions from investment</w:t>
      </w:r>
      <w:r>
        <w:fldChar w:fldCharType="begin"/>
      </w:r>
      <w:r>
        <w:instrText>xe "Economy:Investment"</w:instrText>
      </w:r>
      <w:r>
        <w:fldChar w:fldCharType="end"/>
      </w:r>
      <w:r>
        <w:t xml:space="preserve"> in assets to expenses. These reclassifications include $65 million of Microeconomic Reform</w:t>
      </w:r>
      <w:r>
        <w:fldChar w:fldCharType="begin"/>
      </w:r>
      <w:r>
        <w:instrText>xe "Microeconomic reform"</w:instrText>
      </w:r>
      <w:r>
        <w:fldChar w:fldCharType="end"/>
      </w:r>
      <w:r>
        <w:t xml:space="preserve"> Program (MER) funds used to provide separation payments to facilitate service delivery</w:t>
      </w:r>
      <w:r>
        <w:fldChar w:fldCharType="begin"/>
      </w:r>
      <w:r>
        <w:instrText>xe "Service delivery"</w:instrText>
      </w:r>
      <w:r>
        <w:fldChar w:fldCharType="end"/>
      </w:r>
      <w:r>
        <w:t xml:space="preserve"> re</w:t>
      </w:r>
      <w:r>
        <w:noBreakHyphen/>
        <w:t>e</w:t>
      </w:r>
      <w:r>
        <w:t xml:space="preserve">ngineering. </w:t>
      </w:r>
    </w:p>
    <w:p w:rsidR="00000000" w:rsidRDefault="001F233B">
      <w:pPr>
        <w:pStyle w:val="Heading3"/>
      </w:pPr>
      <w:r>
        <w:t>Impact of privatisation</w:t>
      </w:r>
      <w:r>
        <w:fldChar w:fldCharType="begin"/>
      </w:r>
      <w:r>
        <w:instrText>xe "Privatisation"</w:instrText>
      </w:r>
      <w:r>
        <w:fldChar w:fldCharType="end"/>
      </w:r>
      <w:r>
        <w:t xml:space="preserve"> on the 1997</w:t>
      </w:r>
      <w:r>
        <w:noBreakHyphen/>
        <w:t>98 Budget</w:t>
      </w:r>
    </w:p>
    <w:p w:rsidR="00000000" w:rsidRDefault="001F233B">
      <w:r>
        <w:t>Table 3.3 details the effects of privatisation</w:t>
      </w:r>
      <w:r>
        <w:fldChar w:fldCharType="begin"/>
      </w:r>
      <w:r>
        <w:instrText>xe "Privatisation"</w:instrText>
      </w:r>
      <w:r>
        <w:fldChar w:fldCharType="end"/>
      </w:r>
      <w:r>
        <w:t xml:space="preserve"> on the 1997</w:t>
      </w:r>
      <w:r>
        <w:noBreakHyphen/>
        <w:t>98 Budget. The revised operating surplus</w:t>
      </w:r>
      <w:r>
        <w:fldChar w:fldCharType="begin"/>
      </w:r>
      <w:r>
        <w:instrText>xe "Operating surplus"</w:instrText>
      </w:r>
      <w:r>
        <w:fldChar w:fldCharType="end"/>
      </w:r>
      <w:r>
        <w:t xml:space="preserve"> after abnormals for 1997</w:t>
      </w:r>
      <w:r>
        <w:noBreakHyphen/>
        <w:t>98 is now estimated to be $2 691.6 million. It has been boosted by the inclusion of the privatisation proceeds of $1 873.0 million from the sale of PowerNet Victoria</w:t>
      </w:r>
      <w:r>
        <w:fldChar w:fldCharType="begin"/>
      </w:r>
      <w:r>
        <w:instrText>xe "Power Net Victoria"</w:instrText>
      </w:r>
      <w:r>
        <w:fldChar w:fldCharType="end"/>
      </w:r>
      <w:r>
        <w:t xml:space="preserve"> and Southern Hydro</w:t>
      </w:r>
      <w:r>
        <w:fldChar w:fldCharType="begin"/>
      </w:r>
      <w:r>
        <w:instrText>xe "Southern Hydro"</w:instrText>
      </w:r>
      <w:r>
        <w:fldChar w:fldCharType="end"/>
      </w:r>
      <w:r>
        <w:t>.</w:t>
      </w:r>
    </w:p>
    <w:p w:rsidR="00000000" w:rsidRDefault="001F233B">
      <w:pPr>
        <w:pStyle w:val="Tableheading"/>
      </w:pPr>
      <w:bookmarkStart w:id="42" w:name="_Toc417552740"/>
      <w:bookmarkStart w:id="43" w:name="_Toc417119981"/>
      <w:r>
        <w:t>Table 3.3 Effects of Privatisati</w:t>
      </w:r>
      <w:r>
        <w:t>on</w:t>
      </w:r>
      <w:r>
        <w:fldChar w:fldCharType="begin"/>
      </w:r>
      <w:r>
        <w:instrText>xe "Privatisation"</w:instrText>
      </w:r>
      <w:r>
        <w:fldChar w:fldCharType="end"/>
      </w:r>
      <w:r>
        <w:t xml:space="preserve"> on the 1997</w:t>
      </w:r>
      <w:r>
        <w:noBreakHyphen/>
        <w:t>98 Budget</w:t>
      </w:r>
      <w:bookmarkEnd w:id="42"/>
      <w:r>
        <w:t xml:space="preserve"> </w:t>
      </w:r>
      <w:bookmarkEnd w:id="43"/>
    </w:p>
    <w:p w:rsidR="00000000" w:rsidRDefault="001F233B">
      <w:pPr>
        <w:pStyle w:val="Source"/>
        <w:spacing w:after="0"/>
        <w:jc w:val="center"/>
        <w:rPr>
          <w:rFonts w:ascii="Arial" w:hAnsi="Arial"/>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4980"/>
        <w:gridCol w:w="1080"/>
        <w:gridCol w:w="990"/>
      </w:tblGrid>
      <w:tr w:rsidR="00000000">
        <w:tblPrEx>
          <w:tblCellMar>
            <w:top w:w="0" w:type="dxa"/>
            <w:bottom w:w="0" w:type="dxa"/>
          </w:tblCellMar>
        </w:tblPrEx>
        <w:trPr>
          <w:trHeight w:val="247"/>
        </w:trPr>
        <w:tc>
          <w:tcPr>
            <w:tcW w:w="4980" w:type="dxa"/>
            <w:tcBorders>
              <w:top w:val="single" w:sz="6" w:space="0" w:color="auto"/>
            </w:tcBorders>
          </w:tcPr>
          <w:p w:rsidR="00000000" w:rsidRDefault="001F233B">
            <w:pPr>
              <w:pStyle w:val="Tabletext"/>
              <w:rPr>
                <w:i/>
              </w:rPr>
            </w:pPr>
          </w:p>
        </w:tc>
        <w:tc>
          <w:tcPr>
            <w:tcW w:w="1080" w:type="dxa"/>
            <w:tcBorders>
              <w:top w:val="single" w:sz="6" w:space="0" w:color="auto"/>
            </w:tcBorders>
          </w:tcPr>
          <w:p w:rsidR="00000000" w:rsidRDefault="001F233B">
            <w:pPr>
              <w:pStyle w:val="Tabletextheading"/>
              <w:rPr>
                <w:b w:val="0"/>
                <w:i/>
              </w:rPr>
            </w:pPr>
            <w:r>
              <w:rPr>
                <w:b w:val="0"/>
                <w:i/>
              </w:rPr>
              <w:t>1997-98</w:t>
            </w:r>
          </w:p>
        </w:tc>
        <w:tc>
          <w:tcPr>
            <w:tcW w:w="990" w:type="dxa"/>
            <w:tcBorders>
              <w:top w:val="single" w:sz="6" w:space="0" w:color="auto"/>
            </w:tcBorders>
          </w:tcPr>
          <w:p w:rsidR="00000000" w:rsidRDefault="001F233B">
            <w:pPr>
              <w:pStyle w:val="Tabletextheading"/>
              <w:rPr>
                <w:b w:val="0"/>
                <w:i/>
              </w:rPr>
            </w:pPr>
            <w:r>
              <w:rPr>
                <w:b w:val="0"/>
                <w:i/>
              </w:rPr>
              <w:t>1997-98</w:t>
            </w:r>
          </w:p>
        </w:tc>
      </w:tr>
      <w:tr w:rsidR="00000000">
        <w:tblPrEx>
          <w:tblCellMar>
            <w:top w:w="0" w:type="dxa"/>
            <w:bottom w:w="0" w:type="dxa"/>
          </w:tblCellMar>
        </w:tblPrEx>
        <w:trPr>
          <w:trHeight w:val="247"/>
        </w:trPr>
        <w:tc>
          <w:tcPr>
            <w:tcW w:w="4980" w:type="dxa"/>
            <w:tcBorders>
              <w:bottom w:val="single" w:sz="6" w:space="0" w:color="auto"/>
            </w:tcBorders>
          </w:tcPr>
          <w:p w:rsidR="00000000" w:rsidRDefault="001F233B">
            <w:pPr>
              <w:pStyle w:val="Tabletext"/>
              <w:rPr>
                <w:i/>
              </w:rPr>
            </w:pPr>
          </w:p>
        </w:tc>
        <w:tc>
          <w:tcPr>
            <w:tcW w:w="1080" w:type="dxa"/>
            <w:tcBorders>
              <w:bottom w:val="single" w:sz="6" w:space="0" w:color="auto"/>
            </w:tcBorders>
          </w:tcPr>
          <w:p w:rsidR="00000000" w:rsidRDefault="001F233B">
            <w:pPr>
              <w:pStyle w:val="Tabletextheading"/>
              <w:rPr>
                <w:b w:val="0"/>
                <w:i/>
              </w:rPr>
            </w:pPr>
            <w:r>
              <w:rPr>
                <w:b w:val="0"/>
                <w:i/>
              </w:rPr>
              <w:t>Budget</w:t>
            </w:r>
          </w:p>
        </w:tc>
        <w:tc>
          <w:tcPr>
            <w:tcW w:w="990" w:type="dxa"/>
            <w:tcBorders>
              <w:bottom w:val="single" w:sz="6" w:space="0" w:color="auto"/>
            </w:tcBorders>
          </w:tcPr>
          <w:p w:rsidR="00000000" w:rsidRDefault="001F233B">
            <w:pPr>
              <w:pStyle w:val="Tabletextheading"/>
              <w:rPr>
                <w:b w:val="0"/>
                <w:i/>
              </w:rPr>
            </w:pPr>
            <w:r>
              <w:rPr>
                <w:b w:val="0"/>
                <w:i/>
              </w:rPr>
              <w:t>Revised</w:t>
            </w:r>
          </w:p>
        </w:tc>
      </w:tr>
      <w:tr w:rsidR="00000000">
        <w:tblPrEx>
          <w:tblCellMar>
            <w:top w:w="0" w:type="dxa"/>
            <w:bottom w:w="0" w:type="dxa"/>
          </w:tblCellMar>
        </w:tblPrEx>
        <w:trPr>
          <w:trHeight w:val="247"/>
        </w:trPr>
        <w:tc>
          <w:tcPr>
            <w:tcW w:w="4980" w:type="dxa"/>
          </w:tcPr>
          <w:p w:rsidR="00000000" w:rsidRDefault="001F233B">
            <w:pPr>
              <w:pStyle w:val="Tabletext"/>
              <w:rPr>
                <w:b/>
              </w:rPr>
            </w:pPr>
            <w:r>
              <w:rPr>
                <w:b/>
              </w:rPr>
              <w:t>Revenue</w:t>
            </w:r>
          </w:p>
        </w:tc>
        <w:tc>
          <w:tcPr>
            <w:tcW w:w="1080" w:type="dxa"/>
          </w:tcPr>
          <w:p w:rsidR="00000000" w:rsidRDefault="001F233B">
            <w:pPr>
              <w:pStyle w:val="TableofFigures"/>
            </w:pPr>
          </w:p>
        </w:tc>
        <w:tc>
          <w:tcPr>
            <w:tcW w:w="990" w:type="dxa"/>
          </w:tcPr>
          <w:p w:rsidR="00000000" w:rsidRDefault="001F233B">
            <w:pPr>
              <w:pStyle w:val="TableofFigures"/>
            </w:pPr>
          </w:p>
        </w:tc>
      </w:tr>
      <w:tr w:rsidR="00000000">
        <w:tblPrEx>
          <w:tblCellMar>
            <w:top w:w="0" w:type="dxa"/>
            <w:bottom w:w="0" w:type="dxa"/>
          </w:tblCellMar>
        </w:tblPrEx>
        <w:tc>
          <w:tcPr>
            <w:tcW w:w="4980" w:type="dxa"/>
          </w:tcPr>
          <w:p w:rsidR="00000000" w:rsidRDefault="001F233B">
            <w:pPr>
              <w:pStyle w:val="Tabletext"/>
            </w:pPr>
          </w:p>
        </w:tc>
        <w:tc>
          <w:tcPr>
            <w:tcW w:w="1080" w:type="dxa"/>
          </w:tcPr>
          <w:p w:rsidR="00000000" w:rsidRDefault="001F233B">
            <w:pPr>
              <w:pStyle w:val="TableofFigures"/>
              <w:rPr>
                <w:sz w:val="8"/>
              </w:rPr>
            </w:pPr>
          </w:p>
        </w:tc>
        <w:tc>
          <w:tcPr>
            <w:tcW w:w="990" w:type="dxa"/>
          </w:tcPr>
          <w:p w:rsidR="00000000" w:rsidRDefault="001F233B">
            <w:pPr>
              <w:pStyle w:val="TableofFigures"/>
              <w:rPr>
                <w:sz w:val="8"/>
              </w:rPr>
            </w:pPr>
          </w:p>
        </w:tc>
      </w:tr>
      <w:tr w:rsidR="00000000">
        <w:tblPrEx>
          <w:tblCellMar>
            <w:top w:w="0" w:type="dxa"/>
            <w:bottom w:w="0" w:type="dxa"/>
          </w:tblCellMar>
        </w:tblPrEx>
        <w:trPr>
          <w:trHeight w:val="247"/>
        </w:trPr>
        <w:tc>
          <w:tcPr>
            <w:tcW w:w="4980" w:type="dxa"/>
          </w:tcPr>
          <w:p w:rsidR="00000000" w:rsidRDefault="001F233B">
            <w:pPr>
              <w:pStyle w:val="Tabletext"/>
            </w:pPr>
            <w:r>
              <w:t>Stamp duty</w:t>
            </w:r>
          </w:p>
        </w:tc>
        <w:tc>
          <w:tcPr>
            <w:tcW w:w="1080" w:type="dxa"/>
          </w:tcPr>
          <w:p w:rsidR="00000000" w:rsidRDefault="001F233B">
            <w:pPr>
              <w:pStyle w:val="TableofFigures"/>
              <w:rPr>
                <w:color w:val="000000"/>
              </w:rPr>
            </w:pPr>
            <w:r>
              <w:t xml:space="preserve"> </w:t>
            </w:r>
            <w:r>
              <w:rPr>
                <w:color w:val="000000"/>
              </w:rPr>
              <w:t>0.0</w:t>
            </w:r>
          </w:p>
        </w:tc>
        <w:tc>
          <w:tcPr>
            <w:tcW w:w="990" w:type="dxa"/>
          </w:tcPr>
          <w:p w:rsidR="00000000" w:rsidRDefault="001F233B">
            <w:pPr>
              <w:pStyle w:val="TableofFigures"/>
              <w:rPr>
                <w:color w:val="000000"/>
              </w:rPr>
            </w:pPr>
            <w:r>
              <w:t xml:space="preserve"> </w:t>
            </w:r>
            <w:r>
              <w:rPr>
                <w:color w:val="000000"/>
              </w:rPr>
              <w:t>15.1</w:t>
            </w:r>
          </w:p>
        </w:tc>
      </w:tr>
      <w:tr w:rsidR="00000000">
        <w:tblPrEx>
          <w:tblCellMar>
            <w:top w:w="0" w:type="dxa"/>
            <w:bottom w:w="0" w:type="dxa"/>
          </w:tblCellMar>
        </w:tblPrEx>
        <w:trPr>
          <w:trHeight w:val="247"/>
        </w:trPr>
        <w:tc>
          <w:tcPr>
            <w:tcW w:w="4980" w:type="dxa"/>
          </w:tcPr>
          <w:p w:rsidR="00000000" w:rsidRDefault="001F233B">
            <w:pPr>
              <w:pStyle w:val="Tabletext"/>
              <w:rPr>
                <w:color w:val="000000"/>
              </w:rPr>
            </w:pPr>
            <w:r>
              <w:t>Other (including tax</w:t>
            </w:r>
            <w:r>
              <w:rPr>
                <w:color w:val="000000"/>
              </w:rPr>
              <w:t xml:space="preserve"> equivalent receipts)</w:t>
            </w:r>
          </w:p>
        </w:tc>
        <w:tc>
          <w:tcPr>
            <w:tcW w:w="1080" w:type="dxa"/>
            <w:tcBorders>
              <w:bottom w:val="single" w:sz="6" w:space="0" w:color="auto"/>
            </w:tcBorders>
          </w:tcPr>
          <w:p w:rsidR="00000000" w:rsidRDefault="001F233B">
            <w:pPr>
              <w:pStyle w:val="TableofFigures"/>
              <w:rPr>
                <w:color w:val="000000"/>
              </w:rPr>
            </w:pPr>
            <w:r>
              <w:t xml:space="preserve"> </w:t>
            </w:r>
            <w:r>
              <w:rPr>
                <w:color w:val="000000"/>
              </w:rPr>
              <w:t>0.0</w:t>
            </w:r>
          </w:p>
        </w:tc>
        <w:tc>
          <w:tcPr>
            <w:tcW w:w="990" w:type="dxa"/>
          </w:tcPr>
          <w:p w:rsidR="00000000" w:rsidRDefault="001F233B">
            <w:pPr>
              <w:pStyle w:val="TableofFigures"/>
              <w:rPr>
                <w:color w:val="000000"/>
              </w:rPr>
            </w:pPr>
            <w:r>
              <w:t xml:space="preserve"> </w:t>
            </w:r>
            <w:r>
              <w:rPr>
                <w:color w:val="000000"/>
              </w:rPr>
              <w:t>184.7</w:t>
            </w:r>
          </w:p>
        </w:tc>
      </w:tr>
      <w:tr w:rsidR="00000000">
        <w:tblPrEx>
          <w:tblCellMar>
            <w:top w:w="0" w:type="dxa"/>
            <w:bottom w:w="0" w:type="dxa"/>
          </w:tblCellMar>
        </w:tblPrEx>
        <w:trPr>
          <w:trHeight w:val="247"/>
        </w:trPr>
        <w:tc>
          <w:tcPr>
            <w:tcW w:w="4980" w:type="dxa"/>
          </w:tcPr>
          <w:p w:rsidR="00000000" w:rsidRDefault="001F233B">
            <w:pPr>
              <w:pStyle w:val="Tabletext"/>
              <w:rPr>
                <w:b/>
              </w:rPr>
            </w:pPr>
            <w:r>
              <w:rPr>
                <w:b/>
              </w:rPr>
              <w:t>Total Revenue</w:t>
            </w:r>
          </w:p>
        </w:tc>
        <w:tc>
          <w:tcPr>
            <w:tcW w:w="1080" w:type="dxa"/>
            <w:tcBorders>
              <w:top w:val="single" w:sz="6" w:space="0" w:color="auto"/>
              <w:bottom w:val="single" w:sz="6" w:space="0" w:color="auto"/>
            </w:tcBorders>
          </w:tcPr>
          <w:p w:rsidR="00000000" w:rsidRDefault="001F233B">
            <w:pPr>
              <w:pStyle w:val="TableofFigures"/>
              <w:rPr>
                <w:color w:val="000000"/>
              </w:rPr>
            </w:pPr>
            <w:r>
              <w:rPr>
                <w:b/>
              </w:rPr>
              <w:t xml:space="preserve"> </w:t>
            </w:r>
            <w:r>
              <w:rPr>
                <w:color w:val="000000"/>
              </w:rPr>
              <w:t>0.0</w:t>
            </w:r>
          </w:p>
        </w:tc>
        <w:tc>
          <w:tcPr>
            <w:tcW w:w="990" w:type="dxa"/>
            <w:tcBorders>
              <w:top w:val="single" w:sz="6" w:space="0" w:color="auto"/>
              <w:bottom w:val="single" w:sz="6" w:space="0" w:color="auto"/>
            </w:tcBorders>
          </w:tcPr>
          <w:p w:rsidR="00000000" w:rsidRDefault="001F233B">
            <w:pPr>
              <w:pStyle w:val="TableofFigures"/>
              <w:rPr>
                <w:color w:val="000000"/>
              </w:rPr>
            </w:pPr>
            <w:r>
              <w:rPr>
                <w:b/>
              </w:rPr>
              <w:t xml:space="preserve"> </w:t>
            </w:r>
            <w:r>
              <w:rPr>
                <w:color w:val="000000"/>
              </w:rPr>
              <w:t>199.7</w:t>
            </w:r>
          </w:p>
        </w:tc>
      </w:tr>
      <w:tr w:rsidR="00000000">
        <w:tblPrEx>
          <w:tblCellMar>
            <w:top w:w="0" w:type="dxa"/>
            <w:bottom w:w="0" w:type="dxa"/>
          </w:tblCellMar>
        </w:tblPrEx>
        <w:tc>
          <w:tcPr>
            <w:tcW w:w="4980" w:type="dxa"/>
          </w:tcPr>
          <w:p w:rsidR="00000000" w:rsidRDefault="001F233B">
            <w:pPr>
              <w:pStyle w:val="Tabletext"/>
            </w:pPr>
          </w:p>
        </w:tc>
        <w:tc>
          <w:tcPr>
            <w:tcW w:w="1080" w:type="dxa"/>
          </w:tcPr>
          <w:p w:rsidR="00000000" w:rsidRDefault="001F233B">
            <w:pPr>
              <w:pStyle w:val="TableofFigures"/>
              <w:rPr>
                <w:sz w:val="8"/>
              </w:rPr>
            </w:pPr>
          </w:p>
        </w:tc>
        <w:tc>
          <w:tcPr>
            <w:tcW w:w="990" w:type="dxa"/>
          </w:tcPr>
          <w:p w:rsidR="00000000" w:rsidRDefault="001F233B">
            <w:pPr>
              <w:pStyle w:val="TableofFigures"/>
              <w:rPr>
                <w:sz w:val="8"/>
              </w:rPr>
            </w:pPr>
          </w:p>
        </w:tc>
      </w:tr>
      <w:tr w:rsidR="00000000">
        <w:tblPrEx>
          <w:tblCellMar>
            <w:top w:w="0" w:type="dxa"/>
            <w:bottom w:w="0" w:type="dxa"/>
          </w:tblCellMar>
        </w:tblPrEx>
        <w:trPr>
          <w:trHeight w:val="247"/>
        </w:trPr>
        <w:tc>
          <w:tcPr>
            <w:tcW w:w="4980" w:type="dxa"/>
          </w:tcPr>
          <w:p w:rsidR="00000000" w:rsidRDefault="001F233B">
            <w:pPr>
              <w:pStyle w:val="Tabletext"/>
              <w:rPr>
                <w:b/>
              </w:rPr>
            </w:pPr>
            <w:r>
              <w:rPr>
                <w:b/>
              </w:rPr>
              <w:t>Receipts</w:t>
            </w:r>
          </w:p>
        </w:tc>
        <w:tc>
          <w:tcPr>
            <w:tcW w:w="1080" w:type="dxa"/>
          </w:tcPr>
          <w:p w:rsidR="00000000" w:rsidRDefault="001F233B">
            <w:pPr>
              <w:pStyle w:val="TableofFigures"/>
            </w:pPr>
          </w:p>
        </w:tc>
        <w:tc>
          <w:tcPr>
            <w:tcW w:w="990" w:type="dxa"/>
          </w:tcPr>
          <w:p w:rsidR="00000000" w:rsidRDefault="001F233B">
            <w:pPr>
              <w:pStyle w:val="TableofFigures"/>
            </w:pPr>
          </w:p>
        </w:tc>
      </w:tr>
      <w:tr w:rsidR="00000000">
        <w:tblPrEx>
          <w:tblCellMar>
            <w:top w:w="0" w:type="dxa"/>
            <w:bottom w:w="0" w:type="dxa"/>
          </w:tblCellMar>
        </w:tblPrEx>
        <w:tc>
          <w:tcPr>
            <w:tcW w:w="4980" w:type="dxa"/>
          </w:tcPr>
          <w:p w:rsidR="00000000" w:rsidRDefault="001F233B">
            <w:pPr>
              <w:pStyle w:val="Tabletext"/>
            </w:pPr>
          </w:p>
        </w:tc>
        <w:tc>
          <w:tcPr>
            <w:tcW w:w="1080" w:type="dxa"/>
          </w:tcPr>
          <w:p w:rsidR="00000000" w:rsidRDefault="001F233B">
            <w:pPr>
              <w:pStyle w:val="TableofFigures"/>
              <w:rPr>
                <w:sz w:val="8"/>
              </w:rPr>
            </w:pPr>
          </w:p>
        </w:tc>
        <w:tc>
          <w:tcPr>
            <w:tcW w:w="990" w:type="dxa"/>
          </w:tcPr>
          <w:p w:rsidR="00000000" w:rsidRDefault="001F233B">
            <w:pPr>
              <w:pStyle w:val="TableofFigures"/>
              <w:rPr>
                <w:sz w:val="8"/>
              </w:rPr>
            </w:pPr>
          </w:p>
        </w:tc>
      </w:tr>
      <w:tr w:rsidR="00000000">
        <w:tblPrEx>
          <w:tblCellMar>
            <w:top w:w="0" w:type="dxa"/>
            <w:bottom w:w="0" w:type="dxa"/>
          </w:tblCellMar>
        </w:tblPrEx>
        <w:trPr>
          <w:trHeight w:val="247"/>
        </w:trPr>
        <w:tc>
          <w:tcPr>
            <w:tcW w:w="4980" w:type="dxa"/>
          </w:tcPr>
          <w:p w:rsidR="00000000" w:rsidRDefault="001F233B">
            <w:pPr>
              <w:pStyle w:val="Tabletext"/>
            </w:pPr>
            <w:r>
              <w:t>Power Net Victoria</w:t>
            </w:r>
            <w:r>
              <w:fldChar w:fldCharType="begin"/>
            </w:r>
            <w:r>
              <w:instrText>xe "Power Net Victoria"</w:instrText>
            </w:r>
            <w:r>
              <w:fldChar w:fldCharType="end"/>
            </w:r>
          </w:p>
        </w:tc>
        <w:tc>
          <w:tcPr>
            <w:tcW w:w="1080" w:type="dxa"/>
          </w:tcPr>
          <w:p w:rsidR="00000000" w:rsidRDefault="001F233B">
            <w:pPr>
              <w:pStyle w:val="TableofFigures"/>
              <w:rPr>
                <w:color w:val="000000"/>
              </w:rPr>
            </w:pPr>
            <w:r>
              <w:t xml:space="preserve"> </w:t>
            </w:r>
            <w:r>
              <w:rPr>
                <w:color w:val="000000"/>
              </w:rPr>
              <w:t>0.0</w:t>
            </w:r>
          </w:p>
        </w:tc>
        <w:tc>
          <w:tcPr>
            <w:tcW w:w="990" w:type="dxa"/>
          </w:tcPr>
          <w:p w:rsidR="00000000" w:rsidRDefault="001F233B">
            <w:pPr>
              <w:pStyle w:val="TableofFigures"/>
              <w:rPr>
                <w:color w:val="000000"/>
              </w:rPr>
            </w:pPr>
            <w:r>
              <w:t>1</w:t>
            </w:r>
            <w:r>
              <w:rPr>
                <w:color w:val="000000"/>
              </w:rPr>
              <w:t xml:space="preserve"> 518.2</w:t>
            </w:r>
          </w:p>
        </w:tc>
      </w:tr>
      <w:tr w:rsidR="00000000">
        <w:tblPrEx>
          <w:tblCellMar>
            <w:top w:w="0" w:type="dxa"/>
            <w:bottom w:w="0" w:type="dxa"/>
          </w:tblCellMar>
        </w:tblPrEx>
        <w:trPr>
          <w:trHeight w:val="247"/>
        </w:trPr>
        <w:tc>
          <w:tcPr>
            <w:tcW w:w="4980" w:type="dxa"/>
          </w:tcPr>
          <w:p w:rsidR="00000000" w:rsidRDefault="001F233B">
            <w:pPr>
              <w:pStyle w:val="Tabletext"/>
            </w:pPr>
            <w:r>
              <w:t>Southern Hydro</w:t>
            </w:r>
            <w:r>
              <w:fldChar w:fldCharType="begin"/>
            </w:r>
            <w:r>
              <w:instrText>xe "Southern Hydro"</w:instrText>
            </w:r>
            <w:r>
              <w:fldChar w:fldCharType="end"/>
            </w:r>
          </w:p>
        </w:tc>
        <w:tc>
          <w:tcPr>
            <w:tcW w:w="1080" w:type="dxa"/>
            <w:tcBorders>
              <w:bottom w:val="single" w:sz="6" w:space="0" w:color="auto"/>
            </w:tcBorders>
          </w:tcPr>
          <w:p w:rsidR="00000000" w:rsidRDefault="001F233B">
            <w:pPr>
              <w:pStyle w:val="TableofFigures"/>
              <w:rPr>
                <w:color w:val="000000"/>
              </w:rPr>
            </w:pPr>
            <w:r>
              <w:t xml:space="preserve"> </w:t>
            </w:r>
            <w:r>
              <w:rPr>
                <w:color w:val="000000"/>
              </w:rPr>
              <w:t>0.0</w:t>
            </w:r>
          </w:p>
        </w:tc>
        <w:tc>
          <w:tcPr>
            <w:tcW w:w="990" w:type="dxa"/>
          </w:tcPr>
          <w:p w:rsidR="00000000" w:rsidRDefault="001F233B">
            <w:pPr>
              <w:pStyle w:val="TableofFigures"/>
              <w:rPr>
                <w:color w:val="000000"/>
              </w:rPr>
            </w:pPr>
            <w:r>
              <w:t xml:space="preserve"> </w:t>
            </w:r>
            <w:r>
              <w:rPr>
                <w:color w:val="000000"/>
              </w:rPr>
              <w:t>155.1</w:t>
            </w:r>
          </w:p>
        </w:tc>
      </w:tr>
      <w:tr w:rsidR="00000000">
        <w:tblPrEx>
          <w:tblCellMar>
            <w:top w:w="0" w:type="dxa"/>
            <w:bottom w:w="0" w:type="dxa"/>
          </w:tblCellMar>
        </w:tblPrEx>
        <w:trPr>
          <w:trHeight w:val="247"/>
        </w:trPr>
        <w:tc>
          <w:tcPr>
            <w:tcW w:w="4980" w:type="dxa"/>
          </w:tcPr>
          <w:p w:rsidR="00000000" w:rsidRDefault="001F233B">
            <w:pPr>
              <w:pStyle w:val="Tabletext"/>
              <w:rPr>
                <w:b/>
              </w:rPr>
            </w:pPr>
            <w:r>
              <w:rPr>
                <w:b/>
              </w:rPr>
              <w:t>Total Receipts</w:t>
            </w:r>
          </w:p>
        </w:tc>
        <w:tc>
          <w:tcPr>
            <w:tcW w:w="1080" w:type="dxa"/>
            <w:tcBorders>
              <w:top w:val="single" w:sz="6" w:space="0" w:color="auto"/>
              <w:bottom w:val="single" w:sz="6" w:space="0" w:color="auto"/>
            </w:tcBorders>
          </w:tcPr>
          <w:p w:rsidR="00000000" w:rsidRDefault="001F233B">
            <w:pPr>
              <w:pStyle w:val="TableofFigures"/>
              <w:rPr>
                <w:color w:val="000000"/>
              </w:rPr>
            </w:pPr>
            <w:r>
              <w:rPr>
                <w:b/>
              </w:rPr>
              <w:t xml:space="preserve"> </w:t>
            </w:r>
            <w:r>
              <w:rPr>
                <w:color w:val="000000"/>
              </w:rPr>
              <w:t>0.0</w:t>
            </w:r>
          </w:p>
        </w:tc>
        <w:tc>
          <w:tcPr>
            <w:tcW w:w="990" w:type="dxa"/>
            <w:tcBorders>
              <w:top w:val="single" w:sz="6" w:space="0" w:color="auto"/>
              <w:bottom w:val="single" w:sz="6" w:space="0" w:color="auto"/>
            </w:tcBorders>
          </w:tcPr>
          <w:p w:rsidR="00000000" w:rsidRDefault="001F233B">
            <w:pPr>
              <w:pStyle w:val="TableofFigures"/>
              <w:rPr>
                <w:color w:val="000000"/>
              </w:rPr>
            </w:pPr>
            <w:r>
              <w:t>1</w:t>
            </w:r>
            <w:r>
              <w:rPr>
                <w:color w:val="000000"/>
              </w:rPr>
              <w:t xml:space="preserve"> 673.2</w:t>
            </w:r>
          </w:p>
        </w:tc>
      </w:tr>
      <w:tr w:rsidR="00000000">
        <w:tblPrEx>
          <w:tblCellMar>
            <w:top w:w="0" w:type="dxa"/>
            <w:bottom w:w="0" w:type="dxa"/>
          </w:tblCellMar>
        </w:tblPrEx>
        <w:tc>
          <w:tcPr>
            <w:tcW w:w="4980" w:type="dxa"/>
          </w:tcPr>
          <w:p w:rsidR="00000000" w:rsidRDefault="001F233B">
            <w:pPr>
              <w:pStyle w:val="Tabletext"/>
            </w:pPr>
          </w:p>
        </w:tc>
        <w:tc>
          <w:tcPr>
            <w:tcW w:w="1080" w:type="dxa"/>
          </w:tcPr>
          <w:p w:rsidR="00000000" w:rsidRDefault="001F233B">
            <w:pPr>
              <w:pStyle w:val="TableofFigures"/>
              <w:rPr>
                <w:sz w:val="8"/>
              </w:rPr>
            </w:pPr>
          </w:p>
        </w:tc>
        <w:tc>
          <w:tcPr>
            <w:tcW w:w="990" w:type="dxa"/>
          </w:tcPr>
          <w:p w:rsidR="00000000" w:rsidRDefault="001F233B">
            <w:pPr>
              <w:pStyle w:val="TableofFigures"/>
              <w:rPr>
                <w:sz w:val="8"/>
              </w:rPr>
            </w:pPr>
          </w:p>
        </w:tc>
      </w:tr>
      <w:tr w:rsidR="00000000">
        <w:tblPrEx>
          <w:tblCellMar>
            <w:top w:w="0" w:type="dxa"/>
            <w:bottom w:w="0" w:type="dxa"/>
          </w:tblCellMar>
        </w:tblPrEx>
        <w:trPr>
          <w:trHeight w:val="262"/>
        </w:trPr>
        <w:tc>
          <w:tcPr>
            <w:tcW w:w="4980" w:type="dxa"/>
            <w:tcBorders>
              <w:bottom w:val="single" w:sz="12" w:space="0" w:color="auto"/>
            </w:tcBorders>
          </w:tcPr>
          <w:p w:rsidR="00000000" w:rsidRDefault="001F233B">
            <w:pPr>
              <w:pStyle w:val="Tabletext"/>
              <w:rPr>
                <w:b/>
              </w:rPr>
            </w:pPr>
            <w:r>
              <w:rPr>
                <w:b/>
              </w:rPr>
              <w:t>Net proceeds of privatisations</w:t>
            </w:r>
          </w:p>
        </w:tc>
        <w:tc>
          <w:tcPr>
            <w:tcW w:w="1080" w:type="dxa"/>
            <w:tcBorders>
              <w:bottom w:val="single" w:sz="12" w:space="0" w:color="auto"/>
            </w:tcBorders>
          </w:tcPr>
          <w:p w:rsidR="00000000" w:rsidRDefault="001F233B">
            <w:pPr>
              <w:pStyle w:val="TableofFigures"/>
              <w:rPr>
                <w:color w:val="000000"/>
              </w:rPr>
            </w:pPr>
            <w:r>
              <w:rPr>
                <w:b/>
              </w:rPr>
              <w:t xml:space="preserve"> </w:t>
            </w:r>
            <w:r>
              <w:rPr>
                <w:color w:val="000000"/>
              </w:rPr>
              <w:t>0.0</w:t>
            </w:r>
          </w:p>
        </w:tc>
        <w:tc>
          <w:tcPr>
            <w:tcW w:w="990" w:type="dxa"/>
            <w:tcBorders>
              <w:bottom w:val="single" w:sz="12" w:space="0" w:color="auto"/>
            </w:tcBorders>
          </w:tcPr>
          <w:p w:rsidR="00000000" w:rsidRDefault="001F233B">
            <w:pPr>
              <w:pStyle w:val="TableofFigures"/>
              <w:rPr>
                <w:color w:val="000000"/>
              </w:rPr>
            </w:pPr>
            <w:r>
              <w:t>1</w:t>
            </w:r>
            <w:r>
              <w:rPr>
                <w:color w:val="000000"/>
              </w:rPr>
              <w:t xml:space="preserve"> 873.0</w:t>
            </w:r>
          </w:p>
        </w:tc>
      </w:tr>
    </w:tbl>
    <w:p w:rsidR="00000000" w:rsidRDefault="001F233B">
      <w:pPr>
        <w:pStyle w:val="Source"/>
      </w:pPr>
      <w:r>
        <w:t>Source: Department of Treasury and Finance.</w:t>
      </w:r>
    </w:p>
    <w:p w:rsidR="00000000" w:rsidRDefault="001F233B">
      <w:r>
        <w:t xml:space="preserve">In line with Government policy, the direct proceeds </w:t>
      </w:r>
      <w:r>
        <w:t>of privatisations are to be used to reduce net State debt and other liabilities. Privatisation</w:t>
      </w:r>
      <w:r>
        <w:fldChar w:fldCharType="begin"/>
      </w:r>
      <w:r>
        <w:instrText>xe "Privatisation"</w:instrText>
      </w:r>
      <w:r>
        <w:fldChar w:fldCharType="end"/>
      </w:r>
      <w:r>
        <w:t xml:space="preserve"> proceeds and other net financing results, will reduce budget sector debt by an estimated $1.9 billion to $8.7 billion (6.2 per cent of GSP</w:t>
      </w:r>
      <w:r>
        <w:fldChar w:fldCharType="begin"/>
      </w:r>
      <w:r>
        <w:instrText>xe "Economy:Gross State Products (GSP)"</w:instrText>
      </w:r>
      <w:r>
        <w:fldChar w:fldCharType="end"/>
      </w:r>
      <w:r>
        <w:t>) by 30 June 1998, and public sector debt will decline by an estimated $3.2 billion to $11.1 billion (7.9 per cent of GSP). Further details are provided in Table 6.2 of Chapter 6.</w:t>
      </w:r>
    </w:p>
    <w:p w:rsidR="00000000" w:rsidRDefault="001F233B">
      <w:pPr>
        <w:pStyle w:val="Heading2"/>
      </w:pPr>
      <w:bookmarkStart w:id="44" w:name="_Toc417119824"/>
      <w:r>
        <w:br w:type="page"/>
      </w:r>
      <w:bookmarkStart w:id="45" w:name="_Toc417552076"/>
      <w:r>
        <w:lastRenderedPageBreak/>
        <w:t>1998</w:t>
      </w:r>
      <w:r>
        <w:noBreakHyphen/>
        <w:t>99 Budget estimates</w:t>
      </w:r>
      <w:bookmarkEnd w:id="44"/>
      <w:bookmarkEnd w:id="45"/>
    </w:p>
    <w:p w:rsidR="00000000" w:rsidRDefault="001F233B">
      <w:r>
        <w:t>The 1998</w:t>
      </w:r>
      <w:r>
        <w:noBreakHyphen/>
        <w:t xml:space="preserve">99 </w:t>
      </w:r>
      <w:r>
        <w:t>Budget position</w:t>
      </w:r>
      <w:r>
        <w:fldChar w:fldCharType="begin"/>
      </w:r>
      <w:r>
        <w:instrText>xe "Budget:Position"</w:instrText>
      </w:r>
      <w:r>
        <w:fldChar w:fldCharType="end"/>
      </w:r>
      <w:r>
        <w:t xml:space="preserve"> and outlook discussed in this Chapter take account of Government decisions impacting on both revenue and expenses. Table 3.4 compares the forecast 1998</w:t>
      </w:r>
      <w:r>
        <w:noBreakHyphen/>
        <w:t>99 operating surplus</w:t>
      </w:r>
      <w:r>
        <w:fldChar w:fldCharType="begin"/>
      </w:r>
      <w:r>
        <w:instrText>xe "Operating surplus"</w:instrText>
      </w:r>
      <w:r>
        <w:fldChar w:fldCharType="end"/>
      </w:r>
      <w:r>
        <w:t xml:space="preserve"> with 1997</w:t>
      </w:r>
      <w:r>
        <w:noBreakHyphen/>
        <w:t>98 revised estimates.</w:t>
      </w:r>
    </w:p>
    <w:p w:rsidR="00000000" w:rsidRDefault="001F233B">
      <w:r>
        <w:t>The operating surplus</w:t>
      </w:r>
      <w:r>
        <w:fldChar w:fldCharType="begin"/>
      </w:r>
      <w:r>
        <w:instrText>xe "Operating surplus"</w:instrText>
      </w:r>
      <w:r>
        <w:fldChar w:fldCharType="end"/>
      </w:r>
      <w:r>
        <w:t>, before abnormals, for 1998</w:t>
      </w:r>
      <w:r>
        <w:noBreakHyphen/>
        <w:t>99 is forecast to be $767.3 million or $385.7 million lower than the revised estimate for 1997</w:t>
      </w:r>
      <w:r>
        <w:noBreakHyphen/>
        <w:t xml:space="preserve">98. </w:t>
      </w:r>
    </w:p>
    <w:p w:rsidR="00000000" w:rsidRDefault="001F233B">
      <w:r>
        <w:t>A number of factors impact on individual revenue and expense items (the</w:t>
      </w:r>
      <w:r>
        <w:t>se are explained in some detail below). However, in essence the reduction in the 1998</w:t>
      </w:r>
      <w:r>
        <w:noBreakHyphen/>
        <w:t>99 operating surplus</w:t>
      </w:r>
      <w:r>
        <w:fldChar w:fldCharType="begin"/>
      </w:r>
      <w:r>
        <w:instrText>xe "Operating surplus"</w:instrText>
      </w:r>
      <w:r>
        <w:fldChar w:fldCharType="end"/>
      </w:r>
      <w:r>
        <w:t xml:space="preserve"> before abnormals compared to the revised 1997</w:t>
      </w:r>
      <w:r>
        <w:noBreakHyphen/>
        <w:t>98 estimate can be accounted for by the Government’s major policy decisions affecting revenues and service delivery</w:t>
      </w:r>
      <w:r>
        <w:fldChar w:fldCharType="begin"/>
      </w:r>
      <w:r>
        <w:instrText>xe "Service delivery"</w:instrText>
      </w:r>
      <w:r>
        <w:fldChar w:fldCharType="end"/>
      </w:r>
      <w:r>
        <w:t>. These comprise the service delivery initiatives</w:t>
      </w:r>
      <w:r>
        <w:fldChar w:fldCharType="begin"/>
      </w:r>
      <w:r>
        <w:instrText>xe "Service delivery:Service delivery initiatives"</w:instrText>
      </w:r>
      <w:r>
        <w:fldChar w:fldCharType="end"/>
      </w:r>
      <w:r>
        <w:fldChar w:fldCharType="begin"/>
      </w:r>
      <w:r>
        <w:instrText>xe "Service delivery initiatives"</w:instrText>
      </w:r>
      <w:r>
        <w:fldChar w:fldCharType="end"/>
      </w:r>
      <w:r>
        <w:t xml:space="preserve"> announced in this Budget worth a net $108 million in 1998</w:t>
      </w:r>
      <w:r>
        <w:noBreakHyphen/>
        <w:t>99</w:t>
      </w:r>
      <w:r>
        <w:t>, the tax relief measures worth $125 million in 1998</w:t>
      </w:r>
      <w:r>
        <w:noBreakHyphen/>
        <w:t>99 and the Winter Power Bonus</w:t>
      </w:r>
      <w:r>
        <w:fldChar w:fldCharType="begin"/>
      </w:r>
      <w:r>
        <w:instrText>xe "Winter power bonus"</w:instrText>
      </w:r>
      <w:r>
        <w:fldChar w:fldCharType="end"/>
      </w:r>
      <w:r>
        <w:t xml:space="preserve"> worth $134 million in 1998</w:t>
      </w:r>
      <w:r>
        <w:noBreakHyphen/>
        <w:t xml:space="preserve">99. </w:t>
      </w:r>
    </w:p>
    <w:p w:rsidR="00000000" w:rsidRDefault="001F233B">
      <w:r>
        <w:t>Total operating revenue is expected to increase by 1.6 per cent. The tax relief provided in this Budget restrains growth in taxation revenue. The abolition of the public authority contribution</w:t>
      </w:r>
      <w:r>
        <w:fldChar w:fldCharType="begin"/>
      </w:r>
      <w:r>
        <w:instrText>xe "Public authority contribution"</w:instrText>
      </w:r>
      <w:r>
        <w:fldChar w:fldCharType="end"/>
      </w:r>
      <w:r>
        <w:t xml:space="preserve"> from December 1997, resulting in a $201.4 million reduction in taxation receipts and a related increase in public authority income, affects the</w:t>
      </w:r>
      <w:r>
        <w:t xml:space="preserve"> analysis of individual revenue components. Other revenues decline by $63.2 million influenced by the non-recurrence of one</w:t>
      </w:r>
      <w:r>
        <w:noBreakHyphen/>
        <w:t>off revenues associated with the transfer of former SECV</w:t>
      </w:r>
      <w:r>
        <w:fldChar w:fldCharType="begin"/>
      </w:r>
      <w:r>
        <w:instrText>xe "State Electricity Commission of Victoria"</w:instrText>
      </w:r>
      <w:r>
        <w:fldChar w:fldCharType="end"/>
      </w:r>
      <w:r>
        <w:t xml:space="preserve"> land to the budget sector following the sale of Southern Hydro</w:t>
      </w:r>
      <w:r>
        <w:fldChar w:fldCharType="begin"/>
      </w:r>
      <w:r>
        <w:instrText>xe "Southern Hydro"</w:instrText>
      </w:r>
      <w:r>
        <w:fldChar w:fldCharType="end"/>
      </w:r>
      <w:r>
        <w:t xml:space="preserve">. More details are provided in Chapter 5, </w:t>
      </w:r>
      <w:r>
        <w:rPr>
          <w:i/>
        </w:rPr>
        <w:t>Revenue</w:t>
      </w:r>
      <w:r>
        <w:t>.</w:t>
      </w:r>
    </w:p>
    <w:p w:rsidR="00000000" w:rsidRDefault="001F233B">
      <w:r>
        <w:t>The rise in own</w:t>
      </w:r>
      <w:r>
        <w:noBreakHyphen/>
        <w:t>purpose current grants is effectively only 2.0 per cent after allowance is made for the decline in the State fiscal contribution to th</w:t>
      </w:r>
      <w:r>
        <w:t>e Commonwealth Government from $158.2 million in 1997</w:t>
      </w:r>
      <w:r>
        <w:noBreakHyphen/>
        <w:t>98 to $74.4 million in 1998</w:t>
      </w:r>
      <w:r>
        <w:noBreakHyphen/>
        <w:t xml:space="preserve">99. </w:t>
      </w:r>
    </w:p>
    <w:p w:rsidR="00000000" w:rsidRDefault="001F233B">
      <w:pPr>
        <w:keepNext/>
      </w:pPr>
      <w:r>
        <w:t>Total operating expenses for 1998</w:t>
      </w:r>
      <w:r>
        <w:noBreakHyphen/>
        <w:t>99 are expected to rise to $18 187.8 million, an increase of 3.9 per cent over the revised estimate for 1997</w:t>
      </w:r>
      <w:r>
        <w:noBreakHyphen/>
        <w:t>98. This includes an increase in gross operating expenditure of 4.6 per cent or $619.1 million reflecting:</w:t>
      </w:r>
    </w:p>
    <w:p w:rsidR="00000000" w:rsidRDefault="001F233B" w:rsidP="001F233B">
      <w:pPr>
        <w:pStyle w:val="BulletText"/>
        <w:keepNext/>
        <w:numPr>
          <w:ilvl w:val="0"/>
          <w:numId w:val="1"/>
        </w:numPr>
      </w:pPr>
      <w:r>
        <w:t>a 3.6 per cent increase in depreciation expense in line with an increase in the asset base</w:t>
      </w:r>
      <w:r>
        <w:fldChar w:fldCharType="begin"/>
      </w:r>
      <w:r>
        <w:instrText>xe "Asset base"</w:instrText>
      </w:r>
      <w:r>
        <w:fldChar w:fldCharType="end"/>
      </w:r>
      <w:r>
        <w:t xml:space="preserve">; </w:t>
      </w:r>
    </w:p>
    <w:p w:rsidR="00000000" w:rsidRDefault="001F233B" w:rsidP="001F233B">
      <w:pPr>
        <w:pStyle w:val="BulletText"/>
        <w:numPr>
          <w:ilvl w:val="0"/>
          <w:numId w:val="1"/>
        </w:numPr>
      </w:pPr>
      <w:r>
        <w:t>an 8.1 per cent increase in superannuation expenses, which is fas</w:t>
      </w:r>
      <w:r>
        <w:t xml:space="preserve">ter than growth in employee entitlements and other operating expenses, reflecting </w:t>
      </w:r>
      <w:r>
        <w:lastRenderedPageBreak/>
        <w:t xml:space="preserve">an increase in the minimum superannuation contribution rate from 6 to 7 per cent under the Superannuation Guarantee Charge arrangements. </w:t>
      </w:r>
    </w:p>
    <w:p w:rsidR="00000000" w:rsidRDefault="001F233B">
      <w:pPr>
        <w:pStyle w:val="Tableheading"/>
        <w:spacing w:before="160" w:after="0"/>
      </w:pPr>
      <w:bookmarkStart w:id="46" w:name="_Toc417552741"/>
      <w:bookmarkStart w:id="47" w:name="_Toc417119982"/>
      <w:r>
        <w:t>Table 3.4: 1998</w:t>
      </w:r>
      <w:r>
        <w:noBreakHyphen/>
        <w:t>99 Budget Operating Statement</w:t>
      </w:r>
      <w:bookmarkEnd w:id="46"/>
      <w:r>
        <w:fldChar w:fldCharType="begin"/>
      </w:r>
      <w:r>
        <w:instrText>xe "Operating statement"</w:instrText>
      </w:r>
      <w:r>
        <w:fldChar w:fldCharType="end"/>
      </w:r>
      <w:r>
        <w:t xml:space="preserve"> </w:t>
      </w:r>
      <w:bookmarkEnd w:id="47"/>
    </w:p>
    <w:p w:rsidR="00000000" w:rsidRDefault="001F233B">
      <w:pPr>
        <w:spacing w:after="0"/>
        <w:jc w:val="center"/>
        <w:rPr>
          <w:rFonts w:ascii="Arial" w:hAnsi="Arial"/>
          <w:i/>
          <w:noProof/>
          <w:sz w:val="18"/>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58"/>
        <w:gridCol w:w="3892"/>
        <w:gridCol w:w="990"/>
        <w:gridCol w:w="1054"/>
        <w:gridCol w:w="26"/>
        <w:gridCol w:w="997"/>
      </w:tblGrid>
      <w:tr w:rsidR="00000000">
        <w:tblPrEx>
          <w:tblCellMar>
            <w:top w:w="0" w:type="dxa"/>
            <w:bottom w:w="0" w:type="dxa"/>
          </w:tblCellMar>
        </w:tblPrEx>
        <w:trPr>
          <w:trHeight w:hRule="exact" w:val="240"/>
        </w:trPr>
        <w:tc>
          <w:tcPr>
            <w:tcW w:w="458" w:type="dxa"/>
            <w:tcBorders>
              <w:top w:val="single" w:sz="6" w:space="0" w:color="auto"/>
            </w:tcBorders>
          </w:tcPr>
          <w:p w:rsidR="00000000" w:rsidRDefault="001F233B">
            <w:pPr>
              <w:rPr>
                <w:rFonts w:ascii="Arial" w:hAnsi="Arial"/>
                <w:i/>
                <w:sz w:val="20"/>
              </w:rPr>
            </w:pPr>
          </w:p>
        </w:tc>
        <w:tc>
          <w:tcPr>
            <w:tcW w:w="3892" w:type="dxa"/>
            <w:tcBorders>
              <w:top w:val="single" w:sz="6" w:space="0" w:color="auto"/>
            </w:tcBorders>
          </w:tcPr>
          <w:p w:rsidR="00000000" w:rsidRDefault="001F233B">
            <w:pPr>
              <w:pStyle w:val="Tabletext"/>
              <w:rPr>
                <w:i/>
              </w:rPr>
            </w:pPr>
          </w:p>
        </w:tc>
        <w:tc>
          <w:tcPr>
            <w:tcW w:w="990" w:type="dxa"/>
            <w:tcBorders>
              <w:top w:val="single" w:sz="6" w:space="0" w:color="auto"/>
            </w:tcBorders>
          </w:tcPr>
          <w:p w:rsidR="00000000" w:rsidRDefault="001F233B">
            <w:pPr>
              <w:pStyle w:val="Tabletextheading"/>
              <w:rPr>
                <w:b w:val="0"/>
                <w:i/>
              </w:rPr>
            </w:pPr>
            <w:r>
              <w:rPr>
                <w:b w:val="0"/>
                <w:i/>
              </w:rPr>
              <w:t>1997-98</w:t>
            </w:r>
          </w:p>
        </w:tc>
        <w:tc>
          <w:tcPr>
            <w:tcW w:w="1054" w:type="dxa"/>
            <w:tcBorders>
              <w:top w:val="single" w:sz="6" w:space="0" w:color="auto"/>
            </w:tcBorders>
          </w:tcPr>
          <w:p w:rsidR="00000000" w:rsidRDefault="001F233B">
            <w:pPr>
              <w:pStyle w:val="Tabletextheading"/>
              <w:rPr>
                <w:b w:val="0"/>
                <w:i/>
              </w:rPr>
            </w:pPr>
            <w:r>
              <w:rPr>
                <w:b w:val="0"/>
                <w:i/>
              </w:rPr>
              <w:t>1998-99</w:t>
            </w:r>
          </w:p>
        </w:tc>
        <w:tc>
          <w:tcPr>
            <w:tcW w:w="1022" w:type="dxa"/>
            <w:gridSpan w:val="2"/>
            <w:tcBorders>
              <w:top w:val="single" w:sz="6" w:space="0" w:color="auto"/>
            </w:tcBorders>
          </w:tcPr>
          <w:p w:rsidR="00000000" w:rsidRDefault="001F233B">
            <w:pPr>
              <w:pStyle w:val="Tabletextheading"/>
              <w:rPr>
                <w:b w:val="0"/>
                <w:i/>
              </w:rPr>
            </w:pPr>
          </w:p>
        </w:tc>
      </w:tr>
      <w:tr w:rsidR="00000000">
        <w:tblPrEx>
          <w:tblCellMar>
            <w:top w:w="0" w:type="dxa"/>
            <w:bottom w:w="0" w:type="dxa"/>
          </w:tblCellMar>
        </w:tblPrEx>
        <w:trPr>
          <w:trHeight w:hRule="exact" w:val="240"/>
        </w:trPr>
        <w:tc>
          <w:tcPr>
            <w:tcW w:w="458" w:type="dxa"/>
            <w:tcBorders>
              <w:bottom w:val="single" w:sz="6" w:space="0" w:color="auto"/>
            </w:tcBorders>
          </w:tcPr>
          <w:p w:rsidR="00000000" w:rsidRDefault="001F233B">
            <w:pPr>
              <w:rPr>
                <w:i/>
              </w:rPr>
            </w:pPr>
          </w:p>
        </w:tc>
        <w:tc>
          <w:tcPr>
            <w:tcW w:w="3892" w:type="dxa"/>
            <w:tcBorders>
              <w:bottom w:val="single" w:sz="6" w:space="0" w:color="auto"/>
            </w:tcBorders>
          </w:tcPr>
          <w:p w:rsidR="00000000" w:rsidRDefault="001F233B">
            <w:pPr>
              <w:pStyle w:val="Tabletext"/>
              <w:rPr>
                <w:i/>
              </w:rPr>
            </w:pPr>
          </w:p>
        </w:tc>
        <w:tc>
          <w:tcPr>
            <w:tcW w:w="990" w:type="dxa"/>
            <w:tcBorders>
              <w:bottom w:val="single" w:sz="6" w:space="0" w:color="auto"/>
            </w:tcBorders>
          </w:tcPr>
          <w:p w:rsidR="00000000" w:rsidRDefault="001F233B">
            <w:pPr>
              <w:pStyle w:val="Tabletextheading"/>
              <w:rPr>
                <w:b w:val="0"/>
                <w:i/>
              </w:rPr>
            </w:pPr>
            <w:r>
              <w:rPr>
                <w:b w:val="0"/>
                <w:i/>
              </w:rPr>
              <w:t>Revised</w:t>
            </w:r>
          </w:p>
        </w:tc>
        <w:tc>
          <w:tcPr>
            <w:tcW w:w="1054" w:type="dxa"/>
            <w:tcBorders>
              <w:bottom w:val="single" w:sz="6" w:space="0" w:color="auto"/>
            </w:tcBorders>
          </w:tcPr>
          <w:p w:rsidR="00000000" w:rsidRDefault="001F233B">
            <w:pPr>
              <w:pStyle w:val="Tabletextheading"/>
              <w:rPr>
                <w:b w:val="0"/>
                <w:i/>
              </w:rPr>
            </w:pPr>
            <w:r>
              <w:rPr>
                <w:b w:val="0"/>
                <w:i/>
              </w:rPr>
              <w:t>Budget</w:t>
            </w:r>
          </w:p>
        </w:tc>
        <w:tc>
          <w:tcPr>
            <w:tcW w:w="1022" w:type="dxa"/>
            <w:gridSpan w:val="2"/>
            <w:tcBorders>
              <w:bottom w:val="single" w:sz="6" w:space="0" w:color="auto"/>
            </w:tcBorders>
          </w:tcPr>
          <w:p w:rsidR="00000000" w:rsidRDefault="001F233B">
            <w:pPr>
              <w:pStyle w:val="Tabletextheading"/>
              <w:rPr>
                <w:b w:val="0"/>
                <w:i/>
              </w:rPr>
            </w:pPr>
            <w:r>
              <w:rPr>
                <w:b w:val="0"/>
                <w:i/>
              </w:rPr>
              <w:t>change</w:t>
            </w:r>
          </w:p>
        </w:tc>
      </w:tr>
      <w:tr w:rsidR="001F233B" w:rsidTr="001F233B">
        <w:tblPrEx>
          <w:tblCellMar>
            <w:top w:w="0" w:type="dxa"/>
            <w:bottom w:w="0" w:type="dxa"/>
          </w:tblCellMar>
        </w:tblPrEx>
        <w:trPr>
          <w:trHeight w:hRule="exact" w:val="240"/>
        </w:trPr>
        <w:tc>
          <w:tcPr>
            <w:tcW w:w="4350" w:type="dxa"/>
            <w:gridSpan w:val="2"/>
          </w:tcPr>
          <w:p w:rsidR="00000000" w:rsidRDefault="001F233B">
            <w:pPr>
              <w:pStyle w:val="Tabletext"/>
              <w:rPr>
                <w:b/>
              </w:rPr>
            </w:pPr>
            <w:r>
              <w:rPr>
                <w:b/>
              </w:rPr>
              <w:t>Net Operating Result</w:t>
            </w:r>
          </w:p>
        </w:tc>
        <w:tc>
          <w:tcPr>
            <w:tcW w:w="990" w:type="dxa"/>
          </w:tcPr>
          <w:p w:rsidR="00000000" w:rsidRDefault="001F233B">
            <w:pPr>
              <w:pStyle w:val="TableofFigures"/>
            </w:pPr>
          </w:p>
        </w:tc>
        <w:tc>
          <w:tcPr>
            <w:tcW w:w="1054" w:type="dxa"/>
          </w:tcPr>
          <w:p w:rsidR="00000000" w:rsidRDefault="001F233B">
            <w:pPr>
              <w:pStyle w:val="TableofFigures"/>
            </w:pPr>
          </w:p>
        </w:tc>
        <w:tc>
          <w:tcPr>
            <w:tcW w:w="1022" w:type="dxa"/>
            <w:gridSpan w:val="2"/>
          </w:tcPr>
          <w:p w:rsidR="00000000" w:rsidRDefault="001F233B">
            <w:pPr>
              <w:pStyle w:val="TableofFigures"/>
            </w:pP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rPr>
                <w:i/>
                <w:sz w:val="16"/>
                <w:vertAlign w:val="superscript"/>
              </w:rPr>
            </w:pPr>
            <w:r>
              <w:t xml:space="preserve">Taxes </w:t>
            </w:r>
            <w:r>
              <w:rPr>
                <w:i/>
                <w:sz w:val="16"/>
                <w:vertAlign w:val="superscript"/>
              </w:rPr>
              <w:t>(a)</w:t>
            </w:r>
          </w:p>
        </w:tc>
        <w:tc>
          <w:tcPr>
            <w:tcW w:w="990" w:type="dxa"/>
          </w:tcPr>
          <w:p w:rsidR="00000000" w:rsidRDefault="001F233B">
            <w:pPr>
              <w:pStyle w:val="TableofFigures"/>
              <w:rPr>
                <w:color w:val="000000"/>
              </w:rPr>
            </w:pPr>
            <w:r>
              <w:t>8</w:t>
            </w:r>
            <w:r>
              <w:rPr>
                <w:color w:val="000000"/>
              </w:rPr>
              <w:t xml:space="preserve"> 316.1</w:t>
            </w:r>
          </w:p>
        </w:tc>
        <w:tc>
          <w:tcPr>
            <w:tcW w:w="1054" w:type="dxa"/>
          </w:tcPr>
          <w:p w:rsidR="00000000" w:rsidRDefault="001F233B">
            <w:pPr>
              <w:pStyle w:val="TableofFigures"/>
              <w:rPr>
                <w:color w:val="000000"/>
              </w:rPr>
            </w:pPr>
            <w:r>
              <w:t>8</w:t>
            </w:r>
            <w:r>
              <w:rPr>
                <w:color w:val="000000"/>
              </w:rPr>
              <w:t xml:space="preserve"> 483.6</w:t>
            </w:r>
          </w:p>
        </w:tc>
        <w:tc>
          <w:tcPr>
            <w:tcW w:w="1022" w:type="dxa"/>
            <w:gridSpan w:val="2"/>
          </w:tcPr>
          <w:p w:rsidR="00000000" w:rsidRDefault="001F233B">
            <w:pPr>
              <w:pStyle w:val="TableofFigures"/>
              <w:rPr>
                <w:color w:val="000000"/>
              </w:rPr>
            </w:pPr>
            <w:r>
              <w:t xml:space="preserve"> </w:t>
            </w:r>
            <w:r>
              <w:rPr>
                <w:color w:val="000000"/>
              </w:rPr>
              <w:t>167.4</w:t>
            </w: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pPr>
            <w:r>
              <w:t>Regulatory fees and fines</w:t>
            </w:r>
          </w:p>
        </w:tc>
        <w:tc>
          <w:tcPr>
            <w:tcW w:w="990" w:type="dxa"/>
          </w:tcPr>
          <w:p w:rsidR="00000000" w:rsidRDefault="001F233B">
            <w:pPr>
              <w:pStyle w:val="TableofFigures"/>
              <w:rPr>
                <w:color w:val="000000"/>
              </w:rPr>
            </w:pPr>
            <w:r>
              <w:t xml:space="preserve"> </w:t>
            </w:r>
            <w:r>
              <w:rPr>
                <w:color w:val="000000"/>
              </w:rPr>
              <w:t>233.4</w:t>
            </w:r>
          </w:p>
        </w:tc>
        <w:tc>
          <w:tcPr>
            <w:tcW w:w="1054" w:type="dxa"/>
          </w:tcPr>
          <w:p w:rsidR="00000000" w:rsidRDefault="001F233B">
            <w:pPr>
              <w:pStyle w:val="TableofFigures"/>
              <w:rPr>
                <w:color w:val="000000"/>
              </w:rPr>
            </w:pPr>
            <w:r>
              <w:t xml:space="preserve"> </w:t>
            </w:r>
            <w:r>
              <w:rPr>
                <w:color w:val="000000"/>
              </w:rPr>
              <w:t>250.5</w:t>
            </w:r>
          </w:p>
        </w:tc>
        <w:tc>
          <w:tcPr>
            <w:tcW w:w="1022" w:type="dxa"/>
            <w:gridSpan w:val="2"/>
          </w:tcPr>
          <w:p w:rsidR="00000000" w:rsidRDefault="001F233B">
            <w:pPr>
              <w:pStyle w:val="TableofFigures"/>
              <w:rPr>
                <w:color w:val="000000"/>
              </w:rPr>
            </w:pPr>
            <w:r>
              <w:t xml:space="preserve"> </w:t>
            </w:r>
            <w:r>
              <w:rPr>
                <w:color w:val="000000"/>
              </w:rPr>
              <w:t>17.1</w:t>
            </w: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pPr>
            <w:r>
              <w:t>Sales of goods and services</w:t>
            </w:r>
          </w:p>
        </w:tc>
        <w:tc>
          <w:tcPr>
            <w:tcW w:w="990" w:type="dxa"/>
          </w:tcPr>
          <w:p w:rsidR="00000000" w:rsidRDefault="001F233B">
            <w:pPr>
              <w:pStyle w:val="TableofFigures"/>
              <w:rPr>
                <w:color w:val="000000"/>
              </w:rPr>
            </w:pPr>
            <w:r>
              <w:t>1</w:t>
            </w:r>
            <w:r>
              <w:rPr>
                <w:color w:val="000000"/>
              </w:rPr>
              <w:t xml:space="preserve"> 703.3</w:t>
            </w:r>
          </w:p>
        </w:tc>
        <w:tc>
          <w:tcPr>
            <w:tcW w:w="1054" w:type="dxa"/>
          </w:tcPr>
          <w:p w:rsidR="00000000" w:rsidRDefault="001F233B">
            <w:pPr>
              <w:pStyle w:val="TableofFigures"/>
              <w:rPr>
                <w:color w:val="000000"/>
              </w:rPr>
            </w:pPr>
            <w:r>
              <w:t>1</w:t>
            </w:r>
            <w:r>
              <w:rPr>
                <w:color w:val="000000"/>
              </w:rPr>
              <w:t xml:space="preserve"> 744.8</w:t>
            </w:r>
          </w:p>
        </w:tc>
        <w:tc>
          <w:tcPr>
            <w:tcW w:w="1022" w:type="dxa"/>
            <w:gridSpan w:val="2"/>
          </w:tcPr>
          <w:p w:rsidR="00000000" w:rsidRDefault="001F233B">
            <w:pPr>
              <w:pStyle w:val="TableofFigures"/>
              <w:rPr>
                <w:color w:val="000000"/>
              </w:rPr>
            </w:pPr>
            <w:r>
              <w:t xml:space="preserve"> </w:t>
            </w:r>
            <w:r>
              <w:rPr>
                <w:color w:val="000000"/>
              </w:rPr>
              <w:t>41.5</w:t>
            </w: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rPr>
                <w:color w:val="000000"/>
              </w:rPr>
            </w:pPr>
            <w:r>
              <w:t>Pu</w:t>
            </w:r>
            <w:r>
              <w:t>blic authority income</w:t>
            </w:r>
            <w:r>
              <w:rPr>
                <w:color w:val="000000"/>
              </w:rPr>
              <w:t xml:space="preserve"> </w:t>
            </w:r>
            <w:r>
              <w:rPr>
                <w:color w:val="000000"/>
                <w:sz w:val="16"/>
                <w:vertAlign w:val="superscript"/>
              </w:rPr>
              <w:t>(a)</w:t>
            </w:r>
            <w:r>
              <w:rPr>
                <w:color w:val="000000"/>
              </w:rPr>
              <w:t xml:space="preserve"> </w:t>
            </w:r>
          </w:p>
        </w:tc>
        <w:tc>
          <w:tcPr>
            <w:tcW w:w="990" w:type="dxa"/>
          </w:tcPr>
          <w:p w:rsidR="00000000" w:rsidRDefault="001F233B">
            <w:pPr>
              <w:pStyle w:val="TableofFigures"/>
              <w:rPr>
                <w:color w:val="000000"/>
              </w:rPr>
            </w:pPr>
            <w:r>
              <w:t xml:space="preserve"> </w:t>
            </w:r>
            <w:r>
              <w:rPr>
                <w:color w:val="000000"/>
              </w:rPr>
              <w:t>944.8</w:t>
            </w:r>
          </w:p>
        </w:tc>
        <w:tc>
          <w:tcPr>
            <w:tcW w:w="1054" w:type="dxa"/>
          </w:tcPr>
          <w:p w:rsidR="00000000" w:rsidRDefault="001F233B">
            <w:pPr>
              <w:pStyle w:val="TableofFigures"/>
              <w:rPr>
                <w:color w:val="000000"/>
              </w:rPr>
            </w:pPr>
            <w:r>
              <w:t xml:space="preserve"> </w:t>
            </w:r>
            <w:r>
              <w:rPr>
                <w:color w:val="000000"/>
              </w:rPr>
              <w:t>940.5</w:t>
            </w:r>
          </w:p>
        </w:tc>
        <w:tc>
          <w:tcPr>
            <w:tcW w:w="1022" w:type="dxa"/>
            <w:gridSpan w:val="2"/>
          </w:tcPr>
          <w:p w:rsidR="00000000" w:rsidRDefault="001F233B">
            <w:pPr>
              <w:pStyle w:val="TableofFigures"/>
              <w:rPr>
                <w:color w:val="000000"/>
              </w:rPr>
            </w:pPr>
            <w:r>
              <w:t>-</w:t>
            </w:r>
            <w:r>
              <w:rPr>
                <w:color w:val="000000"/>
              </w:rPr>
              <w:t xml:space="preserve"> 4.2</w:t>
            </w: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tabs>
                <w:tab w:val="left" w:pos="1252"/>
              </w:tabs>
            </w:pPr>
            <w:r>
              <w:t>Current grants  - own purpose</w:t>
            </w:r>
          </w:p>
        </w:tc>
        <w:tc>
          <w:tcPr>
            <w:tcW w:w="990" w:type="dxa"/>
          </w:tcPr>
          <w:p w:rsidR="00000000" w:rsidRDefault="001F233B">
            <w:pPr>
              <w:pStyle w:val="TableofFigures"/>
              <w:rPr>
                <w:color w:val="000000"/>
              </w:rPr>
            </w:pPr>
            <w:r>
              <w:t>5</w:t>
            </w:r>
            <w:r>
              <w:rPr>
                <w:color w:val="000000"/>
              </w:rPr>
              <w:t xml:space="preserve"> 762.1</w:t>
            </w:r>
          </w:p>
        </w:tc>
        <w:tc>
          <w:tcPr>
            <w:tcW w:w="1054" w:type="dxa"/>
          </w:tcPr>
          <w:p w:rsidR="00000000" w:rsidRDefault="001F233B">
            <w:pPr>
              <w:pStyle w:val="TableofFigures"/>
              <w:rPr>
                <w:color w:val="000000"/>
              </w:rPr>
            </w:pPr>
            <w:r>
              <w:t>5</w:t>
            </w:r>
            <w:r>
              <w:rPr>
                <w:color w:val="000000"/>
              </w:rPr>
              <w:t xml:space="preserve"> 964.2</w:t>
            </w:r>
          </w:p>
        </w:tc>
        <w:tc>
          <w:tcPr>
            <w:tcW w:w="1022" w:type="dxa"/>
            <w:gridSpan w:val="2"/>
          </w:tcPr>
          <w:p w:rsidR="00000000" w:rsidRDefault="001F233B">
            <w:pPr>
              <w:pStyle w:val="TableofFigures"/>
              <w:rPr>
                <w:color w:val="000000"/>
              </w:rPr>
            </w:pPr>
            <w:r>
              <w:t xml:space="preserve"> </w:t>
            </w:r>
            <w:r>
              <w:rPr>
                <w:color w:val="000000"/>
              </w:rPr>
              <w:t>202.1</w:t>
            </w:r>
          </w:p>
        </w:tc>
      </w:tr>
      <w:tr w:rsidR="00000000">
        <w:tblPrEx>
          <w:tblCellMar>
            <w:top w:w="0" w:type="dxa"/>
            <w:bottom w:w="0" w:type="dxa"/>
          </w:tblCellMar>
        </w:tblPrEx>
        <w:trPr>
          <w:trHeight w:hRule="exact" w:val="240"/>
        </w:trPr>
        <w:tc>
          <w:tcPr>
            <w:tcW w:w="458" w:type="dxa"/>
          </w:tcPr>
          <w:p w:rsidR="00000000" w:rsidRDefault="001F233B">
            <w:pPr>
              <w:rPr>
                <w:rFonts w:ascii="Arial" w:hAnsi="Arial"/>
                <w:b/>
                <w:color w:val="000000"/>
                <w:sz w:val="18"/>
              </w:rPr>
            </w:pPr>
            <w:r>
              <w:t xml:space="preserve"> </w:t>
            </w:r>
          </w:p>
        </w:tc>
        <w:tc>
          <w:tcPr>
            <w:tcW w:w="3892" w:type="dxa"/>
          </w:tcPr>
          <w:p w:rsidR="00000000" w:rsidRDefault="001F233B">
            <w:pPr>
              <w:pStyle w:val="Tabletext"/>
              <w:tabs>
                <w:tab w:val="left" w:pos="1252"/>
              </w:tabs>
            </w:pPr>
            <w:r>
              <w:t xml:space="preserve">                         - for on-passing</w:t>
            </w:r>
          </w:p>
        </w:tc>
        <w:tc>
          <w:tcPr>
            <w:tcW w:w="990" w:type="dxa"/>
          </w:tcPr>
          <w:p w:rsidR="00000000" w:rsidRDefault="001F233B">
            <w:pPr>
              <w:pStyle w:val="TableofFigures"/>
              <w:rPr>
                <w:color w:val="000000"/>
              </w:rPr>
            </w:pPr>
            <w:r>
              <w:t xml:space="preserve"> </w:t>
            </w:r>
            <w:r>
              <w:rPr>
                <w:color w:val="000000"/>
              </w:rPr>
              <w:t>902.0</w:t>
            </w:r>
          </w:p>
        </w:tc>
        <w:tc>
          <w:tcPr>
            <w:tcW w:w="1054" w:type="dxa"/>
          </w:tcPr>
          <w:p w:rsidR="00000000" w:rsidRDefault="001F233B">
            <w:pPr>
              <w:pStyle w:val="TableofFigures"/>
              <w:rPr>
                <w:color w:val="000000"/>
              </w:rPr>
            </w:pPr>
            <w:r>
              <w:t xml:space="preserve"> </w:t>
            </w:r>
            <w:r>
              <w:rPr>
                <w:color w:val="000000"/>
              </w:rPr>
              <w:t>924.3</w:t>
            </w:r>
          </w:p>
        </w:tc>
        <w:tc>
          <w:tcPr>
            <w:tcW w:w="1022" w:type="dxa"/>
            <w:gridSpan w:val="2"/>
          </w:tcPr>
          <w:p w:rsidR="00000000" w:rsidRDefault="001F233B">
            <w:pPr>
              <w:pStyle w:val="TableofFigures"/>
              <w:rPr>
                <w:color w:val="000000"/>
              </w:rPr>
            </w:pPr>
            <w:r>
              <w:t xml:space="preserve"> </w:t>
            </w:r>
            <w:r>
              <w:rPr>
                <w:color w:val="000000"/>
              </w:rPr>
              <w:t>22.4</w:t>
            </w: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tabs>
                <w:tab w:val="left" w:pos="1252"/>
              </w:tabs>
            </w:pPr>
            <w:r>
              <w:t>Capital grants   - own purpose</w:t>
            </w:r>
          </w:p>
        </w:tc>
        <w:tc>
          <w:tcPr>
            <w:tcW w:w="990" w:type="dxa"/>
          </w:tcPr>
          <w:p w:rsidR="00000000" w:rsidRDefault="001F233B">
            <w:pPr>
              <w:pStyle w:val="TableofFigures"/>
              <w:rPr>
                <w:color w:val="000000"/>
              </w:rPr>
            </w:pPr>
            <w:r>
              <w:t xml:space="preserve"> </w:t>
            </w:r>
            <w:r>
              <w:rPr>
                <w:color w:val="000000"/>
              </w:rPr>
              <w:t>488.0</w:t>
            </w:r>
          </w:p>
        </w:tc>
        <w:tc>
          <w:tcPr>
            <w:tcW w:w="1054" w:type="dxa"/>
          </w:tcPr>
          <w:p w:rsidR="00000000" w:rsidRDefault="001F233B">
            <w:pPr>
              <w:pStyle w:val="TableofFigures"/>
              <w:rPr>
                <w:color w:val="000000"/>
              </w:rPr>
            </w:pPr>
            <w:r>
              <w:t xml:space="preserve"> </w:t>
            </w:r>
            <w:r>
              <w:rPr>
                <w:color w:val="000000"/>
              </w:rPr>
              <w:t>401.6</w:t>
            </w:r>
          </w:p>
        </w:tc>
        <w:tc>
          <w:tcPr>
            <w:tcW w:w="1022" w:type="dxa"/>
            <w:gridSpan w:val="2"/>
          </w:tcPr>
          <w:p w:rsidR="00000000" w:rsidRDefault="001F233B">
            <w:pPr>
              <w:pStyle w:val="TableofFigures"/>
              <w:rPr>
                <w:color w:val="000000"/>
              </w:rPr>
            </w:pPr>
            <w:r>
              <w:t>-</w:t>
            </w:r>
            <w:r>
              <w:rPr>
                <w:color w:val="000000"/>
              </w:rPr>
              <w:t xml:space="preserve"> 86.4</w:t>
            </w: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tabs>
                <w:tab w:val="left" w:pos="1252"/>
              </w:tabs>
            </w:pPr>
            <w:r>
              <w:t xml:space="preserve">                         - for on-passing</w:t>
            </w:r>
          </w:p>
        </w:tc>
        <w:tc>
          <w:tcPr>
            <w:tcW w:w="990" w:type="dxa"/>
          </w:tcPr>
          <w:p w:rsidR="00000000" w:rsidRDefault="001F233B">
            <w:pPr>
              <w:pStyle w:val="TableofFigures"/>
              <w:rPr>
                <w:color w:val="000000"/>
              </w:rPr>
            </w:pPr>
            <w:r>
              <w:t xml:space="preserve"> </w:t>
            </w:r>
            <w:r>
              <w:rPr>
                <w:color w:val="000000"/>
              </w:rPr>
              <w:t>23.0</w:t>
            </w:r>
          </w:p>
        </w:tc>
        <w:tc>
          <w:tcPr>
            <w:tcW w:w="1054" w:type="dxa"/>
          </w:tcPr>
          <w:p w:rsidR="00000000" w:rsidRDefault="001F233B">
            <w:pPr>
              <w:pStyle w:val="TableofFigures"/>
              <w:rPr>
                <w:color w:val="000000"/>
              </w:rPr>
            </w:pPr>
            <w:r>
              <w:t xml:space="preserve"> </w:t>
            </w:r>
            <w:r>
              <w:rPr>
                <w:color w:val="000000"/>
              </w:rPr>
              <w:t>23.7</w:t>
            </w:r>
          </w:p>
        </w:tc>
        <w:tc>
          <w:tcPr>
            <w:tcW w:w="1022" w:type="dxa"/>
            <w:gridSpan w:val="2"/>
          </w:tcPr>
          <w:p w:rsidR="00000000" w:rsidRDefault="001F233B">
            <w:pPr>
              <w:pStyle w:val="TableofFigures"/>
              <w:rPr>
                <w:color w:val="000000"/>
              </w:rPr>
            </w:pPr>
            <w:r>
              <w:t xml:space="preserve"> </w:t>
            </w:r>
            <w:r>
              <w:rPr>
                <w:color w:val="000000"/>
              </w:rPr>
              <w:t>0.7</w:t>
            </w: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pPr>
            <w:r>
              <w:t xml:space="preserve">Profit on sale of secondhand assets </w:t>
            </w:r>
          </w:p>
        </w:tc>
        <w:tc>
          <w:tcPr>
            <w:tcW w:w="990" w:type="dxa"/>
          </w:tcPr>
          <w:p w:rsidR="00000000" w:rsidRDefault="001F233B">
            <w:pPr>
              <w:pStyle w:val="TableofFigures"/>
              <w:rPr>
                <w:color w:val="000000"/>
              </w:rPr>
            </w:pPr>
            <w:r>
              <w:t xml:space="preserve"> </w:t>
            </w:r>
            <w:r>
              <w:rPr>
                <w:color w:val="000000"/>
              </w:rPr>
              <w:t>0.0</w:t>
            </w:r>
          </w:p>
        </w:tc>
        <w:tc>
          <w:tcPr>
            <w:tcW w:w="1054" w:type="dxa"/>
          </w:tcPr>
          <w:p w:rsidR="00000000" w:rsidRDefault="001F233B">
            <w:pPr>
              <w:pStyle w:val="TableofFigures"/>
              <w:rPr>
                <w:color w:val="000000"/>
              </w:rPr>
            </w:pPr>
            <w:r>
              <w:t xml:space="preserve"> </w:t>
            </w:r>
            <w:r>
              <w:rPr>
                <w:color w:val="000000"/>
              </w:rPr>
              <w:t>7.5</w:t>
            </w:r>
          </w:p>
        </w:tc>
        <w:tc>
          <w:tcPr>
            <w:tcW w:w="1022" w:type="dxa"/>
            <w:gridSpan w:val="2"/>
          </w:tcPr>
          <w:p w:rsidR="00000000" w:rsidRDefault="001F233B">
            <w:pPr>
              <w:pStyle w:val="TableofFigures"/>
              <w:rPr>
                <w:color w:val="000000"/>
              </w:rPr>
            </w:pPr>
            <w:r>
              <w:t xml:space="preserve"> </w:t>
            </w:r>
            <w:r>
              <w:rPr>
                <w:color w:val="000000"/>
              </w:rPr>
              <w:t>7.5</w:t>
            </w: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pPr>
            <w:r>
              <w:t>Other revenue</w:t>
            </w:r>
          </w:p>
        </w:tc>
        <w:tc>
          <w:tcPr>
            <w:tcW w:w="990" w:type="dxa"/>
          </w:tcPr>
          <w:p w:rsidR="00000000" w:rsidRDefault="001F233B">
            <w:pPr>
              <w:pStyle w:val="TableofFigures"/>
              <w:rPr>
                <w:color w:val="000000"/>
              </w:rPr>
            </w:pPr>
            <w:r>
              <w:t xml:space="preserve"> </w:t>
            </w:r>
            <w:r>
              <w:rPr>
                <w:color w:val="000000"/>
              </w:rPr>
              <w:t>277.7</w:t>
            </w:r>
          </w:p>
        </w:tc>
        <w:tc>
          <w:tcPr>
            <w:tcW w:w="1054" w:type="dxa"/>
          </w:tcPr>
          <w:p w:rsidR="00000000" w:rsidRDefault="001F233B">
            <w:pPr>
              <w:pStyle w:val="TableofFigures"/>
              <w:rPr>
                <w:color w:val="000000"/>
              </w:rPr>
            </w:pPr>
            <w:r>
              <w:t xml:space="preserve"> </w:t>
            </w:r>
            <w:r>
              <w:rPr>
                <w:color w:val="000000"/>
              </w:rPr>
              <w:t>214.5</w:t>
            </w:r>
          </w:p>
        </w:tc>
        <w:tc>
          <w:tcPr>
            <w:tcW w:w="1022" w:type="dxa"/>
            <w:gridSpan w:val="2"/>
            <w:tcBorders>
              <w:bottom w:val="single" w:sz="6" w:space="0" w:color="auto"/>
            </w:tcBorders>
          </w:tcPr>
          <w:p w:rsidR="00000000" w:rsidRDefault="001F233B">
            <w:pPr>
              <w:pStyle w:val="TableofFigures"/>
              <w:rPr>
                <w:color w:val="000000"/>
              </w:rPr>
            </w:pPr>
            <w:r>
              <w:t>-</w:t>
            </w:r>
            <w:r>
              <w:rPr>
                <w:color w:val="000000"/>
              </w:rPr>
              <w:t xml:space="preserve"> 63.2</w:t>
            </w:r>
          </w:p>
        </w:tc>
      </w:tr>
      <w:tr w:rsidR="001F233B" w:rsidTr="001F233B">
        <w:tblPrEx>
          <w:tblCellMar>
            <w:top w:w="0" w:type="dxa"/>
            <w:bottom w:w="0" w:type="dxa"/>
          </w:tblCellMar>
        </w:tblPrEx>
        <w:trPr>
          <w:trHeight w:hRule="exact" w:val="240"/>
        </w:trPr>
        <w:tc>
          <w:tcPr>
            <w:tcW w:w="4350" w:type="dxa"/>
            <w:gridSpan w:val="2"/>
          </w:tcPr>
          <w:p w:rsidR="00000000" w:rsidRDefault="001F233B">
            <w:pPr>
              <w:pStyle w:val="Tabletext"/>
              <w:rPr>
                <w:b/>
              </w:rPr>
            </w:pPr>
            <w:r>
              <w:rPr>
                <w:b/>
              </w:rPr>
              <w:t>Total Revenue</w:t>
            </w:r>
          </w:p>
        </w:tc>
        <w:tc>
          <w:tcPr>
            <w:tcW w:w="990" w:type="dxa"/>
            <w:tcBorders>
              <w:top w:val="single" w:sz="6" w:space="0" w:color="auto"/>
            </w:tcBorders>
          </w:tcPr>
          <w:p w:rsidR="00000000" w:rsidRDefault="001F233B">
            <w:pPr>
              <w:pStyle w:val="TableofFigures"/>
              <w:rPr>
                <w:b/>
                <w:color w:val="000000"/>
              </w:rPr>
            </w:pPr>
            <w:r>
              <w:rPr>
                <w:b/>
              </w:rPr>
              <w:t>18</w:t>
            </w:r>
            <w:r>
              <w:rPr>
                <w:b/>
                <w:color w:val="000000"/>
              </w:rPr>
              <w:t xml:space="preserve"> 650.4</w:t>
            </w:r>
          </w:p>
        </w:tc>
        <w:tc>
          <w:tcPr>
            <w:tcW w:w="1054" w:type="dxa"/>
            <w:tcBorders>
              <w:top w:val="single" w:sz="6" w:space="0" w:color="auto"/>
            </w:tcBorders>
          </w:tcPr>
          <w:p w:rsidR="00000000" w:rsidRDefault="001F233B">
            <w:pPr>
              <w:pStyle w:val="TableofFigures"/>
              <w:rPr>
                <w:b/>
                <w:color w:val="000000"/>
              </w:rPr>
            </w:pPr>
            <w:r>
              <w:rPr>
                <w:b/>
              </w:rPr>
              <w:t>18</w:t>
            </w:r>
            <w:r>
              <w:rPr>
                <w:b/>
                <w:color w:val="000000"/>
              </w:rPr>
              <w:t xml:space="preserve"> 955.2</w:t>
            </w:r>
          </w:p>
        </w:tc>
        <w:tc>
          <w:tcPr>
            <w:tcW w:w="1022" w:type="dxa"/>
            <w:gridSpan w:val="2"/>
          </w:tcPr>
          <w:p w:rsidR="00000000" w:rsidRDefault="001F233B">
            <w:pPr>
              <w:pStyle w:val="TableofFigures"/>
              <w:rPr>
                <w:b/>
                <w:color w:val="000000"/>
              </w:rPr>
            </w:pPr>
            <w:r>
              <w:rPr>
                <w:b/>
              </w:rPr>
              <w:t xml:space="preserve"> </w:t>
            </w:r>
            <w:r>
              <w:rPr>
                <w:b/>
                <w:color w:val="000000"/>
              </w:rPr>
              <w:t>304.8</w:t>
            </w:r>
          </w:p>
        </w:tc>
      </w:tr>
      <w:tr w:rsidR="00000000">
        <w:tblPrEx>
          <w:tblCellMar>
            <w:top w:w="0" w:type="dxa"/>
            <w:bottom w:w="0" w:type="dxa"/>
          </w:tblCellMar>
        </w:tblPrEx>
        <w:trPr>
          <w:trHeight w:hRule="exact" w:val="120"/>
        </w:trPr>
        <w:tc>
          <w:tcPr>
            <w:tcW w:w="458" w:type="dxa"/>
          </w:tcPr>
          <w:p w:rsidR="00000000" w:rsidRDefault="001F233B"/>
        </w:tc>
        <w:tc>
          <w:tcPr>
            <w:tcW w:w="3892" w:type="dxa"/>
          </w:tcPr>
          <w:p w:rsidR="00000000" w:rsidRDefault="001F233B">
            <w:pPr>
              <w:pStyle w:val="Tabletext"/>
            </w:pPr>
          </w:p>
        </w:tc>
        <w:tc>
          <w:tcPr>
            <w:tcW w:w="990" w:type="dxa"/>
          </w:tcPr>
          <w:p w:rsidR="00000000" w:rsidRDefault="001F233B">
            <w:pPr>
              <w:pStyle w:val="TableofFigures"/>
            </w:pPr>
          </w:p>
        </w:tc>
        <w:tc>
          <w:tcPr>
            <w:tcW w:w="1054" w:type="dxa"/>
          </w:tcPr>
          <w:p w:rsidR="00000000" w:rsidRDefault="001F233B">
            <w:pPr>
              <w:pStyle w:val="TableofFigures"/>
            </w:pPr>
          </w:p>
        </w:tc>
        <w:tc>
          <w:tcPr>
            <w:tcW w:w="1022" w:type="dxa"/>
            <w:gridSpan w:val="2"/>
          </w:tcPr>
          <w:p w:rsidR="00000000" w:rsidRDefault="001F233B">
            <w:pPr>
              <w:pStyle w:val="TableofFigures"/>
            </w:pPr>
          </w:p>
        </w:tc>
      </w:tr>
      <w:tr w:rsidR="001F233B" w:rsidTr="001F233B">
        <w:tblPrEx>
          <w:tblCellMar>
            <w:top w:w="0" w:type="dxa"/>
            <w:bottom w:w="0" w:type="dxa"/>
          </w:tblCellMar>
        </w:tblPrEx>
        <w:trPr>
          <w:trHeight w:hRule="exact" w:val="240"/>
        </w:trPr>
        <w:tc>
          <w:tcPr>
            <w:tcW w:w="4350" w:type="dxa"/>
            <w:gridSpan w:val="2"/>
          </w:tcPr>
          <w:p w:rsidR="00000000" w:rsidRDefault="001F233B">
            <w:pPr>
              <w:pStyle w:val="Tabletext"/>
              <w:rPr>
                <w:b/>
              </w:rPr>
            </w:pPr>
            <w:r>
              <w:rPr>
                <w:b/>
              </w:rPr>
              <w:t>Less Expenses</w:t>
            </w:r>
          </w:p>
        </w:tc>
        <w:tc>
          <w:tcPr>
            <w:tcW w:w="990" w:type="dxa"/>
          </w:tcPr>
          <w:p w:rsidR="00000000" w:rsidRDefault="001F233B">
            <w:pPr>
              <w:pStyle w:val="TableofFigures"/>
            </w:pPr>
          </w:p>
        </w:tc>
        <w:tc>
          <w:tcPr>
            <w:tcW w:w="1054" w:type="dxa"/>
          </w:tcPr>
          <w:p w:rsidR="00000000" w:rsidRDefault="001F233B">
            <w:pPr>
              <w:pStyle w:val="TableofFigures"/>
            </w:pPr>
          </w:p>
        </w:tc>
        <w:tc>
          <w:tcPr>
            <w:tcW w:w="1022" w:type="dxa"/>
            <w:gridSpan w:val="2"/>
          </w:tcPr>
          <w:p w:rsidR="00000000" w:rsidRDefault="001F233B">
            <w:pPr>
              <w:pStyle w:val="TableofFigures"/>
            </w:pP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pPr>
            <w:r>
              <w:t>Gross operating expenditure</w:t>
            </w:r>
          </w:p>
        </w:tc>
        <w:tc>
          <w:tcPr>
            <w:tcW w:w="990" w:type="dxa"/>
          </w:tcPr>
          <w:p w:rsidR="00000000" w:rsidRDefault="001F233B">
            <w:pPr>
              <w:pStyle w:val="TableofFigures"/>
            </w:pPr>
          </w:p>
        </w:tc>
        <w:tc>
          <w:tcPr>
            <w:tcW w:w="1054" w:type="dxa"/>
          </w:tcPr>
          <w:p w:rsidR="00000000" w:rsidRDefault="001F233B">
            <w:pPr>
              <w:pStyle w:val="TableofFigures"/>
            </w:pPr>
          </w:p>
        </w:tc>
        <w:tc>
          <w:tcPr>
            <w:tcW w:w="1022" w:type="dxa"/>
            <w:gridSpan w:val="2"/>
          </w:tcPr>
          <w:p w:rsidR="00000000" w:rsidRDefault="001F233B">
            <w:pPr>
              <w:pStyle w:val="TableofFigures"/>
            </w:pP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pPr>
            <w:r>
              <w:t xml:space="preserve">   Depreciation</w:t>
            </w:r>
          </w:p>
        </w:tc>
        <w:tc>
          <w:tcPr>
            <w:tcW w:w="990" w:type="dxa"/>
          </w:tcPr>
          <w:p w:rsidR="00000000" w:rsidRDefault="001F233B">
            <w:pPr>
              <w:pStyle w:val="TableofFigures"/>
              <w:rPr>
                <w:color w:val="000000"/>
              </w:rPr>
            </w:pPr>
            <w:r>
              <w:t xml:space="preserve"> </w:t>
            </w:r>
            <w:r>
              <w:rPr>
                <w:color w:val="000000"/>
              </w:rPr>
              <w:t>757.7</w:t>
            </w:r>
          </w:p>
        </w:tc>
        <w:tc>
          <w:tcPr>
            <w:tcW w:w="1054" w:type="dxa"/>
          </w:tcPr>
          <w:p w:rsidR="00000000" w:rsidRDefault="001F233B">
            <w:pPr>
              <w:pStyle w:val="TableofFigures"/>
              <w:rPr>
                <w:color w:val="000000"/>
              </w:rPr>
            </w:pPr>
            <w:r>
              <w:t xml:space="preserve"> </w:t>
            </w:r>
            <w:r>
              <w:rPr>
                <w:color w:val="000000"/>
              </w:rPr>
              <w:t>784.9</w:t>
            </w:r>
          </w:p>
        </w:tc>
        <w:tc>
          <w:tcPr>
            <w:tcW w:w="1022" w:type="dxa"/>
            <w:gridSpan w:val="2"/>
          </w:tcPr>
          <w:p w:rsidR="00000000" w:rsidRDefault="001F233B">
            <w:pPr>
              <w:pStyle w:val="TableofFigures"/>
              <w:rPr>
                <w:color w:val="000000"/>
              </w:rPr>
            </w:pPr>
            <w:r>
              <w:t xml:space="preserve"> </w:t>
            </w:r>
            <w:r>
              <w:rPr>
                <w:color w:val="000000"/>
              </w:rPr>
              <w:t>27.3</w:t>
            </w: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pPr>
            <w:r>
              <w:t xml:space="preserve">   Superannuation</w:t>
            </w:r>
          </w:p>
        </w:tc>
        <w:tc>
          <w:tcPr>
            <w:tcW w:w="990" w:type="dxa"/>
          </w:tcPr>
          <w:p w:rsidR="00000000" w:rsidRDefault="001F233B">
            <w:pPr>
              <w:pStyle w:val="TableofFigures"/>
              <w:rPr>
                <w:color w:val="000000"/>
              </w:rPr>
            </w:pPr>
            <w:r>
              <w:t>1</w:t>
            </w:r>
            <w:r>
              <w:rPr>
                <w:color w:val="000000"/>
              </w:rPr>
              <w:t xml:space="preserve"> 500.2</w:t>
            </w:r>
          </w:p>
        </w:tc>
        <w:tc>
          <w:tcPr>
            <w:tcW w:w="1054" w:type="dxa"/>
          </w:tcPr>
          <w:p w:rsidR="00000000" w:rsidRDefault="001F233B">
            <w:pPr>
              <w:pStyle w:val="TableofFigures"/>
              <w:rPr>
                <w:color w:val="000000"/>
              </w:rPr>
            </w:pPr>
            <w:r>
              <w:t>1</w:t>
            </w:r>
            <w:r>
              <w:rPr>
                <w:color w:val="000000"/>
              </w:rPr>
              <w:t xml:space="preserve"> 622.4</w:t>
            </w:r>
          </w:p>
        </w:tc>
        <w:tc>
          <w:tcPr>
            <w:tcW w:w="1022" w:type="dxa"/>
            <w:gridSpan w:val="2"/>
          </w:tcPr>
          <w:p w:rsidR="00000000" w:rsidRDefault="001F233B">
            <w:pPr>
              <w:pStyle w:val="TableofFigures"/>
              <w:rPr>
                <w:color w:val="000000"/>
              </w:rPr>
            </w:pPr>
            <w:r>
              <w:t xml:space="preserve"> </w:t>
            </w:r>
            <w:r>
              <w:rPr>
                <w:color w:val="000000"/>
              </w:rPr>
              <w:t>122.2</w:t>
            </w:r>
          </w:p>
        </w:tc>
      </w:tr>
      <w:tr w:rsidR="00000000">
        <w:tblPrEx>
          <w:tblCellMar>
            <w:top w:w="0" w:type="dxa"/>
            <w:bottom w:w="0" w:type="dxa"/>
          </w:tblCellMar>
        </w:tblPrEx>
        <w:trPr>
          <w:trHeight w:hRule="exact" w:val="480"/>
        </w:trPr>
        <w:tc>
          <w:tcPr>
            <w:tcW w:w="458" w:type="dxa"/>
          </w:tcPr>
          <w:p w:rsidR="00000000" w:rsidRDefault="001F233B">
            <w:pPr>
              <w:spacing w:after="480"/>
              <w:rPr>
                <w:rFonts w:ascii="Arial" w:hAnsi="Arial"/>
                <w:sz w:val="18"/>
              </w:rPr>
            </w:pPr>
          </w:p>
        </w:tc>
        <w:tc>
          <w:tcPr>
            <w:tcW w:w="3892" w:type="dxa"/>
          </w:tcPr>
          <w:p w:rsidR="00000000" w:rsidRDefault="001F233B">
            <w:pPr>
              <w:pStyle w:val="Tabletext"/>
            </w:pPr>
            <w:r>
              <w:t xml:space="preserve">   Employee entitlements &amp; other operating </w:t>
            </w:r>
            <w:r>
              <w:br/>
              <w:t xml:space="preserve">      expenses</w:t>
            </w:r>
          </w:p>
        </w:tc>
        <w:tc>
          <w:tcPr>
            <w:tcW w:w="990" w:type="dxa"/>
          </w:tcPr>
          <w:p w:rsidR="00000000" w:rsidRDefault="001F233B">
            <w:pPr>
              <w:pStyle w:val="TableofFigures"/>
              <w:spacing w:after="480"/>
              <w:rPr>
                <w:color w:val="000000"/>
              </w:rPr>
            </w:pPr>
            <w:r>
              <w:t>11</w:t>
            </w:r>
            <w:r>
              <w:rPr>
                <w:color w:val="000000"/>
              </w:rPr>
              <w:t xml:space="preserve"> 189.4</w:t>
            </w:r>
          </w:p>
        </w:tc>
        <w:tc>
          <w:tcPr>
            <w:tcW w:w="1054" w:type="dxa"/>
          </w:tcPr>
          <w:p w:rsidR="00000000" w:rsidRDefault="001F233B">
            <w:pPr>
              <w:pStyle w:val="TableofFigures"/>
              <w:spacing w:after="480"/>
              <w:rPr>
                <w:color w:val="000000"/>
              </w:rPr>
            </w:pPr>
            <w:r>
              <w:t>11</w:t>
            </w:r>
            <w:r>
              <w:rPr>
                <w:color w:val="000000"/>
              </w:rPr>
              <w:t xml:space="preserve"> 659.0</w:t>
            </w:r>
          </w:p>
        </w:tc>
        <w:tc>
          <w:tcPr>
            <w:tcW w:w="1022" w:type="dxa"/>
            <w:gridSpan w:val="2"/>
          </w:tcPr>
          <w:p w:rsidR="00000000" w:rsidRDefault="001F233B">
            <w:pPr>
              <w:pStyle w:val="TableofFigures"/>
              <w:spacing w:after="480"/>
              <w:rPr>
                <w:color w:val="000000"/>
              </w:rPr>
            </w:pPr>
            <w:r>
              <w:t xml:space="preserve"> </w:t>
            </w:r>
            <w:r>
              <w:rPr>
                <w:color w:val="000000"/>
              </w:rPr>
              <w:t>469.6</w:t>
            </w:r>
          </w:p>
        </w:tc>
      </w:tr>
      <w:tr w:rsidR="00000000">
        <w:tblPrEx>
          <w:tblCellMar>
            <w:top w:w="0" w:type="dxa"/>
            <w:bottom w:w="0" w:type="dxa"/>
          </w:tblCellMar>
        </w:tblPrEx>
        <w:trPr>
          <w:trHeight w:hRule="exact" w:val="240"/>
        </w:trPr>
        <w:tc>
          <w:tcPr>
            <w:tcW w:w="458" w:type="dxa"/>
          </w:tcPr>
          <w:p w:rsidR="00000000" w:rsidRDefault="001F233B">
            <w:pPr>
              <w:pStyle w:val="Header"/>
              <w:tabs>
                <w:tab w:val="clear" w:pos="4320"/>
                <w:tab w:val="clear" w:pos="8640"/>
              </w:tabs>
            </w:pPr>
          </w:p>
        </w:tc>
        <w:tc>
          <w:tcPr>
            <w:tcW w:w="3892" w:type="dxa"/>
          </w:tcPr>
          <w:p w:rsidR="00000000" w:rsidRDefault="001F233B">
            <w:pPr>
              <w:pStyle w:val="Tabletext"/>
            </w:pPr>
            <w:r>
              <w:t>Total gross operating expenditure</w:t>
            </w:r>
          </w:p>
        </w:tc>
        <w:tc>
          <w:tcPr>
            <w:tcW w:w="990" w:type="dxa"/>
            <w:tcBorders>
              <w:top w:val="single" w:sz="6" w:space="0" w:color="auto"/>
            </w:tcBorders>
          </w:tcPr>
          <w:p w:rsidR="00000000" w:rsidRDefault="001F233B">
            <w:pPr>
              <w:pStyle w:val="TableofFigures"/>
              <w:rPr>
                <w:b/>
                <w:color w:val="000000"/>
              </w:rPr>
            </w:pPr>
            <w:r>
              <w:rPr>
                <w:b/>
              </w:rPr>
              <w:t>13</w:t>
            </w:r>
            <w:r>
              <w:rPr>
                <w:b/>
                <w:color w:val="000000"/>
              </w:rPr>
              <w:t xml:space="preserve"> 447.2</w:t>
            </w:r>
          </w:p>
        </w:tc>
        <w:tc>
          <w:tcPr>
            <w:tcW w:w="1054" w:type="dxa"/>
            <w:tcBorders>
              <w:top w:val="single" w:sz="6" w:space="0" w:color="auto"/>
            </w:tcBorders>
          </w:tcPr>
          <w:p w:rsidR="00000000" w:rsidRDefault="001F233B">
            <w:pPr>
              <w:pStyle w:val="TableofFigures"/>
              <w:rPr>
                <w:b/>
                <w:color w:val="000000"/>
              </w:rPr>
            </w:pPr>
            <w:r>
              <w:rPr>
                <w:b/>
              </w:rPr>
              <w:t>14</w:t>
            </w:r>
            <w:r>
              <w:rPr>
                <w:b/>
                <w:color w:val="000000"/>
              </w:rPr>
              <w:t xml:space="preserve"> 066.3</w:t>
            </w:r>
          </w:p>
        </w:tc>
        <w:tc>
          <w:tcPr>
            <w:tcW w:w="1022" w:type="dxa"/>
            <w:gridSpan w:val="2"/>
            <w:tcBorders>
              <w:top w:val="single" w:sz="6" w:space="0" w:color="auto"/>
            </w:tcBorders>
          </w:tcPr>
          <w:p w:rsidR="00000000" w:rsidRDefault="001F233B">
            <w:pPr>
              <w:pStyle w:val="TableofFigures"/>
              <w:rPr>
                <w:b/>
                <w:color w:val="000000"/>
              </w:rPr>
            </w:pPr>
            <w:r>
              <w:rPr>
                <w:b/>
              </w:rPr>
              <w:t xml:space="preserve"> </w:t>
            </w:r>
            <w:r>
              <w:rPr>
                <w:b/>
                <w:color w:val="000000"/>
              </w:rPr>
              <w:t>619.1</w:t>
            </w: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pPr>
            <w:r>
              <w:t>Interest Expense</w:t>
            </w:r>
          </w:p>
        </w:tc>
        <w:tc>
          <w:tcPr>
            <w:tcW w:w="990" w:type="dxa"/>
          </w:tcPr>
          <w:p w:rsidR="00000000" w:rsidRDefault="001F233B">
            <w:pPr>
              <w:pStyle w:val="TableofFigures"/>
              <w:rPr>
                <w:color w:val="000000"/>
              </w:rPr>
            </w:pPr>
            <w:r>
              <w:t xml:space="preserve"> </w:t>
            </w:r>
            <w:r>
              <w:rPr>
                <w:color w:val="000000"/>
              </w:rPr>
              <w:t>821.3</w:t>
            </w:r>
          </w:p>
        </w:tc>
        <w:tc>
          <w:tcPr>
            <w:tcW w:w="1054" w:type="dxa"/>
          </w:tcPr>
          <w:p w:rsidR="00000000" w:rsidRDefault="001F233B">
            <w:pPr>
              <w:pStyle w:val="TableofFigures"/>
              <w:rPr>
                <w:color w:val="000000"/>
              </w:rPr>
            </w:pPr>
            <w:r>
              <w:t xml:space="preserve"> </w:t>
            </w:r>
            <w:r>
              <w:rPr>
                <w:color w:val="000000"/>
              </w:rPr>
              <w:t>806.3</w:t>
            </w:r>
          </w:p>
        </w:tc>
        <w:tc>
          <w:tcPr>
            <w:tcW w:w="1022" w:type="dxa"/>
            <w:gridSpan w:val="2"/>
          </w:tcPr>
          <w:p w:rsidR="00000000" w:rsidRDefault="001F233B">
            <w:pPr>
              <w:pStyle w:val="TableofFigures"/>
              <w:rPr>
                <w:color w:val="000000"/>
              </w:rPr>
            </w:pPr>
            <w:r>
              <w:t>-</w:t>
            </w:r>
            <w:r>
              <w:rPr>
                <w:color w:val="000000"/>
              </w:rPr>
              <w:t xml:space="preserve"> 15.0</w:t>
            </w: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rPr>
                <w:color w:val="000000"/>
              </w:rPr>
            </w:pPr>
            <w:r>
              <w:t>Current</w:t>
            </w:r>
            <w:r>
              <w:rPr>
                <w:color w:val="000000"/>
              </w:rPr>
              <w:t xml:space="preserve"> grants</w:t>
            </w:r>
          </w:p>
        </w:tc>
        <w:tc>
          <w:tcPr>
            <w:tcW w:w="990" w:type="dxa"/>
          </w:tcPr>
          <w:p w:rsidR="00000000" w:rsidRDefault="001F233B">
            <w:pPr>
              <w:pStyle w:val="TableofFigures"/>
              <w:rPr>
                <w:color w:val="000000"/>
              </w:rPr>
            </w:pPr>
            <w:r>
              <w:t>1</w:t>
            </w:r>
            <w:r>
              <w:rPr>
                <w:color w:val="000000"/>
              </w:rPr>
              <w:t xml:space="preserve"> 898.7</w:t>
            </w:r>
          </w:p>
        </w:tc>
        <w:tc>
          <w:tcPr>
            <w:tcW w:w="1054" w:type="dxa"/>
          </w:tcPr>
          <w:p w:rsidR="00000000" w:rsidRDefault="001F233B">
            <w:pPr>
              <w:pStyle w:val="TableofFigures"/>
              <w:rPr>
                <w:color w:val="000000"/>
              </w:rPr>
            </w:pPr>
            <w:r>
              <w:t>1</w:t>
            </w:r>
            <w:r>
              <w:rPr>
                <w:color w:val="000000"/>
              </w:rPr>
              <w:t xml:space="preserve"> 968.5</w:t>
            </w:r>
          </w:p>
        </w:tc>
        <w:tc>
          <w:tcPr>
            <w:tcW w:w="1022" w:type="dxa"/>
            <w:gridSpan w:val="2"/>
          </w:tcPr>
          <w:p w:rsidR="00000000" w:rsidRDefault="001F233B">
            <w:pPr>
              <w:pStyle w:val="TableofFigures"/>
              <w:rPr>
                <w:color w:val="000000"/>
              </w:rPr>
            </w:pPr>
            <w:r>
              <w:t xml:space="preserve"> </w:t>
            </w:r>
            <w:r>
              <w:rPr>
                <w:color w:val="000000"/>
              </w:rPr>
              <w:t>69.8</w:t>
            </w: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pPr>
            <w:r>
              <w:t>Capital transfers</w:t>
            </w:r>
          </w:p>
        </w:tc>
        <w:tc>
          <w:tcPr>
            <w:tcW w:w="990" w:type="dxa"/>
          </w:tcPr>
          <w:p w:rsidR="00000000" w:rsidRDefault="001F233B">
            <w:pPr>
              <w:pStyle w:val="TableofFigures"/>
              <w:rPr>
                <w:color w:val="000000"/>
              </w:rPr>
            </w:pPr>
            <w:r>
              <w:t xml:space="preserve"> </w:t>
            </w:r>
            <w:r>
              <w:rPr>
                <w:color w:val="000000"/>
              </w:rPr>
              <w:t>405.1</w:t>
            </w:r>
          </w:p>
        </w:tc>
        <w:tc>
          <w:tcPr>
            <w:tcW w:w="1054" w:type="dxa"/>
          </w:tcPr>
          <w:p w:rsidR="00000000" w:rsidRDefault="001F233B">
            <w:pPr>
              <w:pStyle w:val="TableofFigures"/>
              <w:rPr>
                <w:color w:val="000000"/>
              </w:rPr>
            </w:pPr>
            <w:r>
              <w:t xml:space="preserve"> </w:t>
            </w:r>
            <w:r>
              <w:rPr>
                <w:color w:val="000000"/>
              </w:rPr>
              <w:t>398.8</w:t>
            </w:r>
          </w:p>
        </w:tc>
        <w:tc>
          <w:tcPr>
            <w:tcW w:w="1022" w:type="dxa"/>
            <w:gridSpan w:val="2"/>
          </w:tcPr>
          <w:p w:rsidR="00000000" w:rsidRDefault="001F233B">
            <w:pPr>
              <w:pStyle w:val="TableofFigures"/>
              <w:rPr>
                <w:color w:val="000000"/>
              </w:rPr>
            </w:pPr>
            <w:r>
              <w:t>-</w:t>
            </w:r>
            <w:r>
              <w:rPr>
                <w:color w:val="000000"/>
              </w:rPr>
              <w:t xml:space="preserve"> 6.4</w:t>
            </w:r>
          </w:p>
        </w:tc>
      </w:tr>
      <w:tr w:rsidR="00000000">
        <w:tblPrEx>
          <w:tblCellMar>
            <w:top w:w="0" w:type="dxa"/>
            <w:bottom w:w="0" w:type="dxa"/>
          </w:tblCellMar>
        </w:tblPrEx>
        <w:trPr>
          <w:trHeight w:hRule="exact" w:val="240"/>
        </w:trPr>
        <w:tc>
          <w:tcPr>
            <w:tcW w:w="458" w:type="dxa"/>
          </w:tcPr>
          <w:p w:rsidR="00000000" w:rsidRDefault="001F233B"/>
        </w:tc>
        <w:tc>
          <w:tcPr>
            <w:tcW w:w="3892" w:type="dxa"/>
          </w:tcPr>
          <w:p w:rsidR="00000000" w:rsidRDefault="001F233B">
            <w:pPr>
              <w:pStyle w:val="Tabletext"/>
            </w:pPr>
            <w:r>
              <w:t>Grants on-passed</w:t>
            </w:r>
          </w:p>
        </w:tc>
        <w:tc>
          <w:tcPr>
            <w:tcW w:w="990" w:type="dxa"/>
          </w:tcPr>
          <w:p w:rsidR="00000000" w:rsidRDefault="001F233B">
            <w:pPr>
              <w:pStyle w:val="TableofFigures"/>
              <w:rPr>
                <w:color w:val="000000"/>
              </w:rPr>
            </w:pPr>
            <w:r>
              <w:t xml:space="preserve"> </w:t>
            </w:r>
            <w:r>
              <w:rPr>
                <w:color w:val="000000"/>
              </w:rPr>
              <w:t>925.0</w:t>
            </w:r>
          </w:p>
        </w:tc>
        <w:tc>
          <w:tcPr>
            <w:tcW w:w="1054" w:type="dxa"/>
          </w:tcPr>
          <w:p w:rsidR="00000000" w:rsidRDefault="001F233B">
            <w:pPr>
              <w:pStyle w:val="TableofFigures"/>
              <w:rPr>
                <w:color w:val="000000"/>
              </w:rPr>
            </w:pPr>
            <w:r>
              <w:t xml:space="preserve"> </w:t>
            </w:r>
            <w:r>
              <w:rPr>
                <w:color w:val="000000"/>
              </w:rPr>
              <w:t>948.0</w:t>
            </w:r>
          </w:p>
        </w:tc>
        <w:tc>
          <w:tcPr>
            <w:tcW w:w="1022" w:type="dxa"/>
            <w:gridSpan w:val="2"/>
          </w:tcPr>
          <w:p w:rsidR="00000000" w:rsidRDefault="001F233B">
            <w:pPr>
              <w:pStyle w:val="TableofFigures"/>
              <w:rPr>
                <w:color w:val="000000"/>
              </w:rPr>
            </w:pPr>
            <w:r>
              <w:t xml:space="preserve"> </w:t>
            </w:r>
            <w:r>
              <w:rPr>
                <w:color w:val="000000"/>
              </w:rPr>
              <w:t>23.0</w:t>
            </w:r>
          </w:p>
        </w:tc>
      </w:tr>
      <w:tr w:rsidR="001F233B" w:rsidTr="001F233B">
        <w:tblPrEx>
          <w:tblCellMar>
            <w:top w:w="0" w:type="dxa"/>
            <w:bottom w:w="0" w:type="dxa"/>
          </w:tblCellMar>
        </w:tblPrEx>
        <w:trPr>
          <w:trHeight w:hRule="exact" w:val="240"/>
        </w:trPr>
        <w:tc>
          <w:tcPr>
            <w:tcW w:w="4350" w:type="dxa"/>
            <w:gridSpan w:val="2"/>
          </w:tcPr>
          <w:p w:rsidR="00000000" w:rsidRDefault="001F233B">
            <w:pPr>
              <w:rPr>
                <w:rFonts w:ascii="Arial" w:hAnsi="Arial"/>
                <w:b/>
                <w:color w:val="000000"/>
                <w:sz w:val="18"/>
              </w:rPr>
            </w:pPr>
            <w:r>
              <w:rPr>
                <w:rFonts w:ascii="Arial" w:hAnsi="Arial"/>
                <w:b/>
                <w:color w:val="000000"/>
                <w:sz w:val="18"/>
              </w:rPr>
              <w:t>Total Expenses</w:t>
            </w:r>
          </w:p>
        </w:tc>
        <w:tc>
          <w:tcPr>
            <w:tcW w:w="990" w:type="dxa"/>
            <w:tcBorders>
              <w:top w:val="single" w:sz="6" w:space="0" w:color="auto"/>
            </w:tcBorders>
          </w:tcPr>
          <w:p w:rsidR="00000000" w:rsidRDefault="001F233B">
            <w:pPr>
              <w:pStyle w:val="TableofFigures"/>
              <w:rPr>
                <w:b/>
                <w:color w:val="000000"/>
              </w:rPr>
            </w:pPr>
            <w:r>
              <w:rPr>
                <w:b/>
              </w:rPr>
              <w:t>17</w:t>
            </w:r>
            <w:r>
              <w:rPr>
                <w:b/>
                <w:color w:val="000000"/>
              </w:rPr>
              <w:t xml:space="preserve"> 497.3</w:t>
            </w:r>
          </w:p>
        </w:tc>
        <w:tc>
          <w:tcPr>
            <w:tcW w:w="1054" w:type="dxa"/>
            <w:tcBorders>
              <w:top w:val="single" w:sz="6" w:space="0" w:color="auto"/>
            </w:tcBorders>
          </w:tcPr>
          <w:p w:rsidR="00000000" w:rsidRDefault="001F233B">
            <w:pPr>
              <w:pStyle w:val="TableofFigures"/>
              <w:rPr>
                <w:b/>
                <w:color w:val="000000"/>
              </w:rPr>
            </w:pPr>
            <w:r>
              <w:rPr>
                <w:b/>
              </w:rPr>
              <w:t>18</w:t>
            </w:r>
            <w:r>
              <w:rPr>
                <w:b/>
                <w:color w:val="000000"/>
              </w:rPr>
              <w:t xml:space="preserve"> 187.8</w:t>
            </w:r>
          </w:p>
        </w:tc>
        <w:tc>
          <w:tcPr>
            <w:tcW w:w="1022" w:type="dxa"/>
            <w:gridSpan w:val="2"/>
            <w:tcBorders>
              <w:top w:val="single" w:sz="6" w:space="0" w:color="auto"/>
            </w:tcBorders>
          </w:tcPr>
          <w:p w:rsidR="00000000" w:rsidRDefault="001F233B">
            <w:pPr>
              <w:pStyle w:val="TableofFigures"/>
              <w:rPr>
                <w:b/>
                <w:color w:val="000000"/>
              </w:rPr>
            </w:pPr>
            <w:r>
              <w:rPr>
                <w:b/>
              </w:rPr>
              <w:t xml:space="preserve"> </w:t>
            </w:r>
            <w:r>
              <w:rPr>
                <w:b/>
                <w:color w:val="000000"/>
              </w:rPr>
              <w:t>690.5</w:t>
            </w:r>
          </w:p>
        </w:tc>
      </w:tr>
      <w:tr w:rsidR="00000000">
        <w:tblPrEx>
          <w:tblCellMar>
            <w:top w:w="0" w:type="dxa"/>
            <w:bottom w:w="0" w:type="dxa"/>
          </w:tblCellMar>
        </w:tblPrEx>
        <w:trPr>
          <w:trHeight w:hRule="exact" w:val="120"/>
        </w:trPr>
        <w:tc>
          <w:tcPr>
            <w:tcW w:w="458" w:type="dxa"/>
          </w:tcPr>
          <w:p w:rsidR="00000000" w:rsidRDefault="001F233B">
            <w:pPr>
              <w:pStyle w:val="Tabletext"/>
              <w:rPr>
                <w:b/>
              </w:rPr>
            </w:pPr>
          </w:p>
        </w:tc>
        <w:tc>
          <w:tcPr>
            <w:tcW w:w="3892" w:type="dxa"/>
          </w:tcPr>
          <w:p w:rsidR="00000000" w:rsidRDefault="001F233B">
            <w:pPr>
              <w:pStyle w:val="Tabletext"/>
            </w:pPr>
          </w:p>
        </w:tc>
        <w:tc>
          <w:tcPr>
            <w:tcW w:w="990" w:type="dxa"/>
          </w:tcPr>
          <w:p w:rsidR="00000000" w:rsidRDefault="001F233B">
            <w:pPr>
              <w:pStyle w:val="TableofFigures"/>
              <w:rPr>
                <w:b/>
              </w:rPr>
            </w:pPr>
          </w:p>
        </w:tc>
        <w:tc>
          <w:tcPr>
            <w:tcW w:w="1054" w:type="dxa"/>
          </w:tcPr>
          <w:p w:rsidR="00000000" w:rsidRDefault="001F233B">
            <w:pPr>
              <w:pStyle w:val="TableofFigures"/>
              <w:rPr>
                <w:b/>
              </w:rPr>
            </w:pPr>
          </w:p>
        </w:tc>
        <w:tc>
          <w:tcPr>
            <w:tcW w:w="1022" w:type="dxa"/>
            <w:gridSpan w:val="2"/>
          </w:tcPr>
          <w:p w:rsidR="00000000" w:rsidRDefault="001F233B">
            <w:pPr>
              <w:pStyle w:val="TableofFigures"/>
              <w:rPr>
                <w:b/>
              </w:rPr>
            </w:pPr>
          </w:p>
        </w:tc>
      </w:tr>
      <w:tr w:rsidR="001F233B" w:rsidTr="001F233B">
        <w:tblPrEx>
          <w:tblCellMar>
            <w:top w:w="0" w:type="dxa"/>
            <w:bottom w:w="0" w:type="dxa"/>
          </w:tblCellMar>
        </w:tblPrEx>
        <w:trPr>
          <w:trHeight w:val="240"/>
        </w:trPr>
        <w:tc>
          <w:tcPr>
            <w:tcW w:w="4350" w:type="dxa"/>
            <w:gridSpan w:val="2"/>
            <w:tcBorders>
              <w:top w:val="single" w:sz="6" w:space="0" w:color="auto"/>
              <w:bottom w:val="single" w:sz="12" w:space="0" w:color="auto"/>
            </w:tcBorders>
          </w:tcPr>
          <w:p w:rsidR="00000000" w:rsidRDefault="001F233B">
            <w:pPr>
              <w:rPr>
                <w:rFonts w:ascii="Arial" w:hAnsi="Arial"/>
                <w:b/>
                <w:color w:val="000000"/>
                <w:sz w:val="18"/>
              </w:rPr>
            </w:pPr>
            <w:r>
              <w:rPr>
                <w:rFonts w:ascii="Arial" w:hAnsi="Arial"/>
                <w:b/>
                <w:color w:val="000000"/>
                <w:sz w:val="18"/>
              </w:rPr>
              <w:t>Operating Surplus/(Deficit) before abnormals</w:t>
            </w:r>
          </w:p>
        </w:tc>
        <w:tc>
          <w:tcPr>
            <w:tcW w:w="990" w:type="dxa"/>
            <w:tcBorders>
              <w:top w:val="single" w:sz="6" w:space="0" w:color="auto"/>
              <w:bottom w:val="single" w:sz="12" w:space="0" w:color="auto"/>
            </w:tcBorders>
          </w:tcPr>
          <w:p w:rsidR="00000000" w:rsidRDefault="001F233B">
            <w:pPr>
              <w:jc w:val="right"/>
              <w:rPr>
                <w:rFonts w:ascii="Arial" w:hAnsi="Arial"/>
                <w:b/>
                <w:color w:val="000000"/>
                <w:sz w:val="18"/>
              </w:rPr>
            </w:pPr>
            <w:r>
              <w:rPr>
                <w:rFonts w:ascii="Arial" w:hAnsi="Arial"/>
                <w:b/>
                <w:color w:val="000000"/>
                <w:sz w:val="18"/>
              </w:rPr>
              <w:t>1 153.1</w:t>
            </w:r>
          </w:p>
        </w:tc>
        <w:tc>
          <w:tcPr>
            <w:tcW w:w="1080" w:type="dxa"/>
            <w:gridSpan w:val="2"/>
            <w:tcBorders>
              <w:top w:val="single" w:sz="6" w:space="0" w:color="auto"/>
              <w:bottom w:val="single" w:sz="12" w:space="0" w:color="auto"/>
            </w:tcBorders>
          </w:tcPr>
          <w:p w:rsidR="00000000" w:rsidRDefault="001F233B">
            <w:pPr>
              <w:jc w:val="right"/>
              <w:rPr>
                <w:rFonts w:ascii="Arial" w:hAnsi="Arial"/>
                <w:b/>
                <w:color w:val="000000"/>
                <w:sz w:val="18"/>
              </w:rPr>
            </w:pPr>
            <w:r>
              <w:rPr>
                <w:rFonts w:ascii="Arial" w:hAnsi="Arial"/>
                <w:b/>
                <w:color w:val="000000"/>
                <w:sz w:val="18"/>
              </w:rPr>
              <w:t xml:space="preserve"> 767.3</w:t>
            </w:r>
          </w:p>
        </w:tc>
        <w:tc>
          <w:tcPr>
            <w:tcW w:w="997" w:type="dxa"/>
            <w:tcBorders>
              <w:top w:val="single" w:sz="6" w:space="0" w:color="auto"/>
              <w:bottom w:val="single" w:sz="12" w:space="0" w:color="auto"/>
            </w:tcBorders>
          </w:tcPr>
          <w:p w:rsidR="00000000" w:rsidRDefault="001F233B">
            <w:pPr>
              <w:jc w:val="right"/>
              <w:rPr>
                <w:rFonts w:ascii="Arial" w:hAnsi="Arial"/>
                <w:b/>
                <w:color w:val="000000"/>
                <w:sz w:val="18"/>
              </w:rPr>
            </w:pPr>
            <w:r>
              <w:rPr>
                <w:rFonts w:ascii="Arial" w:hAnsi="Arial"/>
                <w:b/>
                <w:color w:val="000000"/>
                <w:sz w:val="18"/>
              </w:rPr>
              <w:t>- 385.7</w:t>
            </w:r>
          </w:p>
        </w:tc>
      </w:tr>
    </w:tbl>
    <w:p w:rsidR="00000000" w:rsidRDefault="001F233B">
      <w:pPr>
        <w:pStyle w:val="Source"/>
        <w:spacing w:after="0"/>
      </w:pPr>
      <w:r>
        <w:t>Source: Department of Treasury and Finance.</w:t>
      </w:r>
    </w:p>
    <w:p w:rsidR="00000000" w:rsidRDefault="001F233B">
      <w:pPr>
        <w:pStyle w:val="Notes"/>
        <w:rPr>
          <w:rFonts w:ascii="Arial" w:hAnsi="Arial"/>
          <w:color w:val="000000"/>
        </w:rPr>
      </w:pPr>
      <w:r>
        <w:t>Not</w:t>
      </w:r>
      <w:r>
        <w:t>e:</w:t>
      </w:r>
    </w:p>
    <w:p w:rsidR="00000000" w:rsidRDefault="001F233B" w:rsidP="001F233B">
      <w:pPr>
        <w:pStyle w:val="Notes"/>
        <w:numPr>
          <w:ilvl w:val="0"/>
          <w:numId w:val="8"/>
        </w:numPr>
        <w:tabs>
          <w:tab w:val="clear" w:pos="454"/>
          <w:tab w:val="left" w:pos="360"/>
        </w:tabs>
      </w:pPr>
      <w:r>
        <w:t>Excludes 1997</w:t>
      </w:r>
      <w:r>
        <w:noBreakHyphen/>
        <w:t>98 privatisation</w:t>
      </w:r>
      <w:r>
        <w:fldChar w:fldCharType="begin"/>
      </w:r>
      <w:r>
        <w:instrText>xe "Privatisation"</w:instrText>
      </w:r>
      <w:r>
        <w:fldChar w:fldCharType="end"/>
      </w:r>
      <w:r>
        <w:t xml:space="preserve"> proceeds received as stamp duty and tax equivalent receipts.</w:t>
      </w:r>
    </w:p>
    <w:p w:rsidR="00000000" w:rsidRDefault="001F233B">
      <w:pPr>
        <w:pStyle w:val="Notes"/>
        <w:tabs>
          <w:tab w:val="clear" w:pos="454"/>
          <w:tab w:val="left" w:pos="360"/>
        </w:tabs>
      </w:pPr>
    </w:p>
    <w:p w:rsidR="00000000" w:rsidRDefault="001F233B">
      <w:r>
        <w:t>The remaining $469.6 million increase in employee entitlement and other operating expenses includes:</w:t>
      </w:r>
    </w:p>
    <w:p w:rsidR="00000000" w:rsidRDefault="001F233B" w:rsidP="001F233B">
      <w:pPr>
        <w:pStyle w:val="BulletText"/>
        <w:numPr>
          <w:ilvl w:val="0"/>
          <w:numId w:val="1"/>
        </w:numPr>
      </w:pPr>
      <w:r>
        <w:t>the $108 million of net budget initiatives;</w:t>
      </w:r>
    </w:p>
    <w:p w:rsidR="00000000" w:rsidRDefault="001F233B" w:rsidP="001F233B">
      <w:pPr>
        <w:pStyle w:val="BulletText"/>
        <w:numPr>
          <w:ilvl w:val="0"/>
          <w:numId w:val="1"/>
        </w:numPr>
      </w:pPr>
      <w:r>
        <w:t>transfers from capital to operating expenses ($33 million), in particular, road maintenance; and</w:t>
      </w:r>
    </w:p>
    <w:p w:rsidR="00000000" w:rsidRDefault="001F233B" w:rsidP="001F233B">
      <w:pPr>
        <w:pStyle w:val="BulletText"/>
        <w:numPr>
          <w:ilvl w:val="0"/>
          <w:numId w:val="1"/>
        </w:numPr>
      </w:pPr>
      <w:r>
        <w:lastRenderedPageBreak/>
        <w:t>the full year impact of policy decisions from 1997</w:t>
      </w:r>
      <w:r>
        <w:noBreakHyphen/>
        <w:t>98 due in particular to education</w:t>
      </w:r>
      <w:r>
        <w:fldChar w:fldCharType="begin"/>
      </w:r>
      <w:r>
        <w:instrText>xe "Education"</w:instrText>
      </w:r>
      <w:r>
        <w:fldChar w:fldCharType="end"/>
      </w:r>
      <w:r>
        <w:t xml:space="preserve"> initiatives which are linked to the school year ($45 </w:t>
      </w:r>
      <w:r>
        <w:t>million).</w:t>
      </w:r>
    </w:p>
    <w:p w:rsidR="00000000" w:rsidRDefault="001F233B">
      <w:r>
        <w:t>After allowance is made for these factors the underlying increase in employee entitlements and other operating expenses is reduced to around $280 million or 2</w:t>
      </w:r>
      <w:r>
        <w:rPr>
          <w:sz w:val="24"/>
        </w:rPr>
        <w:t>½ </w:t>
      </w:r>
      <w:r>
        <w:t>per cent. This is in line with economy-wide inflation</w:t>
      </w:r>
      <w:r>
        <w:fldChar w:fldCharType="begin"/>
      </w:r>
      <w:r>
        <w:instrText>xe "Economy:Inflation"</w:instrText>
      </w:r>
      <w:r>
        <w:fldChar w:fldCharType="end"/>
      </w:r>
      <w:r>
        <w:t xml:space="preserve"> and wage growth trends.</w:t>
      </w:r>
    </w:p>
    <w:p w:rsidR="00000000" w:rsidRDefault="001F233B">
      <w:r>
        <w:t>Interest expense declines by only $15.0 million on the revised 1997</w:t>
      </w:r>
      <w:r>
        <w:noBreakHyphen/>
        <w:t>98 estimates reflecting the fact that debt is forecast to fall only marginally in 1998</w:t>
      </w:r>
      <w:r>
        <w:noBreakHyphen/>
        <w:t>99. Consistent with past practice, and to protect the State’s negotiating position, n</w:t>
      </w:r>
      <w:r>
        <w:t>o estimate has been made of proceeds and liability reductions flowing from future privatisations.</w:t>
      </w:r>
    </w:p>
    <w:p w:rsidR="00000000" w:rsidRDefault="001F233B">
      <w:r>
        <w:t>Current grants increase by $69.8 million in 1998</w:t>
      </w:r>
      <w:r>
        <w:noBreakHyphen/>
        <w:t>99 compared to the revised 1997</w:t>
      </w:r>
      <w:r>
        <w:noBreakHyphen/>
        <w:t>98 estimates which includes the introduction of the Winter Power Bonus</w:t>
      </w:r>
      <w:r>
        <w:fldChar w:fldCharType="begin"/>
      </w:r>
      <w:r>
        <w:instrText>xe "Winter power bonus"</w:instrText>
      </w:r>
      <w:r>
        <w:fldChar w:fldCharType="end"/>
      </w:r>
      <w:r>
        <w:t xml:space="preserve"> payments and one-off payments associated with the restructuring of the Public Transport</w:t>
      </w:r>
      <w:r>
        <w:fldChar w:fldCharType="begin"/>
      </w:r>
      <w:r>
        <w:instrText>xe "Transport"</w:instrText>
      </w:r>
      <w:r>
        <w:fldChar w:fldCharType="end"/>
      </w:r>
      <w:r>
        <w:t xml:space="preserve"> Commission (PTC). The impact of these has been partially offset by the removal of the subsidies from the Budget under the Flexible Ta</w:t>
      </w:r>
      <w:r>
        <w:t>riff Management Unit Trust</w:t>
      </w:r>
      <w:r>
        <w:fldChar w:fldCharType="begin"/>
      </w:r>
      <w:r>
        <w:instrText>xe "Flexible Tariff Management Unit Trust"</w:instrText>
      </w:r>
      <w:r>
        <w:fldChar w:fldCharType="end"/>
      </w:r>
      <w:r>
        <w:t xml:space="preserve"> (FTMUT) as this liability is now being managed by the SECV</w:t>
      </w:r>
      <w:r>
        <w:fldChar w:fldCharType="begin"/>
      </w:r>
      <w:r>
        <w:instrText>xe "State Electricity Commission of Victoria"</w:instrText>
      </w:r>
      <w:r>
        <w:fldChar w:fldCharType="end"/>
      </w:r>
      <w:r>
        <w:t xml:space="preserve"> Shell</w:t>
      </w:r>
      <w:r>
        <w:fldChar w:fldCharType="begin"/>
      </w:r>
      <w:r>
        <w:instrText>xe "Public authority income:SECV Shell"</w:instrText>
      </w:r>
      <w:r>
        <w:fldChar w:fldCharType="end"/>
      </w:r>
      <w:r>
        <w:t>. The SECV Shell is in a financial position to do this as a consequence of risks transferred to the private sector as part of the Loy Yang power station sales.</w:t>
      </w:r>
    </w:p>
    <w:p w:rsidR="00000000" w:rsidRDefault="001F233B">
      <w:pPr>
        <w:pStyle w:val="Heading2"/>
      </w:pPr>
      <w:bookmarkStart w:id="48" w:name="_Toc417119825"/>
      <w:bookmarkStart w:id="49" w:name="_Toc417552077"/>
      <w:r>
        <w:t>1998</w:t>
      </w:r>
      <w:r>
        <w:noBreakHyphen/>
        <w:t>99 Budget initiatives</w:t>
      </w:r>
      <w:bookmarkEnd w:id="48"/>
      <w:bookmarkEnd w:id="49"/>
      <w:r>
        <w:fldChar w:fldCharType="begin"/>
      </w:r>
      <w:r>
        <w:instrText>xe "Budget:1998</w:instrText>
      </w:r>
      <w:r>
        <w:noBreakHyphen/>
        <w:instrText>99 Budget initiatives"</w:instrText>
      </w:r>
      <w:r>
        <w:fldChar w:fldCharType="end"/>
      </w:r>
    </w:p>
    <w:p w:rsidR="00000000" w:rsidRDefault="001F233B">
      <w:r>
        <w:t>As stated in the Governor’s Speech at the re</w:t>
      </w:r>
      <w:r>
        <w:noBreakHyphen/>
        <w:t>opening of Parlia</w:t>
      </w:r>
      <w:r>
        <w:t xml:space="preserve">ment on 17 February 1998, the major objective of this Budget is to return to the community social benefits </w:t>
      </w:r>
      <w:r>
        <w:fldChar w:fldCharType="begin"/>
      </w:r>
      <w:r>
        <w:instrText>xe "Social benefits"</w:instrText>
      </w:r>
      <w:r>
        <w:fldChar w:fldCharType="end"/>
      </w:r>
      <w:r>
        <w:t>which are available due to the Government’s sound financial management. This will be achieved without compromising the Government’s ongoing commitment to sound fiscal management of the State. The net impact of new service delivery</w:t>
      </w:r>
      <w:r>
        <w:fldChar w:fldCharType="begin"/>
      </w:r>
      <w:r>
        <w:instrText>xe "Service delivery"</w:instrText>
      </w:r>
      <w:r>
        <w:fldChar w:fldCharType="end"/>
      </w:r>
      <w:r>
        <w:t xml:space="preserve"> proposals provide an additional $145.0 million (or 1.0 per cent of gross operating expenses) in a full year, and taxation measure</w:t>
      </w:r>
      <w:r>
        <w:t xml:space="preserve">s will reduce the tax burden by $132 million in a full year. </w:t>
      </w:r>
    </w:p>
    <w:p w:rsidR="00000000" w:rsidRDefault="001F233B">
      <w:pPr>
        <w:pStyle w:val="Heading3"/>
      </w:pPr>
      <w:r>
        <w:t>Service delivery</w:t>
      </w:r>
      <w:r>
        <w:fldChar w:fldCharType="begin"/>
      </w:r>
      <w:r>
        <w:instrText>xe "Service delivery"</w:instrText>
      </w:r>
      <w:r>
        <w:fldChar w:fldCharType="end"/>
      </w:r>
      <w:r>
        <w:t xml:space="preserve"> initiatives</w:t>
      </w:r>
      <w:r>
        <w:fldChar w:fldCharType="begin"/>
      </w:r>
      <w:r>
        <w:instrText>xe "Service delivery:Service delivery initiatives"</w:instrText>
      </w:r>
      <w:r>
        <w:fldChar w:fldCharType="end"/>
      </w:r>
      <w:r>
        <w:fldChar w:fldCharType="begin"/>
      </w:r>
      <w:r>
        <w:instrText>xe "Service delivery initiatives"</w:instrText>
      </w:r>
      <w:r>
        <w:fldChar w:fldCharType="end"/>
      </w:r>
    </w:p>
    <w:p w:rsidR="00000000" w:rsidRDefault="001F233B">
      <w:r>
        <w:t>New service delivery</w:t>
      </w:r>
      <w:r>
        <w:fldChar w:fldCharType="begin"/>
      </w:r>
      <w:r>
        <w:instrText>xe "Service delivery"</w:instrText>
      </w:r>
      <w:r>
        <w:fldChar w:fldCharType="end"/>
      </w:r>
      <w:r>
        <w:t xml:space="preserve"> initiatives</w:t>
      </w:r>
      <w:r>
        <w:fldChar w:fldCharType="begin"/>
      </w:r>
      <w:r>
        <w:instrText>xe "Service delivery:Service delivery initiatives"</w:instrText>
      </w:r>
      <w:r>
        <w:fldChar w:fldCharType="end"/>
      </w:r>
      <w:r>
        <w:fldChar w:fldCharType="begin"/>
      </w:r>
      <w:r>
        <w:instrText>xe "Service delivery initiatives"</w:instrText>
      </w:r>
      <w:r>
        <w:fldChar w:fldCharType="end"/>
      </w:r>
      <w:r>
        <w:t xml:space="preserve"> increase operating expenses by $233.4 million in 1998</w:t>
      </w:r>
      <w:r>
        <w:noBreakHyphen/>
        <w:t>99 and $271.4 million in 1999</w:t>
      </w:r>
      <w:r>
        <w:noBreakHyphen/>
        <w:t>00. This has been partially funded by the re</w:t>
      </w:r>
      <w:r>
        <w:noBreakHyphen/>
        <w:t>prioritisation of resources across depa</w:t>
      </w:r>
      <w:r>
        <w:t>rtments of $125.2 million in 1998</w:t>
      </w:r>
      <w:r>
        <w:noBreakHyphen/>
        <w:t>99 (increasing to $126.6 million in 1999</w:t>
      </w:r>
      <w:r>
        <w:noBreakHyphen/>
        <w:t xml:space="preserve">00). The balance represents a net increase in departmental funding, including $75 million allocated from the </w:t>
      </w:r>
      <w:r>
        <w:lastRenderedPageBreak/>
        <w:t>demand contingency</w:t>
      </w:r>
      <w:r>
        <w:fldChar w:fldCharType="begin"/>
      </w:r>
      <w:r>
        <w:instrText>xe "Demand contingency"</w:instrText>
      </w:r>
      <w:r>
        <w:fldChar w:fldCharType="end"/>
      </w:r>
      <w:r>
        <w:t xml:space="preserve"> provision built into the forward estimates. The new initiatives are focused on health</w:t>
      </w:r>
      <w:r>
        <w:fldChar w:fldCharType="begin"/>
      </w:r>
      <w:r>
        <w:instrText>xe "Health"</w:instrText>
      </w:r>
      <w:r>
        <w:fldChar w:fldCharType="end"/>
      </w:r>
      <w:r>
        <w:t xml:space="preserve"> and education</w:t>
      </w:r>
      <w:r>
        <w:fldChar w:fldCharType="begin"/>
      </w:r>
      <w:r>
        <w:instrText>xe "Education"</w:instrText>
      </w:r>
      <w:r>
        <w:fldChar w:fldCharType="end"/>
      </w:r>
      <w:r>
        <w:t>.</w:t>
      </w:r>
    </w:p>
    <w:p w:rsidR="00000000" w:rsidRDefault="001F233B">
      <w:r>
        <w:t>Table 3.5 provides a summary of the 1998</w:t>
      </w:r>
      <w:r>
        <w:noBreakHyphen/>
        <w:t>99 Budget initiatives</w:t>
      </w:r>
      <w:r>
        <w:fldChar w:fldCharType="begin"/>
      </w:r>
      <w:r>
        <w:instrText>xe "Budget:1998</w:instrText>
      </w:r>
      <w:r>
        <w:noBreakHyphen/>
        <w:instrText>99 Budget initiatives"</w:instrText>
      </w:r>
      <w:r>
        <w:fldChar w:fldCharType="end"/>
      </w:r>
      <w:r>
        <w:t xml:space="preserve"> by department. Details of these initiatives are dis</w:t>
      </w:r>
      <w:r>
        <w:t xml:space="preserve">cussed in Chapter 4, </w:t>
      </w:r>
      <w:r>
        <w:rPr>
          <w:i/>
        </w:rPr>
        <w:t>Service Delivery</w:t>
      </w:r>
      <w:r>
        <w:rPr>
          <w:i/>
        </w:rPr>
        <w:fldChar w:fldCharType="begin"/>
      </w:r>
      <w:r>
        <w:rPr>
          <w:i/>
        </w:rPr>
        <w:instrText>xe "Service delivery"</w:instrText>
      </w:r>
      <w:r>
        <w:rPr>
          <w:i/>
        </w:rPr>
        <w:fldChar w:fldCharType="end"/>
      </w:r>
      <w:r>
        <w:t>.</w:t>
      </w:r>
    </w:p>
    <w:p w:rsidR="00000000" w:rsidRDefault="001F233B">
      <w:pPr>
        <w:pStyle w:val="Tableheading"/>
      </w:pPr>
      <w:bookmarkStart w:id="50" w:name="_Toc417119990"/>
      <w:bookmarkStart w:id="51" w:name="_Toc417552742"/>
      <w:bookmarkStart w:id="52" w:name="_Toc417119983"/>
      <w:r>
        <w:t>Table 3.5: New funding for service delivery</w:t>
      </w:r>
      <w:r>
        <w:fldChar w:fldCharType="begin"/>
      </w:r>
      <w:r>
        <w:instrText>xe "Service delivery"</w:instrText>
      </w:r>
      <w:r>
        <w:fldChar w:fldCharType="end"/>
      </w:r>
      <w:r>
        <w:t xml:space="preserve"> initiatives</w:t>
      </w:r>
      <w:r>
        <w:fldChar w:fldCharType="begin"/>
      </w:r>
      <w:r>
        <w:instrText>xe "Service delivery:Service delivery initiatives"</w:instrText>
      </w:r>
      <w:r>
        <w:fldChar w:fldCharType="end"/>
      </w:r>
      <w:r>
        <w:fldChar w:fldCharType="begin"/>
      </w:r>
      <w:r>
        <w:instrText>xe "Service delivery initiatives"</w:instrText>
      </w:r>
      <w:r>
        <w:fldChar w:fldCharType="end"/>
      </w:r>
      <w:r>
        <w:t xml:space="preserve"> announced as part of the 1998</w:t>
      </w:r>
      <w:r>
        <w:noBreakHyphen/>
        <w:t>99 Budget</w:t>
      </w:r>
      <w:bookmarkEnd w:id="50"/>
      <w:bookmarkEnd w:id="51"/>
    </w:p>
    <w:p w:rsidR="00000000" w:rsidRDefault="001F233B">
      <w:pPr>
        <w:spacing w:after="0"/>
        <w:jc w:val="center"/>
        <w:rPr>
          <w:rFonts w:ascii="Arial" w:hAnsi="Arial"/>
          <w:i/>
          <w:noProof/>
          <w:sz w:val="18"/>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4498"/>
        <w:gridCol w:w="21"/>
        <w:gridCol w:w="1113"/>
        <w:gridCol w:w="21"/>
        <w:gridCol w:w="1255"/>
        <w:gridCol w:w="21"/>
      </w:tblGrid>
      <w:tr w:rsidR="00000000">
        <w:tblPrEx>
          <w:tblCellMar>
            <w:top w:w="0" w:type="dxa"/>
            <w:bottom w:w="0" w:type="dxa"/>
          </w:tblCellMar>
        </w:tblPrEx>
        <w:trPr>
          <w:cantSplit/>
        </w:trPr>
        <w:tc>
          <w:tcPr>
            <w:tcW w:w="4519" w:type="dxa"/>
            <w:gridSpan w:val="2"/>
            <w:tcBorders>
              <w:top w:val="single" w:sz="6" w:space="0" w:color="auto"/>
              <w:bottom w:val="single" w:sz="6" w:space="0" w:color="auto"/>
            </w:tcBorders>
          </w:tcPr>
          <w:p w:rsidR="00000000" w:rsidRDefault="001F233B">
            <w:pPr>
              <w:pStyle w:val="Tabletextheading"/>
              <w:jc w:val="left"/>
              <w:rPr>
                <w:b w:val="0"/>
                <w:i/>
              </w:rPr>
            </w:pPr>
            <w:r>
              <w:rPr>
                <w:b w:val="0"/>
                <w:i/>
              </w:rPr>
              <w:t>Department</w:t>
            </w:r>
          </w:p>
        </w:tc>
        <w:tc>
          <w:tcPr>
            <w:tcW w:w="1134" w:type="dxa"/>
            <w:gridSpan w:val="2"/>
            <w:tcBorders>
              <w:top w:val="single" w:sz="6" w:space="0" w:color="auto"/>
              <w:bottom w:val="single" w:sz="6" w:space="0" w:color="auto"/>
            </w:tcBorders>
          </w:tcPr>
          <w:p w:rsidR="00000000" w:rsidRDefault="001F233B">
            <w:pPr>
              <w:pStyle w:val="Tabletextheading"/>
              <w:rPr>
                <w:b w:val="0"/>
                <w:i/>
                <w:color w:val="000000"/>
              </w:rPr>
            </w:pPr>
            <w:r>
              <w:rPr>
                <w:b w:val="0"/>
                <w:i/>
                <w:color w:val="000000"/>
              </w:rPr>
              <w:t>1998</w:t>
            </w:r>
            <w:r>
              <w:rPr>
                <w:b w:val="0"/>
                <w:i/>
                <w:color w:val="000000"/>
              </w:rPr>
              <w:noBreakHyphen/>
              <w:t>99</w:t>
            </w:r>
          </w:p>
          <w:p w:rsidR="00000000" w:rsidRDefault="001F233B">
            <w:pPr>
              <w:pStyle w:val="Tabletextheading"/>
              <w:rPr>
                <w:b w:val="0"/>
                <w:i/>
                <w:color w:val="000000"/>
              </w:rPr>
            </w:pPr>
            <w:r>
              <w:rPr>
                <w:b w:val="0"/>
                <w:i/>
                <w:color w:val="000000"/>
              </w:rPr>
              <w:t>Budget</w:t>
            </w:r>
          </w:p>
        </w:tc>
        <w:tc>
          <w:tcPr>
            <w:tcW w:w="1276" w:type="dxa"/>
            <w:gridSpan w:val="2"/>
            <w:tcBorders>
              <w:top w:val="single" w:sz="6" w:space="0" w:color="auto"/>
              <w:bottom w:val="single" w:sz="6" w:space="0" w:color="auto"/>
            </w:tcBorders>
          </w:tcPr>
          <w:p w:rsidR="00000000" w:rsidRDefault="001F233B">
            <w:pPr>
              <w:pStyle w:val="Tabletextheading"/>
              <w:rPr>
                <w:b w:val="0"/>
                <w:i/>
                <w:color w:val="000000"/>
              </w:rPr>
            </w:pPr>
            <w:r>
              <w:rPr>
                <w:b w:val="0"/>
                <w:i/>
                <w:color w:val="000000"/>
              </w:rPr>
              <w:t>1999-00</w:t>
            </w:r>
          </w:p>
          <w:p w:rsidR="00000000" w:rsidRDefault="001F233B">
            <w:pPr>
              <w:pStyle w:val="Tabletextheading"/>
              <w:rPr>
                <w:b w:val="0"/>
                <w:i/>
                <w:color w:val="000000"/>
              </w:rPr>
            </w:pPr>
            <w:r>
              <w:rPr>
                <w:b w:val="0"/>
                <w:i/>
                <w:color w:val="000000"/>
              </w:rPr>
              <w:t>Estimate</w:t>
            </w:r>
          </w:p>
        </w:tc>
      </w:tr>
      <w:tr w:rsidR="001F233B" w:rsidTr="001F233B">
        <w:tblPrEx>
          <w:tblCellMar>
            <w:top w:w="0" w:type="dxa"/>
            <w:bottom w:w="0" w:type="dxa"/>
          </w:tblCellMar>
        </w:tblPrEx>
        <w:trPr>
          <w:trHeight w:hRule="exact" w:val="240"/>
        </w:trPr>
        <w:tc>
          <w:tcPr>
            <w:tcW w:w="4519" w:type="dxa"/>
            <w:gridSpan w:val="2"/>
          </w:tcPr>
          <w:p w:rsidR="00000000" w:rsidRDefault="001F233B">
            <w:pPr>
              <w:pStyle w:val="Tabletext"/>
            </w:pPr>
            <w:r>
              <w:t>Education</w:t>
            </w:r>
            <w:r>
              <w:fldChar w:fldCharType="begin"/>
            </w:r>
            <w:r>
              <w:instrText>xe "Education"</w:instrText>
            </w:r>
            <w:r>
              <w:fldChar w:fldCharType="end"/>
            </w:r>
          </w:p>
        </w:tc>
        <w:tc>
          <w:tcPr>
            <w:tcW w:w="1134" w:type="dxa"/>
            <w:gridSpan w:val="2"/>
          </w:tcPr>
          <w:p w:rsidR="00000000" w:rsidRDefault="001F233B">
            <w:pPr>
              <w:pStyle w:val="TableofFigures"/>
            </w:pPr>
            <w:r>
              <w:t>63.5</w:t>
            </w:r>
          </w:p>
        </w:tc>
        <w:tc>
          <w:tcPr>
            <w:tcW w:w="1276" w:type="dxa"/>
            <w:gridSpan w:val="2"/>
          </w:tcPr>
          <w:p w:rsidR="00000000" w:rsidRDefault="001F233B">
            <w:pPr>
              <w:pStyle w:val="TableofFigures"/>
            </w:pPr>
            <w:r>
              <w:t>100.1</w:t>
            </w:r>
          </w:p>
        </w:tc>
      </w:tr>
      <w:tr w:rsidR="001F233B" w:rsidTr="001F233B">
        <w:tblPrEx>
          <w:tblCellMar>
            <w:top w:w="0" w:type="dxa"/>
            <w:bottom w:w="0" w:type="dxa"/>
          </w:tblCellMar>
        </w:tblPrEx>
        <w:trPr>
          <w:trHeight w:hRule="exact" w:val="240"/>
        </w:trPr>
        <w:tc>
          <w:tcPr>
            <w:tcW w:w="4519" w:type="dxa"/>
            <w:gridSpan w:val="2"/>
          </w:tcPr>
          <w:p w:rsidR="00000000" w:rsidRDefault="001F233B">
            <w:pPr>
              <w:pStyle w:val="Tabletext"/>
              <w:rPr>
                <w:color w:val="000000"/>
              </w:rPr>
            </w:pPr>
            <w:r>
              <w:rPr>
                <w:color w:val="000000"/>
              </w:rPr>
              <w:t>Human Services</w:t>
            </w:r>
          </w:p>
        </w:tc>
        <w:tc>
          <w:tcPr>
            <w:tcW w:w="1134" w:type="dxa"/>
            <w:gridSpan w:val="2"/>
          </w:tcPr>
          <w:p w:rsidR="00000000" w:rsidRDefault="001F233B">
            <w:pPr>
              <w:pStyle w:val="TableofFigures"/>
            </w:pPr>
            <w:r>
              <w:t>100.0</w:t>
            </w:r>
          </w:p>
        </w:tc>
        <w:tc>
          <w:tcPr>
            <w:tcW w:w="1276" w:type="dxa"/>
            <w:gridSpan w:val="2"/>
          </w:tcPr>
          <w:p w:rsidR="00000000" w:rsidRDefault="001F233B">
            <w:pPr>
              <w:pStyle w:val="TableofFigures"/>
            </w:pPr>
            <w:r>
              <w:t>117.6</w:t>
            </w:r>
          </w:p>
        </w:tc>
      </w:tr>
      <w:tr w:rsidR="001F233B" w:rsidTr="001F233B">
        <w:tblPrEx>
          <w:tblCellMar>
            <w:top w:w="0" w:type="dxa"/>
            <w:bottom w:w="0" w:type="dxa"/>
          </w:tblCellMar>
        </w:tblPrEx>
        <w:trPr>
          <w:trHeight w:hRule="exact" w:val="240"/>
        </w:trPr>
        <w:tc>
          <w:tcPr>
            <w:tcW w:w="4519" w:type="dxa"/>
            <w:gridSpan w:val="2"/>
          </w:tcPr>
          <w:p w:rsidR="00000000" w:rsidRDefault="001F233B">
            <w:pPr>
              <w:pStyle w:val="Tabletext"/>
              <w:rPr>
                <w:color w:val="000000"/>
              </w:rPr>
            </w:pPr>
            <w:r>
              <w:rPr>
                <w:color w:val="000000"/>
              </w:rPr>
              <w:t>Justice</w:t>
            </w:r>
          </w:p>
        </w:tc>
        <w:tc>
          <w:tcPr>
            <w:tcW w:w="1134" w:type="dxa"/>
            <w:gridSpan w:val="2"/>
          </w:tcPr>
          <w:p w:rsidR="00000000" w:rsidRDefault="001F233B">
            <w:pPr>
              <w:pStyle w:val="TableofFigures"/>
            </w:pPr>
            <w:r>
              <w:t>30.5</w:t>
            </w:r>
          </w:p>
        </w:tc>
        <w:tc>
          <w:tcPr>
            <w:tcW w:w="1276" w:type="dxa"/>
            <w:gridSpan w:val="2"/>
          </w:tcPr>
          <w:p w:rsidR="00000000" w:rsidRDefault="001F233B">
            <w:pPr>
              <w:pStyle w:val="TableofFigures"/>
            </w:pPr>
            <w:r>
              <w:t>22.7</w:t>
            </w:r>
          </w:p>
        </w:tc>
      </w:tr>
      <w:tr w:rsidR="001F233B" w:rsidTr="001F233B">
        <w:tblPrEx>
          <w:tblCellMar>
            <w:top w:w="0" w:type="dxa"/>
            <w:bottom w:w="0" w:type="dxa"/>
          </w:tblCellMar>
        </w:tblPrEx>
        <w:trPr>
          <w:trHeight w:hRule="exact" w:val="240"/>
        </w:trPr>
        <w:tc>
          <w:tcPr>
            <w:tcW w:w="4519" w:type="dxa"/>
            <w:gridSpan w:val="2"/>
          </w:tcPr>
          <w:p w:rsidR="00000000" w:rsidRDefault="001F233B">
            <w:pPr>
              <w:pStyle w:val="Tabletext"/>
              <w:rPr>
                <w:color w:val="000000"/>
              </w:rPr>
            </w:pPr>
            <w:r>
              <w:rPr>
                <w:color w:val="000000"/>
              </w:rPr>
              <w:t>Infrastructure</w:t>
            </w:r>
            <w:r>
              <w:rPr>
                <w:color w:val="000000"/>
              </w:rPr>
              <w:fldChar w:fldCharType="begin"/>
            </w:r>
            <w:r>
              <w:rPr>
                <w:color w:val="000000"/>
              </w:rPr>
              <w:instrText>xe "Economy:Infrastructure"</w:instrText>
            </w:r>
            <w:r>
              <w:rPr>
                <w:color w:val="000000"/>
              </w:rPr>
              <w:fldChar w:fldCharType="end"/>
            </w:r>
          </w:p>
        </w:tc>
        <w:tc>
          <w:tcPr>
            <w:tcW w:w="1134" w:type="dxa"/>
            <w:gridSpan w:val="2"/>
          </w:tcPr>
          <w:p w:rsidR="00000000" w:rsidRDefault="001F233B">
            <w:pPr>
              <w:pStyle w:val="TableofFigures"/>
            </w:pPr>
            <w:r>
              <w:t>5.9</w:t>
            </w:r>
          </w:p>
        </w:tc>
        <w:tc>
          <w:tcPr>
            <w:tcW w:w="1276" w:type="dxa"/>
            <w:gridSpan w:val="2"/>
          </w:tcPr>
          <w:p w:rsidR="00000000" w:rsidRDefault="001F233B">
            <w:pPr>
              <w:pStyle w:val="TableofFigures"/>
            </w:pPr>
            <w:r>
              <w:t>..</w:t>
            </w:r>
          </w:p>
        </w:tc>
      </w:tr>
      <w:tr w:rsidR="001F233B" w:rsidTr="001F233B">
        <w:tblPrEx>
          <w:tblCellMar>
            <w:top w:w="0" w:type="dxa"/>
            <w:bottom w:w="0" w:type="dxa"/>
          </w:tblCellMar>
        </w:tblPrEx>
        <w:trPr>
          <w:trHeight w:hRule="exact" w:val="240"/>
        </w:trPr>
        <w:tc>
          <w:tcPr>
            <w:tcW w:w="4519" w:type="dxa"/>
            <w:gridSpan w:val="2"/>
          </w:tcPr>
          <w:p w:rsidR="00000000" w:rsidRDefault="001F233B">
            <w:pPr>
              <w:pStyle w:val="Tabletext"/>
              <w:rPr>
                <w:color w:val="000000"/>
              </w:rPr>
            </w:pPr>
            <w:r>
              <w:rPr>
                <w:color w:val="000000"/>
              </w:rPr>
              <w:t>Natural Resources and Environment</w:t>
            </w:r>
            <w:r>
              <w:rPr>
                <w:color w:val="000000"/>
              </w:rPr>
              <w:fldChar w:fldCharType="begin"/>
            </w:r>
            <w:r>
              <w:rPr>
                <w:color w:val="000000"/>
              </w:rPr>
              <w:instrText xml:space="preserve">xe "Department </w:instrText>
            </w:r>
            <w:r>
              <w:rPr>
                <w:color w:val="000000"/>
              </w:rPr>
              <w:instrText>of Natural Resources and Environment"</w:instrText>
            </w:r>
            <w:r>
              <w:rPr>
                <w:color w:val="000000"/>
              </w:rPr>
              <w:fldChar w:fldCharType="end"/>
            </w:r>
          </w:p>
        </w:tc>
        <w:tc>
          <w:tcPr>
            <w:tcW w:w="1134" w:type="dxa"/>
            <w:gridSpan w:val="2"/>
          </w:tcPr>
          <w:p w:rsidR="00000000" w:rsidRDefault="001F233B">
            <w:pPr>
              <w:pStyle w:val="TableofFigures"/>
            </w:pPr>
            <w:r>
              <w:t>9.0</w:t>
            </w:r>
          </w:p>
        </w:tc>
        <w:tc>
          <w:tcPr>
            <w:tcW w:w="1276" w:type="dxa"/>
            <w:gridSpan w:val="2"/>
          </w:tcPr>
          <w:p w:rsidR="00000000" w:rsidRDefault="001F233B">
            <w:pPr>
              <w:pStyle w:val="TableofFigures"/>
            </w:pPr>
            <w:r>
              <w:t>10.1</w:t>
            </w:r>
          </w:p>
        </w:tc>
      </w:tr>
      <w:tr w:rsidR="001F233B" w:rsidTr="001F233B">
        <w:tblPrEx>
          <w:tblCellMar>
            <w:top w:w="0" w:type="dxa"/>
            <w:bottom w:w="0" w:type="dxa"/>
          </w:tblCellMar>
        </w:tblPrEx>
        <w:trPr>
          <w:trHeight w:hRule="exact" w:val="240"/>
        </w:trPr>
        <w:tc>
          <w:tcPr>
            <w:tcW w:w="4519" w:type="dxa"/>
            <w:gridSpan w:val="2"/>
          </w:tcPr>
          <w:p w:rsidR="00000000" w:rsidRDefault="001F233B">
            <w:pPr>
              <w:pStyle w:val="Tabletext"/>
              <w:rPr>
                <w:color w:val="000000"/>
              </w:rPr>
            </w:pPr>
            <w:r>
              <w:rPr>
                <w:color w:val="000000"/>
              </w:rPr>
              <w:t>Premier and Cabinet</w:t>
            </w:r>
          </w:p>
        </w:tc>
        <w:tc>
          <w:tcPr>
            <w:tcW w:w="1134" w:type="dxa"/>
            <w:gridSpan w:val="2"/>
          </w:tcPr>
          <w:p w:rsidR="00000000" w:rsidRDefault="001F233B">
            <w:pPr>
              <w:pStyle w:val="TableofFigures"/>
            </w:pPr>
            <w:r>
              <w:t>9.3</w:t>
            </w:r>
          </w:p>
        </w:tc>
        <w:tc>
          <w:tcPr>
            <w:tcW w:w="1276" w:type="dxa"/>
            <w:gridSpan w:val="2"/>
          </w:tcPr>
          <w:p w:rsidR="00000000" w:rsidRDefault="001F233B">
            <w:pPr>
              <w:pStyle w:val="TableofFigures"/>
            </w:pPr>
            <w:r>
              <w:t>8.8</w:t>
            </w:r>
          </w:p>
        </w:tc>
      </w:tr>
      <w:tr w:rsidR="001F233B" w:rsidTr="001F233B">
        <w:tblPrEx>
          <w:tblCellMar>
            <w:top w:w="0" w:type="dxa"/>
            <w:bottom w:w="0" w:type="dxa"/>
          </w:tblCellMar>
        </w:tblPrEx>
        <w:trPr>
          <w:trHeight w:hRule="exact" w:val="240"/>
        </w:trPr>
        <w:tc>
          <w:tcPr>
            <w:tcW w:w="4519" w:type="dxa"/>
            <w:gridSpan w:val="2"/>
          </w:tcPr>
          <w:p w:rsidR="00000000" w:rsidRDefault="001F233B">
            <w:pPr>
              <w:pStyle w:val="Tabletext"/>
              <w:rPr>
                <w:color w:val="000000"/>
              </w:rPr>
            </w:pPr>
            <w:r>
              <w:rPr>
                <w:color w:val="000000"/>
              </w:rPr>
              <w:t>State Development</w:t>
            </w:r>
          </w:p>
        </w:tc>
        <w:tc>
          <w:tcPr>
            <w:tcW w:w="1134" w:type="dxa"/>
            <w:gridSpan w:val="2"/>
          </w:tcPr>
          <w:p w:rsidR="00000000" w:rsidRDefault="001F233B">
            <w:pPr>
              <w:pStyle w:val="TableofFigures"/>
            </w:pPr>
            <w:r>
              <w:t>15.2</w:t>
            </w:r>
          </w:p>
        </w:tc>
        <w:tc>
          <w:tcPr>
            <w:tcW w:w="1276" w:type="dxa"/>
            <w:gridSpan w:val="2"/>
          </w:tcPr>
          <w:p w:rsidR="00000000" w:rsidRDefault="001F233B">
            <w:pPr>
              <w:pStyle w:val="TableofFigures"/>
            </w:pPr>
            <w:r>
              <w:t>12.1</w:t>
            </w:r>
          </w:p>
        </w:tc>
      </w:tr>
      <w:tr w:rsidR="001F233B" w:rsidTr="001F233B">
        <w:tblPrEx>
          <w:tblCellMar>
            <w:top w:w="0" w:type="dxa"/>
            <w:bottom w:w="0" w:type="dxa"/>
          </w:tblCellMar>
        </w:tblPrEx>
        <w:trPr>
          <w:trHeight w:hRule="exact" w:val="240"/>
        </w:trPr>
        <w:tc>
          <w:tcPr>
            <w:tcW w:w="4519" w:type="dxa"/>
            <w:gridSpan w:val="2"/>
          </w:tcPr>
          <w:p w:rsidR="00000000" w:rsidRDefault="001F233B">
            <w:pPr>
              <w:pStyle w:val="Tabletext"/>
              <w:rPr>
                <w:color w:val="000000"/>
              </w:rPr>
            </w:pPr>
            <w:r>
              <w:rPr>
                <w:color w:val="000000"/>
              </w:rPr>
              <w:t>Treasury and Finance</w:t>
            </w:r>
          </w:p>
        </w:tc>
        <w:tc>
          <w:tcPr>
            <w:tcW w:w="1134" w:type="dxa"/>
            <w:gridSpan w:val="2"/>
            <w:tcBorders>
              <w:bottom w:val="single" w:sz="6" w:space="0" w:color="auto"/>
            </w:tcBorders>
          </w:tcPr>
          <w:p w:rsidR="00000000" w:rsidRDefault="001F233B">
            <w:pPr>
              <w:pStyle w:val="TableofFigures"/>
            </w:pPr>
            <w:r>
              <w:t xml:space="preserve"> ..</w:t>
            </w:r>
          </w:p>
        </w:tc>
        <w:tc>
          <w:tcPr>
            <w:tcW w:w="1276" w:type="dxa"/>
            <w:gridSpan w:val="2"/>
            <w:tcBorders>
              <w:bottom w:val="single" w:sz="6" w:space="0" w:color="auto"/>
            </w:tcBorders>
          </w:tcPr>
          <w:p w:rsidR="00000000" w:rsidRDefault="001F233B">
            <w:pPr>
              <w:pStyle w:val="TableofFigures"/>
            </w:pPr>
            <w:r>
              <w:t xml:space="preserve"> ..</w:t>
            </w:r>
          </w:p>
        </w:tc>
      </w:tr>
      <w:tr w:rsidR="00000000">
        <w:tblPrEx>
          <w:tblCellMar>
            <w:top w:w="0" w:type="dxa"/>
            <w:bottom w:w="0" w:type="dxa"/>
          </w:tblCellMar>
        </w:tblPrEx>
        <w:trPr>
          <w:gridAfter w:val="1"/>
          <w:wAfter w:w="21" w:type="dxa"/>
          <w:cantSplit/>
          <w:trHeight w:hRule="exact" w:val="260"/>
        </w:trPr>
        <w:tc>
          <w:tcPr>
            <w:tcW w:w="4498" w:type="dxa"/>
            <w:tcBorders>
              <w:top w:val="single" w:sz="6" w:space="0" w:color="auto"/>
              <w:bottom w:val="single" w:sz="6" w:space="0" w:color="auto"/>
            </w:tcBorders>
          </w:tcPr>
          <w:p w:rsidR="00000000" w:rsidRDefault="001F233B">
            <w:pPr>
              <w:pStyle w:val="Tabletext"/>
              <w:rPr>
                <w:b/>
                <w:color w:val="000000"/>
              </w:rPr>
            </w:pPr>
            <w:r>
              <w:rPr>
                <w:b/>
                <w:color w:val="000000"/>
              </w:rPr>
              <w:t>Total</w:t>
            </w:r>
          </w:p>
        </w:tc>
        <w:tc>
          <w:tcPr>
            <w:tcW w:w="1134" w:type="dxa"/>
            <w:gridSpan w:val="2"/>
            <w:tcBorders>
              <w:top w:val="single" w:sz="6" w:space="0" w:color="auto"/>
              <w:bottom w:val="single" w:sz="6" w:space="0" w:color="auto"/>
            </w:tcBorders>
          </w:tcPr>
          <w:p w:rsidR="00000000" w:rsidRDefault="001F233B">
            <w:pPr>
              <w:pStyle w:val="TableofFigures"/>
            </w:pPr>
            <w:r>
              <w:t>233.4</w:t>
            </w:r>
          </w:p>
        </w:tc>
        <w:tc>
          <w:tcPr>
            <w:tcW w:w="1276" w:type="dxa"/>
            <w:gridSpan w:val="2"/>
            <w:tcBorders>
              <w:top w:val="single" w:sz="6" w:space="0" w:color="auto"/>
              <w:bottom w:val="single" w:sz="6" w:space="0" w:color="auto"/>
            </w:tcBorders>
          </w:tcPr>
          <w:p w:rsidR="00000000" w:rsidRDefault="001F233B">
            <w:pPr>
              <w:pStyle w:val="TableofFigures"/>
            </w:pPr>
            <w:r>
              <w:t>271.4</w:t>
            </w:r>
          </w:p>
        </w:tc>
      </w:tr>
    </w:tbl>
    <w:p w:rsidR="00000000" w:rsidRDefault="001F233B">
      <w:pPr>
        <w:pStyle w:val="Source"/>
      </w:pPr>
      <w:r>
        <w:t>Source: Department of Treasury and Finance.</w:t>
      </w:r>
    </w:p>
    <w:bookmarkEnd w:id="52"/>
    <w:p w:rsidR="00000000" w:rsidRDefault="001F233B">
      <w:pPr>
        <w:pStyle w:val="Heading3"/>
      </w:pPr>
      <w:r>
        <w:t>Tax initiatives</w:t>
      </w:r>
      <w:r>
        <w:fldChar w:fldCharType="begin"/>
      </w:r>
      <w:r>
        <w:instrText>xe "Tax:Initiatives"</w:instrText>
      </w:r>
      <w:r>
        <w:fldChar w:fldCharType="end"/>
      </w:r>
    </w:p>
    <w:p w:rsidR="00000000" w:rsidRDefault="001F233B">
      <w:r>
        <w:t>This Budget provides a further $132 million in tax relief for Victorian firms and households. This is in addition to the $209 million in payroll and fuel tax</w:t>
      </w:r>
      <w:r>
        <w:fldChar w:fldCharType="begin"/>
      </w:r>
      <w:r>
        <w:instrText>xe "Tax:Fuel tax"</w:instrText>
      </w:r>
      <w:r>
        <w:fldChar w:fldCharType="end"/>
      </w:r>
      <w:r>
        <w:t xml:space="preserve"> cuts and $2 million in stamp duty relief announced in the 1997</w:t>
      </w:r>
      <w:r>
        <w:noBreakHyphen/>
        <w:t>98 Budget and an estimated $33</w:t>
      </w:r>
      <w:r>
        <w:t> million in land tax relief as estimated at the time the land tax reforms were announced in November 1997. The Budget provides for:</w:t>
      </w:r>
    </w:p>
    <w:p w:rsidR="00000000" w:rsidRDefault="001F233B" w:rsidP="001F233B">
      <w:pPr>
        <w:pStyle w:val="BulletText"/>
        <w:numPr>
          <w:ilvl w:val="0"/>
          <w:numId w:val="1"/>
        </w:numPr>
      </w:pPr>
      <w:r>
        <w:t>an additional $90 million cut in payroll tax</w:t>
      </w:r>
      <w:r>
        <w:fldChar w:fldCharType="begin"/>
      </w:r>
      <w:r>
        <w:instrText>xe "Tax:Payroll tax"</w:instrText>
      </w:r>
      <w:r>
        <w:fldChar w:fldCharType="end"/>
      </w:r>
      <w:r>
        <w:fldChar w:fldCharType="begin"/>
      </w:r>
      <w:r>
        <w:instrText>xe "Payroll tax"</w:instrText>
      </w:r>
      <w:r>
        <w:fldChar w:fldCharType="end"/>
      </w:r>
      <w:r>
        <w:t>;</w:t>
      </w:r>
    </w:p>
    <w:p w:rsidR="00000000" w:rsidRDefault="001F233B" w:rsidP="001F233B">
      <w:pPr>
        <w:pStyle w:val="BulletText"/>
        <w:numPr>
          <w:ilvl w:val="0"/>
          <w:numId w:val="1"/>
        </w:numPr>
      </w:pPr>
      <w:r>
        <w:t>a $42 million reduction in stamp duty on conveyancing</w:t>
      </w:r>
      <w:r>
        <w:fldChar w:fldCharType="begin"/>
      </w:r>
      <w:r>
        <w:instrText>xe "Stamp duty:Conveyancing"</w:instrText>
      </w:r>
      <w:r>
        <w:fldChar w:fldCharType="end"/>
      </w:r>
      <w:r>
        <w:t>; and</w:t>
      </w:r>
    </w:p>
    <w:p w:rsidR="00000000" w:rsidRDefault="001F233B" w:rsidP="001F233B">
      <w:pPr>
        <w:pStyle w:val="BulletText"/>
        <w:numPr>
          <w:ilvl w:val="0"/>
          <w:numId w:val="1"/>
        </w:numPr>
      </w:pPr>
      <w:r>
        <w:t>full exemption from Financial Institutions Duty and Debits Tax whenever closure of a local bank branch forces customers to move their accounts.</w:t>
      </w:r>
    </w:p>
    <w:p w:rsidR="00000000" w:rsidRDefault="001F233B">
      <w:r>
        <w:t>Full details on the 1998</w:t>
      </w:r>
      <w:r>
        <w:noBreakHyphen/>
        <w:t>99 tax measures are provided in Chap</w:t>
      </w:r>
      <w:r>
        <w:t xml:space="preserve">ter 5, </w:t>
      </w:r>
      <w:r>
        <w:rPr>
          <w:i/>
        </w:rPr>
        <w:t>Revenue.</w:t>
      </w:r>
    </w:p>
    <w:p w:rsidR="00000000" w:rsidRDefault="001F233B">
      <w:pPr>
        <w:pStyle w:val="Heading3"/>
      </w:pPr>
      <w:r>
        <w:t>Winter power bonus</w:t>
      </w:r>
      <w:r>
        <w:fldChar w:fldCharType="begin"/>
      </w:r>
      <w:r>
        <w:instrText>xe "Winter power bonus"</w:instrText>
      </w:r>
      <w:r>
        <w:fldChar w:fldCharType="end"/>
      </w:r>
    </w:p>
    <w:p w:rsidR="00000000" w:rsidRDefault="001F233B">
      <w:r>
        <w:t>The Government has also announced plans to provide to household and small business electricity</w:t>
      </w:r>
      <w:r>
        <w:fldChar w:fldCharType="begin"/>
      </w:r>
      <w:r>
        <w:instrText>xe "Electricity"</w:instrText>
      </w:r>
      <w:r>
        <w:fldChar w:fldCharType="end"/>
      </w:r>
      <w:r>
        <w:t xml:space="preserve"> consumers in Victoria a Winter Power Bonus</w:t>
      </w:r>
      <w:r>
        <w:fldChar w:fldCharType="begin"/>
      </w:r>
      <w:r>
        <w:instrText>xe "Winter power bonus"</w:instrText>
      </w:r>
      <w:r>
        <w:fldChar w:fldCharType="end"/>
      </w:r>
      <w:r>
        <w:t xml:space="preserve"> in the form of a $60 yearly reduction on winter electricity accounts over the next three years. This initiative will cost around $369 million. It will be funded by a reduction in </w:t>
      </w:r>
      <w:r>
        <w:lastRenderedPageBreak/>
        <w:t>revenue of approximately $85 million from the remaining franchise fees receivable from the e</w:t>
      </w:r>
      <w:r>
        <w:t>lectricity distribution businesses, and cash payments of approximately $284 million to those businesses by the State.</w:t>
      </w:r>
    </w:p>
    <w:p w:rsidR="00000000" w:rsidRDefault="001F233B">
      <w:pPr>
        <w:pStyle w:val="Heading3"/>
        <w:spacing w:before="120"/>
      </w:pPr>
      <w:r>
        <w:t>Investment</w:t>
      </w:r>
      <w:r>
        <w:fldChar w:fldCharType="begin"/>
      </w:r>
      <w:r>
        <w:instrText>xe "Economy:Investment"</w:instrText>
      </w:r>
      <w:r>
        <w:fldChar w:fldCharType="end"/>
      </w:r>
      <w:r>
        <w:t xml:space="preserve"> in infrastructure</w:t>
      </w:r>
      <w:r>
        <w:fldChar w:fldCharType="begin"/>
      </w:r>
      <w:r>
        <w:instrText>xe "Economy:Infrastructure"</w:instrText>
      </w:r>
      <w:r>
        <w:fldChar w:fldCharType="end"/>
      </w:r>
    </w:p>
    <w:p w:rsidR="00000000" w:rsidRDefault="001F233B">
      <w:r>
        <w:t>New infrastructure</w:t>
      </w:r>
      <w:r>
        <w:fldChar w:fldCharType="begin"/>
      </w:r>
      <w:r>
        <w:instrText>xe "Economy:Infrastructure"</w:instrText>
      </w:r>
      <w:r>
        <w:fldChar w:fldCharType="end"/>
      </w:r>
      <w:r>
        <w:t xml:space="preserve"> projects amounting to a total estimated cost of $755 million will commence in 1998</w:t>
      </w:r>
      <w:r>
        <w:noBreakHyphen/>
        <w:t>99. Table 3.6 provides a summary of the 1998</w:t>
      </w:r>
      <w:r>
        <w:noBreakHyphen/>
        <w:t>99 Budget initiatives</w:t>
      </w:r>
      <w:r>
        <w:fldChar w:fldCharType="begin"/>
      </w:r>
      <w:r>
        <w:instrText>xe "Budget:1998</w:instrText>
      </w:r>
      <w:r>
        <w:noBreakHyphen/>
        <w:instrText>99 Budget initiatives"</w:instrText>
      </w:r>
      <w:r>
        <w:fldChar w:fldCharType="end"/>
      </w:r>
      <w:r>
        <w:t xml:space="preserve"> by department. Budget Paper No. 3 provides additional details on these pr</w:t>
      </w:r>
      <w:r>
        <w:t>ojects.</w:t>
      </w:r>
    </w:p>
    <w:p w:rsidR="00000000" w:rsidRDefault="001F233B">
      <w:pPr>
        <w:pStyle w:val="Tableheading"/>
        <w:keepNext/>
        <w:spacing w:before="120" w:after="0"/>
      </w:pPr>
      <w:bookmarkStart w:id="53" w:name="_Toc417119984"/>
      <w:bookmarkStart w:id="54" w:name="_Toc417552743"/>
      <w:r>
        <w:t>Table 3.6: Funding for new infrastructure</w:t>
      </w:r>
      <w:r>
        <w:fldChar w:fldCharType="begin"/>
      </w:r>
      <w:r>
        <w:instrText>xe "Economy:Infrastructure"</w:instrText>
      </w:r>
      <w:r>
        <w:fldChar w:fldCharType="end"/>
      </w:r>
      <w:r>
        <w:t xml:space="preserve"> projects to be commenced in 1998</w:t>
      </w:r>
      <w:r>
        <w:noBreakHyphen/>
        <w:t xml:space="preserve">99 </w:t>
      </w:r>
      <w:r>
        <w:rPr>
          <w:i/>
          <w:sz w:val="22"/>
          <w:vertAlign w:val="superscript"/>
        </w:rPr>
        <w:t>(a)</w:t>
      </w:r>
      <w:bookmarkEnd w:id="53"/>
      <w:bookmarkEnd w:id="54"/>
    </w:p>
    <w:p w:rsidR="00000000" w:rsidRDefault="001F233B">
      <w:pPr>
        <w:spacing w:after="0"/>
        <w:jc w:val="center"/>
        <w:rPr>
          <w:rFonts w:ascii="Arial" w:hAnsi="Arial"/>
          <w:i/>
          <w:noProof/>
          <w:sz w:val="18"/>
        </w:rPr>
      </w:pPr>
      <w:r>
        <w:rPr>
          <w:rFonts w:ascii="Arial" w:hAnsi="Arial"/>
          <w:i/>
          <w:sz w:val="18"/>
        </w:rPr>
        <w:t>$ million</w:t>
      </w:r>
    </w:p>
    <w:tbl>
      <w:tblPr>
        <w:tblW w:w="0" w:type="auto"/>
        <w:jc w:val="center"/>
        <w:tblLayout w:type="fixed"/>
        <w:tblCellMar>
          <w:left w:w="30" w:type="dxa"/>
          <w:right w:w="30" w:type="dxa"/>
        </w:tblCellMar>
        <w:tblLook w:val="0000" w:firstRow="0" w:lastRow="0" w:firstColumn="0" w:lastColumn="0" w:noHBand="0" w:noVBand="0"/>
      </w:tblPr>
      <w:tblGrid>
        <w:gridCol w:w="2269"/>
        <w:gridCol w:w="1134"/>
        <w:gridCol w:w="851"/>
        <w:gridCol w:w="992"/>
        <w:gridCol w:w="992"/>
        <w:gridCol w:w="851"/>
      </w:tblGrid>
      <w:tr w:rsidR="00000000">
        <w:tblPrEx>
          <w:tblCellMar>
            <w:top w:w="0" w:type="dxa"/>
            <w:bottom w:w="0" w:type="dxa"/>
          </w:tblCellMar>
        </w:tblPrEx>
        <w:trPr>
          <w:jc w:val="center"/>
        </w:trPr>
        <w:tc>
          <w:tcPr>
            <w:tcW w:w="2269" w:type="dxa"/>
            <w:tcBorders>
              <w:top w:val="single" w:sz="6" w:space="0" w:color="auto"/>
              <w:bottom w:val="single" w:sz="6" w:space="0" w:color="auto"/>
            </w:tcBorders>
          </w:tcPr>
          <w:p w:rsidR="00000000" w:rsidRDefault="001F233B">
            <w:pPr>
              <w:pStyle w:val="Tabletextheading"/>
              <w:jc w:val="left"/>
              <w:rPr>
                <w:b w:val="0"/>
                <w:i/>
              </w:rPr>
            </w:pPr>
            <w:r>
              <w:rPr>
                <w:b w:val="0"/>
                <w:i/>
              </w:rPr>
              <w:t>Department</w:t>
            </w:r>
          </w:p>
        </w:tc>
        <w:tc>
          <w:tcPr>
            <w:tcW w:w="1134" w:type="dxa"/>
            <w:tcBorders>
              <w:top w:val="single" w:sz="6" w:space="0" w:color="auto"/>
              <w:bottom w:val="single" w:sz="6" w:space="0" w:color="auto"/>
            </w:tcBorders>
          </w:tcPr>
          <w:p w:rsidR="00000000" w:rsidRDefault="001F233B">
            <w:pPr>
              <w:pStyle w:val="Tabletextheading"/>
              <w:rPr>
                <w:b w:val="0"/>
                <w:i/>
                <w:color w:val="000000"/>
              </w:rPr>
            </w:pPr>
            <w:r>
              <w:rPr>
                <w:b w:val="0"/>
                <w:i/>
                <w:color w:val="000000"/>
              </w:rPr>
              <w:t>Total</w:t>
            </w:r>
            <w:r>
              <w:rPr>
                <w:b w:val="0"/>
                <w:i/>
                <w:color w:val="000000"/>
              </w:rPr>
              <w:br/>
              <w:t>Estimated</w:t>
            </w:r>
            <w:r>
              <w:rPr>
                <w:b w:val="0"/>
                <w:i/>
                <w:color w:val="000000"/>
              </w:rPr>
              <w:br/>
              <w:t>Cost</w:t>
            </w:r>
          </w:p>
        </w:tc>
        <w:tc>
          <w:tcPr>
            <w:tcW w:w="851" w:type="dxa"/>
            <w:tcBorders>
              <w:top w:val="single" w:sz="6" w:space="0" w:color="auto"/>
              <w:bottom w:val="single" w:sz="6" w:space="0" w:color="auto"/>
            </w:tcBorders>
          </w:tcPr>
          <w:p w:rsidR="00000000" w:rsidRDefault="001F233B">
            <w:pPr>
              <w:pStyle w:val="Tabletextheading"/>
              <w:ind w:right="-2"/>
              <w:rPr>
                <w:b w:val="0"/>
                <w:i/>
                <w:color w:val="000000"/>
              </w:rPr>
            </w:pPr>
            <w:r>
              <w:rPr>
                <w:b w:val="0"/>
                <w:i/>
                <w:color w:val="000000"/>
              </w:rPr>
              <w:t>1998</w:t>
            </w:r>
            <w:r>
              <w:rPr>
                <w:b w:val="0"/>
                <w:i/>
                <w:color w:val="000000"/>
              </w:rPr>
              <w:noBreakHyphen/>
              <w:t>99</w:t>
            </w:r>
          </w:p>
          <w:p w:rsidR="00000000" w:rsidRDefault="001F233B">
            <w:pPr>
              <w:pStyle w:val="Tabletextheading"/>
              <w:ind w:left="-17" w:right="-2"/>
              <w:rPr>
                <w:b w:val="0"/>
                <w:i/>
                <w:color w:val="000000"/>
              </w:rPr>
            </w:pPr>
            <w:r>
              <w:rPr>
                <w:b w:val="0"/>
                <w:i/>
                <w:color w:val="000000"/>
              </w:rPr>
              <w:t>Budget</w:t>
            </w:r>
          </w:p>
        </w:tc>
        <w:tc>
          <w:tcPr>
            <w:tcW w:w="992" w:type="dxa"/>
            <w:tcBorders>
              <w:top w:val="single" w:sz="6" w:space="0" w:color="auto"/>
              <w:bottom w:val="single" w:sz="6" w:space="0" w:color="auto"/>
            </w:tcBorders>
          </w:tcPr>
          <w:p w:rsidR="00000000" w:rsidRDefault="001F233B">
            <w:pPr>
              <w:pStyle w:val="Tabletextheading"/>
              <w:rPr>
                <w:b w:val="0"/>
                <w:i/>
                <w:color w:val="000000"/>
              </w:rPr>
            </w:pPr>
            <w:r>
              <w:rPr>
                <w:b w:val="0"/>
                <w:i/>
                <w:color w:val="000000"/>
              </w:rPr>
              <w:t>1999-00</w:t>
            </w:r>
          </w:p>
          <w:p w:rsidR="00000000" w:rsidRDefault="001F233B">
            <w:pPr>
              <w:pStyle w:val="Tabletextheading"/>
              <w:rPr>
                <w:b w:val="0"/>
                <w:i/>
                <w:color w:val="000000"/>
              </w:rPr>
            </w:pPr>
            <w:r>
              <w:rPr>
                <w:b w:val="0"/>
                <w:i/>
                <w:color w:val="000000"/>
              </w:rPr>
              <w:t>Estimate</w:t>
            </w:r>
          </w:p>
        </w:tc>
        <w:tc>
          <w:tcPr>
            <w:tcW w:w="992" w:type="dxa"/>
            <w:tcBorders>
              <w:top w:val="single" w:sz="6" w:space="0" w:color="auto"/>
              <w:bottom w:val="single" w:sz="6" w:space="0" w:color="auto"/>
            </w:tcBorders>
          </w:tcPr>
          <w:p w:rsidR="00000000" w:rsidRDefault="001F233B">
            <w:pPr>
              <w:pStyle w:val="Tabletextheading"/>
              <w:rPr>
                <w:b w:val="0"/>
                <w:i/>
                <w:color w:val="000000"/>
              </w:rPr>
            </w:pPr>
            <w:r>
              <w:rPr>
                <w:b w:val="0"/>
                <w:i/>
                <w:color w:val="000000"/>
              </w:rPr>
              <w:t>2000</w:t>
            </w:r>
            <w:r>
              <w:rPr>
                <w:b w:val="0"/>
                <w:i/>
                <w:color w:val="000000"/>
              </w:rPr>
              <w:noBreakHyphen/>
              <w:t>01</w:t>
            </w:r>
          </w:p>
          <w:p w:rsidR="00000000" w:rsidRDefault="001F233B">
            <w:pPr>
              <w:pStyle w:val="Tabletextheading"/>
              <w:rPr>
                <w:b w:val="0"/>
                <w:i/>
                <w:color w:val="000000"/>
              </w:rPr>
            </w:pPr>
            <w:r>
              <w:rPr>
                <w:b w:val="0"/>
                <w:i/>
                <w:color w:val="000000"/>
              </w:rPr>
              <w:t>Estimate</w:t>
            </w:r>
          </w:p>
        </w:tc>
        <w:tc>
          <w:tcPr>
            <w:tcW w:w="851" w:type="dxa"/>
            <w:tcBorders>
              <w:top w:val="single" w:sz="6" w:space="0" w:color="auto"/>
              <w:bottom w:val="single" w:sz="6" w:space="0" w:color="auto"/>
            </w:tcBorders>
          </w:tcPr>
          <w:p w:rsidR="00000000" w:rsidRDefault="001F233B">
            <w:pPr>
              <w:pStyle w:val="Tabletextheading"/>
              <w:rPr>
                <w:b w:val="0"/>
                <w:i/>
                <w:color w:val="000000"/>
              </w:rPr>
            </w:pPr>
            <w:r>
              <w:rPr>
                <w:b w:val="0"/>
                <w:i/>
                <w:color w:val="000000"/>
              </w:rPr>
              <w:t>2001</w:t>
            </w:r>
            <w:r>
              <w:rPr>
                <w:b w:val="0"/>
                <w:i/>
                <w:color w:val="000000"/>
              </w:rPr>
              <w:noBreakHyphen/>
              <w:t>02</w:t>
            </w:r>
          </w:p>
          <w:p w:rsidR="00000000" w:rsidRDefault="001F233B">
            <w:pPr>
              <w:pStyle w:val="Tabletextheading"/>
              <w:rPr>
                <w:b w:val="0"/>
                <w:i/>
                <w:color w:val="000000"/>
              </w:rPr>
            </w:pPr>
            <w:r>
              <w:rPr>
                <w:b w:val="0"/>
                <w:i/>
                <w:color w:val="000000"/>
              </w:rPr>
              <w:t>Estimate</w:t>
            </w:r>
          </w:p>
        </w:tc>
      </w:tr>
      <w:tr w:rsidR="00000000">
        <w:tblPrEx>
          <w:tblCellMar>
            <w:top w:w="0" w:type="dxa"/>
            <w:bottom w:w="0" w:type="dxa"/>
          </w:tblCellMar>
        </w:tblPrEx>
        <w:trPr>
          <w:trHeight w:hRule="exact" w:val="260"/>
          <w:jc w:val="center"/>
        </w:trPr>
        <w:tc>
          <w:tcPr>
            <w:tcW w:w="2269" w:type="dxa"/>
          </w:tcPr>
          <w:p w:rsidR="00000000" w:rsidRDefault="001F233B">
            <w:pPr>
              <w:pStyle w:val="Tabletext"/>
            </w:pPr>
            <w:r>
              <w:t>Education</w:t>
            </w:r>
            <w:r>
              <w:fldChar w:fldCharType="begin"/>
            </w:r>
            <w:r>
              <w:instrText>xe "Education"</w:instrText>
            </w:r>
            <w:r>
              <w:fldChar w:fldCharType="end"/>
            </w:r>
          </w:p>
        </w:tc>
        <w:tc>
          <w:tcPr>
            <w:tcW w:w="1134" w:type="dxa"/>
          </w:tcPr>
          <w:p w:rsidR="00000000" w:rsidRDefault="001F233B">
            <w:pPr>
              <w:pStyle w:val="TableofFigures"/>
            </w:pPr>
            <w:r>
              <w:t xml:space="preserve"> 114.7 </w:t>
            </w:r>
          </w:p>
        </w:tc>
        <w:tc>
          <w:tcPr>
            <w:tcW w:w="851" w:type="dxa"/>
          </w:tcPr>
          <w:p w:rsidR="00000000" w:rsidRDefault="001F233B">
            <w:pPr>
              <w:pStyle w:val="TableofFigures"/>
            </w:pPr>
            <w:r>
              <w:t xml:space="preserve"> 66.4 </w:t>
            </w:r>
          </w:p>
        </w:tc>
        <w:tc>
          <w:tcPr>
            <w:tcW w:w="992" w:type="dxa"/>
          </w:tcPr>
          <w:p w:rsidR="00000000" w:rsidRDefault="001F233B">
            <w:pPr>
              <w:pStyle w:val="TableofFigures"/>
            </w:pPr>
            <w:r>
              <w:t xml:space="preserve"> 48.2 </w:t>
            </w:r>
          </w:p>
        </w:tc>
        <w:tc>
          <w:tcPr>
            <w:tcW w:w="992" w:type="dxa"/>
          </w:tcPr>
          <w:p w:rsidR="00000000" w:rsidRDefault="001F233B">
            <w:pPr>
              <w:pStyle w:val="TableofFigures"/>
            </w:pPr>
            <w:r>
              <w:t>..</w:t>
            </w:r>
          </w:p>
        </w:tc>
        <w:tc>
          <w:tcPr>
            <w:tcW w:w="851" w:type="dxa"/>
          </w:tcPr>
          <w:p w:rsidR="00000000" w:rsidRDefault="001F233B">
            <w:pPr>
              <w:pStyle w:val="TableofFigures"/>
            </w:pPr>
            <w:r>
              <w:t>..</w:t>
            </w:r>
          </w:p>
        </w:tc>
      </w:tr>
      <w:tr w:rsidR="00000000">
        <w:tblPrEx>
          <w:tblCellMar>
            <w:top w:w="0" w:type="dxa"/>
            <w:bottom w:w="0" w:type="dxa"/>
          </w:tblCellMar>
        </w:tblPrEx>
        <w:trPr>
          <w:trHeight w:hRule="exact" w:val="260"/>
          <w:jc w:val="center"/>
        </w:trPr>
        <w:tc>
          <w:tcPr>
            <w:tcW w:w="2269" w:type="dxa"/>
          </w:tcPr>
          <w:p w:rsidR="00000000" w:rsidRDefault="001F233B">
            <w:pPr>
              <w:pStyle w:val="Tabletext"/>
            </w:pPr>
            <w:r>
              <w:t>Human Services</w:t>
            </w:r>
          </w:p>
        </w:tc>
        <w:tc>
          <w:tcPr>
            <w:tcW w:w="1134" w:type="dxa"/>
          </w:tcPr>
          <w:p w:rsidR="00000000" w:rsidRDefault="001F233B">
            <w:pPr>
              <w:pStyle w:val="TableofFigures"/>
            </w:pPr>
            <w:r>
              <w:t xml:space="preserve"> 168.9 </w:t>
            </w:r>
          </w:p>
        </w:tc>
        <w:tc>
          <w:tcPr>
            <w:tcW w:w="851" w:type="dxa"/>
          </w:tcPr>
          <w:p w:rsidR="00000000" w:rsidRDefault="001F233B">
            <w:pPr>
              <w:pStyle w:val="TableofFigures"/>
            </w:pPr>
            <w:r>
              <w:t xml:space="preserve"> 64.0 </w:t>
            </w:r>
          </w:p>
        </w:tc>
        <w:tc>
          <w:tcPr>
            <w:tcW w:w="992" w:type="dxa"/>
          </w:tcPr>
          <w:p w:rsidR="00000000" w:rsidRDefault="001F233B">
            <w:pPr>
              <w:pStyle w:val="TableofFigures"/>
            </w:pPr>
            <w:r>
              <w:t xml:space="preserve"> 84.1 </w:t>
            </w:r>
          </w:p>
        </w:tc>
        <w:tc>
          <w:tcPr>
            <w:tcW w:w="992" w:type="dxa"/>
          </w:tcPr>
          <w:p w:rsidR="00000000" w:rsidRDefault="001F233B">
            <w:pPr>
              <w:pStyle w:val="TableofFigures"/>
            </w:pPr>
            <w:r>
              <w:t xml:space="preserve"> 19.9 </w:t>
            </w:r>
          </w:p>
        </w:tc>
        <w:tc>
          <w:tcPr>
            <w:tcW w:w="851" w:type="dxa"/>
          </w:tcPr>
          <w:p w:rsidR="00000000" w:rsidRDefault="001F233B">
            <w:pPr>
              <w:pStyle w:val="TableofFigures"/>
            </w:pPr>
            <w:r>
              <w:t xml:space="preserve"> ..</w:t>
            </w:r>
          </w:p>
        </w:tc>
      </w:tr>
      <w:tr w:rsidR="00000000">
        <w:tblPrEx>
          <w:tblCellMar>
            <w:top w:w="0" w:type="dxa"/>
            <w:bottom w:w="0" w:type="dxa"/>
          </w:tblCellMar>
        </w:tblPrEx>
        <w:trPr>
          <w:trHeight w:hRule="exact" w:val="260"/>
          <w:jc w:val="center"/>
        </w:trPr>
        <w:tc>
          <w:tcPr>
            <w:tcW w:w="2269" w:type="dxa"/>
          </w:tcPr>
          <w:p w:rsidR="00000000" w:rsidRDefault="001F233B">
            <w:pPr>
              <w:pStyle w:val="Tabletext"/>
            </w:pPr>
            <w:r>
              <w:t>Infrastructure</w:t>
            </w:r>
            <w:r>
              <w:fldChar w:fldCharType="begin"/>
            </w:r>
            <w:r>
              <w:instrText>xe "Economy:Infrastructure"</w:instrText>
            </w:r>
            <w:r>
              <w:fldChar w:fldCharType="end"/>
            </w:r>
            <w:r>
              <w:t xml:space="preserve"> </w:t>
            </w:r>
            <w:r>
              <w:rPr>
                <w:i/>
                <w:sz w:val="20"/>
                <w:vertAlign w:val="superscript"/>
              </w:rPr>
              <w:t>(b)</w:t>
            </w:r>
          </w:p>
        </w:tc>
        <w:tc>
          <w:tcPr>
            <w:tcW w:w="1134" w:type="dxa"/>
          </w:tcPr>
          <w:p w:rsidR="00000000" w:rsidRDefault="001F233B">
            <w:pPr>
              <w:pStyle w:val="TableofFigures"/>
            </w:pPr>
            <w:r>
              <w:t xml:space="preserve"> 188.0 </w:t>
            </w:r>
          </w:p>
        </w:tc>
        <w:tc>
          <w:tcPr>
            <w:tcW w:w="851" w:type="dxa"/>
          </w:tcPr>
          <w:p w:rsidR="00000000" w:rsidRDefault="001F233B">
            <w:pPr>
              <w:pStyle w:val="TableofFigures"/>
            </w:pPr>
            <w:r>
              <w:t xml:space="preserve"> 63.9 </w:t>
            </w:r>
          </w:p>
        </w:tc>
        <w:tc>
          <w:tcPr>
            <w:tcW w:w="992" w:type="dxa"/>
          </w:tcPr>
          <w:p w:rsidR="00000000" w:rsidRDefault="001F233B">
            <w:pPr>
              <w:pStyle w:val="TableofFigures"/>
            </w:pPr>
            <w:r>
              <w:t xml:space="preserve"> 85.0 </w:t>
            </w:r>
          </w:p>
        </w:tc>
        <w:tc>
          <w:tcPr>
            <w:tcW w:w="992" w:type="dxa"/>
          </w:tcPr>
          <w:p w:rsidR="00000000" w:rsidRDefault="001F233B">
            <w:pPr>
              <w:pStyle w:val="TableofFigures"/>
            </w:pPr>
            <w:r>
              <w:t xml:space="preserve"> 26.0 </w:t>
            </w:r>
          </w:p>
        </w:tc>
        <w:tc>
          <w:tcPr>
            <w:tcW w:w="851" w:type="dxa"/>
          </w:tcPr>
          <w:p w:rsidR="00000000" w:rsidRDefault="001F233B">
            <w:pPr>
              <w:pStyle w:val="TableofFigures"/>
            </w:pPr>
            <w:r>
              <w:t xml:space="preserve"> 10.5 </w:t>
            </w:r>
          </w:p>
        </w:tc>
      </w:tr>
      <w:tr w:rsidR="00000000">
        <w:tblPrEx>
          <w:tblCellMar>
            <w:top w:w="0" w:type="dxa"/>
            <w:bottom w:w="0" w:type="dxa"/>
          </w:tblCellMar>
        </w:tblPrEx>
        <w:trPr>
          <w:trHeight w:hRule="exact" w:val="260"/>
          <w:jc w:val="center"/>
        </w:trPr>
        <w:tc>
          <w:tcPr>
            <w:tcW w:w="2269" w:type="dxa"/>
          </w:tcPr>
          <w:p w:rsidR="00000000" w:rsidRDefault="001F233B">
            <w:pPr>
              <w:pStyle w:val="Tabletext"/>
            </w:pPr>
            <w:r>
              <w:t>Justice</w:t>
            </w:r>
          </w:p>
        </w:tc>
        <w:tc>
          <w:tcPr>
            <w:tcW w:w="1134" w:type="dxa"/>
          </w:tcPr>
          <w:p w:rsidR="00000000" w:rsidRDefault="001F233B">
            <w:pPr>
              <w:pStyle w:val="TableofFigures"/>
            </w:pPr>
            <w:r>
              <w:t xml:space="preserve"> 47.1 </w:t>
            </w:r>
          </w:p>
        </w:tc>
        <w:tc>
          <w:tcPr>
            <w:tcW w:w="851" w:type="dxa"/>
          </w:tcPr>
          <w:p w:rsidR="00000000" w:rsidRDefault="001F233B">
            <w:pPr>
              <w:pStyle w:val="TableofFigures"/>
            </w:pPr>
            <w:r>
              <w:t xml:space="preserve"> 18.7 </w:t>
            </w:r>
          </w:p>
        </w:tc>
        <w:tc>
          <w:tcPr>
            <w:tcW w:w="992" w:type="dxa"/>
          </w:tcPr>
          <w:p w:rsidR="00000000" w:rsidRDefault="001F233B">
            <w:pPr>
              <w:pStyle w:val="TableofFigures"/>
            </w:pPr>
            <w:r>
              <w:t xml:space="preserve"> 19.0 </w:t>
            </w:r>
          </w:p>
        </w:tc>
        <w:tc>
          <w:tcPr>
            <w:tcW w:w="992" w:type="dxa"/>
          </w:tcPr>
          <w:p w:rsidR="00000000" w:rsidRDefault="001F233B">
            <w:pPr>
              <w:pStyle w:val="TableofFigures"/>
            </w:pPr>
            <w:r>
              <w:t xml:space="preserve"> 9.4 </w:t>
            </w:r>
          </w:p>
        </w:tc>
        <w:tc>
          <w:tcPr>
            <w:tcW w:w="851" w:type="dxa"/>
          </w:tcPr>
          <w:p w:rsidR="00000000" w:rsidRDefault="001F233B">
            <w:pPr>
              <w:pStyle w:val="TableofFigures"/>
            </w:pPr>
            <w:r>
              <w:t xml:space="preserve"> ..</w:t>
            </w:r>
          </w:p>
        </w:tc>
      </w:tr>
      <w:tr w:rsidR="00000000">
        <w:tblPrEx>
          <w:tblCellMar>
            <w:top w:w="0" w:type="dxa"/>
            <w:bottom w:w="0" w:type="dxa"/>
          </w:tblCellMar>
        </w:tblPrEx>
        <w:trPr>
          <w:jc w:val="center"/>
        </w:trPr>
        <w:tc>
          <w:tcPr>
            <w:tcW w:w="2269" w:type="dxa"/>
          </w:tcPr>
          <w:p w:rsidR="00000000" w:rsidRDefault="001F233B">
            <w:pPr>
              <w:pStyle w:val="Tabletext"/>
            </w:pPr>
            <w:r>
              <w:t>Natural Resources and Environment</w:t>
            </w:r>
            <w:r>
              <w:fldChar w:fldCharType="begin"/>
            </w:r>
            <w:r>
              <w:instrText>xe "Department of Nat</w:instrText>
            </w:r>
            <w:r>
              <w:instrText>ural Resources and Environment"</w:instrText>
            </w:r>
            <w:r>
              <w:fldChar w:fldCharType="end"/>
            </w:r>
          </w:p>
        </w:tc>
        <w:tc>
          <w:tcPr>
            <w:tcW w:w="1134" w:type="dxa"/>
          </w:tcPr>
          <w:p w:rsidR="00000000" w:rsidRDefault="001F233B">
            <w:pPr>
              <w:pStyle w:val="TableofFigures"/>
            </w:pPr>
            <w:r>
              <w:t xml:space="preserve"> 41.4 </w:t>
            </w:r>
          </w:p>
        </w:tc>
        <w:tc>
          <w:tcPr>
            <w:tcW w:w="851" w:type="dxa"/>
          </w:tcPr>
          <w:p w:rsidR="00000000" w:rsidRDefault="001F233B">
            <w:pPr>
              <w:pStyle w:val="TableofFigures"/>
            </w:pPr>
            <w:r>
              <w:t xml:space="preserve"> 15.4 </w:t>
            </w:r>
          </w:p>
        </w:tc>
        <w:tc>
          <w:tcPr>
            <w:tcW w:w="992" w:type="dxa"/>
          </w:tcPr>
          <w:p w:rsidR="00000000" w:rsidRDefault="001F233B">
            <w:pPr>
              <w:pStyle w:val="TableofFigures"/>
            </w:pPr>
            <w:r>
              <w:t xml:space="preserve"> 15.4 </w:t>
            </w:r>
          </w:p>
        </w:tc>
        <w:tc>
          <w:tcPr>
            <w:tcW w:w="992" w:type="dxa"/>
          </w:tcPr>
          <w:p w:rsidR="00000000" w:rsidRDefault="001F233B">
            <w:pPr>
              <w:pStyle w:val="TableofFigures"/>
            </w:pPr>
            <w:r>
              <w:t xml:space="preserve"> 9.6 </w:t>
            </w:r>
          </w:p>
        </w:tc>
        <w:tc>
          <w:tcPr>
            <w:tcW w:w="851" w:type="dxa"/>
          </w:tcPr>
          <w:p w:rsidR="00000000" w:rsidRDefault="001F233B">
            <w:pPr>
              <w:pStyle w:val="TableofFigures"/>
            </w:pPr>
            <w:r>
              <w:t xml:space="preserve">1.0 </w:t>
            </w:r>
          </w:p>
        </w:tc>
      </w:tr>
      <w:tr w:rsidR="00000000">
        <w:tblPrEx>
          <w:tblCellMar>
            <w:top w:w="0" w:type="dxa"/>
            <w:bottom w:w="0" w:type="dxa"/>
          </w:tblCellMar>
        </w:tblPrEx>
        <w:trPr>
          <w:trHeight w:hRule="exact" w:val="260"/>
          <w:jc w:val="center"/>
        </w:trPr>
        <w:tc>
          <w:tcPr>
            <w:tcW w:w="2269" w:type="dxa"/>
          </w:tcPr>
          <w:p w:rsidR="00000000" w:rsidRDefault="001F233B">
            <w:pPr>
              <w:pStyle w:val="Tabletext"/>
            </w:pPr>
            <w:r>
              <w:t>Premier and Cabinet</w:t>
            </w:r>
          </w:p>
        </w:tc>
        <w:tc>
          <w:tcPr>
            <w:tcW w:w="1134" w:type="dxa"/>
          </w:tcPr>
          <w:p w:rsidR="00000000" w:rsidRDefault="001F233B">
            <w:pPr>
              <w:pStyle w:val="TableofFigures"/>
            </w:pPr>
            <w:r>
              <w:t xml:space="preserve"> 147.0</w:t>
            </w:r>
          </w:p>
        </w:tc>
        <w:tc>
          <w:tcPr>
            <w:tcW w:w="851" w:type="dxa"/>
          </w:tcPr>
          <w:p w:rsidR="00000000" w:rsidRDefault="001F233B">
            <w:pPr>
              <w:pStyle w:val="TableofFigures"/>
            </w:pPr>
            <w:r>
              <w:t xml:space="preserve"> 50.1 </w:t>
            </w:r>
          </w:p>
        </w:tc>
        <w:tc>
          <w:tcPr>
            <w:tcW w:w="992" w:type="dxa"/>
          </w:tcPr>
          <w:p w:rsidR="00000000" w:rsidRDefault="001F233B">
            <w:pPr>
              <w:pStyle w:val="TableofFigures"/>
            </w:pPr>
            <w:r>
              <w:t xml:space="preserve"> 33.6 </w:t>
            </w:r>
          </w:p>
        </w:tc>
        <w:tc>
          <w:tcPr>
            <w:tcW w:w="992" w:type="dxa"/>
          </w:tcPr>
          <w:p w:rsidR="00000000" w:rsidRDefault="001F233B">
            <w:pPr>
              <w:pStyle w:val="TableofFigures"/>
            </w:pPr>
            <w:r>
              <w:t xml:space="preserve">29.8 </w:t>
            </w:r>
          </w:p>
        </w:tc>
        <w:tc>
          <w:tcPr>
            <w:tcW w:w="851" w:type="dxa"/>
          </w:tcPr>
          <w:p w:rsidR="00000000" w:rsidRDefault="001F233B">
            <w:pPr>
              <w:pStyle w:val="TableofFigures"/>
            </w:pPr>
            <w:r>
              <w:t xml:space="preserve">33.5 </w:t>
            </w:r>
          </w:p>
        </w:tc>
      </w:tr>
      <w:tr w:rsidR="00000000">
        <w:tblPrEx>
          <w:tblCellMar>
            <w:top w:w="0" w:type="dxa"/>
            <w:bottom w:w="0" w:type="dxa"/>
          </w:tblCellMar>
        </w:tblPrEx>
        <w:trPr>
          <w:trHeight w:hRule="exact" w:val="260"/>
          <w:jc w:val="center"/>
        </w:trPr>
        <w:tc>
          <w:tcPr>
            <w:tcW w:w="2269" w:type="dxa"/>
          </w:tcPr>
          <w:p w:rsidR="00000000" w:rsidRDefault="001F233B">
            <w:pPr>
              <w:pStyle w:val="Tabletext"/>
            </w:pPr>
            <w:r>
              <w:t>State Development</w:t>
            </w:r>
          </w:p>
        </w:tc>
        <w:tc>
          <w:tcPr>
            <w:tcW w:w="1134" w:type="dxa"/>
          </w:tcPr>
          <w:p w:rsidR="00000000" w:rsidRDefault="001F233B">
            <w:pPr>
              <w:pStyle w:val="TableofFigures"/>
            </w:pPr>
            <w:r>
              <w:t xml:space="preserve"> 5.7 </w:t>
            </w:r>
          </w:p>
        </w:tc>
        <w:tc>
          <w:tcPr>
            <w:tcW w:w="851" w:type="dxa"/>
          </w:tcPr>
          <w:p w:rsidR="00000000" w:rsidRDefault="001F233B">
            <w:pPr>
              <w:pStyle w:val="TableofFigures"/>
            </w:pPr>
            <w:r>
              <w:t xml:space="preserve"> 5.7 </w:t>
            </w:r>
          </w:p>
        </w:tc>
        <w:tc>
          <w:tcPr>
            <w:tcW w:w="992" w:type="dxa"/>
          </w:tcPr>
          <w:p w:rsidR="00000000" w:rsidRDefault="001F233B">
            <w:pPr>
              <w:pStyle w:val="TableofFigures"/>
            </w:pPr>
            <w:r>
              <w:t>..</w:t>
            </w:r>
          </w:p>
        </w:tc>
        <w:tc>
          <w:tcPr>
            <w:tcW w:w="992" w:type="dxa"/>
          </w:tcPr>
          <w:p w:rsidR="00000000" w:rsidRDefault="001F233B">
            <w:pPr>
              <w:pStyle w:val="TableofFigures"/>
            </w:pPr>
            <w:r>
              <w:t>..</w:t>
            </w:r>
          </w:p>
        </w:tc>
        <w:tc>
          <w:tcPr>
            <w:tcW w:w="851" w:type="dxa"/>
          </w:tcPr>
          <w:p w:rsidR="00000000" w:rsidRDefault="001F233B">
            <w:pPr>
              <w:pStyle w:val="TableofFigures"/>
            </w:pPr>
            <w:r>
              <w:t xml:space="preserve"> ..</w:t>
            </w:r>
          </w:p>
        </w:tc>
      </w:tr>
      <w:tr w:rsidR="00000000">
        <w:tblPrEx>
          <w:tblCellMar>
            <w:top w:w="0" w:type="dxa"/>
            <w:bottom w:w="0" w:type="dxa"/>
          </w:tblCellMar>
        </w:tblPrEx>
        <w:trPr>
          <w:trHeight w:hRule="exact" w:val="260"/>
          <w:jc w:val="center"/>
        </w:trPr>
        <w:tc>
          <w:tcPr>
            <w:tcW w:w="2269" w:type="dxa"/>
          </w:tcPr>
          <w:p w:rsidR="00000000" w:rsidRDefault="001F233B">
            <w:pPr>
              <w:pStyle w:val="Tabletext"/>
            </w:pPr>
            <w:r>
              <w:t>Treasury and Finance</w:t>
            </w:r>
          </w:p>
        </w:tc>
        <w:tc>
          <w:tcPr>
            <w:tcW w:w="1134" w:type="dxa"/>
          </w:tcPr>
          <w:p w:rsidR="00000000" w:rsidRDefault="001F233B">
            <w:pPr>
              <w:pStyle w:val="TableofFigures"/>
            </w:pPr>
            <w:r>
              <w:t xml:space="preserve"> 39.6 </w:t>
            </w:r>
          </w:p>
        </w:tc>
        <w:tc>
          <w:tcPr>
            <w:tcW w:w="851" w:type="dxa"/>
          </w:tcPr>
          <w:p w:rsidR="00000000" w:rsidRDefault="001F233B">
            <w:pPr>
              <w:pStyle w:val="TableofFigures"/>
            </w:pPr>
            <w:r>
              <w:t xml:space="preserve"> 22.2 </w:t>
            </w:r>
          </w:p>
        </w:tc>
        <w:tc>
          <w:tcPr>
            <w:tcW w:w="992" w:type="dxa"/>
          </w:tcPr>
          <w:p w:rsidR="00000000" w:rsidRDefault="001F233B">
            <w:pPr>
              <w:pStyle w:val="TableofFigures"/>
            </w:pPr>
            <w:r>
              <w:t xml:space="preserve"> 13.9 </w:t>
            </w:r>
          </w:p>
        </w:tc>
        <w:tc>
          <w:tcPr>
            <w:tcW w:w="992" w:type="dxa"/>
          </w:tcPr>
          <w:p w:rsidR="00000000" w:rsidRDefault="001F233B">
            <w:pPr>
              <w:pStyle w:val="TableofFigures"/>
            </w:pPr>
            <w:r>
              <w:t xml:space="preserve"> 3.5 </w:t>
            </w:r>
          </w:p>
        </w:tc>
        <w:tc>
          <w:tcPr>
            <w:tcW w:w="851" w:type="dxa"/>
          </w:tcPr>
          <w:p w:rsidR="00000000" w:rsidRDefault="001F233B">
            <w:pPr>
              <w:pStyle w:val="TableofFigures"/>
            </w:pPr>
            <w:r>
              <w:t xml:space="preserve"> ..</w:t>
            </w:r>
          </w:p>
        </w:tc>
      </w:tr>
      <w:tr w:rsidR="00000000">
        <w:tblPrEx>
          <w:tblCellMar>
            <w:top w:w="0" w:type="dxa"/>
            <w:bottom w:w="0" w:type="dxa"/>
          </w:tblCellMar>
        </w:tblPrEx>
        <w:trPr>
          <w:trHeight w:hRule="exact" w:val="260"/>
          <w:jc w:val="center"/>
        </w:trPr>
        <w:tc>
          <w:tcPr>
            <w:tcW w:w="2269" w:type="dxa"/>
          </w:tcPr>
          <w:p w:rsidR="00000000" w:rsidRDefault="001F233B">
            <w:pPr>
              <w:pStyle w:val="Tabletext"/>
            </w:pPr>
            <w:r>
              <w:t>Parliament</w:t>
            </w:r>
          </w:p>
        </w:tc>
        <w:tc>
          <w:tcPr>
            <w:tcW w:w="1134" w:type="dxa"/>
          </w:tcPr>
          <w:p w:rsidR="00000000" w:rsidRDefault="001F233B">
            <w:pPr>
              <w:pStyle w:val="TableofFigures"/>
            </w:pPr>
            <w:r>
              <w:t xml:space="preserve"> 2.8 </w:t>
            </w:r>
          </w:p>
        </w:tc>
        <w:tc>
          <w:tcPr>
            <w:tcW w:w="851" w:type="dxa"/>
          </w:tcPr>
          <w:p w:rsidR="00000000" w:rsidRDefault="001F233B">
            <w:pPr>
              <w:pStyle w:val="TableofFigures"/>
            </w:pPr>
            <w:r>
              <w:t xml:space="preserve"> 2.8 </w:t>
            </w:r>
          </w:p>
        </w:tc>
        <w:tc>
          <w:tcPr>
            <w:tcW w:w="992" w:type="dxa"/>
          </w:tcPr>
          <w:p w:rsidR="00000000" w:rsidRDefault="001F233B">
            <w:pPr>
              <w:pStyle w:val="TableofFigures"/>
            </w:pPr>
            <w:r>
              <w:t>..</w:t>
            </w:r>
          </w:p>
        </w:tc>
        <w:tc>
          <w:tcPr>
            <w:tcW w:w="992" w:type="dxa"/>
          </w:tcPr>
          <w:p w:rsidR="00000000" w:rsidRDefault="001F233B">
            <w:pPr>
              <w:pStyle w:val="TableofFigures"/>
            </w:pPr>
            <w:r>
              <w:t>..</w:t>
            </w:r>
          </w:p>
        </w:tc>
        <w:tc>
          <w:tcPr>
            <w:tcW w:w="851" w:type="dxa"/>
          </w:tcPr>
          <w:p w:rsidR="00000000" w:rsidRDefault="001F233B">
            <w:pPr>
              <w:pStyle w:val="TableofFigures"/>
            </w:pPr>
            <w:r>
              <w:t xml:space="preserve"> ..</w:t>
            </w:r>
          </w:p>
        </w:tc>
      </w:tr>
      <w:tr w:rsidR="00000000">
        <w:tblPrEx>
          <w:tblCellMar>
            <w:top w:w="0" w:type="dxa"/>
            <w:bottom w:w="0" w:type="dxa"/>
          </w:tblCellMar>
        </w:tblPrEx>
        <w:trPr>
          <w:trHeight w:hRule="exact" w:val="260"/>
          <w:jc w:val="center"/>
        </w:trPr>
        <w:tc>
          <w:tcPr>
            <w:tcW w:w="2269" w:type="dxa"/>
            <w:tcBorders>
              <w:top w:val="single" w:sz="6" w:space="0" w:color="auto"/>
              <w:bottom w:val="single" w:sz="12" w:space="0" w:color="auto"/>
            </w:tcBorders>
          </w:tcPr>
          <w:p w:rsidR="00000000" w:rsidRDefault="001F233B">
            <w:pPr>
              <w:pStyle w:val="Tabletext"/>
            </w:pPr>
            <w:r>
              <w:rPr>
                <w:b/>
              </w:rPr>
              <w:t xml:space="preserve">Total </w:t>
            </w:r>
          </w:p>
        </w:tc>
        <w:tc>
          <w:tcPr>
            <w:tcW w:w="1134" w:type="dxa"/>
            <w:tcBorders>
              <w:top w:val="single" w:sz="6" w:space="0" w:color="auto"/>
              <w:bottom w:val="single" w:sz="12" w:space="0" w:color="auto"/>
            </w:tcBorders>
          </w:tcPr>
          <w:p w:rsidR="00000000" w:rsidRDefault="001F233B">
            <w:pPr>
              <w:pStyle w:val="TableofFigures"/>
              <w:rPr>
                <w:b/>
              </w:rPr>
            </w:pPr>
            <w:r>
              <w:rPr>
                <w:b/>
              </w:rPr>
              <w:t xml:space="preserve"> 755.1 </w:t>
            </w:r>
          </w:p>
        </w:tc>
        <w:tc>
          <w:tcPr>
            <w:tcW w:w="851" w:type="dxa"/>
            <w:tcBorders>
              <w:top w:val="single" w:sz="6" w:space="0" w:color="auto"/>
              <w:bottom w:val="single" w:sz="12" w:space="0" w:color="auto"/>
            </w:tcBorders>
          </w:tcPr>
          <w:p w:rsidR="00000000" w:rsidRDefault="001F233B">
            <w:pPr>
              <w:pStyle w:val="TableofFigures"/>
              <w:rPr>
                <w:b/>
              </w:rPr>
            </w:pPr>
            <w:r>
              <w:rPr>
                <w:b/>
              </w:rPr>
              <w:t xml:space="preserve"> 309.2 </w:t>
            </w:r>
          </w:p>
        </w:tc>
        <w:tc>
          <w:tcPr>
            <w:tcW w:w="992" w:type="dxa"/>
            <w:tcBorders>
              <w:top w:val="single" w:sz="6" w:space="0" w:color="auto"/>
              <w:bottom w:val="single" w:sz="12" w:space="0" w:color="auto"/>
            </w:tcBorders>
          </w:tcPr>
          <w:p w:rsidR="00000000" w:rsidRDefault="001F233B">
            <w:pPr>
              <w:pStyle w:val="TableofFigures"/>
              <w:rPr>
                <w:b/>
              </w:rPr>
            </w:pPr>
            <w:r>
              <w:rPr>
                <w:b/>
              </w:rPr>
              <w:t xml:space="preserve"> 299.2 </w:t>
            </w:r>
          </w:p>
        </w:tc>
        <w:tc>
          <w:tcPr>
            <w:tcW w:w="992" w:type="dxa"/>
            <w:tcBorders>
              <w:top w:val="single" w:sz="6" w:space="0" w:color="auto"/>
              <w:bottom w:val="single" w:sz="12" w:space="0" w:color="auto"/>
            </w:tcBorders>
          </w:tcPr>
          <w:p w:rsidR="00000000" w:rsidRDefault="001F233B">
            <w:pPr>
              <w:pStyle w:val="TableofFigures"/>
              <w:rPr>
                <w:b/>
              </w:rPr>
            </w:pPr>
            <w:r>
              <w:rPr>
                <w:b/>
              </w:rPr>
              <w:t xml:space="preserve"> 98.2 </w:t>
            </w:r>
          </w:p>
        </w:tc>
        <w:tc>
          <w:tcPr>
            <w:tcW w:w="851" w:type="dxa"/>
            <w:tcBorders>
              <w:top w:val="single" w:sz="6" w:space="0" w:color="auto"/>
              <w:bottom w:val="single" w:sz="12" w:space="0" w:color="auto"/>
            </w:tcBorders>
          </w:tcPr>
          <w:p w:rsidR="00000000" w:rsidRDefault="001F233B">
            <w:pPr>
              <w:pStyle w:val="TableofFigures"/>
              <w:rPr>
                <w:b/>
              </w:rPr>
            </w:pPr>
            <w:r>
              <w:rPr>
                <w:b/>
              </w:rPr>
              <w:t xml:space="preserve"> 45.0 </w:t>
            </w:r>
          </w:p>
        </w:tc>
      </w:tr>
    </w:tbl>
    <w:p w:rsidR="00000000" w:rsidRDefault="001F233B">
      <w:pPr>
        <w:pStyle w:val="Source"/>
        <w:spacing w:after="0"/>
      </w:pPr>
      <w:r>
        <w:t>Source: Department of Treasury and Finance.</w:t>
      </w:r>
    </w:p>
    <w:p w:rsidR="00000000" w:rsidRDefault="001F233B">
      <w:pPr>
        <w:pStyle w:val="Notes"/>
      </w:pPr>
      <w:r>
        <w:t>Notes:</w:t>
      </w:r>
    </w:p>
    <w:p w:rsidR="00000000" w:rsidRDefault="001F233B">
      <w:pPr>
        <w:pStyle w:val="Notes"/>
        <w:tabs>
          <w:tab w:val="clear" w:pos="454"/>
          <w:tab w:val="left" w:pos="360"/>
        </w:tabs>
        <w:ind w:left="360" w:hanging="360"/>
      </w:pPr>
      <w:r>
        <w:t>(a)</w:t>
      </w:r>
      <w:r>
        <w:tab/>
        <w:t>Includes funding from all sources such as Microeconomic Reform</w:t>
      </w:r>
      <w:r>
        <w:fldChar w:fldCharType="begin"/>
      </w:r>
      <w:r>
        <w:instrText>xe "Microeconomic reform"</w:instrText>
      </w:r>
      <w:r>
        <w:fldChar w:fldCharType="end"/>
      </w:r>
      <w:r>
        <w:t xml:space="preserve"> Program, Agenda 21</w:t>
      </w:r>
      <w:r>
        <w:fldChar w:fldCharType="begin"/>
      </w:r>
      <w:r>
        <w:instrText>xe "Agenda 21"</w:instrText>
      </w:r>
      <w:r>
        <w:fldChar w:fldCharType="end"/>
      </w:r>
      <w:r>
        <w:fldChar w:fldCharType="begin"/>
      </w:r>
      <w:r>
        <w:instrText>xe "Agenda 21"</w:instrText>
      </w:r>
      <w:r>
        <w:fldChar w:fldCharType="end"/>
      </w:r>
      <w:r>
        <w:t>, Community Support Fun</w:t>
      </w:r>
      <w:r>
        <w:t>d and the Better Roads</w:t>
      </w:r>
      <w:r>
        <w:fldChar w:fldCharType="begin"/>
      </w:r>
      <w:r>
        <w:instrText>xe "Roads"</w:instrText>
      </w:r>
      <w:r>
        <w:fldChar w:fldCharType="end"/>
      </w:r>
      <w:r>
        <w:t xml:space="preserve"> Trust Fund</w:t>
      </w:r>
      <w:r>
        <w:fldChar w:fldCharType="begin"/>
      </w:r>
      <w:r>
        <w:instrText>xe "Department of Infrastructure:Better Roads Trust Fund"</w:instrText>
      </w:r>
      <w:r>
        <w:fldChar w:fldCharType="end"/>
      </w:r>
      <w:r>
        <w:t>.</w:t>
      </w:r>
    </w:p>
    <w:p w:rsidR="00000000" w:rsidRDefault="001F233B">
      <w:pPr>
        <w:pStyle w:val="Notes"/>
        <w:tabs>
          <w:tab w:val="clear" w:pos="454"/>
          <w:tab w:val="left" w:pos="360"/>
        </w:tabs>
      </w:pPr>
      <w:r>
        <w:t>(b)</w:t>
      </w:r>
      <w:r>
        <w:tab/>
        <w:t>Includes projects for the Public Transport</w:t>
      </w:r>
      <w:r>
        <w:fldChar w:fldCharType="begin"/>
      </w:r>
      <w:r>
        <w:instrText>xe "Transport"</w:instrText>
      </w:r>
      <w:r>
        <w:fldChar w:fldCharType="end"/>
      </w:r>
      <w:r>
        <w:t xml:space="preserve"> Corporation</w:t>
      </w:r>
      <w:r>
        <w:fldChar w:fldCharType="begin"/>
      </w:r>
      <w:r>
        <w:instrText>xe "Public Transport Corporation"</w:instrText>
      </w:r>
      <w:r>
        <w:fldChar w:fldCharType="end"/>
      </w:r>
      <w:r>
        <w:t>.</w:t>
      </w:r>
    </w:p>
    <w:p w:rsidR="00000000" w:rsidRDefault="001F233B">
      <w:pPr>
        <w:pStyle w:val="Heading2"/>
      </w:pPr>
      <w:bookmarkStart w:id="55" w:name="_Toc417119826"/>
      <w:bookmarkStart w:id="56" w:name="_Toc417552078"/>
      <w:r>
        <w:t>Cash flow statement</w:t>
      </w:r>
      <w:bookmarkEnd w:id="55"/>
      <w:bookmarkEnd w:id="56"/>
      <w:r>
        <w:fldChar w:fldCharType="begin"/>
      </w:r>
      <w:r>
        <w:instrText>xe "Cashflow statement"</w:instrText>
      </w:r>
      <w:r>
        <w:fldChar w:fldCharType="end"/>
      </w:r>
    </w:p>
    <w:p w:rsidR="00000000" w:rsidRDefault="001F233B">
      <w:r>
        <w:t>Table 3.7 provides a summary of the Budget cash flow for 1997</w:t>
      </w:r>
      <w:r>
        <w:noBreakHyphen/>
        <w:t>98 and 1998</w:t>
      </w:r>
      <w:r>
        <w:noBreakHyphen/>
        <w:t xml:space="preserve">99. </w:t>
      </w:r>
    </w:p>
    <w:p w:rsidR="00000000" w:rsidRDefault="001F233B">
      <w:r>
        <w:t>The revised cash surplus, excluding privatisation</w:t>
      </w:r>
      <w:r>
        <w:fldChar w:fldCharType="begin"/>
      </w:r>
      <w:r>
        <w:instrText>xe "Privatisation"</w:instrText>
      </w:r>
      <w:r>
        <w:fldChar w:fldCharType="end"/>
      </w:r>
      <w:r>
        <w:t xml:space="preserve"> proceeds, rises to $707.4 million for 1997</w:t>
      </w:r>
      <w:r>
        <w:noBreakHyphen/>
        <w:t>98, $263.7 million higher than estimated in the 1997</w:t>
      </w:r>
      <w:r>
        <w:noBreakHyphen/>
        <w:t>98 Bu</w:t>
      </w:r>
      <w:r>
        <w:t>dget. Current revenue has increased by a larger amount than current expenditure with little change occurring in total capital expenditure.</w:t>
      </w:r>
    </w:p>
    <w:p w:rsidR="00000000" w:rsidRDefault="001F233B">
      <w:pPr>
        <w:pStyle w:val="Tableheading"/>
        <w:spacing w:before="0" w:after="0"/>
        <w:rPr>
          <w:i/>
          <w:vertAlign w:val="superscript"/>
        </w:rPr>
      </w:pPr>
      <w:r>
        <w:br w:type="page"/>
      </w:r>
      <w:bookmarkStart w:id="57" w:name="_Toc417119985"/>
      <w:bookmarkStart w:id="58" w:name="_Toc417552744"/>
      <w:r>
        <w:lastRenderedPageBreak/>
        <w:t>Table 3.7: 1998</w:t>
      </w:r>
      <w:r>
        <w:noBreakHyphen/>
        <w:t>99 Cash Flow Statement</w:t>
      </w:r>
      <w:r>
        <w:fldChar w:fldCharType="begin"/>
      </w:r>
      <w:r>
        <w:instrText>xe "Cashflow statement"</w:instrText>
      </w:r>
      <w:r>
        <w:fldChar w:fldCharType="end"/>
      </w:r>
      <w:r>
        <w:t xml:space="preserve"> </w:t>
      </w:r>
      <w:r>
        <w:rPr>
          <w:i/>
          <w:vertAlign w:val="superscript"/>
        </w:rPr>
        <w:t>(a)</w:t>
      </w:r>
      <w:bookmarkEnd w:id="57"/>
      <w:bookmarkEnd w:id="58"/>
    </w:p>
    <w:p w:rsidR="00000000" w:rsidRDefault="001F233B">
      <w:pPr>
        <w:pStyle w:val="dollars"/>
        <w:rPr>
          <w:noProof/>
        </w:rPr>
      </w:pPr>
      <w:r>
        <w:t>($ million)</w:t>
      </w:r>
    </w:p>
    <w:tbl>
      <w:tblPr>
        <w:tblW w:w="0" w:type="auto"/>
        <w:tblLayout w:type="fixed"/>
        <w:tblCellMar>
          <w:left w:w="30" w:type="dxa"/>
          <w:right w:w="30" w:type="dxa"/>
        </w:tblCellMar>
        <w:tblLook w:val="0000" w:firstRow="0" w:lastRow="0" w:firstColumn="0" w:lastColumn="0" w:noHBand="0" w:noVBand="0"/>
      </w:tblPr>
      <w:tblGrid>
        <w:gridCol w:w="3900"/>
        <w:gridCol w:w="1080"/>
        <w:gridCol w:w="1080"/>
        <w:gridCol w:w="1080"/>
      </w:tblGrid>
      <w:tr w:rsidR="00000000">
        <w:tblPrEx>
          <w:tblCellMar>
            <w:top w:w="0" w:type="dxa"/>
            <w:bottom w:w="0" w:type="dxa"/>
          </w:tblCellMar>
        </w:tblPrEx>
        <w:trPr>
          <w:trHeight w:hRule="exact" w:val="236"/>
        </w:trPr>
        <w:tc>
          <w:tcPr>
            <w:tcW w:w="3900" w:type="dxa"/>
            <w:tcBorders>
              <w:top w:val="single" w:sz="6" w:space="0" w:color="auto"/>
            </w:tcBorders>
          </w:tcPr>
          <w:p w:rsidR="00000000" w:rsidRDefault="001F233B">
            <w:pPr>
              <w:keepNext/>
              <w:spacing w:after="0"/>
              <w:jc w:val="right"/>
              <w:rPr>
                <w:rFonts w:ascii="Arial" w:hAnsi="Arial"/>
                <w:color w:val="000000"/>
                <w:sz w:val="16"/>
              </w:rPr>
            </w:pPr>
          </w:p>
        </w:tc>
        <w:tc>
          <w:tcPr>
            <w:tcW w:w="1080" w:type="dxa"/>
            <w:tcBorders>
              <w:top w:val="single" w:sz="6" w:space="0" w:color="auto"/>
            </w:tcBorders>
          </w:tcPr>
          <w:p w:rsidR="00000000" w:rsidRDefault="001F233B">
            <w:pPr>
              <w:keepNext/>
              <w:spacing w:after="0"/>
              <w:jc w:val="right"/>
              <w:rPr>
                <w:rFonts w:ascii="Arial" w:hAnsi="Arial"/>
                <w:i/>
                <w:color w:val="000000"/>
                <w:sz w:val="16"/>
              </w:rPr>
            </w:pPr>
            <w:r>
              <w:rPr>
                <w:rFonts w:ascii="Arial" w:hAnsi="Arial"/>
                <w:i/>
                <w:color w:val="000000"/>
                <w:sz w:val="16"/>
              </w:rPr>
              <w:t>1997-98</w:t>
            </w:r>
          </w:p>
        </w:tc>
        <w:tc>
          <w:tcPr>
            <w:tcW w:w="1080" w:type="dxa"/>
            <w:tcBorders>
              <w:top w:val="single" w:sz="6" w:space="0" w:color="auto"/>
            </w:tcBorders>
          </w:tcPr>
          <w:p w:rsidR="00000000" w:rsidRDefault="001F233B">
            <w:pPr>
              <w:keepNext/>
              <w:spacing w:after="0"/>
              <w:jc w:val="right"/>
              <w:rPr>
                <w:rFonts w:ascii="Arial" w:hAnsi="Arial"/>
                <w:i/>
                <w:color w:val="000000"/>
                <w:sz w:val="16"/>
              </w:rPr>
            </w:pPr>
            <w:r>
              <w:rPr>
                <w:rFonts w:ascii="Arial" w:hAnsi="Arial"/>
                <w:i/>
                <w:color w:val="000000"/>
                <w:sz w:val="16"/>
              </w:rPr>
              <w:t>1997-98</w:t>
            </w:r>
          </w:p>
        </w:tc>
        <w:tc>
          <w:tcPr>
            <w:tcW w:w="1080" w:type="dxa"/>
            <w:tcBorders>
              <w:top w:val="single" w:sz="6" w:space="0" w:color="auto"/>
            </w:tcBorders>
          </w:tcPr>
          <w:p w:rsidR="00000000" w:rsidRDefault="001F233B">
            <w:pPr>
              <w:keepNext/>
              <w:spacing w:after="0"/>
              <w:jc w:val="right"/>
              <w:rPr>
                <w:rFonts w:ascii="Arial" w:hAnsi="Arial"/>
                <w:i/>
                <w:color w:val="000000"/>
                <w:sz w:val="16"/>
              </w:rPr>
            </w:pPr>
            <w:r>
              <w:rPr>
                <w:rFonts w:ascii="Arial" w:hAnsi="Arial"/>
                <w:i/>
                <w:color w:val="000000"/>
                <w:sz w:val="16"/>
              </w:rPr>
              <w:t>1998-99</w:t>
            </w:r>
          </w:p>
        </w:tc>
      </w:tr>
      <w:tr w:rsidR="00000000">
        <w:tblPrEx>
          <w:tblCellMar>
            <w:top w:w="0" w:type="dxa"/>
            <w:bottom w:w="0" w:type="dxa"/>
          </w:tblCellMar>
        </w:tblPrEx>
        <w:trPr>
          <w:trHeight w:hRule="exact" w:val="236"/>
        </w:trPr>
        <w:tc>
          <w:tcPr>
            <w:tcW w:w="3900" w:type="dxa"/>
            <w:tcBorders>
              <w:bottom w:val="single" w:sz="6" w:space="0" w:color="auto"/>
            </w:tcBorders>
          </w:tcPr>
          <w:p w:rsidR="00000000" w:rsidRDefault="001F233B">
            <w:pPr>
              <w:keepNext/>
              <w:spacing w:after="0"/>
              <w:jc w:val="right"/>
              <w:rPr>
                <w:rFonts w:ascii="Arial" w:hAnsi="Arial"/>
                <w:color w:val="000000"/>
                <w:sz w:val="16"/>
              </w:rPr>
            </w:pPr>
          </w:p>
        </w:tc>
        <w:tc>
          <w:tcPr>
            <w:tcW w:w="1080" w:type="dxa"/>
            <w:tcBorders>
              <w:bottom w:val="single" w:sz="6" w:space="0" w:color="auto"/>
            </w:tcBorders>
          </w:tcPr>
          <w:p w:rsidR="00000000" w:rsidRDefault="001F233B">
            <w:pPr>
              <w:keepNext/>
              <w:spacing w:after="0"/>
              <w:jc w:val="right"/>
              <w:rPr>
                <w:rFonts w:ascii="Arial" w:hAnsi="Arial"/>
                <w:i/>
                <w:color w:val="000000"/>
                <w:sz w:val="16"/>
              </w:rPr>
            </w:pPr>
            <w:r>
              <w:rPr>
                <w:rFonts w:ascii="Arial" w:hAnsi="Arial"/>
                <w:i/>
                <w:color w:val="000000"/>
                <w:sz w:val="16"/>
              </w:rPr>
              <w:t xml:space="preserve"> Budget</w:t>
            </w:r>
          </w:p>
        </w:tc>
        <w:tc>
          <w:tcPr>
            <w:tcW w:w="1080" w:type="dxa"/>
            <w:tcBorders>
              <w:bottom w:val="single" w:sz="6" w:space="0" w:color="auto"/>
            </w:tcBorders>
          </w:tcPr>
          <w:p w:rsidR="00000000" w:rsidRDefault="001F233B">
            <w:pPr>
              <w:keepNext/>
              <w:spacing w:after="0"/>
              <w:jc w:val="right"/>
              <w:rPr>
                <w:rFonts w:ascii="Arial" w:hAnsi="Arial"/>
                <w:i/>
                <w:color w:val="000000"/>
                <w:sz w:val="16"/>
              </w:rPr>
            </w:pPr>
            <w:r>
              <w:rPr>
                <w:rFonts w:ascii="Arial" w:hAnsi="Arial"/>
                <w:i/>
                <w:color w:val="000000"/>
                <w:sz w:val="16"/>
              </w:rPr>
              <w:t>Revise</w:t>
            </w:r>
          </w:p>
        </w:tc>
        <w:tc>
          <w:tcPr>
            <w:tcW w:w="1080" w:type="dxa"/>
            <w:tcBorders>
              <w:bottom w:val="single" w:sz="6" w:space="0" w:color="auto"/>
            </w:tcBorders>
          </w:tcPr>
          <w:p w:rsidR="00000000" w:rsidRDefault="001F233B">
            <w:pPr>
              <w:keepNext/>
              <w:spacing w:after="0"/>
              <w:jc w:val="right"/>
              <w:rPr>
                <w:rFonts w:ascii="Arial" w:hAnsi="Arial"/>
                <w:i/>
                <w:color w:val="000000"/>
                <w:sz w:val="16"/>
              </w:rPr>
            </w:pPr>
            <w:r>
              <w:rPr>
                <w:rFonts w:ascii="Arial" w:hAnsi="Arial"/>
                <w:i/>
                <w:color w:val="000000"/>
                <w:sz w:val="16"/>
              </w:rPr>
              <w:t>Estimate</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b/>
                <w:color w:val="000000"/>
                <w:sz w:val="16"/>
              </w:rPr>
            </w:pPr>
            <w:r>
              <w:rPr>
                <w:rFonts w:ascii="Arial" w:hAnsi="Arial"/>
                <w:b/>
                <w:color w:val="000000"/>
                <w:sz w:val="16"/>
              </w:rPr>
              <w:t>Revenue</w:t>
            </w:r>
          </w:p>
        </w:tc>
        <w:tc>
          <w:tcPr>
            <w:tcW w:w="1080" w:type="dxa"/>
          </w:tcPr>
          <w:p w:rsidR="00000000" w:rsidRDefault="001F233B">
            <w:pPr>
              <w:keepNext/>
              <w:spacing w:after="0"/>
              <w:jc w:val="right"/>
              <w:rPr>
                <w:rFonts w:ascii="Arial" w:hAnsi="Arial"/>
                <w:color w:val="000000"/>
                <w:sz w:val="16"/>
              </w:rPr>
            </w:pPr>
          </w:p>
        </w:tc>
        <w:tc>
          <w:tcPr>
            <w:tcW w:w="1080" w:type="dxa"/>
          </w:tcPr>
          <w:p w:rsidR="00000000" w:rsidRDefault="001F233B">
            <w:pPr>
              <w:keepNext/>
              <w:spacing w:after="0"/>
              <w:jc w:val="right"/>
              <w:rPr>
                <w:rFonts w:ascii="Arial" w:hAnsi="Arial"/>
                <w:color w:val="000000"/>
                <w:sz w:val="16"/>
              </w:rPr>
            </w:pPr>
          </w:p>
        </w:tc>
        <w:tc>
          <w:tcPr>
            <w:tcW w:w="1080" w:type="dxa"/>
          </w:tcPr>
          <w:p w:rsidR="00000000" w:rsidRDefault="001F233B">
            <w:pPr>
              <w:keepNext/>
              <w:spacing w:after="0"/>
              <w:jc w:val="right"/>
              <w:rPr>
                <w:rFonts w:ascii="Arial" w:hAnsi="Arial"/>
                <w:color w:val="000000"/>
                <w:sz w:val="16"/>
              </w:rPr>
            </w:pP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vertAlign w:val="superscript"/>
              </w:rPr>
            </w:pPr>
            <w:r>
              <w:rPr>
                <w:rFonts w:ascii="Arial" w:hAnsi="Arial"/>
                <w:color w:val="000000"/>
                <w:sz w:val="16"/>
              </w:rPr>
              <w:t>Taxes, regulatory fees and fines</w:t>
            </w:r>
            <w:r>
              <w:rPr>
                <w:rFonts w:ascii="Arial" w:hAnsi="Arial"/>
                <w:color w:val="000000"/>
                <w:sz w:val="16"/>
                <w:vertAlign w:val="superscript"/>
              </w:rPr>
              <w:t xml:space="preserve"> </w:t>
            </w:r>
            <w:r>
              <w:rPr>
                <w:rFonts w:ascii="Arial" w:hAnsi="Arial"/>
                <w:i/>
                <w:color w:val="000000"/>
                <w:sz w:val="16"/>
                <w:vertAlign w:val="superscript"/>
              </w:rPr>
              <w:t>(b)</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8 592.9</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8 544.7</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8 797.3</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i/>
                <w:color w:val="000000"/>
                <w:sz w:val="16"/>
              </w:rPr>
            </w:pPr>
            <w:r>
              <w:rPr>
                <w:rFonts w:ascii="Arial" w:hAnsi="Arial"/>
                <w:i/>
                <w:color w:val="000000"/>
                <w:sz w:val="16"/>
              </w:rPr>
              <w:t>(% change)</w:t>
            </w: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i/>
                <w:color w:val="000000"/>
                <w:sz w:val="16"/>
              </w:rPr>
            </w:pPr>
            <w:r>
              <w:rPr>
                <w:rFonts w:ascii="Arial" w:hAnsi="Arial"/>
                <w:i/>
                <w:color w:val="000000"/>
                <w:sz w:val="16"/>
              </w:rPr>
              <w:t>3.0</w:t>
            </w:r>
          </w:p>
        </w:tc>
      </w:tr>
      <w:tr w:rsidR="00000000">
        <w:tblPrEx>
          <w:tblCellMar>
            <w:top w:w="0" w:type="dxa"/>
            <w:bottom w:w="0" w:type="dxa"/>
          </w:tblCellMar>
        </w:tblPrEx>
        <w:tc>
          <w:tcPr>
            <w:tcW w:w="3900" w:type="dxa"/>
          </w:tcPr>
          <w:p w:rsidR="00000000" w:rsidRDefault="001F233B">
            <w:pPr>
              <w:keepNext/>
              <w:spacing w:after="0"/>
              <w:rPr>
                <w:rFonts w:ascii="Arial" w:hAnsi="Arial"/>
                <w:color w:val="000000"/>
                <w:sz w:val="16"/>
              </w:rPr>
            </w:pPr>
            <w:r>
              <w:rPr>
                <w:rFonts w:ascii="Arial" w:hAnsi="Arial"/>
                <w:color w:val="000000"/>
                <w:sz w:val="16"/>
              </w:rPr>
              <w:t>Sales of goods &amp; services</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1 112.0</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1 686.3</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1 727.3</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i/>
                <w:color w:val="000000"/>
                <w:sz w:val="16"/>
              </w:rPr>
            </w:pPr>
            <w:r>
              <w:rPr>
                <w:rFonts w:ascii="Arial" w:hAnsi="Arial"/>
                <w:i/>
                <w:color w:val="000000"/>
                <w:sz w:val="16"/>
              </w:rPr>
              <w:t>(% change)</w:t>
            </w: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i/>
                <w:color w:val="000000"/>
                <w:sz w:val="16"/>
              </w:rPr>
            </w:pPr>
            <w:r>
              <w:rPr>
                <w:rFonts w:ascii="Arial" w:hAnsi="Arial"/>
                <w:i/>
                <w:color w:val="000000"/>
                <w:sz w:val="16"/>
              </w:rPr>
              <w:t>2.4</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vertAlign w:val="superscript"/>
              </w:rPr>
            </w:pPr>
            <w:r>
              <w:rPr>
                <w:rFonts w:ascii="Arial" w:hAnsi="Arial"/>
                <w:color w:val="000000"/>
                <w:sz w:val="16"/>
              </w:rPr>
              <w:t xml:space="preserve">Public authority income </w:t>
            </w:r>
            <w:r>
              <w:rPr>
                <w:rFonts w:ascii="Arial" w:hAnsi="Arial"/>
                <w:i/>
                <w:color w:val="000000"/>
                <w:sz w:val="16"/>
                <w:vertAlign w:val="superscript"/>
              </w:rPr>
              <w:t>(b)</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675.0</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1 001.5</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953.5</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rPr>
            </w:pPr>
            <w:r>
              <w:rPr>
                <w:rFonts w:ascii="Arial" w:hAnsi="Arial"/>
                <w:color w:val="000000"/>
                <w:sz w:val="16"/>
              </w:rPr>
              <w:t xml:space="preserve">Commonwealth grants - State </w:t>
            </w:r>
            <w:r>
              <w:rPr>
                <w:rFonts w:ascii="Arial" w:hAnsi="Arial"/>
                <w:color w:val="000000"/>
                <w:sz w:val="16"/>
              </w:rPr>
              <w:t>own purpose</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6 111.1</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6 250.1</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6 365.7</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rPr>
            </w:pPr>
            <w:r>
              <w:rPr>
                <w:rFonts w:ascii="Arial" w:hAnsi="Arial"/>
                <w:color w:val="000000"/>
                <w:sz w:val="16"/>
              </w:rPr>
              <w:t>Commonwealth grants - for onpassing</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888.0</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925.0</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948.0</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rPr>
            </w:pPr>
            <w:r>
              <w:rPr>
                <w:rFonts w:ascii="Arial" w:hAnsi="Arial"/>
                <w:color w:val="000000"/>
                <w:sz w:val="16"/>
              </w:rPr>
              <w:t>Other revenue</w:t>
            </w:r>
          </w:p>
        </w:tc>
        <w:tc>
          <w:tcPr>
            <w:tcW w:w="1080" w:type="dxa"/>
            <w:tcBorders>
              <w:bottom w:val="single" w:sz="6" w:space="0" w:color="auto"/>
            </w:tcBorders>
          </w:tcPr>
          <w:p w:rsidR="00000000" w:rsidRDefault="001F233B">
            <w:pPr>
              <w:keepNext/>
              <w:spacing w:after="0"/>
              <w:jc w:val="right"/>
              <w:rPr>
                <w:rFonts w:ascii="Arial" w:hAnsi="Arial"/>
                <w:color w:val="000000"/>
                <w:sz w:val="16"/>
              </w:rPr>
            </w:pPr>
            <w:r>
              <w:rPr>
                <w:rFonts w:ascii="Arial" w:hAnsi="Arial"/>
                <w:color w:val="000000"/>
                <w:sz w:val="16"/>
              </w:rPr>
              <w:t xml:space="preserve"> 201.9</w:t>
            </w:r>
          </w:p>
        </w:tc>
        <w:tc>
          <w:tcPr>
            <w:tcW w:w="1080" w:type="dxa"/>
            <w:tcBorders>
              <w:bottom w:val="single" w:sz="6" w:space="0" w:color="auto"/>
            </w:tcBorders>
          </w:tcPr>
          <w:p w:rsidR="00000000" w:rsidRDefault="001F233B">
            <w:pPr>
              <w:keepNext/>
              <w:spacing w:after="0"/>
              <w:jc w:val="right"/>
              <w:rPr>
                <w:rFonts w:ascii="Arial" w:hAnsi="Arial"/>
                <w:color w:val="000000"/>
                <w:sz w:val="16"/>
              </w:rPr>
            </w:pPr>
            <w:r>
              <w:rPr>
                <w:rFonts w:ascii="Arial" w:hAnsi="Arial"/>
                <w:color w:val="000000"/>
                <w:sz w:val="16"/>
              </w:rPr>
              <w:t xml:space="preserve"> 277.7</w:t>
            </w:r>
          </w:p>
        </w:tc>
        <w:tc>
          <w:tcPr>
            <w:tcW w:w="1080" w:type="dxa"/>
            <w:tcBorders>
              <w:bottom w:val="single" w:sz="6" w:space="0" w:color="auto"/>
            </w:tcBorders>
          </w:tcPr>
          <w:p w:rsidR="00000000" w:rsidRDefault="001F233B">
            <w:pPr>
              <w:keepNext/>
              <w:spacing w:after="0"/>
              <w:jc w:val="right"/>
              <w:rPr>
                <w:rFonts w:ascii="Arial" w:hAnsi="Arial"/>
                <w:color w:val="000000"/>
                <w:sz w:val="16"/>
              </w:rPr>
            </w:pPr>
            <w:r>
              <w:rPr>
                <w:rFonts w:ascii="Arial" w:hAnsi="Arial"/>
                <w:color w:val="000000"/>
                <w:sz w:val="16"/>
              </w:rPr>
              <w:t xml:space="preserve"> 208.5</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b/>
                <w:color w:val="000000"/>
                <w:sz w:val="16"/>
              </w:rPr>
            </w:pPr>
            <w:r>
              <w:rPr>
                <w:rFonts w:ascii="Arial" w:hAnsi="Arial"/>
                <w:b/>
                <w:color w:val="000000"/>
                <w:sz w:val="16"/>
              </w:rPr>
              <w:t>Total  Revenue and Grants</w:t>
            </w:r>
          </w:p>
        </w:tc>
        <w:tc>
          <w:tcPr>
            <w:tcW w:w="1080" w:type="dxa"/>
          </w:tcPr>
          <w:p w:rsidR="00000000" w:rsidRDefault="001F233B">
            <w:pPr>
              <w:keepNext/>
              <w:spacing w:after="0"/>
              <w:jc w:val="right"/>
              <w:rPr>
                <w:rFonts w:ascii="Arial" w:hAnsi="Arial"/>
                <w:b/>
                <w:color w:val="000000"/>
                <w:sz w:val="16"/>
              </w:rPr>
            </w:pPr>
            <w:r>
              <w:rPr>
                <w:rFonts w:ascii="Arial" w:hAnsi="Arial"/>
                <w:b/>
                <w:color w:val="000000"/>
                <w:sz w:val="16"/>
              </w:rPr>
              <w:t>17 580.9</w:t>
            </w:r>
          </w:p>
        </w:tc>
        <w:tc>
          <w:tcPr>
            <w:tcW w:w="1080" w:type="dxa"/>
          </w:tcPr>
          <w:p w:rsidR="00000000" w:rsidRDefault="001F233B">
            <w:pPr>
              <w:keepNext/>
              <w:spacing w:after="0"/>
              <w:jc w:val="right"/>
              <w:rPr>
                <w:rFonts w:ascii="Arial" w:hAnsi="Arial"/>
                <w:b/>
                <w:color w:val="000000"/>
                <w:sz w:val="16"/>
              </w:rPr>
            </w:pPr>
            <w:r>
              <w:rPr>
                <w:rFonts w:ascii="Arial" w:hAnsi="Arial"/>
                <w:b/>
                <w:color w:val="000000"/>
                <w:sz w:val="16"/>
              </w:rPr>
              <w:t>18 685.2</w:t>
            </w:r>
          </w:p>
        </w:tc>
        <w:tc>
          <w:tcPr>
            <w:tcW w:w="1080" w:type="dxa"/>
          </w:tcPr>
          <w:p w:rsidR="00000000" w:rsidRDefault="001F233B">
            <w:pPr>
              <w:keepNext/>
              <w:spacing w:after="0"/>
              <w:jc w:val="right"/>
              <w:rPr>
                <w:rFonts w:ascii="Arial" w:hAnsi="Arial"/>
                <w:b/>
                <w:color w:val="000000"/>
                <w:sz w:val="16"/>
              </w:rPr>
            </w:pPr>
            <w:r>
              <w:rPr>
                <w:rFonts w:ascii="Arial" w:hAnsi="Arial"/>
                <w:b/>
                <w:color w:val="000000"/>
                <w:sz w:val="16"/>
              </w:rPr>
              <w:t>19 000.4</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i/>
                <w:color w:val="000000"/>
                <w:sz w:val="16"/>
              </w:rPr>
            </w:pPr>
            <w:r>
              <w:rPr>
                <w:rFonts w:ascii="Arial" w:hAnsi="Arial"/>
                <w:i/>
                <w:color w:val="000000"/>
                <w:sz w:val="16"/>
              </w:rPr>
              <w:t>(% change)</w:t>
            </w: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i/>
                <w:color w:val="000000"/>
                <w:sz w:val="16"/>
              </w:rPr>
            </w:pPr>
            <w:r>
              <w:rPr>
                <w:rFonts w:ascii="Arial" w:hAnsi="Arial"/>
                <w:i/>
                <w:color w:val="000000"/>
                <w:sz w:val="16"/>
              </w:rPr>
              <w:t>1.7</w:t>
            </w:r>
          </w:p>
        </w:tc>
      </w:tr>
      <w:tr w:rsidR="00000000">
        <w:tblPrEx>
          <w:tblCellMar>
            <w:top w:w="0" w:type="dxa"/>
            <w:bottom w:w="0" w:type="dxa"/>
          </w:tblCellMar>
        </w:tblPrEx>
        <w:trPr>
          <w:trHeight w:hRule="exact" w:val="80"/>
        </w:trPr>
        <w:tc>
          <w:tcPr>
            <w:tcW w:w="3900" w:type="dxa"/>
          </w:tcPr>
          <w:p w:rsidR="00000000" w:rsidRDefault="001F233B">
            <w:pPr>
              <w:keepNext/>
              <w:spacing w:after="0"/>
              <w:jc w:val="right"/>
              <w:rPr>
                <w:rFonts w:ascii="Arial" w:hAnsi="Arial"/>
                <w:i/>
                <w:color w:val="000000"/>
                <w:sz w:val="16"/>
              </w:rPr>
            </w:pP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i/>
                <w:color w:val="000000"/>
                <w:sz w:val="16"/>
              </w:rPr>
            </w:pP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b/>
                <w:color w:val="000000"/>
                <w:sz w:val="16"/>
              </w:rPr>
            </w:pPr>
            <w:r>
              <w:rPr>
                <w:rFonts w:ascii="Arial" w:hAnsi="Arial"/>
                <w:b/>
                <w:color w:val="000000"/>
                <w:sz w:val="16"/>
              </w:rPr>
              <w:t>Expenditure</w:t>
            </w:r>
          </w:p>
        </w:tc>
        <w:tc>
          <w:tcPr>
            <w:tcW w:w="1080" w:type="dxa"/>
          </w:tcPr>
          <w:p w:rsidR="00000000" w:rsidRDefault="001F233B">
            <w:pPr>
              <w:keepNext/>
              <w:spacing w:after="0"/>
              <w:jc w:val="right"/>
              <w:rPr>
                <w:rFonts w:ascii="Arial" w:hAnsi="Arial"/>
                <w:color w:val="000000"/>
                <w:sz w:val="16"/>
              </w:rPr>
            </w:pPr>
          </w:p>
        </w:tc>
        <w:tc>
          <w:tcPr>
            <w:tcW w:w="1080" w:type="dxa"/>
          </w:tcPr>
          <w:p w:rsidR="00000000" w:rsidRDefault="001F233B">
            <w:pPr>
              <w:keepNext/>
              <w:spacing w:after="0"/>
              <w:jc w:val="right"/>
              <w:rPr>
                <w:rFonts w:ascii="Arial" w:hAnsi="Arial"/>
                <w:color w:val="000000"/>
                <w:sz w:val="16"/>
              </w:rPr>
            </w:pPr>
          </w:p>
        </w:tc>
        <w:tc>
          <w:tcPr>
            <w:tcW w:w="1080" w:type="dxa"/>
          </w:tcPr>
          <w:p w:rsidR="00000000" w:rsidRDefault="001F233B">
            <w:pPr>
              <w:keepNext/>
              <w:spacing w:after="0"/>
              <w:jc w:val="right"/>
              <w:rPr>
                <w:rFonts w:ascii="Arial" w:hAnsi="Arial"/>
                <w:color w:val="000000"/>
                <w:sz w:val="16"/>
              </w:rPr>
            </w:pP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rPr>
            </w:pPr>
            <w:r>
              <w:rPr>
                <w:rFonts w:ascii="Arial" w:hAnsi="Arial"/>
                <w:color w:val="000000"/>
                <w:sz w:val="16"/>
              </w:rPr>
              <w:t>Superannuation</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1 280.4</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1 250.2</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1 686.4</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i/>
                <w:color w:val="000000"/>
                <w:sz w:val="16"/>
              </w:rPr>
            </w:pPr>
            <w:r>
              <w:rPr>
                <w:rFonts w:ascii="Arial" w:hAnsi="Arial"/>
                <w:i/>
                <w:color w:val="000000"/>
                <w:sz w:val="16"/>
              </w:rPr>
              <w:t>(% change)</w:t>
            </w: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i/>
                <w:color w:val="000000"/>
                <w:sz w:val="16"/>
              </w:rPr>
            </w:pPr>
            <w:r>
              <w:rPr>
                <w:rFonts w:ascii="Arial" w:hAnsi="Arial"/>
                <w:i/>
                <w:color w:val="000000"/>
                <w:sz w:val="16"/>
              </w:rPr>
              <w:t>34.9</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vertAlign w:val="superscript"/>
              </w:rPr>
            </w:pPr>
            <w:r>
              <w:rPr>
                <w:rFonts w:ascii="Arial" w:hAnsi="Arial"/>
                <w:color w:val="000000"/>
                <w:sz w:val="16"/>
              </w:rPr>
              <w:t>Operating expenses</w:t>
            </w:r>
            <w:r>
              <w:rPr>
                <w:rFonts w:ascii="Arial" w:hAnsi="Arial"/>
                <w:color w:val="000000"/>
                <w:sz w:val="16"/>
                <w:vertAlign w:val="superscript"/>
              </w:rPr>
              <w:t xml:space="preserve"> </w:t>
            </w:r>
            <w:r>
              <w:rPr>
                <w:rFonts w:ascii="Arial" w:hAnsi="Arial"/>
                <w:i/>
                <w:color w:val="000000"/>
                <w:sz w:val="16"/>
                <w:vertAlign w:val="superscript"/>
              </w:rPr>
              <w:t>(b)</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10 299.4</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11 059.7</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11 513.9</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i/>
                <w:color w:val="000000"/>
                <w:sz w:val="16"/>
              </w:rPr>
            </w:pPr>
            <w:r>
              <w:rPr>
                <w:rFonts w:ascii="Arial" w:hAnsi="Arial"/>
                <w:i/>
                <w:color w:val="000000"/>
                <w:sz w:val="16"/>
              </w:rPr>
              <w:t>(% change)</w:t>
            </w: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i/>
                <w:color w:val="000000"/>
                <w:sz w:val="16"/>
              </w:rPr>
            </w:pPr>
            <w:r>
              <w:rPr>
                <w:rFonts w:ascii="Arial" w:hAnsi="Arial"/>
                <w:i/>
                <w:color w:val="000000"/>
                <w:sz w:val="16"/>
              </w:rPr>
              <w:t>4.1</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rPr>
            </w:pPr>
            <w:r>
              <w:rPr>
                <w:rFonts w:ascii="Arial" w:hAnsi="Arial"/>
                <w:color w:val="000000"/>
                <w:sz w:val="16"/>
              </w:rPr>
              <w:t>Total gross operating expenditure</w:t>
            </w:r>
          </w:p>
        </w:tc>
        <w:tc>
          <w:tcPr>
            <w:tcW w:w="1080" w:type="dxa"/>
            <w:tcBorders>
              <w:top w:val="single" w:sz="6"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11 579.8</w:t>
            </w:r>
          </w:p>
        </w:tc>
        <w:tc>
          <w:tcPr>
            <w:tcW w:w="1080" w:type="dxa"/>
            <w:tcBorders>
              <w:top w:val="single" w:sz="6"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12 309.9</w:t>
            </w:r>
          </w:p>
        </w:tc>
        <w:tc>
          <w:tcPr>
            <w:tcW w:w="1080" w:type="dxa"/>
            <w:tcBorders>
              <w:top w:val="single" w:sz="6"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13 200.3</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i/>
                <w:color w:val="000000"/>
                <w:sz w:val="16"/>
              </w:rPr>
            </w:pPr>
            <w:r>
              <w:rPr>
                <w:rFonts w:ascii="Arial" w:hAnsi="Arial"/>
                <w:i/>
                <w:color w:val="000000"/>
                <w:sz w:val="16"/>
              </w:rPr>
              <w:t>(% change)</w:t>
            </w: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i/>
                <w:color w:val="000000"/>
                <w:sz w:val="16"/>
              </w:rPr>
            </w:pPr>
            <w:r>
              <w:rPr>
                <w:rFonts w:ascii="Arial" w:hAnsi="Arial"/>
                <w:i/>
                <w:color w:val="000000"/>
                <w:sz w:val="16"/>
              </w:rPr>
              <w:t>7.2</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rPr>
            </w:pPr>
            <w:r>
              <w:rPr>
                <w:rFonts w:ascii="Arial" w:hAnsi="Arial"/>
                <w:color w:val="000000"/>
                <w:sz w:val="16"/>
              </w:rPr>
              <w:t>Interest &amp; other financing costs</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1 121.4</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1 155.7</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806.3</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rPr>
            </w:pPr>
            <w:r>
              <w:rPr>
                <w:rFonts w:ascii="Arial" w:hAnsi="Arial"/>
                <w:color w:val="000000"/>
                <w:sz w:val="16"/>
              </w:rPr>
              <w:t>Current grants, subsidi</w:t>
            </w:r>
            <w:r>
              <w:rPr>
                <w:rFonts w:ascii="Arial" w:hAnsi="Arial"/>
                <w:color w:val="000000"/>
                <w:sz w:val="16"/>
              </w:rPr>
              <w:t>es and transfer payments</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1 869.2</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1 907.9</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1 973.8</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i/>
                <w:color w:val="000000"/>
                <w:sz w:val="16"/>
              </w:rPr>
            </w:pPr>
            <w:r>
              <w:rPr>
                <w:rFonts w:ascii="Arial" w:hAnsi="Arial"/>
                <w:i/>
                <w:color w:val="000000"/>
                <w:sz w:val="16"/>
              </w:rPr>
              <w:t>(% change)</w:t>
            </w: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i/>
                <w:color w:val="000000"/>
                <w:sz w:val="16"/>
              </w:rPr>
            </w:pPr>
            <w:r>
              <w:rPr>
                <w:rFonts w:ascii="Arial" w:hAnsi="Arial"/>
                <w:i/>
                <w:color w:val="000000"/>
                <w:sz w:val="16"/>
              </w:rPr>
              <w:t>3.5</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rPr>
            </w:pPr>
            <w:r>
              <w:rPr>
                <w:rFonts w:ascii="Arial" w:hAnsi="Arial"/>
                <w:color w:val="000000"/>
                <w:sz w:val="16"/>
              </w:rPr>
              <w:t>Current grants onpassed</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863.4</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902.0</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924.3</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b/>
                <w:color w:val="000000"/>
                <w:sz w:val="16"/>
              </w:rPr>
            </w:pPr>
            <w:r>
              <w:rPr>
                <w:rFonts w:ascii="Arial" w:hAnsi="Arial"/>
                <w:b/>
                <w:color w:val="000000"/>
                <w:sz w:val="16"/>
              </w:rPr>
              <w:t>Total  Current Expenditure</w:t>
            </w:r>
          </w:p>
        </w:tc>
        <w:tc>
          <w:tcPr>
            <w:tcW w:w="1080" w:type="dxa"/>
            <w:tcBorders>
              <w:top w:val="single" w:sz="6"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15 433.9</w:t>
            </w:r>
          </w:p>
        </w:tc>
        <w:tc>
          <w:tcPr>
            <w:tcW w:w="1080" w:type="dxa"/>
            <w:tcBorders>
              <w:top w:val="single" w:sz="6"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16 275.4</w:t>
            </w:r>
          </w:p>
        </w:tc>
        <w:tc>
          <w:tcPr>
            <w:tcW w:w="1080" w:type="dxa"/>
            <w:tcBorders>
              <w:top w:val="single" w:sz="6"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16 904.6</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i/>
                <w:color w:val="000000"/>
                <w:sz w:val="16"/>
              </w:rPr>
            </w:pPr>
            <w:r>
              <w:rPr>
                <w:rFonts w:ascii="Arial" w:hAnsi="Arial"/>
                <w:i/>
                <w:color w:val="000000"/>
                <w:sz w:val="16"/>
              </w:rPr>
              <w:t>(% change)</w:t>
            </w: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i/>
                <w:color w:val="000000"/>
                <w:sz w:val="16"/>
              </w:rPr>
            </w:pPr>
            <w:r>
              <w:rPr>
                <w:rFonts w:ascii="Arial" w:hAnsi="Arial"/>
                <w:i/>
                <w:color w:val="000000"/>
                <w:sz w:val="16"/>
              </w:rPr>
              <w:t>3.9</w:t>
            </w:r>
          </w:p>
        </w:tc>
      </w:tr>
      <w:tr w:rsidR="00000000">
        <w:tblPrEx>
          <w:tblCellMar>
            <w:top w:w="0" w:type="dxa"/>
            <w:bottom w:w="0" w:type="dxa"/>
          </w:tblCellMar>
        </w:tblPrEx>
        <w:trPr>
          <w:trHeight w:hRule="exact" w:val="80"/>
        </w:trPr>
        <w:tc>
          <w:tcPr>
            <w:tcW w:w="3900" w:type="dxa"/>
          </w:tcPr>
          <w:p w:rsidR="00000000" w:rsidRDefault="001F233B">
            <w:pPr>
              <w:keepNext/>
              <w:spacing w:after="0"/>
              <w:jc w:val="right"/>
              <w:rPr>
                <w:rFonts w:ascii="Arial" w:hAnsi="Arial"/>
                <w:i/>
                <w:color w:val="000000"/>
                <w:sz w:val="16"/>
              </w:rPr>
            </w:pP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i/>
                <w:color w:val="000000"/>
                <w:sz w:val="16"/>
              </w:rPr>
            </w:pP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rPr>
            </w:pPr>
            <w:r>
              <w:rPr>
                <w:rFonts w:ascii="Arial" w:hAnsi="Arial"/>
                <w:color w:val="000000"/>
                <w:sz w:val="16"/>
              </w:rPr>
              <w:t>New fixed assets, land and stocks</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1 544.4</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1 456.4</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1 456.0</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i/>
                <w:color w:val="000000"/>
                <w:sz w:val="16"/>
              </w:rPr>
            </w:pPr>
            <w:r>
              <w:rPr>
                <w:rFonts w:ascii="Arial" w:hAnsi="Arial"/>
                <w:i/>
                <w:color w:val="000000"/>
                <w:sz w:val="16"/>
              </w:rPr>
              <w:t xml:space="preserve">   less sales</w:t>
            </w:r>
          </w:p>
        </w:tc>
        <w:tc>
          <w:tcPr>
            <w:tcW w:w="1080" w:type="dxa"/>
          </w:tcPr>
          <w:p w:rsidR="00000000" w:rsidRDefault="001F233B">
            <w:pPr>
              <w:keepNext/>
              <w:spacing w:after="0"/>
              <w:jc w:val="right"/>
              <w:rPr>
                <w:rFonts w:ascii="Arial" w:hAnsi="Arial"/>
                <w:i/>
                <w:color w:val="000000"/>
                <w:sz w:val="16"/>
              </w:rPr>
            </w:pPr>
            <w:r>
              <w:rPr>
                <w:rFonts w:ascii="Arial" w:hAnsi="Arial"/>
                <w:i/>
                <w:color w:val="000000"/>
                <w:sz w:val="16"/>
              </w:rPr>
              <w:t>- 128.8</w:t>
            </w:r>
          </w:p>
        </w:tc>
        <w:tc>
          <w:tcPr>
            <w:tcW w:w="1080" w:type="dxa"/>
          </w:tcPr>
          <w:p w:rsidR="00000000" w:rsidRDefault="001F233B">
            <w:pPr>
              <w:keepNext/>
              <w:spacing w:after="0"/>
              <w:jc w:val="right"/>
              <w:rPr>
                <w:rFonts w:ascii="Arial" w:hAnsi="Arial"/>
                <w:i/>
                <w:color w:val="000000"/>
                <w:sz w:val="16"/>
              </w:rPr>
            </w:pPr>
            <w:r>
              <w:rPr>
                <w:rFonts w:ascii="Arial" w:hAnsi="Arial"/>
                <w:i/>
                <w:color w:val="000000"/>
                <w:sz w:val="16"/>
              </w:rPr>
              <w:t>- 298.7</w:t>
            </w:r>
          </w:p>
        </w:tc>
        <w:tc>
          <w:tcPr>
            <w:tcW w:w="1080" w:type="dxa"/>
          </w:tcPr>
          <w:p w:rsidR="00000000" w:rsidRDefault="001F233B">
            <w:pPr>
              <w:keepNext/>
              <w:spacing w:after="0"/>
              <w:jc w:val="right"/>
              <w:rPr>
                <w:rFonts w:ascii="Arial" w:hAnsi="Arial"/>
                <w:i/>
                <w:color w:val="000000"/>
                <w:sz w:val="16"/>
              </w:rPr>
            </w:pPr>
            <w:r>
              <w:rPr>
                <w:rFonts w:ascii="Arial" w:hAnsi="Arial"/>
                <w:i/>
                <w:color w:val="000000"/>
                <w:sz w:val="16"/>
              </w:rPr>
              <w:t>- 115.3</w:t>
            </w:r>
          </w:p>
        </w:tc>
      </w:tr>
      <w:tr w:rsidR="00000000">
        <w:tblPrEx>
          <w:tblCellMar>
            <w:top w:w="0" w:type="dxa"/>
            <w:bottom w:w="0" w:type="dxa"/>
          </w:tblCellMar>
        </w:tblPrEx>
        <w:trPr>
          <w:trHeight w:hRule="exact" w:val="240"/>
        </w:trPr>
        <w:tc>
          <w:tcPr>
            <w:tcW w:w="3900" w:type="dxa"/>
            <w:tcBorders>
              <w:top w:val="single" w:sz="6" w:space="0" w:color="auto"/>
            </w:tcBorders>
          </w:tcPr>
          <w:p w:rsidR="00000000" w:rsidRDefault="001F233B">
            <w:pPr>
              <w:keepNext/>
              <w:spacing w:after="0"/>
              <w:rPr>
                <w:rFonts w:ascii="Arial" w:hAnsi="Arial"/>
                <w:color w:val="000000"/>
                <w:sz w:val="16"/>
              </w:rPr>
            </w:pPr>
            <w:r>
              <w:rPr>
                <w:rFonts w:ascii="Arial" w:hAnsi="Arial"/>
                <w:color w:val="000000"/>
                <w:sz w:val="16"/>
              </w:rPr>
              <w:t>Expenditure on fixed assets, stocks and land (net)</w:t>
            </w:r>
          </w:p>
        </w:tc>
        <w:tc>
          <w:tcPr>
            <w:tcW w:w="1080" w:type="dxa"/>
            <w:tcBorders>
              <w:top w:val="single" w:sz="6" w:space="0" w:color="auto"/>
            </w:tcBorders>
          </w:tcPr>
          <w:p w:rsidR="00000000" w:rsidRDefault="001F233B">
            <w:pPr>
              <w:keepNext/>
              <w:spacing w:after="0"/>
              <w:jc w:val="right"/>
              <w:rPr>
                <w:rFonts w:ascii="Arial" w:hAnsi="Arial"/>
                <w:color w:val="000000"/>
                <w:sz w:val="16"/>
              </w:rPr>
            </w:pPr>
            <w:r>
              <w:rPr>
                <w:rFonts w:ascii="Arial" w:hAnsi="Arial"/>
                <w:color w:val="000000"/>
                <w:sz w:val="16"/>
              </w:rPr>
              <w:t>1 415.6</w:t>
            </w:r>
          </w:p>
        </w:tc>
        <w:tc>
          <w:tcPr>
            <w:tcW w:w="1080" w:type="dxa"/>
            <w:tcBorders>
              <w:top w:val="single" w:sz="6" w:space="0" w:color="auto"/>
            </w:tcBorders>
          </w:tcPr>
          <w:p w:rsidR="00000000" w:rsidRDefault="001F233B">
            <w:pPr>
              <w:keepNext/>
              <w:spacing w:after="0"/>
              <w:jc w:val="right"/>
              <w:rPr>
                <w:rFonts w:ascii="Arial" w:hAnsi="Arial"/>
                <w:color w:val="000000"/>
                <w:sz w:val="16"/>
              </w:rPr>
            </w:pPr>
            <w:r>
              <w:rPr>
                <w:rFonts w:ascii="Arial" w:hAnsi="Arial"/>
                <w:color w:val="000000"/>
                <w:sz w:val="16"/>
              </w:rPr>
              <w:t>1 157.7</w:t>
            </w:r>
          </w:p>
        </w:tc>
        <w:tc>
          <w:tcPr>
            <w:tcW w:w="1080" w:type="dxa"/>
            <w:tcBorders>
              <w:top w:val="single" w:sz="6" w:space="0" w:color="auto"/>
            </w:tcBorders>
          </w:tcPr>
          <w:p w:rsidR="00000000" w:rsidRDefault="001F233B">
            <w:pPr>
              <w:keepNext/>
              <w:spacing w:after="0"/>
              <w:jc w:val="right"/>
              <w:rPr>
                <w:rFonts w:ascii="Arial" w:hAnsi="Arial"/>
                <w:color w:val="000000"/>
                <w:sz w:val="16"/>
              </w:rPr>
            </w:pPr>
            <w:r>
              <w:rPr>
                <w:rFonts w:ascii="Arial" w:hAnsi="Arial"/>
                <w:color w:val="000000"/>
                <w:sz w:val="16"/>
              </w:rPr>
              <w:t>1 340.7</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rPr>
            </w:pPr>
            <w:r>
              <w:rPr>
                <w:rFonts w:ascii="Arial" w:hAnsi="Arial"/>
                <w:color w:val="000000"/>
                <w:sz w:val="16"/>
              </w:rPr>
              <w:t>Grants</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284.0</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309.0</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346.4</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vertAlign w:val="superscript"/>
              </w:rPr>
            </w:pPr>
            <w:r>
              <w:rPr>
                <w:rFonts w:ascii="Arial" w:hAnsi="Arial"/>
                <w:color w:val="000000"/>
                <w:sz w:val="16"/>
              </w:rPr>
              <w:t xml:space="preserve">Other capital expenditure (net) </w:t>
            </w:r>
            <w:r>
              <w:rPr>
                <w:rFonts w:ascii="Arial" w:hAnsi="Arial"/>
                <w:i/>
                <w:color w:val="000000"/>
                <w:sz w:val="16"/>
                <w:vertAlign w:val="superscript"/>
              </w:rPr>
              <w:t>(b)</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- 20.9</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212.8</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220.3</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rPr>
            </w:pPr>
            <w:r>
              <w:rPr>
                <w:rFonts w:ascii="Arial" w:hAnsi="Arial"/>
                <w:color w:val="000000"/>
                <w:sz w:val="16"/>
              </w:rPr>
              <w:t>Capital grants onpassed</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24.6</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23.0</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 xml:space="preserve"> 23.7</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b/>
                <w:color w:val="000000"/>
                <w:sz w:val="16"/>
              </w:rPr>
            </w:pPr>
            <w:r>
              <w:rPr>
                <w:rFonts w:ascii="Arial" w:hAnsi="Arial"/>
                <w:b/>
                <w:color w:val="000000"/>
                <w:sz w:val="16"/>
              </w:rPr>
              <w:t>Total  Capital E</w:t>
            </w:r>
            <w:r>
              <w:rPr>
                <w:rFonts w:ascii="Arial" w:hAnsi="Arial"/>
                <w:b/>
                <w:color w:val="000000"/>
                <w:sz w:val="16"/>
              </w:rPr>
              <w:t>xpenditure</w:t>
            </w:r>
          </w:p>
        </w:tc>
        <w:tc>
          <w:tcPr>
            <w:tcW w:w="1080" w:type="dxa"/>
            <w:tcBorders>
              <w:top w:val="single" w:sz="6"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1 703.3</w:t>
            </w:r>
          </w:p>
        </w:tc>
        <w:tc>
          <w:tcPr>
            <w:tcW w:w="1080" w:type="dxa"/>
            <w:tcBorders>
              <w:top w:val="single" w:sz="6"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1 702.4</w:t>
            </w:r>
          </w:p>
        </w:tc>
        <w:tc>
          <w:tcPr>
            <w:tcW w:w="1080" w:type="dxa"/>
            <w:tcBorders>
              <w:top w:val="single" w:sz="6"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1 931.1</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i/>
                <w:color w:val="000000"/>
                <w:sz w:val="16"/>
              </w:rPr>
            </w:pPr>
            <w:r>
              <w:rPr>
                <w:rFonts w:ascii="Arial" w:hAnsi="Arial"/>
                <w:i/>
                <w:color w:val="000000"/>
                <w:sz w:val="16"/>
              </w:rPr>
              <w:t>(% change)</w:t>
            </w: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b/>
                <w:color w:val="000000"/>
                <w:sz w:val="16"/>
              </w:rPr>
            </w:pPr>
          </w:p>
        </w:tc>
        <w:tc>
          <w:tcPr>
            <w:tcW w:w="1080" w:type="dxa"/>
          </w:tcPr>
          <w:p w:rsidR="00000000" w:rsidRDefault="001F233B">
            <w:pPr>
              <w:keepNext/>
              <w:spacing w:after="0"/>
              <w:jc w:val="right"/>
              <w:rPr>
                <w:rFonts w:ascii="Arial" w:hAnsi="Arial"/>
                <w:i/>
                <w:color w:val="000000"/>
                <w:sz w:val="16"/>
              </w:rPr>
            </w:pPr>
            <w:r>
              <w:rPr>
                <w:rFonts w:ascii="Arial" w:hAnsi="Arial"/>
                <w:i/>
                <w:color w:val="000000"/>
                <w:sz w:val="16"/>
              </w:rPr>
              <w:t>13.4</w:t>
            </w:r>
          </w:p>
        </w:tc>
      </w:tr>
      <w:tr w:rsidR="00000000">
        <w:tblPrEx>
          <w:tblCellMar>
            <w:top w:w="0" w:type="dxa"/>
            <w:bottom w:w="0" w:type="dxa"/>
          </w:tblCellMar>
        </w:tblPrEx>
        <w:trPr>
          <w:trHeight w:hRule="exact" w:val="80"/>
        </w:trPr>
        <w:tc>
          <w:tcPr>
            <w:tcW w:w="3900" w:type="dxa"/>
          </w:tcPr>
          <w:p w:rsidR="00000000" w:rsidRDefault="001F233B">
            <w:pPr>
              <w:keepNext/>
              <w:spacing w:after="0"/>
              <w:jc w:val="right"/>
              <w:rPr>
                <w:rFonts w:ascii="Arial" w:hAnsi="Arial"/>
                <w:color w:val="000000"/>
                <w:sz w:val="16"/>
              </w:rPr>
            </w:pPr>
          </w:p>
        </w:tc>
        <w:tc>
          <w:tcPr>
            <w:tcW w:w="1080" w:type="dxa"/>
          </w:tcPr>
          <w:p w:rsidR="00000000" w:rsidRDefault="001F233B">
            <w:pPr>
              <w:keepNext/>
              <w:spacing w:after="0"/>
              <w:jc w:val="right"/>
              <w:rPr>
                <w:rFonts w:ascii="Arial" w:hAnsi="Arial"/>
                <w:color w:val="000000"/>
                <w:sz w:val="16"/>
              </w:rPr>
            </w:pPr>
          </w:p>
        </w:tc>
        <w:tc>
          <w:tcPr>
            <w:tcW w:w="1080" w:type="dxa"/>
          </w:tcPr>
          <w:p w:rsidR="00000000" w:rsidRDefault="001F233B">
            <w:pPr>
              <w:keepNext/>
              <w:spacing w:after="0"/>
              <w:jc w:val="right"/>
              <w:rPr>
                <w:rFonts w:ascii="Arial" w:hAnsi="Arial"/>
                <w:color w:val="000000"/>
                <w:sz w:val="16"/>
              </w:rPr>
            </w:pPr>
          </w:p>
        </w:tc>
        <w:tc>
          <w:tcPr>
            <w:tcW w:w="1080" w:type="dxa"/>
          </w:tcPr>
          <w:p w:rsidR="00000000" w:rsidRDefault="001F233B">
            <w:pPr>
              <w:keepNext/>
              <w:spacing w:after="0"/>
              <w:jc w:val="right"/>
              <w:rPr>
                <w:rFonts w:ascii="Arial" w:hAnsi="Arial"/>
                <w:color w:val="000000"/>
                <w:sz w:val="16"/>
              </w:rPr>
            </w:pPr>
          </w:p>
        </w:tc>
      </w:tr>
      <w:tr w:rsidR="00000000">
        <w:tblPrEx>
          <w:tblCellMar>
            <w:top w:w="0" w:type="dxa"/>
            <w:bottom w:w="0" w:type="dxa"/>
          </w:tblCellMar>
        </w:tblPrEx>
        <w:trPr>
          <w:trHeight w:hRule="exact" w:val="240"/>
        </w:trPr>
        <w:tc>
          <w:tcPr>
            <w:tcW w:w="3900" w:type="dxa"/>
            <w:tcBorders>
              <w:top w:val="single" w:sz="6" w:space="0" w:color="auto"/>
            </w:tcBorders>
          </w:tcPr>
          <w:p w:rsidR="00000000" w:rsidRDefault="001F233B">
            <w:pPr>
              <w:keepNext/>
              <w:spacing w:after="0"/>
              <w:rPr>
                <w:rFonts w:ascii="Arial" w:hAnsi="Arial"/>
                <w:b/>
                <w:color w:val="000000"/>
                <w:sz w:val="16"/>
              </w:rPr>
            </w:pPr>
            <w:r>
              <w:rPr>
                <w:rFonts w:ascii="Arial" w:hAnsi="Arial"/>
                <w:b/>
                <w:color w:val="000000"/>
                <w:sz w:val="16"/>
              </w:rPr>
              <w:t>Total Budget Surplus excluding privatisation</w:t>
            </w:r>
            <w:r>
              <w:rPr>
                <w:rFonts w:ascii="Arial" w:hAnsi="Arial"/>
                <w:b/>
                <w:color w:val="000000"/>
                <w:sz w:val="16"/>
              </w:rPr>
              <w:fldChar w:fldCharType="begin"/>
            </w:r>
            <w:r>
              <w:rPr>
                <w:rFonts w:ascii="Arial" w:hAnsi="Arial"/>
                <w:b/>
                <w:color w:val="000000"/>
                <w:sz w:val="16"/>
              </w:rPr>
              <w:instrText>xe "Privatisation"</w:instrText>
            </w:r>
            <w:r>
              <w:rPr>
                <w:rFonts w:ascii="Arial" w:hAnsi="Arial"/>
                <w:b/>
                <w:color w:val="000000"/>
                <w:sz w:val="16"/>
              </w:rPr>
              <w:fldChar w:fldCharType="end"/>
            </w:r>
          </w:p>
        </w:tc>
        <w:tc>
          <w:tcPr>
            <w:tcW w:w="1080" w:type="dxa"/>
            <w:tcBorders>
              <w:top w:val="single" w:sz="6"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 xml:space="preserve"> 443.7</w:t>
            </w:r>
          </w:p>
        </w:tc>
        <w:tc>
          <w:tcPr>
            <w:tcW w:w="1080" w:type="dxa"/>
            <w:tcBorders>
              <w:top w:val="single" w:sz="6"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 xml:space="preserve"> 707.4</w:t>
            </w:r>
          </w:p>
        </w:tc>
        <w:tc>
          <w:tcPr>
            <w:tcW w:w="1080" w:type="dxa"/>
            <w:tcBorders>
              <w:top w:val="single" w:sz="6"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 xml:space="preserve"> 164.6</w:t>
            </w:r>
          </w:p>
        </w:tc>
      </w:tr>
      <w:tr w:rsidR="00000000">
        <w:tblPrEx>
          <w:tblCellMar>
            <w:top w:w="0" w:type="dxa"/>
            <w:bottom w:w="0" w:type="dxa"/>
          </w:tblCellMar>
        </w:tblPrEx>
        <w:trPr>
          <w:trHeight w:hRule="exact" w:val="240"/>
        </w:trPr>
        <w:tc>
          <w:tcPr>
            <w:tcW w:w="3900" w:type="dxa"/>
          </w:tcPr>
          <w:p w:rsidR="00000000" w:rsidRDefault="001F233B">
            <w:pPr>
              <w:keepNext/>
              <w:spacing w:after="0"/>
              <w:rPr>
                <w:rFonts w:ascii="Arial" w:hAnsi="Arial"/>
                <w:color w:val="000000"/>
                <w:sz w:val="16"/>
              </w:rPr>
            </w:pPr>
            <w:r>
              <w:rPr>
                <w:rFonts w:ascii="Arial" w:hAnsi="Arial"/>
                <w:color w:val="000000"/>
                <w:sz w:val="16"/>
              </w:rPr>
              <w:t>plus: Privatisation</w:t>
            </w:r>
            <w:r>
              <w:rPr>
                <w:rFonts w:ascii="Arial" w:hAnsi="Arial"/>
                <w:color w:val="000000"/>
                <w:sz w:val="16"/>
              </w:rPr>
              <w:fldChar w:fldCharType="begin"/>
            </w:r>
            <w:r>
              <w:rPr>
                <w:rFonts w:ascii="Arial" w:hAnsi="Arial"/>
                <w:color w:val="000000"/>
                <w:sz w:val="16"/>
              </w:rPr>
              <w:instrText>xe "Privatisation"</w:instrText>
            </w:r>
            <w:r>
              <w:rPr>
                <w:rFonts w:ascii="Arial" w:hAnsi="Arial"/>
                <w:color w:val="000000"/>
                <w:sz w:val="16"/>
              </w:rPr>
              <w:fldChar w:fldCharType="end"/>
            </w:r>
            <w:r>
              <w:rPr>
                <w:rFonts w:ascii="Arial" w:hAnsi="Arial"/>
                <w:color w:val="000000"/>
                <w:sz w:val="16"/>
              </w:rPr>
              <w:t xml:space="preserve"> receipts</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2 047.0</w:t>
            </w:r>
          </w:p>
        </w:tc>
        <w:tc>
          <w:tcPr>
            <w:tcW w:w="1080" w:type="dxa"/>
          </w:tcPr>
          <w:p w:rsidR="00000000" w:rsidRDefault="001F233B">
            <w:pPr>
              <w:keepNext/>
              <w:spacing w:after="0"/>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rPr>
          <w:trHeight w:hRule="exact" w:val="240"/>
        </w:trPr>
        <w:tc>
          <w:tcPr>
            <w:tcW w:w="3900" w:type="dxa"/>
            <w:tcBorders>
              <w:top w:val="single" w:sz="6" w:space="0" w:color="auto"/>
            </w:tcBorders>
          </w:tcPr>
          <w:p w:rsidR="00000000" w:rsidRDefault="001F233B">
            <w:pPr>
              <w:keepNext/>
              <w:spacing w:after="0"/>
              <w:rPr>
                <w:rFonts w:ascii="Arial" w:hAnsi="Arial"/>
                <w:b/>
                <w:color w:val="000000"/>
                <w:sz w:val="16"/>
              </w:rPr>
            </w:pPr>
            <w:r>
              <w:rPr>
                <w:rFonts w:ascii="Arial" w:hAnsi="Arial"/>
                <w:b/>
                <w:color w:val="000000"/>
                <w:sz w:val="16"/>
              </w:rPr>
              <w:t>Budget Surplus including privatisation</w:t>
            </w:r>
            <w:r>
              <w:rPr>
                <w:rFonts w:ascii="Arial" w:hAnsi="Arial"/>
                <w:b/>
                <w:color w:val="000000"/>
                <w:sz w:val="16"/>
              </w:rPr>
              <w:fldChar w:fldCharType="begin"/>
            </w:r>
            <w:r>
              <w:rPr>
                <w:rFonts w:ascii="Arial" w:hAnsi="Arial"/>
                <w:b/>
                <w:color w:val="000000"/>
                <w:sz w:val="16"/>
              </w:rPr>
              <w:instrText>xe "Privatisation"</w:instrText>
            </w:r>
            <w:r>
              <w:rPr>
                <w:rFonts w:ascii="Arial" w:hAnsi="Arial"/>
                <w:b/>
                <w:color w:val="000000"/>
                <w:sz w:val="16"/>
              </w:rPr>
              <w:fldChar w:fldCharType="end"/>
            </w:r>
          </w:p>
        </w:tc>
        <w:tc>
          <w:tcPr>
            <w:tcW w:w="1080" w:type="dxa"/>
            <w:tcBorders>
              <w:top w:val="single" w:sz="6" w:space="0" w:color="auto"/>
            </w:tcBorders>
          </w:tcPr>
          <w:p w:rsidR="00000000" w:rsidRDefault="001F233B">
            <w:pPr>
              <w:keepNext/>
              <w:spacing w:after="0"/>
              <w:jc w:val="right"/>
              <w:rPr>
                <w:rFonts w:ascii="Arial" w:hAnsi="Arial"/>
                <w:b/>
                <w:color w:val="000000"/>
                <w:sz w:val="16"/>
              </w:rPr>
            </w:pPr>
          </w:p>
        </w:tc>
        <w:tc>
          <w:tcPr>
            <w:tcW w:w="1080" w:type="dxa"/>
            <w:tcBorders>
              <w:top w:val="single" w:sz="6" w:space="0" w:color="auto"/>
            </w:tcBorders>
          </w:tcPr>
          <w:p w:rsidR="00000000" w:rsidRDefault="001F233B">
            <w:pPr>
              <w:keepNext/>
              <w:spacing w:after="0"/>
              <w:jc w:val="right"/>
              <w:rPr>
                <w:rFonts w:ascii="Arial" w:hAnsi="Arial"/>
                <w:b/>
                <w:color w:val="000000"/>
                <w:sz w:val="16"/>
              </w:rPr>
            </w:pPr>
          </w:p>
        </w:tc>
        <w:tc>
          <w:tcPr>
            <w:tcW w:w="1080" w:type="dxa"/>
            <w:tcBorders>
              <w:top w:val="single" w:sz="6" w:space="0" w:color="auto"/>
            </w:tcBorders>
          </w:tcPr>
          <w:p w:rsidR="00000000" w:rsidRDefault="001F233B">
            <w:pPr>
              <w:keepNext/>
              <w:spacing w:after="0"/>
              <w:jc w:val="right"/>
              <w:rPr>
                <w:rFonts w:ascii="Arial" w:hAnsi="Arial"/>
                <w:b/>
                <w:color w:val="000000"/>
                <w:sz w:val="16"/>
              </w:rPr>
            </w:pPr>
          </w:p>
        </w:tc>
      </w:tr>
      <w:tr w:rsidR="00000000">
        <w:tblPrEx>
          <w:tblCellMar>
            <w:top w:w="0" w:type="dxa"/>
            <w:bottom w:w="0" w:type="dxa"/>
          </w:tblCellMar>
        </w:tblPrEx>
        <w:trPr>
          <w:trHeight w:hRule="exact" w:val="240"/>
        </w:trPr>
        <w:tc>
          <w:tcPr>
            <w:tcW w:w="3900" w:type="dxa"/>
            <w:tcBorders>
              <w:bottom w:val="single" w:sz="12" w:space="0" w:color="auto"/>
            </w:tcBorders>
          </w:tcPr>
          <w:p w:rsidR="00000000" w:rsidRDefault="001F233B">
            <w:pPr>
              <w:keepNext/>
              <w:spacing w:after="0"/>
              <w:rPr>
                <w:rFonts w:ascii="Arial" w:hAnsi="Arial"/>
                <w:b/>
                <w:color w:val="000000"/>
                <w:sz w:val="16"/>
              </w:rPr>
            </w:pPr>
            <w:r>
              <w:rPr>
                <w:rFonts w:ascii="Arial" w:hAnsi="Arial"/>
                <w:b/>
                <w:color w:val="000000"/>
                <w:sz w:val="16"/>
              </w:rPr>
              <w:t>proceeds</w:t>
            </w:r>
          </w:p>
        </w:tc>
        <w:tc>
          <w:tcPr>
            <w:tcW w:w="1080" w:type="dxa"/>
            <w:tcBorders>
              <w:bottom w:val="single" w:sz="12"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 xml:space="preserve"> 443.7</w:t>
            </w:r>
          </w:p>
        </w:tc>
        <w:tc>
          <w:tcPr>
            <w:tcW w:w="1080" w:type="dxa"/>
            <w:tcBorders>
              <w:bottom w:val="single" w:sz="12"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2 754.4</w:t>
            </w:r>
          </w:p>
        </w:tc>
        <w:tc>
          <w:tcPr>
            <w:tcW w:w="1080" w:type="dxa"/>
            <w:tcBorders>
              <w:bottom w:val="single" w:sz="12" w:space="0" w:color="auto"/>
            </w:tcBorders>
          </w:tcPr>
          <w:p w:rsidR="00000000" w:rsidRDefault="001F233B">
            <w:pPr>
              <w:keepNext/>
              <w:spacing w:after="0"/>
              <w:jc w:val="right"/>
              <w:rPr>
                <w:rFonts w:ascii="Arial" w:hAnsi="Arial"/>
                <w:b/>
                <w:color w:val="000000"/>
                <w:sz w:val="16"/>
              </w:rPr>
            </w:pPr>
            <w:r>
              <w:rPr>
                <w:rFonts w:ascii="Arial" w:hAnsi="Arial"/>
                <w:b/>
                <w:color w:val="000000"/>
                <w:sz w:val="16"/>
              </w:rPr>
              <w:t xml:space="preserve"> 164.6</w:t>
            </w:r>
          </w:p>
        </w:tc>
      </w:tr>
    </w:tbl>
    <w:p w:rsidR="00000000" w:rsidRDefault="001F233B">
      <w:pPr>
        <w:pStyle w:val="Source"/>
      </w:pPr>
      <w:r>
        <w:t>Source: Department of Treasury and Finance.</w:t>
      </w:r>
    </w:p>
    <w:p w:rsidR="00000000" w:rsidRDefault="001F233B">
      <w:pPr>
        <w:pStyle w:val="Notes"/>
      </w:pPr>
      <w:r>
        <w:t>Notes:</w:t>
      </w:r>
    </w:p>
    <w:p w:rsidR="00000000" w:rsidRDefault="001F233B">
      <w:pPr>
        <w:pStyle w:val="Notes"/>
      </w:pPr>
      <w:r>
        <w:t>(a)</w:t>
      </w:r>
      <w:r>
        <w:tab/>
        <w:t>Percentage change 1998</w:t>
      </w:r>
      <w:r>
        <w:noBreakHyphen/>
        <w:t>99 Budget on 1997</w:t>
      </w:r>
      <w:r>
        <w:noBreakHyphen/>
        <w:t>98 revised estimate.</w:t>
      </w:r>
    </w:p>
    <w:p w:rsidR="00000000" w:rsidRDefault="001F233B">
      <w:pPr>
        <w:pStyle w:val="Notes"/>
      </w:pPr>
      <w:r>
        <w:t>(b)</w:t>
      </w:r>
      <w:r>
        <w:tab/>
        <w:t>Excludes the proceeds of privatisation</w:t>
      </w:r>
      <w:r>
        <w:fldChar w:fldCharType="begin"/>
      </w:r>
      <w:r>
        <w:instrText>xe "Privatisation"</w:instrText>
      </w:r>
      <w:r>
        <w:fldChar w:fldCharType="end"/>
      </w:r>
      <w:r>
        <w:t>.</w:t>
      </w:r>
    </w:p>
    <w:p w:rsidR="00000000" w:rsidRDefault="001F233B">
      <w:pPr>
        <w:pStyle w:val="Notes"/>
        <w:tabs>
          <w:tab w:val="clear" w:pos="454"/>
          <w:tab w:val="left" w:pos="360"/>
        </w:tabs>
      </w:pPr>
    </w:p>
    <w:p w:rsidR="00000000" w:rsidRDefault="001F233B">
      <w:bookmarkStart w:id="59" w:name="_Toc417119827"/>
      <w:r>
        <w:t>Sales of goods and servi</w:t>
      </w:r>
      <w:r>
        <w:t>ces are $574.3 million higher than the 1997</w:t>
      </w:r>
      <w:r>
        <w:noBreakHyphen/>
        <w:t>98 Budget estimate. This is largely due to the inclusion of revenues associated with school council activities and activities of hospitals associated with their commercial and community</w:t>
      </w:r>
      <w:r>
        <w:noBreakHyphen/>
        <w:t>funded operations.  However, the impact on the Budget cash outcome is offset by an equivalent rise in operating expenses.</w:t>
      </w:r>
    </w:p>
    <w:p w:rsidR="00000000" w:rsidRDefault="001F233B">
      <w:r>
        <w:t>Excluding this increase, current revenues are 3.0 per cent higher than forecast in the 1997</w:t>
      </w:r>
      <w:r>
        <w:noBreakHyphen/>
        <w:t>98 Budget. Interpretation of the changes in individual revenue compo</w:t>
      </w:r>
      <w:r>
        <w:t>nents is again affected by the abolition of the public authority contribution</w:t>
      </w:r>
      <w:r>
        <w:fldChar w:fldCharType="begin"/>
      </w:r>
      <w:r>
        <w:instrText>xe "Public authority contribution"</w:instrText>
      </w:r>
      <w:r>
        <w:fldChar w:fldCharType="end"/>
      </w:r>
      <w:r>
        <w:t xml:space="preserve"> from December 1997, which reduced tax receipts but resulted in an increase in public authority income. One-off losses on safety net revenues</w:t>
      </w:r>
      <w:r>
        <w:fldChar w:fldCharType="begin"/>
      </w:r>
      <w:r>
        <w:instrText>xe "Safety net arrangements:Revenues"</w:instrText>
      </w:r>
      <w:r>
        <w:fldChar w:fldCharType="end"/>
      </w:r>
      <w:r>
        <w:t xml:space="preserve"> have also reduced 1997-98 tax receipts. Abstracting from their influences, tax collections have been revised upward reflecting the strengthening in the property market and higher than expected gambling revenue. Other r</w:t>
      </w:r>
      <w:r>
        <w:t>evenue is higher than estimated due to the transfer of land valued at $67.7 million from the SECV</w:t>
      </w:r>
      <w:r>
        <w:fldChar w:fldCharType="begin"/>
      </w:r>
      <w:r>
        <w:instrText>xe "State Electricity Commission of Victoria"</w:instrText>
      </w:r>
      <w:r>
        <w:fldChar w:fldCharType="end"/>
      </w:r>
      <w:r>
        <w:t xml:space="preserve"> to the budget sector following the sale of Southern Hydro</w:t>
      </w:r>
      <w:r>
        <w:fldChar w:fldCharType="begin"/>
      </w:r>
      <w:r>
        <w:instrText>xe "Southern Hydro"</w:instrText>
      </w:r>
      <w:r>
        <w:fldChar w:fldCharType="end"/>
      </w:r>
      <w:r>
        <w:t>. This transfer was to ensure that these lands could continue to be used for public recreational purposes. (Although essentially a balance sheet item, this transfer was from outside the budget sector and must therefore be recognised as revenue in order to be added to the budget sector bal</w:t>
      </w:r>
      <w:r>
        <w:t>ance sheet.)</w:t>
      </w:r>
    </w:p>
    <w:p w:rsidR="00000000" w:rsidRDefault="001F233B">
      <w:r>
        <w:t>As noted above, the change in the treatment of sales of goods and services by schools and hospitals is offset by the inclusion of associated operating expenditures, which account for most of the upward revision to total current expenditure for 1997</w:t>
      </w:r>
      <w:r>
        <w:noBreakHyphen/>
        <w:t>98.</w:t>
      </w:r>
    </w:p>
    <w:p w:rsidR="00000000" w:rsidRDefault="001F233B">
      <w:r>
        <w:t>Total capital expenditure in 1997</w:t>
      </w:r>
      <w:r>
        <w:noBreakHyphen/>
        <w:t>98 is little changed from the Budget estimate. Expenditure on fixed assets is now lower due to expected underspending on 1997</w:t>
      </w:r>
      <w:r>
        <w:noBreakHyphen/>
        <w:t>98 projects and car fleet sale proceeds (which were not included in the budget estimat</w:t>
      </w:r>
      <w:r>
        <w:t>es) that reduce recorded net capital expenditure. However, other capital expenditure has been increased by a similar amount due to the one</w:t>
      </w:r>
      <w:r>
        <w:noBreakHyphen/>
        <w:t>off cost of the water industry restructuring.</w:t>
      </w:r>
    </w:p>
    <w:p w:rsidR="00000000" w:rsidRDefault="001F233B">
      <w:r>
        <w:t>The Budget cash surplus, excluding privatisation</w:t>
      </w:r>
      <w:r>
        <w:fldChar w:fldCharType="begin"/>
      </w:r>
      <w:r>
        <w:instrText>xe "Privatisation"</w:instrText>
      </w:r>
      <w:r>
        <w:fldChar w:fldCharType="end"/>
      </w:r>
      <w:r>
        <w:t xml:space="preserve"> proceeds, is forecast to decline by $542.8 million in 1998</w:t>
      </w:r>
      <w:r>
        <w:noBreakHyphen/>
        <w:t>99, to reach a level of just $164.6 million. This is larger than the decline of $385.7 million in the accrual-based operating surplus</w:t>
      </w:r>
      <w:r>
        <w:fldChar w:fldCharType="begin"/>
      </w:r>
      <w:r>
        <w:instrText>xe "Operating surplus"</w:instrText>
      </w:r>
      <w:r>
        <w:fldChar w:fldCharType="end"/>
      </w:r>
      <w:r>
        <w:t>. Total current revenues and total current</w:t>
      </w:r>
      <w:r>
        <w:t xml:space="preserve"> expenditure move broadly in line with total operating revenues and total operating expenses. The larger decline in the cash surplus is attributable to a strong 13.4 per cent pick-up in capital expenditure.</w:t>
      </w:r>
    </w:p>
    <w:p w:rsidR="00000000" w:rsidRDefault="001F233B" w:rsidP="001F233B">
      <w:pPr>
        <w:pStyle w:val="BulletText"/>
        <w:numPr>
          <w:ilvl w:val="0"/>
          <w:numId w:val="0"/>
        </w:numPr>
      </w:pPr>
      <w:r>
        <w:t>Other main differences between trends in the accrual and cash</w:t>
      </w:r>
      <w:r>
        <w:noBreakHyphen/>
        <w:t>based items between 1997</w:t>
      </w:r>
      <w:r>
        <w:noBreakHyphen/>
        <w:t>98 and 1998</w:t>
      </w:r>
      <w:r>
        <w:noBreakHyphen/>
        <w:t>99 are the larger movements in the cash</w:t>
      </w:r>
      <w:r>
        <w:noBreakHyphen/>
        <w:t>based expenditures on superannuation and interest and other financing costs compared to the accrual measures. Cash</w:t>
      </w:r>
      <w:r>
        <w:noBreakHyphen/>
        <w:t>based superannuation expenditure in 1998</w:t>
      </w:r>
      <w:r>
        <w:noBreakHyphen/>
        <w:t>99 increas</w:t>
      </w:r>
      <w:r>
        <w:t>es by 34.9 per cent boosted by cash payments associated with the restructuring of the PTC. The impact on growth in total current expenditure is substantially offset by a $349.4 million reduction in interest and other financing costs. Interest and other financing costs for 1997</w:t>
      </w:r>
      <w:r>
        <w:noBreakHyphen/>
        <w:t>98 include the realised loss on the mark-to-market revaluation of metropolitan water borrowings which is treated as an abnormal item not included in the accrual</w:t>
      </w:r>
      <w:r>
        <w:noBreakHyphen/>
        <w:t>based interest expense.</w:t>
      </w:r>
    </w:p>
    <w:p w:rsidR="00000000" w:rsidRDefault="001F233B">
      <w:pPr>
        <w:pStyle w:val="Heading2"/>
      </w:pPr>
      <w:bookmarkStart w:id="60" w:name="_Toc417552079"/>
      <w:r>
        <w:t>Forward estimates 1999</w:t>
      </w:r>
      <w:r>
        <w:noBreakHyphen/>
        <w:t>00 to 2001</w:t>
      </w:r>
      <w:r>
        <w:noBreakHyphen/>
        <w:t>02</w:t>
      </w:r>
      <w:bookmarkEnd w:id="59"/>
      <w:bookmarkEnd w:id="60"/>
    </w:p>
    <w:p w:rsidR="00000000" w:rsidRDefault="001F233B">
      <w:r>
        <w:t>Table 3.8 pr</w:t>
      </w:r>
      <w:r>
        <w:t>ovides detail on the budget sector operating statement</w:t>
      </w:r>
      <w:r>
        <w:fldChar w:fldCharType="begin"/>
      </w:r>
      <w:r>
        <w:instrText>xe "Operating statement"</w:instrText>
      </w:r>
      <w:r>
        <w:fldChar w:fldCharType="end"/>
      </w:r>
      <w:r>
        <w:t xml:space="preserve"> for the forward estimate years 1999</w:t>
      </w:r>
      <w:r>
        <w:noBreakHyphen/>
        <w:t>00 to 2001</w:t>
      </w:r>
      <w:r>
        <w:noBreakHyphen/>
        <w:t>02, using the 1998</w:t>
      </w:r>
      <w:r>
        <w:noBreakHyphen/>
        <w:t xml:space="preserve">99 Budget estimate as the base. The forward estimates reflect the economic projections outlined in Chapter 7, </w:t>
      </w:r>
      <w:r>
        <w:rPr>
          <w:i/>
        </w:rPr>
        <w:t>Economic Outlook</w:t>
      </w:r>
      <w:r>
        <w:t xml:space="preserve"> and incorporate announced policy commitments, but exclude the effect of potential future privatisations. The forward estimates represent planning projections for future budgets and should not be interpreted as forecasts</w:t>
      </w:r>
      <w:r>
        <w:fldChar w:fldCharType="begin"/>
      </w:r>
      <w:r>
        <w:instrText>xe "Economy:Foreca</w:instrText>
      </w:r>
      <w:r>
        <w:instrText>sts"</w:instrText>
      </w:r>
      <w:r>
        <w:fldChar w:fldCharType="end"/>
      </w:r>
      <w:r>
        <w:t>.</w:t>
      </w:r>
    </w:p>
    <w:p w:rsidR="00000000" w:rsidRDefault="001F233B">
      <w:r>
        <w:t>The operating surplus</w:t>
      </w:r>
      <w:r>
        <w:fldChar w:fldCharType="begin"/>
      </w:r>
      <w:r>
        <w:instrText>xe "Operating surplus"</w:instrText>
      </w:r>
      <w:r>
        <w:fldChar w:fldCharType="end"/>
      </w:r>
      <w:r>
        <w:t xml:space="preserve"> before abnormals is forecast to rise from $767.3 million in 1998</w:t>
      </w:r>
      <w:r>
        <w:noBreakHyphen/>
        <w:t>99 to $949.2 million in 2001</w:t>
      </w:r>
      <w:r>
        <w:noBreakHyphen/>
        <w:t>02.</w:t>
      </w:r>
    </w:p>
    <w:p w:rsidR="00000000" w:rsidRDefault="001F233B">
      <w:r>
        <w:t>Gross operating expenditure should rise faster than revenue but this will be more than offset by a reduction in interest expense as cash surpluses are used to reduce debt levels and other expenses are reduced.</w:t>
      </w:r>
    </w:p>
    <w:p w:rsidR="00000000" w:rsidRDefault="001F233B">
      <w:r>
        <w:t>Growth in total revenue is projected to average 2.0 per cent a year from 1998</w:t>
      </w:r>
      <w:r>
        <w:noBreakHyphen/>
        <w:t>99 to 2001</w:t>
      </w:r>
      <w:r>
        <w:noBreakHyphen/>
        <w:t>02.</w:t>
      </w:r>
    </w:p>
    <w:p w:rsidR="00000000" w:rsidRDefault="001F233B" w:rsidP="001F233B">
      <w:pPr>
        <w:pStyle w:val="BulletText"/>
        <w:numPr>
          <w:ilvl w:val="0"/>
          <w:numId w:val="0"/>
        </w:numPr>
      </w:pPr>
      <w:r>
        <w:t>Annual growth in taxes, fees and fines is expected to aver</w:t>
      </w:r>
      <w:r>
        <w:t>age 2.3 per cent over the 1998</w:t>
      </w:r>
      <w:r>
        <w:noBreakHyphen/>
        <w:t>99 to 2001</w:t>
      </w:r>
      <w:r>
        <w:noBreakHyphen/>
        <w:t>02 period, well below projected annual growth in nominal gross state product</w:t>
      </w:r>
      <w:r>
        <w:fldChar w:fldCharType="begin"/>
      </w:r>
      <w:r>
        <w:instrText>xe "Economy:Gross State Products (GSP)"</w:instrText>
      </w:r>
      <w:r>
        <w:fldChar w:fldCharType="end"/>
      </w:r>
      <w:r>
        <w:t xml:space="preserve"> (GSP). The main explanations for this apparently subdued outlook are the expected return of the property market to more normal levels after peaking in 1998</w:t>
      </w:r>
      <w:r>
        <w:noBreakHyphen/>
        <w:t>99 and the phasing out of electricity</w:t>
      </w:r>
      <w:r>
        <w:fldChar w:fldCharType="begin"/>
      </w:r>
      <w:r>
        <w:instrText>xe "Electricity"</w:instrText>
      </w:r>
      <w:r>
        <w:fldChar w:fldCharType="end"/>
      </w:r>
      <w:r>
        <w:t xml:space="preserve"> franchise fees by 2000</w:t>
      </w:r>
      <w:r>
        <w:noBreakHyphen/>
        <w:t>01. Growth in gambling taxes</w:t>
      </w:r>
      <w:r>
        <w:fldChar w:fldCharType="begin"/>
      </w:r>
      <w:r>
        <w:instrText>xe "Gambling taxes"</w:instrText>
      </w:r>
      <w:r>
        <w:fldChar w:fldCharType="end"/>
      </w:r>
      <w:r>
        <w:t xml:space="preserve"> is also expected to moderate relative to recent years (for more det</w:t>
      </w:r>
      <w:r>
        <w:t xml:space="preserve">ail see Chapter 5, </w:t>
      </w:r>
      <w:r>
        <w:rPr>
          <w:i/>
        </w:rPr>
        <w:t>Revenue)</w:t>
      </w:r>
      <w:r>
        <w:t>.</w:t>
      </w:r>
    </w:p>
    <w:p w:rsidR="00000000" w:rsidRDefault="001F233B">
      <w:pPr>
        <w:pStyle w:val="Tableheading"/>
        <w:rPr>
          <w:i/>
          <w:vertAlign w:val="superscript"/>
        </w:rPr>
      </w:pPr>
      <w:r>
        <w:br w:type="page"/>
      </w:r>
      <w:bookmarkStart w:id="61" w:name="_Toc417119986"/>
      <w:bookmarkStart w:id="62" w:name="_Toc417552745"/>
      <w:r>
        <w:t>Table 3.8: Budget Sector Operating Statement</w:t>
      </w:r>
      <w:r>
        <w:fldChar w:fldCharType="begin"/>
      </w:r>
      <w:r>
        <w:instrText>xe "Operating statement"</w:instrText>
      </w:r>
      <w:r>
        <w:fldChar w:fldCharType="end"/>
      </w:r>
      <w:r>
        <w:t xml:space="preserve"> </w:t>
      </w:r>
      <w:r>
        <w:noBreakHyphen/>
        <w:t xml:space="preserve"> Forward Estimates 1998</w:t>
      </w:r>
      <w:r>
        <w:noBreakHyphen/>
        <w:t>99 to 2001</w:t>
      </w:r>
      <w:r>
        <w:noBreakHyphen/>
        <w:t>02</w:t>
      </w:r>
      <w:bookmarkEnd w:id="61"/>
      <w:bookmarkEnd w:id="62"/>
      <w:r>
        <w:t xml:space="preserve"> </w:t>
      </w:r>
      <w:r>
        <w:rPr>
          <w:i/>
          <w:vertAlign w:val="superscript"/>
        </w:rPr>
        <w:t>(a)</w:t>
      </w:r>
    </w:p>
    <w:p w:rsidR="00000000" w:rsidRDefault="001F233B">
      <w:pPr>
        <w:spacing w:after="0"/>
        <w:jc w:val="center"/>
        <w:rPr>
          <w:rFonts w:ascii="Arial" w:hAnsi="Arial"/>
          <w:i/>
          <w:noProof/>
          <w:sz w:val="18"/>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3432"/>
        <w:gridCol w:w="993"/>
        <w:gridCol w:w="850"/>
        <w:gridCol w:w="992"/>
        <w:gridCol w:w="851"/>
      </w:tblGrid>
      <w:tr w:rsidR="00000000">
        <w:tblPrEx>
          <w:tblCellMar>
            <w:top w:w="0" w:type="dxa"/>
            <w:bottom w:w="0" w:type="dxa"/>
          </w:tblCellMar>
        </w:tblPrEx>
        <w:tc>
          <w:tcPr>
            <w:tcW w:w="3432" w:type="dxa"/>
            <w:tcBorders>
              <w:top w:val="single" w:sz="6" w:space="0" w:color="auto"/>
            </w:tcBorders>
          </w:tcPr>
          <w:p w:rsidR="00000000" w:rsidRDefault="001F233B">
            <w:pPr>
              <w:spacing w:after="0"/>
              <w:jc w:val="right"/>
              <w:rPr>
                <w:rFonts w:ascii="Arial" w:hAnsi="Arial"/>
                <w:i/>
                <w:color w:val="000000"/>
                <w:sz w:val="18"/>
              </w:rPr>
            </w:pPr>
          </w:p>
        </w:tc>
        <w:tc>
          <w:tcPr>
            <w:tcW w:w="993" w:type="dxa"/>
            <w:tcBorders>
              <w:top w:val="single" w:sz="6" w:space="0" w:color="auto"/>
            </w:tcBorders>
          </w:tcPr>
          <w:p w:rsidR="00000000" w:rsidRDefault="001F233B">
            <w:pPr>
              <w:pStyle w:val="Tabletextheading"/>
              <w:rPr>
                <w:b w:val="0"/>
                <w:i/>
              </w:rPr>
            </w:pPr>
            <w:r>
              <w:rPr>
                <w:b w:val="0"/>
                <w:i/>
              </w:rPr>
              <w:t>1998-99</w:t>
            </w:r>
          </w:p>
        </w:tc>
        <w:tc>
          <w:tcPr>
            <w:tcW w:w="850" w:type="dxa"/>
            <w:tcBorders>
              <w:top w:val="single" w:sz="6" w:space="0" w:color="auto"/>
            </w:tcBorders>
          </w:tcPr>
          <w:p w:rsidR="00000000" w:rsidRDefault="001F233B">
            <w:pPr>
              <w:pStyle w:val="Tabletextheading"/>
              <w:rPr>
                <w:b w:val="0"/>
                <w:i/>
              </w:rPr>
            </w:pPr>
            <w:r>
              <w:rPr>
                <w:b w:val="0"/>
                <w:i/>
              </w:rPr>
              <w:t>1999-00</w:t>
            </w:r>
          </w:p>
        </w:tc>
        <w:tc>
          <w:tcPr>
            <w:tcW w:w="992" w:type="dxa"/>
            <w:tcBorders>
              <w:top w:val="single" w:sz="6" w:space="0" w:color="auto"/>
            </w:tcBorders>
          </w:tcPr>
          <w:p w:rsidR="00000000" w:rsidRDefault="001F233B">
            <w:pPr>
              <w:pStyle w:val="Tabletextheading"/>
              <w:rPr>
                <w:b w:val="0"/>
                <w:i/>
              </w:rPr>
            </w:pPr>
            <w:r>
              <w:rPr>
                <w:b w:val="0"/>
                <w:i/>
              </w:rPr>
              <w:t>2000-01</w:t>
            </w:r>
          </w:p>
        </w:tc>
        <w:tc>
          <w:tcPr>
            <w:tcW w:w="851" w:type="dxa"/>
            <w:tcBorders>
              <w:top w:val="single" w:sz="6" w:space="0" w:color="auto"/>
            </w:tcBorders>
          </w:tcPr>
          <w:p w:rsidR="00000000" w:rsidRDefault="001F233B">
            <w:pPr>
              <w:pStyle w:val="Tabletextheading"/>
              <w:rPr>
                <w:b w:val="0"/>
                <w:i/>
              </w:rPr>
            </w:pPr>
            <w:r>
              <w:rPr>
                <w:b w:val="0"/>
                <w:i/>
              </w:rPr>
              <w:t>2001-02</w:t>
            </w:r>
          </w:p>
        </w:tc>
      </w:tr>
      <w:tr w:rsidR="00000000">
        <w:tblPrEx>
          <w:tblCellMar>
            <w:top w:w="0" w:type="dxa"/>
            <w:bottom w:w="0" w:type="dxa"/>
          </w:tblCellMar>
        </w:tblPrEx>
        <w:tc>
          <w:tcPr>
            <w:tcW w:w="3432" w:type="dxa"/>
            <w:tcBorders>
              <w:bottom w:val="single" w:sz="6" w:space="0" w:color="auto"/>
            </w:tcBorders>
          </w:tcPr>
          <w:p w:rsidR="00000000" w:rsidRDefault="001F233B">
            <w:pPr>
              <w:pStyle w:val="Tabletext"/>
              <w:rPr>
                <w:i/>
              </w:rPr>
            </w:pPr>
          </w:p>
        </w:tc>
        <w:tc>
          <w:tcPr>
            <w:tcW w:w="993" w:type="dxa"/>
            <w:tcBorders>
              <w:bottom w:val="single" w:sz="6" w:space="0" w:color="auto"/>
            </w:tcBorders>
          </w:tcPr>
          <w:p w:rsidR="00000000" w:rsidRDefault="001F233B">
            <w:pPr>
              <w:pStyle w:val="Tabletextheading"/>
              <w:rPr>
                <w:b w:val="0"/>
                <w:i/>
              </w:rPr>
            </w:pPr>
            <w:r>
              <w:rPr>
                <w:b w:val="0"/>
                <w:i/>
              </w:rPr>
              <w:t>Budget</w:t>
            </w:r>
          </w:p>
        </w:tc>
        <w:tc>
          <w:tcPr>
            <w:tcW w:w="850" w:type="dxa"/>
            <w:tcBorders>
              <w:bottom w:val="single" w:sz="6" w:space="0" w:color="auto"/>
            </w:tcBorders>
          </w:tcPr>
          <w:p w:rsidR="00000000" w:rsidRDefault="001F233B">
            <w:pPr>
              <w:pStyle w:val="Tabletextheading"/>
              <w:rPr>
                <w:b w:val="0"/>
                <w:i/>
              </w:rPr>
            </w:pPr>
            <w:r>
              <w:rPr>
                <w:b w:val="0"/>
                <w:i/>
              </w:rPr>
              <w:t>Estimate</w:t>
            </w:r>
          </w:p>
        </w:tc>
        <w:tc>
          <w:tcPr>
            <w:tcW w:w="992" w:type="dxa"/>
            <w:tcBorders>
              <w:bottom w:val="single" w:sz="6" w:space="0" w:color="auto"/>
            </w:tcBorders>
          </w:tcPr>
          <w:p w:rsidR="00000000" w:rsidRDefault="001F233B">
            <w:pPr>
              <w:pStyle w:val="Tabletextheading"/>
              <w:rPr>
                <w:b w:val="0"/>
                <w:i/>
              </w:rPr>
            </w:pPr>
            <w:r>
              <w:rPr>
                <w:b w:val="0"/>
                <w:i/>
              </w:rPr>
              <w:t>Estimate</w:t>
            </w:r>
          </w:p>
        </w:tc>
        <w:tc>
          <w:tcPr>
            <w:tcW w:w="851" w:type="dxa"/>
            <w:tcBorders>
              <w:bottom w:val="single" w:sz="6" w:space="0" w:color="auto"/>
            </w:tcBorders>
          </w:tcPr>
          <w:p w:rsidR="00000000" w:rsidRDefault="001F233B">
            <w:pPr>
              <w:pStyle w:val="Tabletextheading"/>
              <w:rPr>
                <w:b w:val="0"/>
                <w:i/>
              </w:rPr>
            </w:pPr>
            <w:r>
              <w:rPr>
                <w:b w:val="0"/>
                <w:i/>
              </w:rPr>
              <w:t>Estimate</w:t>
            </w:r>
          </w:p>
        </w:tc>
      </w:tr>
      <w:tr w:rsidR="00000000">
        <w:tblPrEx>
          <w:tblCellMar>
            <w:top w:w="0" w:type="dxa"/>
            <w:bottom w:w="0" w:type="dxa"/>
          </w:tblCellMar>
        </w:tblPrEx>
        <w:trPr>
          <w:trHeight w:hRule="exact" w:val="320"/>
        </w:trPr>
        <w:tc>
          <w:tcPr>
            <w:tcW w:w="3432" w:type="dxa"/>
          </w:tcPr>
          <w:p w:rsidR="00000000" w:rsidRDefault="001F233B">
            <w:pPr>
              <w:pStyle w:val="Tabletext"/>
              <w:rPr>
                <w:b/>
              </w:rPr>
            </w:pPr>
            <w:r>
              <w:rPr>
                <w:b/>
              </w:rPr>
              <w:t>Net Operating Result</w:t>
            </w:r>
          </w:p>
        </w:tc>
        <w:tc>
          <w:tcPr>
            <w:tcW w:w="993" w:type="dxa"/>
          </w:tcPr>
          <w:p w:rsidR="00000000" w:rsidRDefault="001F233B">
            <w:pPr>
              <w:pStyle w:val="TableofFigures"/>
            </w:pPr>
          </w:p>
        </w:tc>
        <w:tc>
          <w:tcPr>
            <w:tcW w:w="850" w:type="dxa"/>
          </w:tcPr>
          <w:p w:rsidR="00000000" w:rsidRDefault="001F233B">
            <w:pPr>
              <w:pStyle w:val="TableofFigures"/>
            </w:pPr>
          </w:p>
        </w:tc>
        <w:tc>
          <w:tcPr>
            <w:tcW w:w="992" w:type="dxa"/>
          </w:tcPr>
          <w:p w:rsidR="00000000" w:rsidRDefault="001F233B">
            <w:pPr>
              <w:pStyle w:val="TableofFigures"/>
            </w:pPr>
          </w:p>
        </w:tc>
        <w:tc>
          <w:tcPr>
            <w:tcW w:w="851" w:type="dxa"/>
          </w:tcPr>
          <w:p w:rsidR="00000000" w:rsidRDefault="001F233B">
            <w:pPr>
              <w:pStyle w:val="TableofFigures"/>
            </w:pPr>
          </w:p>
        </w:tc>
      </w:tr>
      <w:tr w:rsidR="00000000">
        <w:tblPrEx>
          <w:tblCellMar>
            <w:top w:w="0" w:type="dxa"/>
            <w:bottom w:w="0" w:type="dxa"/>
          </w:tblCellMar>
        </w:tblPrEx>
        <w:trPr>
          <w:trHeight w:hRule="exact" w:val="320"/>
        </w:trPr>
        <w:tc>
          <w:tcPr>
            <w:tcW w:w="3432" w:type="dxa"/>
          </w:tcPr>
          <w:p w:rsidR="00000000" w:rsidRDefault="001F233B">
            <w:pPr>
              <w:pStyle w:val="Tabletext"/>
              <w:rPr>
                <w:i/>
                <w:sz w:val="16"/>
                <w:vertAlign w:val="superscript"/>
              </w:rPr>
            </w:pPr>
            <w:r>
              <w:t xml:space="preserve">Taxes </w:t>
            </w:r>
            <w:r>
              <w:rPr>
                <w:i/>
                <w:sz w:val="16"/>
                <w:vertAlign w:val="superscript"/>
              </w:rPr>
              <w:t>(b)</w:t>
            </w:r>
          </w:p>
        </w:tc>
        <w:tc>
          <w:tcPr>
            <w:tcW w:w="993" w:type="dxa"/>
          </w:tcPr>
          <w:p w:rsidR="00000000" w:rsidRDefault="001F233B">
            <w:pPr>
              <w:pStyle w:val="TableofFigures"/>
              <w:rPr>
                <w:color w:val="000000"/>
              </w:rPr>
            </w:pPr>
            <w:r>
              <w:t>8</w:t>
            </w:r>
            <w:r>
              <w:rPr>
                <w:color w:val="000000"/>
              </w:rPr>
              <w:t xml:space="preserve"> 483.6</w:t>
            </w:r>
          </w:p>
        </w:tc>
        <w:tc>
          <w:tcPr>
            <w:tcW w:w="850" w:type="dxa"/>
          </w:tcPr>
          <w:p w:rsidR="00000000" w:rsidRDefault="001F233B">
            <w:pPr>
              <w:pStyle w:val="TableofFigures"/>
              <w:rPr>
                <w:color w:val="000000"/>
              </w:rPr>
            </w:pPr>
            <w:r>
              <w:t>8</w:t>
            </w:r>
            <w:r>
              <w:rPr>
                <w:color w:val="000000"/>
              </w:rPr>
              <w:t xml:space="preserve"> 679.3</w:t>
            </w:r>
          </w:p>
        </w:tc>
        <w:tc>
          <w:tcPr>
            <w:tcW w:w="992" w:type="dxa"/>
          </w:tcPr>
          <w:p w:rsidR="00000000" w:rsidRDefault="001F233B">
            <w:pPr>
              <w:pStyle w:val="TableofFigures"/>
              <w:rPr>
                <w:color w:val="000000"/>
              </w:rPr>
            </w:pPr>
            <w:r>
              <w:t>8</w:t>
            </w:r>
            <w:r>
              <w:rPr>
                <w:color w:val="000000"/>
              </w:rPr>
              <w:t xml:space="preserve"> 880.3</w:t>
            </w:r>
          </w:p>
        </w:tc>
        <w:tc>
          <w:tcPr>
            <w:tcW w:w="851" w:type="dxa"/>
          </w:tcPr>
          <w:p w:rsidR="00000000" w:rsidRDefault="001F233B">
            <w:pPr>
              <w:pStyle w:val="TableofFigures"/>
              <w:rPr>
                <w:color w:val="000000"/>
              </w:rPr>
            </w:pPr>
            <w:r>
              <w:t>9</w:t>
            </w:r>
            <w:r>
              <w:rPr>
                <w:color w:val="000000"/>
              </w:rPr>
              <w:t xml:space="preserve"> 142.4</w:t>
            </w:r>
          </w:p>
        </w:tc>
      </w:tr>
      <w:tr w:rsidR="00000000">
        <w:tblPrEx>
          <w:tblCellMar>
            <w:top w:w="0" w:type="dxa"/>
            <w:bottom w:w="0" w:type="dxa"/>
          </w:tblCellMar>
        </w:tblPrEx>
        <w:trPr>
          <w:trHeight w:hRule="exact" w:val="320"/>
        </w:trPr>
        <w:tc>
          <w:tcPr>
            <w:tcW w:w="3432" w:type="dxa"/>
          </w:tcPr>
          <w:p w:rsidR="00000000" w:rsidRDefault="001F233B">
            <w:pPr>
              <w:pStyle w:val="Tabletext"/>
            </w:pPr>
            <w:r>
              <w:t>Regulatory fees and fines</w:t>
            </w:r>
          </w:p>
        </w:tc>
        <w:tc>
          <w:tcPr>
            <w:tcW w:w="993" w:type="dxa"/>
          </w:tcPr>
          <w:p w:rsidR="00000000" w:rsidRDefault="001F233B">
            <w:pPr>
              <w:pStyle w:val="TableofFigures"/>
              <w:rPr>
                <w:color w:val="000000"/>
              </w:rPr>
            </w:pPr>
            <w:r>
              <w:t xml:space="preserve"> </w:t>
            </w:r>
            <w:r>
              <w:rPr>
                <w:color w:val="000000"/>
              </w:rPr>
              <w:t>250.5</w:t>
            </w:r>
          </w:p>
        </w:tc>
        <w:tc>
          <w:tcPr>
            <w:tcW w:w="850" w:type="dxa"/>
          </w:tcPr>
          <w:p w:rsidR="00000000" w:rsidRDefault="001F233B">
            <w:pPr>
              <w:pStyle w:val="TableofFigures"/>
              <w:rPr>
                <w:color w:val="000000"/>
              </w:rPr>
            </w:pPr>
            <w:r>
              <w:t xml:space="preserve"> </w:t>
            </w:r>
            <w:r>
              <w:rPr>
                <w:color w:val="000000"/>
              </w:rPr>
              <w:t>252.1</w:t>
            </w:r>
          </w:p>
        </w:tc>
        <w:tc>
          <w:tcPr>
            <w:tcW w:w="992" w:type="dxa"/>
          </w:tcPr>
          <w:p w:rsidR="00000000" w:rsidRDefault="001F233B">
            <w:pPr>
              <w:pStyle w:val="TableofFigures"/>
              <w:rPr>
                <w:color w:val="000000"/>
              </w:rPr>
            </w:pPr>
            <w:r>
              <w:t xml:space="preserve"> </w:t>
            </w:r>
            <w:r>
              <w:rPr>
                <w:color w:val="000000"/>
              </w:rPr>
              <w:t>238.1</w:t>
            </w:r>
          </w:p>
        </w:tc>
        <w:tc>
          <w:tcPr>
            <w:tcW w:w="851" w:type="dxa"/>
          </w:tcPr>
          <w:p w:rsidR="00000000" w:rsidRDefault="001F233B">
            <w:pPr>
              <w:pStyle w:val="TableofFigures"/>
              <w:rPr>
                <w:color w:val="000000"/>
              </w:rPr>
            </w:pPr>
            <w:r>
              <w:t xml:space="preserve"> </w:t>
            </w:r>
            <w:r>
              <w:rPr>
                <w:color w:val="000000"/>
              </w:rPr>
              <w:t>198.1</w:t>
            </w:r>
          </w:p>
        </w:tc>
      </w:tr>
      <w:tr w:rsidR="00000000">
        <w:tblPrEx>
          <w:tblCellMar>
            <w:top w:w="0" w:type="dxa"/>
            <w:bottom w:w="0" w:type="dxa"/>
          </w:tblCellMar>
        </w:tblPrEx>
        <w:trPr>
          <w:trHeight w:hRule="exact" w:val="320"/>
        </w:trPr>
        <w:tc>
          <w:tcPr>
            <w:tcW w:w="3432" w:type="dxa"/>
          </w:tcPr>
          <w:p w:rsidR="00000000" w:rsidRDefault="001F233B">
            <w:pPr>
              <w:pStyle w:val="Tabletext"/>
            </w:pPr>
            <w:r>
              <w:t>Sales of goods and services</w:t>
            </w:r>
          </w:p>
        </w:tc>
        <w:tc>
          <w:tcPr>
            <w:tcW w:w="993" w:type="dxa"/>
          </w:tcPr>
          <w:p w:rsidR="00000000" w:rsidRDefault="001F233B">
            <w:pPr>
              <w:pStyle w:val="TableofFigures"/>
              <w:rPr>
                <w:color w:val="000000"/>
              </w:rPr>
            </w:pPr>
            <w:r>
              <w:t>1</w:t>
            </w:r>
            <w:r>
              <w:rPr>
                <w:color w:val="000000"/>
              </w:rPr>
              <w:t xml:space="preserve"> 744.8</w:t>
            </w:r>
          </w:p>
        </w:tc>
        <w:tc>
          <w:tcPr>
            <w:tcW w:w="850" w:type="dxa"/>
          </w:tcPr>
          <w:p w:rsidR="00000000" w:rsidRDefault="001F233B">
            <w:pPr>
              <w:pStyle w:val="TableofFigures"/>
              <w:rPr>
                <w:color w:val="000000"/>
              </w:rPr>
            </w:pPr>
            <w:r>
              <w:t>1</w:t>
            </w:r>
            <w:r>
              <w:rPr>
                <w:color w:val="000000"/>
              </w:rPr>
              <w:t xml:space="preserve"> 749.6</w:t>
            </w:r>
          </w:p>
        </w:tc>
        <w:tc>
          <w:tcPr>
            <w:tcW w:w="992" w:type="dxa"/>
          </w:tcPr>
          <w:p w:rsidR="00000000" w:rsidRDefault="001F233B">
            <w:pPr>
              <w:pStyle w:val="TableofFigures"/>
              <w:rPr>
                <w:color w:val="000000"/>
              </w:rPr>
            </w:pPr>
            <w:r>
              <w:t>1</w:t>
            </w:r>
            <w:r>
              <w:rPr>
                <w:color w:val="000000"/>
              </w:rPr>
              <w:t xml:space="preserve"> 743.5</w:t>
            </w:r>
          </w:p>
        </w:tc>
        <w:tc>
          <w:tcPr>
            <w:tcW w:w="851" w:type="dxa"/>
          </w:tcPr>
          <w:p w:rsidR="00000000" w:rsidRDefault="001F233B">
            <w:pPr>
              <w:pStyle w:val="TableofFigures"/>
              <w:rPr>
                <w:color w:val="000000"/>
              </w:rPr>
            </w:pPr>
            <w:r>
              <w:t>1</w:t>
            </w:r>
            <w:r>
              <w:rPr>
                <w:color w:val="000000"/>
              </w:rPr>
              <w:t xml:space="preserve"> 758.4</w:t>
            </w:r>
          </w:p>
        </w:tc>
      </w:tr>
      <w:tr w:rsidR="00000000">
        <w:tblPrEx>
          <w:tblCellMar>
            <w:top w:w="0" w:type="dxa"/>
            <w:bottom w:w="0" w:type="dxa"/>
          </w:tblCellMar>
        </w:tblPrEx>
        <w:trPr>
          <w:trHeight w:hRule="exact" w:val="320"/>
        </w:trPr>
        <w:tc>
          <w:tcPr>
            <w:tcW w:w="3432" w:type="dxa"/>
          </w:tcPr>
          <w:p w:rsidR="00000000" w:rsidRDefault="001F233B">
            <w:pPr>
              <w:pStyle w:val="Tabletext"/>
            </w:pPr>
            <w:r>
              <w:t xml:space="preserve">Public authority income </w:t>
            </w:r>
            <w:r>
              <w:rPr>
                <w:i/>
                <w:sz w:val="16"/>
                <w:vertAlign w:val="superscript"/>
              </w:rPr>
              <w:t>(b)</w:t>
            </w:r>
            <w:r>
              <w:t xml:space="preserve"> </w:t>
            </w:r>
          </w:p>
        </w:tc>
        <w:tc>
          <w:tcPr>
            <w:tcW w:w="993" w:type="dxa"/>
          </w:tcPr>
          <w:p w:rsidR="00000000" w:rsidRDefault="001F233B">
            <w:pPr>
              <w:pStyle w:val="TableofFigures"/>
              <w:rPr>
                <w:color w:val="000000"/>
              </w:rPr>
            </w:pPr>
            <w:r>
              <w:t xml:space="preserve"> </w:t>
            </w:r>
            <w:r>
              <w:rPr>
                <w:color w:val="000000"/>
              </w:rPr>
              <w:t>940.5</w:t>
            </w:r>
          </w:p>
        </w:tc>
        <w:tc>
          <w:tcPr>
            <w:tcW w:w="850" w:type="dxa"/>
          </w:tcPr>
          <w:p w:rsidR="00000000" w:rsidRDefault="001F233B">
            <w:pPr>
              <w:pStyle w:val="TableofFigures"/>
              <w:rPr>
                <w:color w:val="000000"/>
              </w:rPr>
            </w:pPr>
            <w:r>
              <w:t xml:space="preserve"> </w:t>
            </w:r>
            <w:r>
              <w:rPr>
                <w:color w:val="000000"/>
              </w:rPr>
              <w:t>862.9</w:t>
            </w:r>
          </w:p>
        </w:tc>
        <w:tc>
          <w:tcPr>
            <w:tcW w:w="992" w:type="dxa"/>
          </w:tcPr>
          <w:p w:rsidR="00000000" w:rsidRDefault="001F233B">
            <w:pPr>
              <w:pStyle w:val="TableofFigures"/>
              <w:rPr>
                <w:color w:val="000000"/>
              </w:rPr>
            </w:pPr>
            <w:r>
              <w:t xml:space="preserve"> </w:t>
            </w:r>
            <w:r>
              <w:rPr>
                <w:color w:val="000000"/>
              </w:rPr>
              <w:t>863.6</w:t>
            </w:r>
          </w:p>
        </w:tc>
        <w:tc>
          <w:tcPr>
            <w:tcW w:w="851" w:type="dxa"/>
          </w:tcPr>
          <w:p w:rsidR="00000000" w:rsidRDefault="001F233B">
            <w:pPr>
              <w:pStyle w:val="TableofFigures"/>
              <w:rPr>
                <w:color w:val="000000"/>
              </w:rPr>
            </w:pPr>
            <w:r>
              <w:t xml:space="preserve"> </w:t>
            </w:r>
            <w:r>
              <w:rPr>
                <w:color w:val="000000"/>
              </w:rPr>
              <w:t>665.2</w:t>
            </w:r>
          </w:p>
        </w:tc>
      </w:tr>
      <w:tr w:rsidR="00000000">
        <w:tblPrEx>
          <w:tblCellMar>
            <w:top w:w="0" w:type="dxa"/>
            <w:bottom w:w="0" w:type="dxa"/>
          </w:tblCellMar>
        </w:tblPrEx>
        <w:trPr>
          <w:trHeight w:hRule="exact" w:val="320"/>
        </w:trPr>
        <w:tc>
          <w:tcPr>
            <w:tcW w:w="3432" w:type="dxa"/>
          </w:tcPr>
          <w:p w:rsidR="00000000" w:rsidRDefault="001F233B">
            <w:pPr>
              <w:pStyle w:val="Tabletext"/>
            </w:pPr>
            <w:r>
              <w:t>Current grants  - own purpose</w:t>
            </w:r>
          </w:p>
        </w:tc>
        <w:tc>
          <w:tcPr>
            <w:tcW w:w="993" w:type="dxa"/>
          </w:tcPr>
          <w:p w:rsidR="00000000" w:rsidRDefault="001F233B">
            <w:pPr>
              <w:pStyle w:val="TableofFigures"/>
              <w:rPr>
                <w:color w:val="000000"/>
              </w:rPr>
            </w:pPr>
            <w:r>
              <w:t>5</w:t>
            </w:r>
            <w:r>
              <w:rPr>
                <w:color w:val="000000"/>
              </w:rPr>
              <w:t xml:space="preserve"> 964.2</w:t>
            </w:r>
          </w:p>
        </w:tc>
        <w:tc>
          <w:tcPr>
            <w:tcW w:w="850" w:type="dxa"/>
          </w:tcPr>
          <w:p w:rsidR="00000000" w:rsidRDefault="001F233B">
            <w:pPr>
              <w:pStyle w:val="TableofFigures"/>
              <w:rPr>
                <w:color w:val="000000"/>
              </w:rPr>
            </w:pPr>
            <w:r>
              <w:t>6</w:t>
            </w:r>
            <w:r>
              <w:rPr>
                <w:color w:val="000000"/>
              </w:rPr>
              <w:t xml:space="preserve"> 259.0</w:t>
            </w:r>
          </w:p>
        </w:tc>
        <w:tc>
          <w:tcPr>
            <w:tcW w:w="992" w:type="dxa"/>
          </w:tcPr>
          <w:p w:rsidR="00000000" w:rsidRDefault="001F233B">
            <w:pPr>
              <w:pStyle w:val="TableofFigures"/>
              <w:rPr>
                <w:color w:val="000000"/>
              </w:rPr>
            </w:pPr>
            <w:r>
              <w:t>6</w:t>
            </w:r>
            <w:r>
              <w:rPr>
                <w:color w:val="000000"/>
              </w:rPr>
              <w:t xml:space="preserve"> 468.9</w:t>
            </w:r>
          </w:p>
        </w:tc>
        <w:tc>
          <w:tcPr>
            <w:tcW w:w="851" w:type="dxa"/>
          </w:tcPr>
          <w:p w:rsidR="00000000" w:rsidRDefault="001F233B">
            <w:pPr>
              <w:pStyle w:val="TableofFigures"/>
              <w:rPr>
                <w:color w:val="000000"/>
              </w:rPr>
            </w:pPr>
            <w:r>
              <w:t>6</w:t>
            </w:r>
            <w:r>
              <w:rPr>
                <w:color w:val="000000"/>
              </w:rPr>
              <w:t xml:space="preserve"> 720.6</w:t>
            </w:r>
          </w:p>
        </w:tc>
      </w:tr>
      <w:tr w:rsidR="00000000">
        <w:tblPrEx>
          <w:tblCellMar>
            <w:top w:w="0" w:type="dxa"/>
            <w:bottom w:w="0" w:type="dxa"/>
          </w:tblCellMar>
        </w:tblPrEx>
        <w:trPr>
          <w:trHeight w:hRule="exact" w:val="320"/>
        </w:trPr>
        <w:tc>
          <w:tcPr>
            <w:tcW w:w="3432" w:type="dxa"/>
          </w:tcPr>
          <w:p w:rsidR="00000000" w:rsidRDefault="001F233B">
            <w:pPr>
              <w:pStyle w:val="Tabletext"/>
            </w:pPr>
            <w:r>
              <w:t xml:space="preserve">                         - for on-passing</w:t>
            </w:r>
          </w:p>
        </w:tc>
        <w:tc>
          <w:tcPr>
            <w:tcW w:w="993" w:type="dxa"/>
          </w:tcPr>
          <w:p w:rsidR="00000000" w:rsidRDefault="001F233B">
            <w:pPr>
              <w:pStyle w:val="TableofFigures"/>
              <w:rPr>
                <w:color w:val="000000"/>
              </w:rPr>
            </w:pPr>
            <w:r>
              <w:t xml:space="preserve"> </w:t>
            </w:r>
            <w:r>
              <w:rPr>
                <w:color w:val="000000"/>
              </w:rPr>
              <w:t>924.3</w:t>
            </w:r>
          </w:p>
        </w:tc>
        <w:tc>
          <w:tcPr>
            <w:tcW w:w="850" w:type="dxa"/>
          </w:tcPr>
          <w:p w:rsidR="00000000" w:rsidRDefault="001F233B">
            <w:pPr>
              <w:pStyle w:val="TableofFigures"/>
              <w:rPr>
                <w:color w:val="000000"/>
              </w:rPr>
            </w:pPr>
            <w:r>
              <w:t xml:space="preserve"> </w:t>
            </w:r>
            <w:r>
              <w:rPr>
                <w:color w:val="000000"/>
              </w:rPr>
              <w:t>945.2</w:t>
            </w:r>
          </w:p>
        </w:tc>
        <w:tc>
          <w:tcPr>
            <w:tcW w:w="992" w:type="dxa"/>
          </w:tcPr>
          <w:p w:rsidR="00000000" w:rsidRDefault="001F233B">
            <w:pPr>
              <w:pStyle w:val="TableofFigures"/>
              <w:rPr>
                <w:color w:val="000000"/>
              </w:rPr>
            </w:pPr>
            <w:r>
              <w:t xml:space="preserve"> </w:t>
            </w:r>
            <w:r>
              <w:rPr>
                <w:color w:val="000000"/>
              </w:rPr>
              <w:t>957.2</w:t>
            </w:r>
          </w:p>
        </w:tc>
        <w:tc>
          <w:tcPr>
            <w:tcW w:w="851" w:type="dxa"/>
          </w:tcPr>
          <w:p w:rsidR="00000000" w:rsidRDefault="001F233B">
            <w:pPr>
              <w:pStyle w:val="TableofFigures"/>
              <w:rPr>
                <w:color w:val="000000"/>
              </w:rPr>
            </w:pPr>
            <w:r>
              <w:t xml:space="preserve"> </w:t>
            </w:r>
            <w:r>
              <w:rPr>
                <w:color w:val="000000"/>
              </w:rPr>
              <w:t>969.5</w:t>
            </w:r>
          </w:p>
        </w:tc>
      </w:tr>
      <w:tr w:rsidR="00000000">
        <w:tblPrEx>
          <w:tblCellMar>
            <w:top w:w="0" w:type="dxa"/>
            <w:bottom w:w="0" w:type="dxa"/>
          </w:tblCellMar>
        </w:tblPrEx>
        <w:trPr>
          <w:trHeight w:hRule="exact" w:val="320"/>
        </w:trPr>
        <w:tc>
          <w:tcPr>
            <w:tcW w:w="3432" w:type="dxa"/>
          </w:tcPr>
          <w:p w:rsidR="00000000" w:rsidRDefault="001F233B">
            <w:pPr>
              <w:pStyle w:val="Tabletext"/>
            </w:pPr>
            <w:r>
              <w:t>Capital grants  - own purpose</w:t>
            </w:r>
          </w:p>
        </w:tc>
        <w:tc>
          <w:tcPr>
            <w:tcW w:w="993" w:type="dxa"/>
          </w:tcPr>
          <w:p w:rsidR="00000000" w:rsidRDefault="001F233B">
            <w:pPr>
              <w:pStyle w:val="TableofFigures"/>
              <w:rPr>
                <w:color w:val="000000"/>
              </w:rPr>
            </w:pPr>
            <w:r>
              <w:t xml:space="preserve"> </w:t>
            </w:r>
            <w:r>
              <w:rPr>
                <w:color w:val="000000"/>
              </w:rPr>
              <w:t>401.6</w:t>
            </w:r>
          </w:p>
        </w:tc>
        <w:tc>
          <w:tcPr>
            <w:tcW w:w="850" w:type="dxa"/>
          </w:tcPr>
          <w:p w:rsidR="00000000" w:rsidRDefault="001F233B">
            <w:pPr>
              <w:pStyle w:val="TableofFigures"/>
              <w:rPr>
                <w:color w:val="000000"/>
              </w:rPr>
            </w:pPr>
            <w:r>
              <w:t xml:space="preserve"> </w:t>
            </w:r>
            <w:r>
              <w:rPr>
                <w:color w:val="000000"/>
              </w:rPr>
              <w:t>402.8</w:t>
            </w:r>
          </w:p>
        </w:tc>
        <w:tc>
          <w:tcPr>
            <w:tcW w:w="992" w:type="dxa"/>
          </w:tcPr>
          <w:p w:rsidR="00000000" w:rsidRDefault="001F233B">
            <w:pPr>
              <w:pStyle w:val="TableofFigures"/>
              <w:rPr>
                <w:color w:val="000000"/>
              </w:rPr>
            </w:pPr>
            <w:r>
              <w:t xml:space="preserve"> </w:t>
            </w:r>
            <w:r>
              <w:rPr>
                <w:color w:val="000000"/>
              </w:rPr>
              <w:t>404.0</w:t>
            </w:r>
          </w:p>
        </w:tc>
        <w:tc>
          <w:tcPr>
            <w:tcW w:w="851" w:type="dxa"/>
          </w:tcPr>
          <w:p w:rsidR="00000000" w:rsidRDefault="001F233B">
            <w:pPr>
              <w:pStyle w:val="TableofFigures"/>
              <w:rPr>
                <w:color w:val="000000"/>
              </w:rPr>
            </w:pPr>
            <w:r>
              <w:t xml:space="preserve"> </w:t>
            </w:r>
            <w:r>
              <w:rPr>
                <w:color w:val="000000"/>
              </w:rPr>
              <w:t>405.1</w:t>
            </w:r>
          </w:p>
        </w:tc>
      </w:tr>
      <w:tr w:rsidR="00000000">
        <w:tblPrEx>
          <w:tblCellMar>
            <w:top w:w="0" w:type="dxa"/>
            <w:bottom w:w="0" w:type="dxa"/>
          </w:tblCellMar>
        </w:tblPrEx>
        <w:trPr>
          <w:trHeight w:hRule="exact" w:val="320"/>
        </w:trPr>
        <w:tc>
          <w:tcPr>
            <w:tcW w:w="3432" w:type="dxa"/>
          </w:tcPr>
          <w:p w:rsidR="00000000" w:rsidRDefault="001F233B">
            <w:pPr>
              <w:pStyle w:val="Tabletext"/>
            </w:pPr>
            <w:r>
              <w:t xml:space="preserve">                         - for on-passing</w:t>
            </w:r>
          </w:p>
        </w:tc>
        <w:tc>
          <w:tcPr>
            <w:tcW w:w="993" w:type="dxa"/>
          </w:tcPr>
          <w:p w:rsidR="00000000" w:rsidRDefault="001F233B">
            <w:pPr>
              <w:pStyle w:val="TableofFigures"/>
              <w:rPr>
                <w:color w:val="000000"/>
              </w:rPr>
            </w:pPr>
            <w:r>
              <w:t xml:space="preserve"> </w:t>
            </w:r>
            <w:r>
              <w:rPr>
                <w:color w:val="000000"/>
              </w:rPr>
              <w:t>23.7</w:t>
            </w:r>
          </w:p>
        </w:tc>
        <w:tc>
          <w:tcPr>
            <w:tcW w:w="850" w:type="dxa"/>
          </w:tcPr>
          <w:p w:rsidR="00000000" w:rsidRDefault="001F233B">
            <w:pPr>
              <w:pStyle w:val="TableofFigures"/>
              <w:rPr>
                <w:color w:val="000000"/>
              </w:rPr>
            </w:pPr>
            <w:r>
              <w:t xml:space="preserve"> </w:t>
            </w:r>
            <w:r>
              <w:rPr>
                <w:color w:val="000000"/>
              </w:rPr>
              <w:t>24.2</w:t>
            </w:r>
          </w:p>
        </w:tc>
        <w:tc>
          <w:tcPr>
            <w:tcW w:w="992" w:type="dxa"/>
          </w:tcPr>
          <w:p w:rsidR="00000000" w:rsidRDefault="001F233B">
            <w:pPr>
              <w:pStyle w:val="TableofFigures"/>
              <w:rPr>
                <w:color w:val="000000"/>
              </w:rPr>
            </w:pPr>
            <w:r>
              <w:t xml:space="preserve"> </w:t>
            </w:r>
            <w:r>
              <w:rPr>
                <w:color w:val="000000"/>
              </w:rPr>
              <w:t>24.6</w:t>
            </w:r>
          </w:p>
        </w:tc>
        <w:tc>
          <w:tcPr>
            <w:tcW w:w="851" w:type="dxa"/>
          </w:tcPr>
          <w:p w:rsidR="00000000" w:rsidRDefault="001F233B">
            <w:pPr>
              <w:pStyle w:val="TableofFigures"/>
              <w:rPr>
                <w:color w:val="000000"/>
              </w:rPr>
            </w:pPr>
            <w:r>
              <w:t xml:space="preserve"> </w:t>
            </w:r>
            <w:r>
              <w:rPr>
                <w:color w:val="000000"/>
              </w:rPr>
              <w:t>25.1</w:t>
            </w:r>
          </w:p>
        </w:tc>
      </w:tr>
      <w:tr w:rsidR="00000000">
        <w:tblPrEx>
          <w:tblCellMar>
            <w:top w:w="0" w:type="dxa"/>
            <w:bottom w:w="0" w:type="dxa"/>
          </w:tblCellMar>
        </w:tblPrEx>
        <w:trPr>
          <w:trHeight w:hRule="exact" w:val="320"/>
        </w:trPr>
        <w:tc>
          <w:tcPr>
            <w:tcW w:w="3432" w:type="dxa"/>
          </w:tcPr>
          <w:p w:rsidR="00000000" w:rsidRDefault="001F233B">
            <w:pPr>
              <w:pStyle w:val="Tabletext"/>
            </w:pPr>
            <w:r>
              <w:t xml:space="preserve">Profit on sale of secondhand assets </w:t>
            </w:r>
          </w:p>
        </w:tc>
        <w:tc>
          <w:tcPr>
            <w:tcW w:w="993" w:type="dxa"/>
          </w:tcPr>
          <w:p w:rsidR="00000000" w:rsidRDefault="001F233B">
            <w:pPr>
              <w:pStyle w:val="TableofFigures"/>
              <w:rPr>
                <w:color w:val="000000"/>
              </w:rPr>
            </w:pPr>
            <w:r>
              <w:t xml:space="preserve"> </w:t>
            </w:r>
            <w:r>
              <w:rPr>
                <w:color w:val="000000"/>
              </w:rPr>
              <w:t>7.5</w:t>
            </w:r>
          </w:p>
        </w:tc>
        <w:tc>
          <w:tcPr>
            <w:tcW w:w="850" w:type="dxa"/>
          </w:tcPr>
          <w:p w:rsidR="00000000" w:rsidRDefault="001F233B">
            <w:pPr>
              <w:pStyle w:val="TableofFigures"/>
              <w:rPr>
                <w:color w:val="000000"/>
              </w:rPr>
            </w:pPr>
            <w:r>
              <w:t xml:space="preserve"> </w:t>
            </w:r>
            <w:r>
              <w:rPr>
                <w:color w:val="000000"/>
              </w:rPr>
              <w:t>0.0</w:t>
            </w:r>
          </w:p>
        </w:tc>
        <w:tc>
          <w:tcPr>
            <w:tcW w:w="992" w:type="dxa"/>
          </w:tcPr>
          <w:p w:rsidR="00000000" w:rsidRDefault="001F233B">
            <w:pPr>
              <w:pStyle w:val="TableofFigures"/>
              <w:rPr>
                <w:color w:val="000000"/>
              </w:rPr>
            </w:pPr>
            <w:r>
              <w:t xml:space="preserve"> </w:t>
            </w:r>
            <w:r>
              <w:rPr>
                <w:color w:val="000000"/>
              </w:rPr>
              <w:t>0.0</w:t>
            </w:r>
          </w:p>
        </w:tc>
        <w:tc>
          <w:tcPr>
            <w:tcW w:w="851" w:type="dxa"/>
          </w:tcPr>
          <w:p w:rsidR="00000000" w:rsidRDefault="001F233B">
            <w:pPr>
              <w:pStyle w:val="TableofFigures"/>
              <w:rPr>
                <w:color w:val="000000"/>
              </w:rPr>
            </w:pPr>
            <w:r>
              <w:t xml:space="preserve"> </w:t>
            </w:r>
            <w:r>
              <w:rPr>
                <w:color w:val="000000"/>
              </w:rPr>
              <w:t>0.0</w:t>
            </w:r>
          </w:p>
        </w:tc>
      </w:tr>
      <w:tr w:rsidR="00000000">
        <w:tblPrEx>
          <w:tblCellMar>
            <w:top w:w="0" w:type="dxa"/>
            <w:bottom w:w="0" w:type="dxa"/>
          </w:tblCellMar>
        </w:tblPrEx>
        <w:trPr>
          <w:trHeight w:hRule="exact" w:val="320"/>
        </w:trPr>
        <w:tc>
          <w:tcPr>
            <w:tcW w:w="3432" w:type="dxa"/>
          </w:tcPr>
          <w:p w:rsidR="00000000" w:rsidRDefault="001F233B">
            <w:pPr>
              <w:pStyle w:val="Tabletext"/>
            </w:pPr>
            <w:r>
              <w:t>Other revenue</w:t>
            </w:r>
          </w:p>
        </w:tc>
        <w:tc>
          <w:tcPr>
            <w:tcW w:w="993" w:type="dxa"/>
          </w:tcPr>
          <w:p w:rsidR="00000000" w:rsidRDefault="001F233B">
            <w:pPr>
              <w:pStyle w:val="TableofFigures"/>
              <w:rPr>
                <w:color w:val="000000"/>
              </w:rPr>
            </w:pPr>
            <w:r>
              <w:t xml:space="preserve"> </w:t>
            </w:r>
            <w:r>
              <w:rPr>
                <w:color w:val="000000"/>
              </w:rPr>
              <w:t>214.5</w:t>
            </w:r>
          </w:p>
        </w:tc>
        <w:tc>
          <w:tcPr>
            <w:tcW w:w="850" w:type="dxa"/>
            <w:tcBorders>
              <w:bottom w:val="single" w:sz="6" w:space="0" w:color="auto"/>
            </w:tcBorders>
          </w:tcPr>
          <w:p w:rsidR="00000000" w:rsidRDefault="001F233B">
            <w:pPr>
              <w:pStyle w:val="TableofFigures"/>
              <w:rPr>
                <w:color w:val="000000"/>
              </w:rPr>
            </w:pPr>
            <w:r>
              <w:t xml:space="preserve"> </w:t>
            </w:r>
            <w:r>
              <w:rPr>
                <w:color w:val="000000"/>
              </w:rPr>
              <w:t>203.0</w:t>
            </w:r>
          </w:p>
        </w:tc>
        <w:tc>
          <w:tcPr>
            <w:tcW w:w="992" w:type="dxa"/>
            <w:tcBorders>
              <w:bottom w:val="single" w:sz="6" w:space="0" w:color="auto"/>
            </w:tcBorders>
          </w:tcPr>
          <w:p w:rsidR="00000000" w:rsidRDefault="001F233B">
            <w:pPr>
              <w:pStyle w:val="TableofFigures"/>
              <w:rPr>
                <w:color w:val="000000"/>
              </w:rPr>
            </w:pPr>
            <w:r>
              <w:t xml:space="preserve"> </w:t>
            </w:r>
            <w:r>
              <w:rPr>
                <w:color w:val="000000"/>
              </w:rPr>
              <w:t>204.7</w:t>
            </w:r>
          </w:p>
        </w:tc>
        <w:tc>
          <w:tcPr>
            <w:tcW w:w="851" w:type="dxa"/>
            <w:tcBorders>
              <w:bottom w:val="single" w:sz="6" w:space="0" w:color="auto"/>
            </w:tcBorders>
          </w:tcPr>
          <w:p w:rsidR="00000000" w:rsidRDefault="001F233B">
            <w:pPr>
              <w:pStyle w:val="TableofFigures"/>
              <w:rPr>
                <w:color w:val="000000"/>
              </w:rPr>
            </w:pPr>
            <w:r>
              <w:t xml:space="preserve"> </w:t>
            </w:r>
            <w:r>
              <w:rPr>
                <w:color w:val="000000"/>
              </w:rPr>
              <w:t>202.2</w:t>
            </w:r>
          </w:p>
        </w:tc>
      </w:tr>
      <w:tr w:rsidR="00000000">
        <w:tblPrEx>
          <w:tblCellMar>
            <w:top w:w="0" w:type="dxa"/>
            <w:bottom w:w="0" w:type="dxa"/>
          </w:tblCellMar>
        </w:tblPrEx>
        <w:trPr>
          <w:trHeight w:hRule="exact" w:val="320"/>
        </w:trPr>
        <w:tc>
          <w:tcPr>
            <w:tcW w:w="3432" w:type="dxa"/>
          </w:tcPr>
          <w:p w:rsidR="00000000" w:rsidRDefault="001F233B">
            <w:pPr>
              <w:pStyle w:val="Tabletext"/>
              <w:rPr>
                <w:b/>
              </w:rPr>
            </w:pPr>
            <w:r>
              <w:rPr>
                <w:b/>
              </w:rPr>
              <w:t>Total Revenue</w:t>
            </w:r>
          </w:p>
        </w:tc>
        <w:tc>
          <w:tcPr>
            <w:tcW w:w="993" w:type="dxa"/>
            <w:tcBorders>
              <w:top w:val="single" w:sz="6" w:space="0" w:color="auto"/>
            </w:tcBorders>
          </w:tcPr>
          <w:p w:rsidR="00000000" w:rsidRDefault="001F233B">
            <w:pPr>
              <w:pStyle w:val="TableofFigures"/>
              <w:rPr>
                <w:b/>
                <w:color w:val="000000"/>
              </w:rPr>
            </w:pPr>
            <w:r>
              <w:rPr>
                <w:b/>
              </w:rPr>
              <w:t>18</w:t>
            </w:r>
            <w:r>
              <w:rPr>
                <w:b/>
                <w:color w:val="000000"/>
              </w:rPr>
              <w:t xml:space="preserve"> 955.2</w:t>
            </w:r>
          </w:p>
        </w:tc>
        <w:tc>
          <w:tcPr>
            <w:tcW w:w="850" w:type="dxa"/>
          </w:tcPr>
          <w:p w:rsidR="00000000" w:rsidRDefault="001F233B">
            <w:pPr>
              <w:pStyle w:val="TableofFigures"/>
              <w:rPr>
                <w:b/>
                <w:color w:val="000000"/>
              </w:rPr>
            </w:pPr>
            <w:r>
              <w:rPr>
                <w:b/>
              </w:rPr>
              <w:t>19</w:t>
            </w:r>
            <w:r>
              <w:rPr>
                <w:b/>
                <w:color w:val="000000"/>
              </w:rPr>
              <w:t xml:space="preserve"> 378.0</w:t>
            </w:r>
          </w:p>
        </w:tc>
        <w:tc>
          <w:tcPr>
            <w:tcW w:w="992" w:type="dxa"/>
          </w:tcPr>
          <w:p w:rsidR="00000000" w:rsidRDefault="001F233B">
            <w:pPr>
              <w:pStyle w:val="TableofFigures"/>
              <w:rPr>
                <w:b/>
                <w:color w:val="000000"/>
              </w:rPr>
            </w:pPr>
            <w:r>
              <w:rPr>
                <w:b/>
              </w:rPr>
              <w:t>19</w:t>
            </w:r>
            <w:r>
              <w:rPr>
                <w:b/>
                <w:color w:val="000000"/>
              </w:rPr>
              <w:t xml:space="preserve"> 785.0</w:t>
            </w:r>
          </w:p>
        </w:tc>
        <w:tc>
          <w:tcPr>
            <w:tcW w:w="851" w:type="dxa"/>
          </w:tcPr>
          <w:p w:rsidR="00000000" w:rsidRDefault="001F233B">
            <w:pPr>
              <w:pStyle w:val="TableofFigures"/>
              <w:rPr>
                <w:b/>
                <w:color w:val="000000"/>
              </w:rPr>
            </w:pPr>
            <w:r>
              <w:rPr>
                <w:b/>
              </w:rPr>
              <w:t>20</w:t>
            </w:r>
            <w:r>
              <w:rPr>
                <w:b/>
                <w:color w:val="000000"/>
              </w:rPr>
              <w:t xml:space="preserve"> 086.6</w:t>
            </w:r>
          </w:p>
        </w:tc>
      </w:tr>
      <w:tr w:rsidR="00000000">
        <w:tblPrEx>
          <w:tblCellMar>
            <w:top w:w="0" w:type="dxa"/>
            <w:bottom w:w="0" w:type="dxa"/>
          </w:tblCellMar>
        </w:tblPrEx>
        <w:trPr>
          <w:trHeight w:hRule="exact" w:val="320"/>
        </w:trPr>
        <w:tc>
          <w:tcPr>
            <w:tcW w:w="3432" w:type="dxa"/>
          </w:tcPr>
          <w:p w:rsidR="00000000" w:rsidRDefault="001F233B">
            <w:pPr>
              <w:pStyle w:val="Tabletext"/>
              <w:rPr>
                <w:b/>
              </w:rPr>
            </w:pPr>
            <w:r>
              <w:rPr>
                <w:b/>
              </w:rPr>
              <w:t>Less Expenses</w:t>
            </w:r>
          </w:p>
        </w:tc>
        <w:tc>
          <w:tcPr>
            <w:tcW w:w="993" w:type="dxa"/>
          </w:tcPr>
          <w:p w:rsidR="00000000" w:rsidRDefault="001F233B">
            <w:pPr>
              <w:pStyle w:val="TableofFigures"/>
            </w:pPr>
          </w:p>
        </w:tc>
        <w:tc>
          <w:tcPr>
            <w:tcW w:w="850" w:type="dxa"/>
          </w:tcPr>
          <w:p w:rsidR="00000000" w:rsidRDefault="001F233B">
            <w:pPr>
              <w:pStyle w:val="TableofFigures"/>
            </w:pPr>
          </w:p>
        </w:tc>
        <w:tc>
          <w:tcPr>
            <w:tcW w:w="992" w:type="dxa"/>
          </w:tcPr>
          <w:p w:rsidR="00000000" w:rsidRDefault="001F233B">
            <w:pPr>
              <w:pStyle w:val="TableofFigures"/>
            </w:pPr>
          </w:p>
        </w:tc>
        <w:tc>
          <w:tcPr>
            <w:tcW w:w="851" w:type="dxa"/>
          </w:tcPr>
          <w:p w:rsidR="00000000" w:rsidRDefault="001F233B">
            <w:pPr>
              <w:pStyle w:val="TableofFigures"/>
            </w:pPr>
          </w:p>
        </w:tc>
      </w:tr>
      <w:tr w:rsidR="00000000">
        <w:tblPrEx>
          <w:tblCellMar>
            <w:top w:w="0" w:type="dxa"/>
            <w:bottom w:w="0" w:type="dxa"/>
          </w:tblCellMar>
        </w:tblPrEx>
        <w:trPr>
          <w:trHeight w:hRule="exact" w:val="320"/>
        </w:trPr>
        <w:tc>
          <w:tcPr>
            <w:tcW w:w="3432" w:type="dxa"/>
          </w:tcPr>
          <w:p w:rsidR="00000000" w:rsidRDefault="001F233B">
            <w:pPr>
              <w:pStyle w:val="Tabletext"/>
            </w:pPr>
            <w:r>
              <w:t>Gross operating expenditure</w:t>
            </w:r>
          </w:p>
        </w:tc>
        <w:tc>
          <w:tcPr>
            <w:tcW w:w="993" w:type="dxa"/>
          </w:tcPr>
          <w:p w:rsidR="00000000" w:rsidRDefault="001F233B">
            <w:pPr>
              <w:pStyle w:val="TableofFigures"/>
            </w:pPr>
          </w:p>
        </w:tc>
        <w:tc>
          <w:tcPr>
            <w:tcW w:w="850" w:type="dxa"/>
          </w:tcPr>
          <w:p w:rsidR="00000000" w:rsidRDefault="001F233B">
            <w:pPr>
              <w:pStyle w:val="TableofFigures"/>
            </w:pPr>
          </w:p>
        </w:tc>
        <w:tc>
          <w:tcPr>
            <w:tcW w:w="992" w:type="dxa"/>
          </w:tcPr>
          <w:p w:rsidR="00000000" w:rsidRDefault="001F233B">
            <w:pPr>
              <w:pStyle w:val="TableofFigures"/>
            </w:pPr>
          </w:p>
        </w:tc>
        <w:tc>
          <w:tcPr>
            <w:tcW w:w="851" w:type="dxa"/>
          </w:tcPr>
          <w:p w:rsidR="00000000" w:rsidRDefault="001F233B">
            <w:pPr>
              <w:pStyle w:val="TableofFigures"/>
            </w:pPr>
          </w:p>
        </w:tc>
      </w:tr>
      <w:tr w:rsidR="00000000">
        <w:tblPrEx>
          <w:tblCellMar>
            <w:top w:w="0" w:type="dxa"/>
            <w:bottom w:w="0" w:type="dxa"/>
          </w:tblCellMar>
        </w:tblPrEx>
        <w:trPr>
          <w:trHeight w:hRule="exact" w:val="320"/>
        </w:trPr>
        <w:tc>
          <w:tcPr>
            <w:tcW w:w="3432" w:type="dxa"/>
          </w:tcPr>
          <w:p w:rsidR="00000000" w:rsidRDefault="001F233B">
            <w:pPr>
              <w:pStyle w:val="Tabletext"/>
            </w:pPr>
            <w:r>
              <w:t xml:space="preserve">   Depreciation</w:t>
            </w:r>
          </w:p>
        </w:tc>
        <w:tc>
          <w:tcPr>
            <w:tcW w:w="993" w:type="dxa"/>
          </w:tcPr>
          <w:p w:rsidR="00000000" w:rsidRDefault="001F233B">
            <w:pPr>
              <w:pStyle w:val="TableofFigures"/>
              <w:rPr>
                <w:color w:val="000000"/>
              </w:rPr>
            </w:pPr>
            <w:r>
              <w:t xml:space="preserve"> </w:t>
            </w:r>
            <w:r>
              <w:rPr>
                <w:color w:val="000000"/>
              </w:rPr>
              <w:t>784.9</w:t>
            </w:r>
          </w:p>
        </w:tc>
        <w:tc>
          <w:tcPr>
            <w:tcW w:w="850" w:type="dxa"/>
          </w:tcPr>
          <w:p w:rsidR="00000000" w:rsidRDefault="001F233B">
            <w:pPr>
              <w:pStyle w:val="TableofFigures"/>
              <w:rPr>
                <w:color w:val="000000"/>
              </w:rPr>
            </w:pPr>
            <w:r>
              <w:t xml:space="preserve"> </w:t>
            </w:r>
            <w:r>
              <w:rPr>
                <w:color w:val="000000"/>
              </w:rPr>
              <w:t>795.1</w:t>
            </w:r>
          </w:p>
        </w:tc>
        <w:tc>
          <w:tcPr>
            <w:tcW w:w="992" w:type="dxa"/>
          </w:tcPr>
          <w:p w:rsidR="00000000" w:rsidRDefault="001F233B">
            <w:pPr>
              <w:pStyle w:val="TableofFigures"/>
              <w:rPr>
                <w:color w:val="000000"/>
              </w:rPr>
            </w:pPr>
            <w:r>
              <w:t xml:space="preserve"> </w:t>
            </w:r>
            <w:r>
              <w:rPr>
                <w:color w:val="000000"/>
              </w:rPr>
              <w:t>812.3</w:t>
            </w:r>
          </w:p>
        </w:tc>
        <w:tc>
          <w:tcPr>
            <w:tcW w:w="851" w:type="dxa"/>
          </w:tcPr>
          <w:p w:rsidR="00000000" w:rsidRDefault="001F233B">
            <w:pPr>
              <w:pStyle w:val="TableofFigures"/>
              <w:rPr>
                <w:color w:val="000000"/>
              </w:rPr>
            </w:pPr>
            <w:r>
              <w:t xml:space="preserve"> </w:t>
            </w:r>
            <w:r>
              <w:rPr>
                <w:color w:val="000000"/>
              </w:rPr>
              <w:t>835.8</w:t>
            </w:r>
          </w:p>
        </w:tc>
      </w:tr>
      <w:tr w:rsidR="00000000">
        <w:tblPrEx>
          <w:tblCellMar>
            <w:top w:w="0" w:type="dxa"/>
            <w:bottom w:w="0" w:type="dxa"/>
          </w:tblCellMar>
        </w:tblPrEx>
        <w:trPr>
          <w:trHeight w:hRule="exact" w:val="320"/>
        </w:trPr>
        <w:tc>
          <w:tcPr>
            <w:tcW w:w="3432" w:type="dxa"/>
          </w:tcPr>
          <w:p w:rsidR="00000000" w:rsidRDefault="001F233B">
            <w:pPr>
              <w:pStyle w:val="Tabletext"/>
            </w:pPr>
            <w:r>
              <w:t xml:space="preserve">   Superannuation</w:t>
            </w:r>
          </w:p>
        </w:tc>
        <w:tc>
          <w:tcPr>
            <w:tcW w:w="993" w:type="dxa"/>
          </w:tcPr>
          <w:p w:rsidR="00000000" w:rsidRDefault="001F233B">
            <w:pPr>
              <w:pStyle w:val="TableofFigures"/>
              <w:rPr>
                <w:color w:val="000000"/>
              </w:rPr>
            </w:pPr>
            <w:r>
              <w:t>1</w:t>
            </w:r>
            <w:r>
              <w:rPr>
                <w:color w:val="000000"/>
              </w:rPr>
              <w:t xml:space="preserve"> 622.4</w:t>
            </w:r>
          </w:p>
        </w:tc>
        <w:tc>
          <w:tcPr>
            <w:tcW w:w="850" w:type="dxa"/>
          </w:tcPr>
          <w:p w:rsidR="00000000" w:rsidRDefault="001F233B">
            <w:pPr>
              <w:pStyle w:val="TableofFigures"/>
              <w:rPr>
                <w:color w:val="000000"/>
              </w:rPr>
            </w:pPr>
            <w:r>
              <w:t>1</w:t>
            </w:r>
            <w:r>
              <w:rPr>
                <w:color w:val="000000"/>
              </w:rPr>
              <w:t xml:space="preserve"> 652.9</w:t>
            </w:r>
          </w:p>
        </w:tc>
        <w:tc>
          <w:tcPr>
            <w:tcW w:w="992" w:type="dxa"/>
          </w:tcPr>
          <w:p w:rsidR="00000000" w:rsidRDefault="001F233B">
            <w:pPr>
              <w:pStyle w:val="TableofFigures"/>
              <w:rPr>
                <w:color w:val="000000"/>
              </w:rPr>
            </w:pPr>
            <w:r>
              <w:t>1</w:t>
            </w:r>
            <w:r>
              <w:rPr>
                <w:color w:val="000000"/>
              </w:rPr>
              <w:t xml:space="preserve"> 719.4</w:t>
            </w:r>
          </w:p>
        </w:tc>
        <w:tc>
          <w:tcPr>
            <w:tcW w:w="851" w:type="dxa"/>
          </w:tcPr>
          <w:p w:rsidR="00000000" w:rsidRDefault="001F233B">
            <w:pPr>
              <w:pStyle w:val="TableofFigures"/>
              <w:rPr>
                <w:color w:val="000000"/>
              </w:rPr>
            </w:pPr>
            <w:r>
              <w:t>1</w:t>
            </w:r>
            <w:r>
              <w:rPr>
                <w:color w:val="000000"/>
              </w:rPr>
              <w:t xml:space="preserve"> 778.</w:t>
            </w:r>
            <w:r>
              <w:rPr>
                <w:color w:val="000000"/>
              </w:rPr>
              <w:t>8</w:t>
            </w:r>
          </w:p>
        </w:tc>
      </w:tr>
      <w:tr w:rsidR="00000000">
        <w:tblPrEx>
          <w:tblCellMar>
            <w:top w:w="0" w:type="dxa"/>
            <w:bottom w:w="0" w:type="dxa"/>
          </w:tblCellMar>
        </w:tblPrEx>
        <w:trPr>
          <w:trHeight w:hRule="exact" w:val="480"/>
        </w:trPr>
        <w:tc>
          <w:tcPr>
            <w:tcW w:w="3432" w:type="dxa"/>
          </w:tcPr>
          <w:p w:rsidR="00000000" w:rsidRDefault="001F233B">
            <w:pPr>
              <w:pStyle w:val="Tabletext"/>
            </w:pPr>
            <w:r>
              <w:t xml:space="preserve">   Exployee entitlements and other </w:t>
            </w:r>
            <w:r>
              <w:br/>
              <w:t xml:space="preserve">       operating expenses</w:t>
            </w:r>
          </w:p>
        </w:tc>
        <w:tc>
          <w:tcPr>
            <w:tcW w:w="993" w:type="dxa"/>
          </w:tcPr>
          <w:p w:rsidR="00000000" w:rsidRDefault="001F233B">
            <w:pPr>
              <w:pStyle w:val="TableofFigures"/>
              <w:rPr>
                <w:color w:val="000000"/>
              </w:rPr>
            </w:pPr>
            <w:r>
              <w:t>11</w:t>
            </w:r>
            <w:r>
              <w:rPr>
                <w:color w:val="000000"/>
              </w:rPr>
              <w:t xml:space="preserve"> 659.0</w:t>
            </w:r>
          </w:p>
        </w:tc>
        <w:tc>
          <w:tcPr>
            <w:tcW w:w="850" w:type="dxa"/>
          </w:tcPr>
          <w:p w:rsidR="00000000" w:rsidRDefault="001F233B">
            <w:pPr>
              <w:pStyle w:val="TableofFigures"/>
              <w:rPr>
                <w:color w:val="000000"/>
              </w:rPr>
            </w:pPr>
            <w:r>
              <w:t>12</w:t>
            </w:r>
            <w:r>
              <w:rPr>
                <w:color w:val="000000"/>
              </w:rPr>
              <w:t xml:space="preserve"> 126.1</w:t>
            </w:r>
          </w:p>
        </w:tc>
        <w:tc>
          <w:tcPr>
            <w:tcW w:w="992" w:type="dxa"/>
          </w:tcPr>
          <w:p w:rsidR="00000000" w:rsidRDefault="001F233B">
            <w:pPr>
              <w:pStyle w:val="TableofFigures"/>
              <w:rPr>
                <w:color w:val="000000"/>
              </w:rPr>
            </w:pPr>
            <w:r>
              <w:t>12</w:t>
            </w:r>
            <w:r>
              <w:rPr>
                <w:color w:val="000000"/>
              </w:rPr>
              <w:t xml:space="preserve"> 500.1</w:t>
            </w:r>
          </w:p>
        </w:tc>
        <w:tc>
          <w:tcPr>
            <w:tcW w:w="851" w:type="dxa"/>
          </w:tcPr>
          <w:p w:rsidR="00000000" w:rsidRDefault="001F233B">
            <w:pPr>
              <w:pStyle w:val="TableofFigures"/>
              <w:rPr>
                <w:color w:val="000000"/>
              </w:rPr>
            </w:pPr>
            <w:r>
              <w:t>12</w:t>
            </w:r>
            <w:r>
              <w:rPr>
                <w:color w:val="000000"/>
              </w:rPr>
              <w:t xml:space="preserve"> 740.1</w:t>
            </w:r>
          </w:p>
        </w:tc>
      </w:tr>
      <w:tr w:rsidR="00000000">
        <w:tblPrEx>
          <w:tblCellMar>
            <w:top w:w="0" w:type="dxa"/>
            <w:bottom w:w="0" w:type="dxa"/>
          </w:tblCellMar>
        </w:tblPrEx>
        <w:trPr>
          <w:trHeight w:hRule="exact" w:val="320"/>
        </w:trPr>
        <w:tc>
          <w:tcPr>
            <w:tcW w:w="3432" w:type="dxa"/>
          </w:tcPr>
          <w:p w:rsidR="00000000" w:rsidRDefault="001F233B">
            <w:pPr>
              <w:pStyle w:val="Tabletext"/>
            </w:pPr>
            <w:r>
              <w:t>Total gross operating expenditure</w:t>
            </w:r>
          </w:p>
        </w:tc>
        <w:tc>
          <w:tcPr>
            <w:tcW w:w="993" w:type="dxa"/>
            <w:tcBorders>
              <w:top w:val="single" w:sz="6" w:space="0" w:color="auto"/>
            </w:tcBorders>
          </w:tcPr>
          <w:p w:rsidR="00000000" w:rsidRDefault="001F233B">
            <w:pPr>
              <w:pStyle w:val="TableofFigures"/>
              <w:rPr>
                <w:b/>
                <w:color w:val="000000"/>
              </w:rPr>
            </w:pPr>
            <w:r>
              <w:rPr>
                <w:b/>
              </w:rPr>
              <w:t>14</w:t>
            </w:r>
            <w:r>
              <w:rPr>
                <w:b/>
                <w:color w:val="000000"/>
              </w:rPr>
              <w:t xml:space="preserve"> 066.3</w:t>
            </w:r>
          </w:p>
        </w:tc>
        <w:tc>
          <w:tcPr>
            <w:tcW w:w="850" w:type="dxa"/>
            <w:tcBorders>
              <w:top w:val="single" w:sz="6" w:space="0" w:color="auto"/>
            </w:tcBorders>
          </w:tcPr>
          <w:p w:rsidR="00000000" w:rsidRDefault="001F233B">
            <w:pPr>
              <w:pStyle w:val="TableofFigures"/>
              <w:rPr>
                <w:b/>
                <w:color w:val="000000"/>
              </w:rPr>
            </w:pPr>
            <w:r>
              <w:rPr>
                <w:b/>
              </w:rPr>
              <w:t>14</w:t>
            </w:r>
            <w:r>
              <w:rPr>
                <w:b/>
                <w:color w:val="000000"/>
              </w:rPr>
              <w:t xml:space="preserve"> 574.1</w:t>
            </w:r>
          </w:p>
        </w:tc>
        <w:tc>
          <w:tcPr>
            <w:tcW w:w="992" w:type="dxa"/>
            <w:tcBorders>
              <w:top w:val="single" w:sz="6" w:space="0" w:color="auto"/>
            </w:tcBorders>
          </w:tcPr>
          <w:p w:rsidR="00000000" w:rsidRDefault="001F233B">
            <w:pPr>
              <w:pStyle w:val="TableofFigures"/>
              <w:rPr>
                <w:b/>
                <w:color w:val="000000"/>
              </w:rPr>
            </w:pPr>
            <w:r>
              <w:rPr>
                <w:b/>
              </w:rPr>
              <w:t>15</w:t>
            </w:r>
            <w:r>
              <w:rPr>
                <w:b/>
                <w:color w:val="000000"/>
              </w:rPr>
              <w:t xml:space="preserve"> 031.8</w:t>
            </w:r>
          </w:p>
        </w:tc>
        <w:tc>
          <w:tcPr>
            <w:tcW w:w="851" w:type="dxa"/>
            <w:tcBorders>
              <w:top w:val="single" w:sz="6" w:space="0" w:color="auto"/>
            </w:tcBorders>
          </w:tcPr>
          <w:p w:rsidR="00000000" w:rsidRDefault="001F233B">
            <w:pPr>
              <w:pStyle w:val="TableofFigures"/>
              <w:rPr>
                <w:b/>
                <w:color w:val="000000"/>
              </w:rPr>
            </w:pPr>
            <w:r>
              <w:rPr>
                <w:b/>
              </w:rPr>
              <w:t>15</w:t>
            </w:r>
            <w:r>
              <w:rPr>
                <w:b/>
                <w:color w:val="000000"/>
              </w:rPr>
              <w:t xml:space="preserve"> 354.7</w:t>
            </w:r>
          </w:p>
        </w:tc>
      </w:tr>
      <w:tr w:rsidR="00000000">
        <w:tblPrEx>
          <w:tblCellMar>
            <w:top w:w="0" w:type="dxa"/>
            <w:bottom w:w="0" w:type="dxa"/>
          </w:tblCellMar>
        </w:tblPrEx>
        <w:trPr>
          <w:trHeight w:hRule="exact" w:val="320"/>
        </w:trPr>
        <w:tc>
          <w:tcPr>
            <w:tcW w:w="3432" w:type="dxa"/>
          </w:tcPr>
          <w:p w:rsidR="00000000" w:rsidRDefault="001F233B">
            <w:pPr>
              <w:pStyle w:val="Tabletext"/>
            </w:pPr>
            <w:r>
              <w:t>Interest Expense</w:t>
            </w:r>
          </w:p>
        </w:tc>
        <w:tc>
          <w:tcPr>
            <w:tcW w:w="993" w:type="dxa"/>
          </w:tcPr>
          <w:p w:rsidR="00000000" w:rsidRDefault="001F233B">
            <w:pPr>
              <w:pStyle w:val="TableofFigures"/>
              <w:rPr>
                <w:color w:val="000000"/>
              </w:rPr>
            </w:pPr>
            <w:r>
              <w:t xml:space="preserve"> </w:t>
            </w:r>
            <w:r>
              <w:rPr>
                <w:color w:val="000000"/>
              </w:rPr>
              <w:t>806.3</w:t>
            </w:r>
          </w:p>
        </w:tc>
        <w:tc>
          <w:tcPr>
            <w:tcW w:w="850" w:type="dxa"/>
          </w:tcPr>
          <w:p w:rsidR="00000000" w:rsidRDefault="001F233B">
            <w:pPr>
              <w:pStyle w:val="TableofFigures"/>
              <w:rPr>
                <w:color w:val="000000"/>
              </w:rPr>
            </w:pPr>
            <w:r>
              <w:t xml:space="preserve"> </w:t>
            </w:r>
            <w:r>
              <w:rPr>
                <w:color w:val="000000"/>
              </w:rPr>
              <w:t>754.6</w:t>
            </w:r>
          </w:p>
        </w:tc>
        <w:tc>
          <w:tcPr>
            <w:tcW w:w="992" w:type="dxa"/>
          </w:tcPr>
          <w:p w:rsidR="00000000" w:rsidRDefault="001F233B">
            <w:pPr>
              <w:pStyle w:val="TableofFigures"/>
              <w:rPr>
                <w:color w:val="000000"/>
              </w:rPr>
            </w:pPr>
            <w:r>
              <w:t xml:space="preserve"> </w:t>
            </w:r>
            <w:r>
              <w:rPr>
                <w:color w:val="000000"/>
              </w:rPr>
              <w:t>706.4</w:t>
            </w:r>
          </w:p>
        </w:tc>
        <w:tc>
          <w:tcPr>
            <w:tcW w:w="851" w:type="dxa"/>
          </w:tcPr>
          <w:p w:rsidR="00000000" w:rsidRDefault="001F233B">
            <w:pPr>
              <w:pStyle w:val="TableofFigures"/>
              <w:rPr>
                <w:color w:val="000000"/>
              </w:rPr>
            </w:pPr>
            <w:r>
              <w:t xml:space="preserve"> </w:t>
            </w:r>
            <w:r>
              <w:rPr>
                <w:color w:val="000000"/>
              </w:rPr>
              <w:t>684.2</w:t>
            </w:r>
          </w:p>
        </w:tc>
      </w:tr>
      <w:tr w:rsidR="00000000">
        <w:tblPrEx>
          <w:tblCellMar>
            <w:top w:w="0" w:type="dxa"/>
            <w:bottom w:w="0" w:type="dxa"/>
          </w:tblCellMar>
        </w:tblPrEx>
        <w:trPr>
          <w:trHeight w:hRule="exact" w:val="320"/>
        </w:trPr>
        <w:tc>
          <w:tcPr>
            <w:tcW w:w="3432" w:type="dxa"/>
          </w:tcPr>
          <w:p w:rsidR="00000000" w:rsidRDefault="001F233B">
            <w:pPr>
              <w:pStyle w:val="Tabletext"/>
            </w:pPr>
            <w:r>
              <w:t>Current grants</w:t>
            </w:r>
          </w:p>
        </w:tc>
        <w:tc>
          <w:tcPr>
            <w:tcW w:w="993" w:type="dxa"/>
          </w:tcPr>
          <w:p w:rsidR="00000000" w:rsidRDefault="001F233B">
            <w:pPr>
              <w:pStyle w:val="TableofFigures"/>
              <w:rPr>
                <w:color w:val="000000"/>
              </w:rPr>
            </w:pPr>
            <w:r>
              <w:t>1</w:t>
            </w:r>
            <w:r>
              <w:rPr>
                <w:color w:val="000000"/>
              </w:rPr>
              <w:t xml:space="preserve"> 968.5</w:t>
            </w:r>
          </w:p>
        </w:tc>
        <w:tc>
          <w:tcPr>
            <w:tcW w:w="850" w:type="dxa"/>
          </w:tcPr>
          <w:p w:rsidR="00000000" w:rsidRDefault="001F233B">
            <w:pPr>
              <w:pStyle w:val="TableofFigures"/>
              <w:rPr>
                <w:color w:val="000000"/>
              </w:rPr>
            </w:pPr>
            <w:r>
              <w:t>1</w:t>
            </w:r>
            <w:r>
              <w:rPr>
                <w:color w:val="000000"/>
              </w:rPr>
              <w:t xml:space="preserve"> 785.2</w:t>
            </w:r>
          </w:p>
        </w:tc>
        <w:tc>
          <w:tcPr>
            <w:tcW w:w="992" w:type="dxa"/>
          </w:tcPr>
          <w:p w:rsidR="00000000" w:rsidRDefault="001F233B">
            <w:pPr>
              <w:pStyle w:val="TableofFigures"/>
              <w:rPr>
                <w:color w:val="000000"/>
              </w:rPr>
            </w:pPr>
            <w:r>
              <w:t>1</w:t>
            </w:r>
            <w:r>
              <w:rPr>
                <w:color w:val="000000"/>
              </w:rPr>
              <w:t xml:space="preserve"> 840.3</w:t>
            </w:r>
          </w:p>
        </w:tc>
        <w:tc>
          <w:tcPr>
            <w:tcW w:w="851" w:type="dxa"/>
          </w:tcPr>
          <w:p w:rsidR="00000000" w:rsidRDefault="001F233B">
            <w:pPr>
              <w:pStyle w:val="TableofFigures"/>
              <w:rPr>
                <w:color w:val="000000"/>
              </w:rPr>
            </w:pPr>
            <w:r>
              <w:t>1</w:t>
            </w:r>
            <w:r>
              <w:rPr>
                <w:color w:val="000000"/>
              </w:rPr>
              <w:t xml:space="preserve"> 810.8</w:t>
            </w:r>
          </w:p>
        </w:tc>
      </w:tr>
      <w:tr w:rsidR="00000000">
        <w:tblPrEx>
          <w:tblCellMar>
            <w:top w:w="0" w:type="dxa"/>
            <w:bottom w:w="0" w:type="dxa"/>
          </w:tblCellMar>
        </w:tblPrEx>
        <w:trPr>
          <w:trHeight w:hRule="exact" w:val="320"/>
        </w:trPr>
        <w:tc>
          <w:tcPr>
            <w:tcW w:w="3432" w:type="dxa"/>
          </w:tcPr>
          <w:p w:rsidR="00000000" w:rsidRDefault="001F233B">
            <w:pPr>
              <w:pStyle w:val="Tabletext"/>
            </w:pPr>
            <w:r>
              <w:t>Capital transfers</w:t>
            </w:r>
          </w:p>
        </w:tc>
        <w:tc>
          <w:tcPr>
            <w:tcW w:w="993" w:type="dxa"/>
          </w:tcPr>
          <w:p w:rsidR="00000000" w:rsidRDefault="001F233B">
            <w:pPr>
              <w:pStyle w:val="TableofFigures"/>
              <w:rPr>
                <w:color w:val="000000"/>
              </w:rPr>
            </w:pPr>
            <w:r>
              <w:t xml:space="preserve"> </w:t>
            </w:r>
            <w:r>
              <w:rPr>
                <w:color w:val="000000"/>
              </w:rPr>
              <w:t>398.8</w:t>
            </w:r>
          </w:p>
        </w:tc>
        <w:tc>
          <w:tcPr>
            <w:tcW w:w="850" w:type="dxa"/>
          </w:tcPr>
          <w:p w:rsidR="00000000" w:rsidRDefault="001F233B">
            <w:pPr>
              <w:pStyle w:val="TableofFigures"/>
              <w:rPr>
                <w:color w:val="000000"/>
              </w:rPr>
            </w:pPr>
            <w:r>
              <w:t xml:space="preserve"> </w:t>
            </w:r>
            <w:r>
              <w:rPr>
                <w:color w:val="000000"/>
              </w:rPr>
              <w:t>323.9</w:t>
            </w:r>
          </w:p>
        </w:tc>
        <w:tc>
          <w:tcPr>
            <w:tcW w:w="992" w:type="dxa"/>
          </w:tcPr>
          <w:p w:rsidR="00000000" w:rsidRDefault="001F233B">
            <w:pPr>
              <w:pStyle w:val="TableofFigures"/>
              <w:rPr>
                <w:color w:val="000000"/>
              </w:rPr>
            </w:pPr>
            <w:r>
              <w:t xml:space="preserve"> </w:t>
            </w:r>
            <w:r>
              <w:rPr>
                <w:color w:val="000000"/>
              </w:rPr>
              <w:t>303.7</w:t>
            </w:r>
          </w:p>
        </w:tc>
        <w:tc>
          <w:tcPr>
            <w:tcW w:w="851" w:type="dxa"/>
          </w:tcPr>
          <w:p w:rsidR="00000000" w:rsidRDefault="001F233B">
            <w:pPr>
              <w:pStyle w:val="TableofFigures"/>
              <w:rPr>
                <w:color w:val="000000"/>
              </w:rPr>
            </w:pPr>
            <w:r>
              <w:t xml:space="preserve"> </w:t>
            </w:r>
            <w:r>
              <w:rPr>
                <w:color w:val="000000"/>
              </w:rPr>
              <w:t>293.1</w:t>
            </w:r>
          </w:p>
        </w:tc>
      </w:tr>
      <w:tr w:rsidR="00000000">
        <w:tblPrEx>
          <w:tblCellMar>
            <w:top w:w="0" w:type="dxa"/>
            <w:bottom w:w="0" w:type="dxa"/>
          </w:tblCellMar>
        </w:tblPrEx>
        <w:trPr>
          <w:trHeight w:hRule="exact" w:val="320"/>
        </w:trPr>
        <w:tc>
          <w:tcPr>
            <w:tcW w:w="3432" w:type="dxa"/>
          </w:tcPr>
          <w:p w:rsidR="00000000" w:rsidRDefault="001F233B">
            <w:pPr>
              <w:pStyle w:val="Tabletext"/>
            </w:pPr>
            <w:r>
              <w:t>Grants on-passed</w:t>
            </w:r>
          </w:p>
        </w:tc>
        <w:tc>
          <w:tcPr>
            <w:tcW w:w="993" w:type="dxa"/>
          </w:tcPr>
          <w:p w:rsidR="00000000" w:rsidRDefault="001F233B">
            <w:pPr>
              <w:pStyle w:val="TableofFigures"/>
            </w:pPr>
            <w:r>
              <w:t>948.0</w:t>
            </w:r>
          </w:p>
        </w:tc>
        <w:tc>
          <w:tcPr>
            <w:tcW w:w="850" w:type="dxa"/>
          </w:tcPr>
          <w:p w:rsidR="00000000" w:rsidRDefault="001F233B">
            <w:pPr>
              <w:pStyle w:val="TableofFigures"/>
            </w:pPr>
            <w:r>
              <w:t>969.3</w:t>
            </w:r>
          </w:p>
        </w:tc>
        <w:tc>
          <w:tcPr>
            <w:tcW w:w="992" w:type="dxa"/>
          </w:tcPr>
          <w:p w:rsidR="00000000" w:rsidRDefault="001F233B">
            <w:pPr>
              <w:pStyle w:val="TableofFigures"/>
            </w:pPr>
            <w:r>
              <w:t>981.9</w:t>
            </w:r>
          </w:p>
        </w:tc>
        <w:tc>
          <w:tcPr>
            <w:tcW w:w="851" w:type="dxa"/>
          </w:tcPr>
          <w:p w:rsidR="00000000" w:rsidRDefault="001F233B">
            <w:pPr>
              <w:pStyle w:val="TableofFigures"/>
            </w:pPr>
            <w:r>
              <w:t>994.7</w:t>
            </w:r>
          </w:p>
        </w:tc>
      </w:tr>
      <w:tr w:rsidR="00000000">
        <w:tblPrEx>
          <w:tblCellMar>
            <w:top w:w="0" w:type="dxa"/>
            <w:bottom w:w="0" w:type="dxa"/>
          </w:tblCellMar>
        </w:tblPrEx>
        <w:trPr>
          <w:trHeight w:hRule="exact" w:val="320"/>
        </w:trPr>
        <w:tc>
          <w:tcPr>
            <w:tcW w:w="3432" w:type="dxa"/>
          </w:tcPr>
          <w:p w:rsidR="00000000" w:rsidRDefault="001F233B">
            <w:pPr>
              <w:pStyle w:val="Tabletext"/>
              <w:rPr>
                <w:b/>
              </w:rPr>
            </w:pPr>
            <w:r>
              <w:rPr>
                <w:b/>
              </w:rPr>
              <w:t>Total Expenses</w:t>
            </w:r>
          </w:p>
        </w:tc>
        <w:tc>
          <w:tcPr>
            <w:tcW w:w="993" w:type="dxa"/>
            <w:tcBorders>
              <w:top w:val="single" w:sz="6" w:space="0" w:color="auto"/>
              <w:bottom w:val="single" w:sz="6" w:space="0" w:color="auto"/>
            </w:tcBorders>
          </w:tcPr>
          <w:p w:rsidR="00000000" w:rsidRDefault="001F233B">
            <w:pPr>
              <w:pStyle w:val="TableofFigures"/>
              <w:rPr>
                <w:b/>
              </w:rPr>
            </w:pPr>
            <w:r>
              <w:rPr>
                <w:b/>
              </w:rPr>
              <w:t>18 187.8</w:t>
            </w:r>
          </w:p>
        </w:tc>
        <w:tc>
          <w:tcPr>
            <w:tcW w:w="850" w:type="dxa"/>
            <w:tcBorders>
              <w:top w:val="single" w:sz="6" w:space="0" w:color="auto"/>
              <w:bottom w:val="single" w:sz="6" w:space="0" w:color="auto"/>
            </w:tcBorders>
          </w:tcPr>
          <w:p w:rsidR="00000000" w:rsidRDefault="001F233B">
            <w:pPr>
              <w:pStyle w:val="TableofFigures"/>
              <w:rPr>
                <w:b/>
              </w:rPr>
            </w:pPr>
            <w:r>
              <w:rPr>
                <w:b/>
              </w:rPr>
              <w:t>18 407.1</w:t>
            </w:r>
          </w:p>
        </w:tc>
        <w:tc>
          <w:tcPr>
            <w:tcW w:w="992" w:type="dxa"/>
            <w:tcBorders>
              <w:top w:val="single" w:sz="6" w:space="0" w:color="auto"/>
              <w:bottom w:val="single" w:sz="6" w:space="0" w:color="auto"/>
            </w:tcBorders>
          </w:tcPr>
          <w:p w:rsidR="00000000" w:rsidRDefault="001F233B">
            <w:pPr>
              <w:pStyle w:val="TableofFigures"/>
              <w:rPr>
                <w:b/>
              </w:rPr>
            </w:pPr>
            <w:r>
              <w:rPr>
                <w:b/>
              </w:rPr>
              <w:t>18 864.1</w:t>
            </w:r>
          </w:p>
        </w:tc>
        <w:tc>
          <w:tcPr>
            <w:tcW w:w="851" w:type="dxa"/>
            <w:tcBorders>
              <w:top w:val="single" w:sz="6" w:space="0" w:color="auto"/>
              <w:bottom w:val="single" w:sz="6" w:space="0" w:color="auto"/>
            </w:tcBorders>
          </w:tcPr>
          <w:p w:rsidR="00000000" w:rsidRDefault="001F233B">
            <w:pPr>
              <w:pStyle w:val="TableofFigures"/>
              <w:rPr>
                <w:b/>
              </w:rPr>
            </w:pPr>
            <w:r>
              <w:rPr>
                <w:b/>
              </w:rPr>
              <w:t>19 137.4</w:t>
            </w:r>
          </w:p>
        </w:tc>
      </w:tr>
      <w:tr w:rsidR="00000000">
        <w:tblPrEx>
          <w:tblCellMar>
            <w:top w:w="0" w:type="dxa"/>
            <w:bottom w:w="0" w:type="dxa"/>
          </w:tblCellMar>
        </w:tblPrEx>
        <w:trPr>
          <w:trHeight w:hRule="exact" w:val="320"/>
        </w:trPr>
        <w:tc>
          <w:tcPr>
            <w:tcW w:w="3432" w:type="dxa"/>
            <w:tcBorders>
              <w:top w:val="single" w:sz="6" w:space="0" w:color="auto"/>
            </w:tcBorders>
          </w:tcPr>
          <w:p w:rsidR="00000000" w:rsidRDefault="001F233B">
            <w:pPr>
              <w:pStyle w:val="Tabletext"/>
              <w:rPr>
                <w:b/>
              </w:rPr>
            </w:pPr>
            <w:r>
              <w:rPr>
                <w:b/>
              </w:rPr>
              <w:t>Operating Surplus/(Deficit) before</w:t>
            </w:r>
          </w:p>
        </w:tc>
        <w:tc>
          <w:tcPr>
            <w:tcW w:w="993" w:type="dxa"/>
          </w:tcPr>
          <w:p w:rsidR="00000000" w:rsidRDefault="001F233B">
            <w:pPr>
              <w:pStyle w:val="TableofFigures"/>
            </w:pPr>
          </w:p>
        </w:tc>
        <w:tc>
          <w:tcPr>
            <w:tcW w:w="850" w:type="dxa"/>
          </w:tcPr>
          <w:p w:rsidR="00000000" w:rsidRDefault="001F233B">
            <w:pPr>
              <w:pStyle w:val="TableofFigures"/>
            </w:pPr>
          </w:p>
        </w:tc>
        <w:tc>
          <w:tcPr>
            <w:tcW w:w="992" w:type="dxa"/>
          </w:tcPr>
          <w:p w:rsidR="00000000" w:rsidRDefault="001F233B">
            <w:pPr>
              <w:pStyle w:val="TableofFigures"/>
            </w:pPr>
          </w:p>
        </w:tc>
        <w:tc>
          <w:tcPr>
            <w:tcW w:w="851" w:type="dxa"/>
          </w:tcPr>
          <w:p w:rsidR="00000000" w:rsidRDefault="001F233B">
            <w:pPr>
              <w:pStyle w:val="TableofFigures"/>
            </w:pPr>
          </w:p>
        </w:tc>
      </w:tr>
      <w:tr w:rsidR="00000000">
        <w:tblPrEx>
          <w:tblCellMar>
            <w:top w:w="0" w:type="dxa"/>
            <w:bottom w:w="0" w:type="dxa"/>
          </w:tblCellMar>
        </w:tblPrEx>
        <w:trPr>
          <w:trHeight w:hRule="exact" w:val="240"/>
        </w:trPr>
        <w:tc>
          <w:tcPr>
            <w:tcW w:w="3432" w:type="dxa"/>
            <w:tcBorders>
              <w:bottom w:val="single" w:sz="12" w:space="0" w:color="auto"/>
            </w:tcBorders>
          </w:tcPr>
          <w:p w:rsidR="00000000" w:rsidRDefault="001F233B">
            <w:pPr>
              <w:pStyle w:val="Tabletext"/>
              <w:rPr>
                <w:b/>
              </w:rPr>
            </w:pPr>
            <w:r>
              <w:rPr>
                <w:b/>
              </w:rPr>
              <w:t>abnormals</w:t>
            </w:r>
          </w:p>
        </w:tc>
        <w:tc>
          <w:tcPr>
            <w:tcW w:w="993" w:type="dxa"/>
            <w:tcBorders>
              <w:bottom w:val="single" w:sz="12" w:space="0" w:color="auto"/>
            </w:tcBorders>
          </w:tcPr>
          <w:p w:rsidR="00000000" w:rsidRDefault="001F233B">
            <w:pPr>
              <w:pStyle w:val="TableofFigures"/>
              <w:rPr>
                <w:b/>
              </w:rPr>
            </w:pPr>
            <w:r>
              <w:rPr>
                <w:b/>
              </w:rPr>
              <w:t>767.3</w:t>
            </w:r>
          </w:p>
        </w:tc>
        <w:tc>
          <w:tcPr>
            <w:tcW w:w="850" w:type="dxa"/>
            <w:tcBorders>
              <w:bottom w:val="single" w:sz="12" w:space="0" w:color="auto"/>
            </w:tcBorders>
          </w:tcPr>
          <w:p w:rsidR="00000000" w:rsidRDefault="001F233B">
            <w:pPr>
              <w:pStyle w:val="TableofFigures"/>
              <w:rPr>
                <w:b/>
              </w:rPr>
            </w:pPr>
            <w:r>
              <w:rPr>
                <w:b/>
              </w:rPr>
              <w:t>970.9</w:t>
            </w:r>
          </w:p>
        </w:tc>
        <w:tc>
          <w:tcPr>
            <w:tcW w:w="992" w:type="dxa"/>
            <w:tcBorders>
              <w:bottom w:val="single" w:sz="12" w:space="0" w:color="auto"/>
            </w:tcBorders>
          </w:tcPr>
          <w:p w:rsidR="00000000" w:rsidRDefault="001F233B">
            <w:pPr>
              <w:pStyle w:val="TableofFigures"/>
              <w:rPr>
                <w:b/>
              </w:rPr>
            </w:pPr>
            <w:r>
              <w:rPr>
                <w:b/>
              </w:rPr>
              <w:t>920.9</w:t>
            </w:r>
          </w:p>
        </w:tc>
        <w:tc>
          <w:tcPr>
            <w:tcW w:w="851" w:type="dxa"/>
            <w:tcBorders>
              <w:bottom w:val="single" w:sz="12" w:space="0" w:color="auto"/>
            </w:tcBorders>
          </w:tcPr>
          <w:p w:rsidR="00000000" w:rsidRDefault="001F233B">
            <w:pPr>
              <w:pStyle w:val="TableofFigures"/>
              <w:rPr>
                <w:b/>
              </w:rPr>
            </w:pPr>
            <w:r>
              <w:rPr>
                <w:b/>
              </w:rPr>
              <w:t>949.2</w:t>
            </w:r>
          </w:p>
        </w:tc>
      </w:tr>
    </w:tbl>
    <w:p w:rsidR="00000000" w:rsidRDefault="001F233B">
      <w:pPr>
        <w:pStyle w:val="Source"/>
        <w:spacing w:after="0"/>
        <w:rPr>
          <w:rFonts w:ascii="Arial" w:hAnsi="Arial"/>
          <w:color w:val="000000"/>
        </w:rPr>
      </w:pPr>
      <w:r>
        <w:t>Source: Department of Treasur</w:t>
      </w:r>
      <w:r>
        <w:t>y and Finance.</w:t>
      </w:r>
    </w:p>
    <w:p w:rsidR="00000000" w:rsidRDefault="001F233B">
      <w:pPr>
        <w:pStyle w:val="Notes"/>
        <w:rPr>
          <w:rFonts w:ascii="Arial" w:hAnsi="Arial"/>
          <w:color w:val="000000"/>
        </w:rPr>
      </w:pPr>
      <w:r>
        <w:t>Notes:</w:t>
      </w:r>
    </w:p>
    <w:p w:rsidR="00000000" w:rsidRDefault="001F233B">
      <w:pPr>
        <w:pStyle w:val="Notes"/>
        <w:rPr>
          <w:rFonts w:ascii="Arial" w:hAnsi="Arial"/>
          <w:color w:val="000000"/>
        </w:rPr>
      </w:pPr>
      <w:r>
        <w:t>(a)</w:t>
      </w:r>
      <w:r>
        <w:tab/>
        <w:t>Includes grants for on</w:t>
      </w:r>
      <w:r>
        <w:noBreakHyphen/>
        <w:t>passing.</w:t>
      </w:r>
    </w:p>
    <w:p w:rsidR="00000000" w:rsidRDefault="001F233B">
      <w:pPr>
        <w:pStyle w:val="Notes"/>
        <w:ind w:left="450" w:hanging="450"/>
        <w:rPr>
          <w:rFonts w:ascii="Arial" w:hAnsi="Arial"/>
          <w:color w:val="000000"/>
        </w:rPr>
      </w:pPr>
      <w:r>
        <w:t>(b)</w:t>
      </w:r>
      <w:r>
        <w:tab/>
        <w:t>Excludes privatisation</w:t>
      </w:r>
      <w:r>
        <w:fldChar w:fldCharType="begin"/>
      </w:r>
      <w:r>
        <w:instrText>xe "Privatisation"</w:instrText>
      </w:r>
      <w:r>
        <w:fldChar w:fldCharType="end"/>
      </w:r>
      <w:r>
        <w:t xml:space="preserve"> proceeds received as stamp duty and tax equivalent receipts.</w:t>
      </w:r>
    </w:p>
    <w:p w:rsidR="00000000" w:rsidRDefault="001F233B">
      <w:r>
        <w:br w:type="page"/>
        <w:t xml:space="preserve"> Forecast sales of goods and services are assumed to exhibit little growth over the forward estimates period in response to arrangements whereby departments can retain receipts earned once approved by the Treasurer. The impact on the Budget bottom line is offset by a similar assumption for operating expenses related to the sale of goods and se</w:t>
      </w:r>
      <w:r>
        <w:t>rvices.</w:t>
      </w:r>
    </w:p>
    <w:p w:rsidR="00000000" w:rsidRDefault="001F233B" w:rsidP="001F233B">
      <w:pPr>
        <w:pStyle w:val="BulletText"/>
        <w:numPr>
          <w:ilvl w:val="0"/>
          <w:numId w:val="0"/>
        </w:numPr>
      </w:pPr>
      <w:r>
        <w:t>Public authority income will decline over the forward estimates period – the decline in 1999</w:t>
      </w:r>
      <w:r>
        <w:noBreakHyphen/>
        <w:t>00 reflects lower projected dividends from the electricity</w:t>
      </w:r>
      <w:r>
        <w:fldChar w:fldCharType="begin"/>
      </w:r>
      <w:r>
        <w:instrText>xe "Electricity"</w:instrText>
      </w:r>
      <w:r>
        <w:fldChar w:fldCharType="end"/>
      </w:r>
      <w:r>
        <w:t xml:space="preserve"> industry reflecting the fact that most of the electricity businesses have now been privatised (Generation Victoria being the only electricity utility remaining in Government ownership). The further fall in 2001</w:t>
      </w:r>
      <w:r>
        <w:noBreakHyphen/>
        <w:t>02 is due to an expected reduction in gas</w:t>
      </w:r>
      <w:r>
        <w:fldChar w:fldCharType="begin"/>
      </w:r>
      <w:r>
        <w:instrText>xe "Gas"</w:instrText>
      </w:r>
      <w:r>
        <w:fldChar w:fldCharType="end"/>
      </w:r>
      <w:r>
        <w:t xml:space="preserve"> authority dividends following the expiration of existing gas supply con</w:t>
      </w:r>
      <w:r>
        <w:t>tracts and the introduction of full competition into the gas market from 2000</w:t>
      </w:r>
      <w:r>
        <w:noBreakHyphen/>
        <w:t>01.</w:t>
      </w:r>
    </w:p>
    <w:p w:rsidR="00000000" w:rsidRDefault="001F233B" w:rsidP="001F233B">
      <w:pPr>
        <w:pStyle w:val="BulletText"/>
        <w:numPr>
          <w:ilvl w:val="0"/>
          <w:numId w:val="0"/>
        </w:numPr>
      </w:pPr>
      <w:r>
        <w:t>Current own</w:t>
      </w:r>
      <w:r>
        <w:noBreakHyphen/>
        <w:t>purpose grants are expected to increase in line with real per capita growth but less than projected annual growth in Commonwealth revenues.</w:t>
      </w:r>
    </w:p>
    <w:p w:rsidR="00000000" w:rsidRDefault="001F233B">
      <w:r>
        <w:t>Total expenses are estimated to increase over the forward estimates period by an average of 1.7 per cent per year and are held down by a decrease in interest expenses, current grants and capital transfers. Total gross operating expenditure is estimated to grow at the faster ave</w:t>
      </w:r>
      <w:r>
        <w:t>rage rate of 3.1 per cent. This is around the benchmark comprised of economy-wide cost inflation</w:t>
      </w:r>
      <w:r>
        <w:fldChar w:fldCharType="begin"/>
      </w:r>
      <w:r>
        <w:instrText>xe "Economy:Inflation"</w:instrText>
      </w:r>
      <w:r>
        <w:fldChar w:fldCharType="end"/>
      </w:r>
      <w:r>
        <w:t xml:space="preserve"> of around 2½ per cent plus population</w:t>
      </w:r>
      <w:r>
        <w:fldChar w:fldCharType="begin"/>
      </w:r>
      <w:r>
        <w:instrText>xe "Economy:Population"</w:instrText>
      </w:r>
      <w:r>
        <w:fldChar w:fldCharType="end"/>
      </w:r>
      <w:r>
        <w:t xml:space="preserve"> growth of around ¾ of a percentage point.</w:t>
      </w:r>
    </w:p>
    <w:p w:rsidR="00000000" w:rsidRDefault="001F233B" w:rsidP="001F233B">
      <w:pPr>
        <w:pStyle w:val="BulletText"/>
        <w:numPr>
          <w:ilvl w:val="0"/>
          <w:numId w:val="0"/>
        </w:numPr>
      </w:pPr>
      <w:r>
        <w:t>Interest expense should decline from $806.3 million in 1998</w:t>
      </w:r>
      <w:r>
        <w:noBreakHyphen/>
        <w:t>99 to $684.2 million in 2001</w:t>
      </w:r>
      <w:r>
        <w:noBreakHyphen/>
        <w:t>02, reflecting the use of cash surpluses to reduce net debt. The decrease in current grants in 1999</w:t>
      </w:r>
      <w:r>
        <w:noBreakHyphen/>
        <w:t>00 reflects the one</w:t>
      </w:r>
      <w:r>
        <w:noBreakHyphen/>
        <w:t>off costs associated with public transport</w:t>
      </w:r>
      <w:r>
        <w:fldChar w:fldCharType="begin"/>
      </w:r>
      <w:r>
        <w:instrText>xe "Transport"</w:instrText>
      </w:r>
      <w:r>
        <w:fldChar w:fldCharType="end"/>
      </w:r>
      <w:r>
        <w:t xml:space="preserve"> reform in 1998</w:t>
      </w:r>
      <w:r>
        <w:noBreakHyphen/>
        <w:t>99.</w:t>
      </w:r>
    </w:p>
    <w:p w:rsidR="00000000" w:rsidRDefault="001F233B" w:rsidP="001F233B">
      <w:pPr>
        <w:pStyle w:val="BulletText"/>
        <w:numPr>
          <w:ilvl w:val="0"/>
          <w:numId w:val="0"/>
        </w:numPr>
      </w:pPr>
      <w:r>
        <w:t>Capital transfers are expected to decline over the forward estimates due to the completion of various capital projects.</w:t>
      </w:r>
    </w:p>
    <w:p w:rsidR="00000000" w:rsidRDefault="001F233B">
      <w:r>
        <w:t>Table 3.9 provides the Budget Sector Cash Flow Statement over the forward estimates period.</w:t>
      </w:r>
    </w:p>
    <w:p w:rsidR="00000000" w:rsidRDefault="001F233B" w:rsidP="001F233B">
      <w:pPr>
        <w:pStyle w:val="BulletText"/>
        <w:numPr>
          <w:ilvl w:val="0"/>
          <w:numId w:val="0"/>
        </w:numPr>
      </w:pPr>
      <w:r>
        <w:t>Differences in the movements over the forward estimates between the cash-based Budget surplus and the accrual</w:t>
      </w:r>
      <w:r>
        <w:noBreakHyphen/>
        <w:t>based operating surplus</w:t>
      </w:r>
      <w:r>
        <w:fldChar w:fldCharType="begin"/>
      </w:r>
      <w:r>
        <w:instrText>xe "Operating surplus"</w:instrText>
      </w:r>
      <w:r>
        <w:fldChar w:fldCharType="end"/>
      </w:r>
      <w:r>
        <w:t xml:space="preserve"> largely owes to solid growth in capital expenditure which reduces the cash based measure but not the accrual operating surplus. There is a la</w:t>
      </w:r>
      <w:r>
        <w:t>rger improvement in the cash</w:t>
      </w:r>
      <w:r>
        <w:noBreakHyphen/>
        <w:t>based surplus in 1999</w:t>
      </w:r>
      <w:r>
        <w:noBreakHyphen/>
        <w:t>00 reflecting a number of one-off balance sheet transactions in 1998</w:t>
      </w:r>
      <w:r>
        <w:noBreakHyphen/>
        <w:t>99 which did not impact on the accrual operating surplus. These include PTC restructuring, debt restructuring and capital repatriations from government businesses.</w:t>
      </w:r>
    </w:p>
    <w:p w:rsidR="00000000" w:rsidRDefault="001F233B">
      <w:pPr>
        <w:pStyle w:val="Tableheading"/>
        <w:keepNext/>
        <w:spacing w:after="0"/>
      </w:pPr>
      <w:bookmarkStart w:id="63" w:name="_Toc417119987"/>
      <w:r>
        <w:br w:type="page"/>
      </w:r>
      <w:bookmarkStart w:id="64" w:name="_Toc417552746"/>
      <w:r>
        <w:t xml:space="preserve">Table 3.9: Budget Sector Cash Flow Statement </w:t>
      </w:r>
      <w:r>
        <w:noBreakHyphen/>
        <w:t xml:space="preserve"> Forward Estimates 1998</w:t>
      </w:r>
      <w:r>
        <w:noBreakHyphen/>
        <w:t>99 to 2001</w:t>
      </w:r>
      <w:r>
        <w:noBreakHyphen/>
        <w:t>02</w:t>
      </w:r>
      <w:bookmarkEnd w:id="64"/>
      <w:r>
        <w:rPr>
          <w:sz w:val="22"/>
          <w:vertAlign w:val="superscript"/>
        </w:rPr>
        <w:t xml:space="preserve"> </w:t>
      </w:r>
      <w:bookmarkEnd w:id="63"/>
    </w:p>
    <w:p w:rsidR="00000000" w:rsidRDefault="001F233B">
      <w:pPr>
        <w:pStyle w:val="Source"/>
        <w:keepNext/>
        <w:spacing w:after="0"/>
        <w:jc w:val="center"/>
        <w:rPr>
          <w:noProof/>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3744"/>
        <w:gridCol w:w="850"/>
        <w:gridCol w:w="850"/>
        <w:gridCol w:w="850"/>
        <w:gridCol w:w="850"/>
      </w:tblGrid>
      <w:tr w:rsidR="00000000">
        <w:tblPrEx>
          <w:tblCellMar>
            <w:top w:w="0" w:type="dxa"/>
            <w:bottom w:w="0" w:type="dxa"/>
          </w:tblCellMar>
        </w:tblPrEx>
        <w:trPr>
          <w:trHeight w:hRule="exact" w:val="240"/>
        </w:trPr>
        <w:tc>
          <w:tcPr>
            <w:tcW w:w="3744" w:type="dxa"/>
            <w:tcBorders>
              <w:top w:val="single" w:sz="6" w:space="0" w:color="auto"/>
            </w:tcBorders>
          </w:tcPr>
          <w:p w:rsidR="00000000" w:rsidRDefault="001F233B">
            <w:pPr>
              <w:keepNext/>
              <w:jc w:val="right"/>
              <w:rPr>
                <w:rFonts w:ascii="Arial" w:hAnsi="Arial"/>
                <w:i/>
                <w:color w:val="000000"/>
                <w:sz w:val="16"/>
              </w:rPr>
            </w:pPr>
          </w:p>
        </w:tc>
        <w:tc>
          <w:tcPr>
            <w:tcW w:w="850" w:type="dxa"/>
            <w:tcBorders>
              <w:top w:val="single" w:sz="6" w:space="0" w:color="auto"/>
            </w:tcBorders>
          </w:tcPr>
          <w:p w:rsidR="00000000" w:rsidRDefault="001F233B">
            <w:pPr>
              <w:keepNext/>
              <w:jc w:val="right"/>
              <w:rPr>
                <w:rFonts w:ascii="Arial" w:hAnsi="Arial"/>
                <w:i/>
                <w:color w:val="000000"/>
                <w:sz w:val="16"/>
              </w:rPr>
            </w:pPr>
            <w:r>
              <w:rPr>
                <w:rFonts w:ascii="Arial" w:hAnsi="Arial"/>
                <w:i/>
                <w:color w:val="000000"/>
                <w:sz w:val="16"/>
              </w:rPr>
              <w:t>1998-99</w:t>
            </w:r>
          </w:p>
        </w:tc>
        <w:tc>
          <w:tcPr>
            <w:tcW w:w="850" w:type="dxa"/>
            <w:tcBorders>
              <w:top w:val="single" w:sz="6" w:space="0" w:color="auto"/>
            </w:tcBorders>
          </w:tcPr>
          <w:p w:rsidR="00000000" w:rsidRDefault="001F233B">
            <w:pPr>
              <w:keepNext/>
              <w:jc w:val="right"/>
              <w:rPr>
                <w:rFonts w:ascii="Arial" w:hAnsi="Arial"/>
                <w:i/>
                <w:color w:val="000000"/>
                <w:sz w:val="16"/>
              </w:rPr>
            </w:pPr>
            <w:r>
              <w:rPr>
                <w:rFonts w:ascii="Arial" w:hAnsi="Arial"/>
                <w:i/>
                <w:color w:val="000000"/>
                <w:sz w:val="16"/>
              </w:rPr>
              <w:t>1999-00</w:t>
            </w:r>
          </w:p>
        </w:tc>
        <w:tc>
          <w:tcPr>
            <w:tcW w:w="850" w:type="dxa"/>
            <w:tcBorders>
              <w:top w:val="single" w:sz="6" w:space="0" w:color="auto"/>
            </w:tcBorders>
          </w:tcPr>
          <w:p w:rsidR="00000000" w:rsidRDefault="001F233B">
            <w:pPr>
              <w:keepNext/>
              <w:jc w:val="right"/>
              <w:rPr>
                <w:rFonts w:ascii="Arial" w:hAnsi="Arial"/>
                <w:i/>
                <w:color w:val="000000"/>
                <w:sz w:val="16"/>
              </w:rPr>
            </w:pPr>
            <w:r>
              <w:rPr>
                <w:rFonts w:ascii="Arial" w:hAnsi="Arial"/>
                <w:i/>
                <w:color w:val="000000"/>
                <w:sz w:val="16"/>
              </w:rPr>
              <w:t>2000-01</w:t>
            </w:r>
          </w:p>
        </w:tc>
        <w:tc>
          <w:tcPr>
            <w:tcW w:w="850" w:type="dxa"/>
            <w:tcBorders>
              <w:top w:val="single" w:sz="6" w:space="0" w:color="auto"/>
            </w:tcBorders>
          </w:tcPr>
          <w:p w:rsidR="00000000" w:rsidRDefault="001F233B">
            <w:pPr>
              <w:keepNext/>
              <w:jc w:val="right"/>
              <w:rPr>
                <w:rFonts w:ascii="Arial" w:hAnsi="Arial"/>
                <w:i/>
                <w:color w:val="000000"/>
                <w:sz w:val="16"/>
              </w:rPr>
            </w:pPr>
            <w:r>
              <w:rPr>
                <w:rFonts w:ascii="Arial" w:hAnsi="Arial"/>
                <w:i/>
                <w:color w:val="000000"/>
                <w:sz w:val="16"/>
              </w:rPr>
              <w:t>2001-02</w:t>
            </w:r>
          </w:p>
        </w:tc>
      </w:tr>
      <w:tr w:rsidR="00000000">
        <w:tblPrEx>
          <w:tblCellMar>
            <w:top w:w="0" w:type="dxa"/>
            <w:bottom w:w="0" w:type="dxa"/>
          </w:tblCellMar>
        </w:tblPrEx>
        <w:trPr>
          <w:trHeight w:hRule="exact" w:val="240"/>
        </w:trPr>
        <w:tc>
          <w:tcPr>
            <w:tcW w:w="3744" w:type="dxa"/>
            <w:tcBorders>
              <w:bottom w:val="single" w:sz="6" w:space="0" w:color="auto"/>
            </w:tcBorders>
          </w:tcPr>
          <w:p w:rsidR="00000000" w:rsidRDefault="001F233B">
            <w:pPr>
              <w:keepNext/>
              <w:jc w:val="right"/>
              <w:rPr>
                <w:rFonts w:ascii="Arial" w:hAnsi="Arial"/>
                <w:i/>
                <w:color w:val="000000"/>
                <w:sz w:val="16"/>
              </w:rPr>
            </w:pPr>
          </w:p>
        </w:tc>
        <w:tc>
          <w:tcPr>
            <w:tcW w:w="850" w:type="dxa"/>
            <w:tcBorders>
              <w:bottom w:val="single" w:sz="6" w:space="0" w:color="auto"/>
            </w:tcBorders>
          </w:tcPr>
          <w:p w:rsidR="00000000" w:rsidRDefault="001F233B">
            <w:pPr>
              <w:keepNext/>
              <w:jc w:val="right"/>
              <w:rPr>
                <w:rFonts w:ascii="Arial" w:hAnsi="Arial"/>
                <w:i/>
                <w:color w:val="000000"/>
                <w:sz w:val="16"/>
              </w:rPr>
            </w:pPr>
            <w:r>
              <w:rPr>
                <w:rFonts w:ascii="Arial" w:hAnsi="Arial"/>
                <w:i/>
                <w:color w:val="000000"/>
                <w:sz w:val="16"/>
              </w:rPr>
              <w:t>Estimate</w:t>
            </w:r>
          </w:p>
        </w:tc>
        <w:tc>
          <w:tcPr>
            <w:tcW w:w="850" w:type="dxa"/>
            <w:tcBorders>
              <w:bottom w:val="single" w:sz="6" w:space="0" w:color="auto"/>
            </w:tcBorders>
          </w:tcPr>
          <w:p w:rsidR="00000000" w:rsidRDefault="001F233B">
            <w:pPr>
              <w:keepNext/>
              <w:jc w:val="right"/>
              <w:rPr>
                <w:rFonts w:ascii="Arial" w:hAnsi="Arial"/>
                <w:i/>
                <w:color w:val="000000"/>
                <w:sz w:val="16"/>
              </w:rPr>
            </w:pPr>
            <w:r>
              <w:rPr>
                <w:rFonts w:ascii="Arial" w:hAnsi="Arial"/>
                <w:i/>
                <w:color w:val="000000"/>
                <w:sz w:val="16"/>
              </w:rPr>
              <w:t>Estimate</w:t>
            </w:r>
          </w:p>
        </w:tc>
        <w:tc>
          <w:tcPr>
            <w:tcW w:w="850" w:type="dxa"/>
            <w:tcBorders>
              <w:bottom w:val="single" w:sz="6" w:space="0" w:color="auto"/>
            </w:tcBorders>
          </w:tcPr>
          <w:p w:rsidR="00000000" w:rsidRDefault="001F233B">
            <w:pPr>
              <w:keepNext/>
              <w:jc w:val="right"/>
              <w:rPr>
                <w:rFonts w:ascii="Arial" w:hAnsi="Arial"/>
                <w:i/>
                <w:color w:val="000000"/>
                <w:sz w:val="16"/>
              </w:rPr>
            </w:pPr>
            <w:r>
              <w:rPr>
                <w:rFonts w:ascii="Arial" w:hAnsi="Arial"/>
                <w:i/>
                <w:color w:val="000000"/>
                <w:sz w:val="16"/>
              </w:rPr>
              <w:t>Estimate</w:t>
            </w:r>
          </w:p>
        </w:tc>
        <w:tc>
          <w:tcPr>
            <w:tcW w:w="850" w:type="dxa"/>
            <w:tcBorders>
              <w:bottom w:val="single" w:sz="6" w:space="0" w:color="auto"/>
            </w:tcBorders>
          </w:tcPr>
          <w:p w:rsidR="00000000" w:rsidRDefault="001F233B">
            <w:pPr>
              <w:keepNext/>
              <w:jc w:val="right"/>
              <w:rPr>
                <w:rFonts w:ascii="Arial" w:hAnsi="Arial"/>
                <w:i/>
                <w:color w:val="000000"/>
                <w:sz w:val="16"/>
              </w:rPr>
            </w:pPr>
            <w:r>
              <w:rPr>
                <w:rFonts w:ascii="Arial" w:hAnsi="Arial"/>
                <w:i/>
                <w:color w:val="000000"/>
                <w:sz w:val="16"/>
              </w:rPr>
              <w:t>Estimate</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b/>
                <w:color w:val="000000"/>
                <w:sz w:val="16"/>
              </w:rPr>
            </w:pPr>
            <w:r>
              <w:rPr>
                <w:rFonts w:ascii="Arial" w:hAnsi="Arial"/>
                <w:b/>
                <w:color w:val="000000"/>
                <w:sz w:val="16"/>
              </w:rPr>
              <w:t>Revenue</w:t>
            </w:r>
          </w:p>
        </w:tc>
        <w:tc>
          <w:tcPr>
            <w:tcW w:w="850" w:type="dxa"/>
          </w:tcPr>
          <w:p w:rsidR="00000000" w:rsidRDefault="001F233B">
            <w:pPr>
              <w:keepNext/>
              <w:jc w:val="right"/>
              <w:rPr>
                <w:rFonts w:ascii="Arial" w:hAnsi="Arial"/>
                <w:color w:val="000000"/>
                <w:sz w:val="16"/>
              </w:rPr>
            </w:pPr>
          </w:p>
        </w:tc>
        <w:tc>
          <w:tcPr>
            <w:tcW w:w="850" w:type="dxa"/>
          </w:tcPr>
          <w:p w:rsidR="00000000" w:rsidRDefault="001F233B">
            <w:pPr>
              <w:keepNext/>
              <w:jc w:val="right"/>
              <w:rPr>
                <w:rFonts w:ascii="Arial" w:hAnsi="Arial"/>
                <w:color w:val="000000"/>
                <w:sz w:val="16"/>
              </w:rPr>
            </w:pPr>
          </w:p>
        </w:tc>
        <w:tc>
          <w:tcPr>
            <w:tcW w:w="850" w:type="dxa"/>
          </w:tcPr>
          <w:p w:rsidR="00000000" w:rsidRDefault="001F233B">
            <w:pPr>
              <w:keepNext/>
              <w:jc w:val="right"/>
              <w:rPr>
                <w:rFonts w:ascii="Arial" w:hAnsi="Arial"/>
                <w:color w:val="000000"/>
                <w:sz w:val="16"/>
              </w:rPr>
            </w:pPr>
          </w:p>
        </w:tc>
        <w:tc>
          <w:tcPr>
            <w:tcW w:w="850" w:type="dxa"/>
          </w:tcPr>
          <w:p w:rsidR="00000000" w:rsidRDefault="001F233B">
            <w:pPr>
              <w:keepNext/>
              <w:jc w:val="right"/>
              <w:rPr>
                <w:rFonts w:ascii="Arial" w:hAnsi="Arial"/>
                <w:color w:val="000000"/>
                <w:sz w:val="16"/>
              </w:rPr>
            </w:pP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Taxes, regulatory fees and fines</w:t>
            </w:r>
          </w:p>
        </w:tc>
        <w:tc>
          <w:tcPr>
            <w:tcW w:w="850" w:type="dxa"/>
          </w:tcPr>
          <w:p w:rsidR="00000000" w:rsidRDefault="001F233B">
            <w:pPr>
              <w:keepNext/>
              <w:jc w:val="right"/>
              <w:rPr>
                <w:rFonts w:ascii="Arial" w:hAnsi="Arial"/>
                <w:color w:val="000000"/>
                <w:sz w:val="16"/>
              </w:rPr>
            </w:pPr>
            <w:r>
              <w:rPr>
                <w:rFonts w:ascii="Arial" w:hAnsi="Arial"/>
                <w:color w:val="000000"/>
                <w:sz w:val="16"/>
              </w:rPr>
              <w:t>8 797.3</w:t>
            </w:r>
          </w:p>
        </w:tc>
        <w:tc>
          <w:tcPr>
            <w:tcW w:w="850" w:type="dxa"/>
          </w:tcPr>
          <w:p w:rsidR="00000000" w:rsidRDefault="001F233B">
            <w:pPr>
              <w:keepNext/>
              <w:jc w:val="right"/>
              <w:rPr>
                <w:rFonts w:ascii="Arial" w:hAnsi="Arial"/>
                <w:color w:val="000000"/>
                <w:sz w:val="16"/>
              </w:rPr>
            </w:pPr>
            <w:r>
              <w:rPr>
                <w:rFonts w:ascii="Arial" w:hAnsi="Arial"/>
                <w:color w:val="000000"/>
                <w:sz w:val="16"/>
              </w:rPr>
              <w:t>8 927.</w:t>
            </w:r>
            <w:r>
              <w:rPr>
                <w:rFonts w:ascii="Arial" w:hAnsi="Arial"/>
                <w:color w:val="000000"/>
                <w:sz w:val="16"/>
              </w:rPr>
              <w:t>0</w:t>
            </w:r>
          </w:p>
        </w:tc>
        <w:tc>
          <w:tcPr>
            <w:tcW w:w="850" w:type="dxa"/>
          </w:tcPr>
          <w:p w:rsidR="00000000" w:rsidRDefault="001F233B">
            <w:pPr>
              <w:keepNext/>
              <w:jc w:val="right"/>
              <w:rPr>
                <w:rFonts w:ascii="Arial" w:hAnsi="Arial"/>
                <w:color w:val="000000"/>
                <w:sz w:val="16"/>
              </w:rPr>
            </w:pPr>
            <w:r>
              <w:rPr>
                <w:rFonts w:ascii="Arial" w:hAnsi="Arial"/>
                <w:color w:val="000000"/>
                <w:sz w:val="16"/>
              </w:rPr>
              <w:t>9 143.4</w:t>
            </w:r>
          </w:p>
        </w:tc>
        <w:tc>
          <w:tcPr>
            <w:tcW w:w="850" w:type="dxa"/>
          </w:tcPr>
          <w:p w:rsidR="00000000" w:rsidRDefault="001F233B">
            <w:pPr>
              <w:keepNext/>
              <w:jc w:val="right"/>
              <w:rPr>
                <w:rFonts w:ascii="Arial" w:hAnsi="Arial"/>
                <w:color w:val="000000"/>
                <w:sz w:val="16"/>
              </w:rPr>
            </w:pPr>
            <w:r>
              <w:rPr>
                <w:rFonts w:ascii="Arial" w:hAnsi="Arial"/>
                <w:color w:val="000000"/>
                <w:sz w:val="16"/>
              </w:rPr>
              <w:t>9 339.3</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i/>
                <w:color w:val="000000"/>
                <w:sz w:val="16"/>
              </w:rPr>
            </w:pPr>
            <w:r>
              <w:rPr>
                <w:rFonts w:ascii="Arial" w:hAnsi="Arial"/>
                <w:i/>
                <w:color w:val="000000"/>
                <w:sz w:val="16"/>
              </w:rPr>
              <w:t>(% change)</w:t>
            </w:r>
          </w:p>
        </w:tc>
        <w:tc>
          <w:tcPr>
            <w:tcW w:w="850" w:type="dxa"/>
          </w:tcPr>
          <w:p w:rsidR="00000000" w:rsidRDefault="001F233B">
            <w:pPr>
              <w:keepNext/>
              <w:jc w:val="right"/>
              <w:rPr>
                <w:rFonts w:ascii="Arial" w:hAnsi="Arial"/>
                <w:i/>
                <w:color w:val="000000"/>
                <w:sz w:val="16"/>
              </w:rPr>
            </w:pPr>
            <w:r>
              <w:rPr>
                <w:rFonts w:ascii="Arial" w:hAnsi="Arial"/>
                <w:i/>
                <w:color w:val="000000"/>
                <w:sz w:val="16"/>
              </w:rPr>
              <w:t>3.0</w:t>
            </w:r>
          </w:p>
        </w:tc>
        <w:tc>
          <w:tcPr>
            <w:tcW w:w="850" w:type="dxa"/>
          </w:tcPr>
          <w:p w:rsidR="00000000" w:rsidRDefault="001F233B">
            <w:pPr>
              <w:keepNext/>
              <w:jc w:val="right"/>
              <w:rPr>
                <w:rFonts w:ascii="Arial" w:hAnsi="Arial"/>
                <w:i/>
                <w:color w:val="000000"/>
                <w:sz w:val="16"/>
              </w:rPr>
            </w:pPr>
            <w:r>
              <w:rPr>
                <w:rFonts w:ascii="Arial" w:hAnsi="Arial"/>
                <w:i/>
                <w:color w:val="000000"/>
                <w:sz w:val="16"/>
              </w:rPr>
              <w:t>1.5</w:t>
            </w:r>
          </w:p>
        </w:tc>
        <w:tc>
          <w:tcPr>
            <w:tcW w:w="850" w:type="dxa"/>
          </w:tcPr>
          <w:p w:rsidR="00000000" w:rsidRDefault="001F233B">
            <w:pPr>
              <w:keepNext/>
              <w:jc w:val="right"/>
              <w:rPr>
                <w:rFonts w:ascii="Arial" w:hAnsi="Arial"/>
                <w:i/>
                <w:color w:val="000000"/>
                <w:sz w:val="16"/>
              </w:rPr>
            </w:pPr>
            <w:r>
              <w:rPr>
                <w:rFonts w:ascii="Arial" w:hAnsi="Arial"/>
                <w:i/>
                <w:color w:val="000000"/>
                <w:sz w:val="16"/>
              </w:rPr>
              <w:t>2.4</w:t>
            </w:r>
          </w:p>
        </w:tc>
        <w:tc>
          <w:tcPr>
            <w:tcW w:w="850" w:type="dxa"/>
          </w:tcPr>
          <w:p w:rsidR="00000000" w:rsidRDefault="001F233B">
            <w:pPr>
              <w:keepNext/>
              <w:jc w:val="right"/>
              <w:rPr>
                <w:rFonts w:ascii="Arial" w:hAnsi="Arial"/>
                <w:i/>
                <w:color w:val="000000"/>
                <w:sz w:val="16"/>
              </w:rPr>
            </w:pPr>
            <w:r>
              <w:rPr>
                <w:rFonts w:ascii="Arial" w:hAnsi="Arial"/>
                <w:i/>
                <w:color w:val="000000"/>
                <w:sz w:val="16"/>
              </w:rPr>
              <w:t>2.1</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Sales of goods &amp; services</w:t>
            </w:r>
          </w:p>
        </w:tc>
        <w:tc>
          <w:tcPr>
            <w:tcW w:w="850" w:type="dxa"/>
          </w:tcPr>
          <w:p w:rsidR="00000000" w:rsidRDefault="001F233B">
            <w:pPr>
              <w:keepNext/>
              <w:jc w:val="right"/>
              <w:rPr>
                <w:rFonts w:ascii="Arial" w:hAnsi="Arial"/>
                <w:color w:val="000000"/>
                <w:sz w:val="16"/>
              </w:rPr>
            </w:pPr>
            <w:r>
              <w:rPr>
                <w:rFonts w:ascii="Arial" w:hAnsi="Arial"/>
                <w:color w:val="000000"/>
                <w:sz w:val="16"/>
              </w:rPr>
              <w:t>1 727.3</w:t>
            </w:r>
          </w:p>
        </w:tc>
        <w:tc>
          <w:tcPr>
            <w:tcW w:w="850" w:type="dxa"/>
          </w:tcPr>
          <w:p w:rsidR="00000000" w:rsidRDefault="001F233B">
            <w:pPr>
              <w:keepNext/>
              <w:jc w:val="right"/>
              <w:rPr>
                <w:rFonts w:ascii="Arial" w:hAnsi="Arial"/>
                <w:color w:val="000000"/>
                <w:sz w:val="16"/>
              </w:rPr>
            </w:pPr>
            <w:r>
              <w:rPr>
                <w:rFonts w:ascii="Arial" w:hAnsi="Arial"/>
                <w:color w:val="000000"/>
                <w:sz w:val="16"/>
              </w:rPr>
              <w:t>1 732.6</w:t>
            </w:r>
          </w:p>
        </w:tc>
        <w:tc>
          <w:tcPr>
            <w:tcW w:w="850" w:type="dxa"/>
          </w:tcPr>
          <w:p w:rsidR="00000000" w:rsidRDefault="001F233B">
            <w:pPr>
              <w:keepNext/>
              <w:jc w:val="right"/>
              <w:rPr>
                <w:rFonts w:ascii="Arial" w:hAnsi="Arial"/>
                <w:color w:val="000000"/>
                <w:sz w:val="16"/>
              </w:rPr>
            </w:pPr>
            <w:r>
              <w:rPr>
                <w:rFonts w:ascii="Arial" w:hAnsi="Arial"/>
                <w:color w:val="000000"/>
                <w:sz w:val="16"/>
              </w:rPr>
              <w:t>1 726.5</w:t>
            </w:r>
          </w:p>
        </w:tc>
        <w:tc>
          <w:tcPr>
            <w:tcW w:w="850" w:type="dxa"/>
          </w:tcPr>
          <w:p w:rsidR="00000000" w:rsidRDefault="001F233B">
            <w:pPr>
              <w:keepNext/>
              <w:jc w:val="right"/>
              <w:rPr>
                <w:rFonts w:ascii="Arial" w:hAnsi="Arial"/>
                <w:color w:val="000000"/>
                <w:sz w:val="16"/>
              </w:rPr>
            </w:pPr>
            <w:r>
              <w:rPr>
                <w:rFonts w:ascii="Arial" w:hAnsi="Arial"/>
                <w:color w:val="000000"/>
                <w:sz w:val="16"/>
              </w:rPr>
              <w:t>1 741.4</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i/>
                <w:color w:val="000000"/>
                <w:sz w:val="16"/>
              </w:rPr>
            </w:pPr>
            <w:r>
              <w:rPr>
                <w:rFonts w:ascii="Arial" w:hAnsi="Arial"/>
                <w:i/>
                <w:color w:val="000000"/>
                <w:sz w:val="16"/>
              </w:rPr>
              <w:t>(% change)</w:t>
            </w:r>
          </w:p>
        </w:tc>
        <w:tc>
          <w:tcPr>
            <w:tcW w:w="850" w:type="dxa"/>
          </w:tcPr>
          <w:p w:rsidR="00000000" w:rsidRDefault="001F233B">
            <w:pPr>
              <w:keepNext/>
              <w:jc w:val="right"/>
              <w:rPr>
                <w:rFonts w:ascii="Arial" w:hAnsi="Arial"/>
                <w:i/>
                <w:color w:val="000000"/>
                <w:sz w:val="16"/>
              </w:rPr>
            </w:pPr>
            <w:r>
              <w:rPr>
                <w:rFonts w:ascii="Arial" w:hAnsi="Arial"/>
                <w:i/>
                <w:color w:val="000000"/>
                <w:sz w:val="16"/>
              </w:rPr>
              <w:t>2.4</w:t>
            </w:r>
          </w:p>
        </w:tc>
        <w:tc>
          <w:tcPr>
            <w:tcW w:w="850" w:type="dxa"/>
          </w:tcPr>
          <w:p w:rsidR="00000000" w:rsidRDefault="001F233B">
            <w:pPr>
              <w:keepNext/>
              <w:jc w:val="right"/>
              <w:rPr>
                <w:rFonts w:ascii="Arial" w:hAnsi="Arial"/>
                <w:i/>
                <w:color w:val="000000"/>
                <w:sz w:val="16"/>
              </w:rPr>
            </w:pPr>
            <w:r>
              <w:rPr>
                <w:rFonts w:ascii="Arial" w:hAnsi="Arial"/>
                <w:i/>
                <w:color w:val="000000"/>
                <w:sz w:val="16"/>
              </w:rPr>
              <w:t>0.3</w:t>
            </w:r>
          </w:p>
        </w:tc>
        <w:tc>
          <w:tcPr>
            <w:tcW w:w="850" w:type="dxa"/>
          </w:tcPr>
          <w:p w:rsidR="00000000" w:rsidRDefault="001F233B">
            <w:pPr>
              <w:keepNext/>
              <w:jc w:val="right"/>
              <w:rPr>
                <w:rFonts w:ascii="Arial" w:hAnsi="Arial"/>
                <w:i/>
                <w:color w:val="000000"/>
                <w:sz w:val="16"/>
              </w:rPr>
            </w:pPr>
            <w:r>
              <w:rPr>
                <w:rFonts w:ascii="Arial" w:hAnsi="Arial"/>
                <w:i/>
                <w:color w:val="000000"/>
                <w:sz w:val="16"/>
              </w:rPr>
              <w:t>-0.4</w:t>
            </w:r>
          </w:p>
        </w:tc>
        <w:tc>
          <w:tcPr>
            <w:tcW w:w="850" w:type="dxa"/>
          </w:tcPr>
          <w:p w:rsidR="00000000" w:rsidRDefault="001F233B">
            <w:pPr>
              <w:keepNext/>
              <w:jc w:val="right"/>
              <w:rPr>
                <w:rFonts w:ascii="Arial" w:hAnsi="Arial"/>
                <w:i/>
                <w:color w:val="000000"/>
                <w:sz w:val="16"/>
              </w:rPr>
            </w:pPr>
            <w:r>
              <w:rPr>
                <w:rFonts w:ascii="Arial" w:hAnsi="Arial"/>
                <w:i/>
                <w:color w:val="000000"/>
                <w:sz w:val="16"/>
              </w:rPr>
              <w:t>0.9</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Public authority income</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953.5</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866.2</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862.7</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663.2</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Commonwealth grants - State own purpose</w:t>
            </w:r>
          </w:p>
        </w:tc>
        <w:tc>
          <w:tcPr>
            <w:tcW w:w="850" w:type="dxa"/>
          </w:tcPr>
          <w:p w:rsidR="00000000" w:rsidRDefault="001F233B">
            <w:pPr>
              <w:keepNext/>
              <w:jc w:val="right"/>
              <w:rPr>
                <w:rFonts w:ascii="Arial" w:hAnsi="Arial"/>
                <w:color w:val="000000"/>
                <w:sz w:val="16"/>
              </w:rPr>
            </w:pPr>
            <w:r>
              <w:rPr>
                <w:rFonts w:ascii="Arial" w:hAnsi="Arial"/>
                <w:color w:val="000000"/>
                <w:sz w:val="16"/>
              </w:rPr>
              <w:t>6 365.7</w:t>
            </w:r>
          </w:p>
        </w:tc>
        <w:tc>
          <w:tcPr>
            <w:tcW w:w="850" w:type="dxa"/>
          </w:tcPr>
          <w:p w:rsidR="00000000" w:rsidRDefault="001F233B">
            <w:pPr>
              <w:keepNext/>
              <w:jc w:val="right"/>
              <w:rPr>
                <w:rFonts w:ascii="Arial" w:hAnsi="Arial"/>
                <w:color w:val="000000"/>
                <w:sz w:val="16"/>
              </w:rPr>
            </w:pPr>
            <w:r>
              <w:rPr>
                <w:rFonts w:ascii="Arial" w:hAnsi="Arial"/>
                <w:color w:val="000000"/>
                <w:sz w:val="16"/>
              </w:rPr>
              <w:t>6 661.8</w:t>
            </w:r>
          </w:p>
        </w:tc>
        <w:tc>
          <w:tcPr>
            <w:tcW w:w="850" w:type="dxa"/>
          </w:tcPr>
          <w:p w:rsidR="00000000" w:rsidRDefault="001F233B">
            <w:pPr>
              <w:keepNext/>
              <w:jc w:val="right"/>
              <w:rPr>
                <w:rFonts w:ascii="Arial" w:hAnsi="Arial"/>
                <w:color w:val="000000"/>
                <w:sz w:val="16"/>
              </w:rPr>
            </w:pPr>
            <w:r>
              <w:rPr>
                <w:rFonts w:ascii="Arial" w:hAnsi="Arial"/>
                <w:color w:val="000000"/>
                <w:sz w:val="16"/>
              </w:rPr>
              <w:t>6 872.9</w:t>
            </w:r>
          </w:p>
        </w:tc>
        <w:tc>
          <w:tcPr>
            <w:tcW w:w="850" w:type="dxa"/>
          </w:tcPr>
          <w:p w:rsidR="00000000" w:rsidRDefault="001F233B">
            <w:pPr>
              <w:keepNext/>
              <w:jc w:val="right"/>
              <w:rPr>
                <w:rFonts w:ascii="Arial" w:hAnsi="Arial"/>
                <w:color w:val="000000"/>
                <w:sz w:val="16"/>
              </w:rPr>
            </w:pPr>
            <w:r>
              <w:rPr>
                <w:rFonts w:ascii="Arial" w:hAnsi="Arial"/>
                <w:color w:val="000000"/>
                <w:sz w:val="16"/>
              </w:rPr>
              <w:t>7 125.7</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Commonwealth grants - for onpassing</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948.0</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969.3</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981.9</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994.7</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Other revenue</w:t>
            </w:r>
          </w:p>
        </w:tc>
        <w:tc>
          <w:tcPr>
            <w:tcW w:w="850" w:type="dxa"/>
            <w:tcBorders>
              <w:bottom w:val="single" w:sz="6" w:space="0" w:color="auto"/>
            </w:tcBorders>
          </w:tcPr>
          <w:p w:rsidR="00000000" w:rsidRDefault="001F233B">
            <w:pPr>
              <w:keepNext/>
              <w:jc w:val="right"/>
              <w:rPr>
                <w:rFonts w:ascii="Arial" w:hAnsi="Arial"/>
                <w:color w:val="000000"/>
                <w:sz w:val="16"/>
              </w:rPr>
            </w:pPr>
            <w:r>
              <w:rPr>
                <w:rFonts w:ascii="Arial" w:hAnsi="Arial"/>
                <w:color w:val="000000"/>
                <w:sz w:val="16"/>
              </w:rPr>
              <w:t xml:space="preserve"> 208.5</w:t>
            </w:r>
          </w:p>
        </w:tc>
        <w:tc>
          <w:tcPr>
            <w:tcW w:w="850" w:type="dxa"/>
            <w:tcBorders>
              <w:bottom w:val="single" w:sz="6" w:space="0" w:color="auto"/>
            </w:tcBorders>
          </w:tcPr>
          <w:p w:rsidR="00000000" w:rsidRDefault="001F233B">
            <w:pPr>
              <w:keepNext/>
              <w:jc w:val="right"/>
              <w:rPr>
                <w:rFonts w:ascii="Arial" w:hAnsi="Arial"/>
                <w:color w:val="000000"/>
                <w:sz w:val="16"/>
              </w:rPr>
            </w:pPr>
            <w:r>
              <w:rPr>
                <w:rFonts w:ascii="Arial" w:hAnsi="Arial"/>
                <w:color w:val="000000"/>
                <w:sz w:val="16"/>
              </w:rPr>
              <w:t xml:space="preserve"> 197.0</w:t>
            </w:r>
          </w:p>
        </w:tc>
        <w:tc>
          <w:tcPr>
            <w:tcW w:w="850" w:type="dxa"/>
            <w:tcBorders>
              <w:bottom w:val="single" w:sz="6" w:space="0" w:color="auto"/>
            </w:tcBorders>
          </w:tcPr>
          <w:p w:rsidR="00000000" w:rsidRDefault="001F233B">
            <w:pPr>
              <w:keepNext/>
              <w:jc w:val="right"/>
              <w:rPr>
                <w:rFonts w:ascii="Arial" w:hAnsi="Arial"/>
                <w:color w:val="000000"/>
                <w:sz w:val="16"/>
              </w:rPr>
            </w:pPr>
            <w:r>
              <w:rPr>
                <w:rFonts w:ascii="Arial" w:hAnsi="Arial"/>
                <w:color w:val="000000"/>
                <w:sz w:val="16"/>
              </w:rPr>
              <w:t xml:space="preserve"> 198.7</w:t>
            </w:r>
          </w:p>
        </w:tc>
        <w:tc>
          <w:tcPr>
            <w:tcW w:w="850" w:type="dxa"/>
            <w:tcBorders>
              <w:bottom w:val="single" w:sz="6" w:space="0" w:color="auto"/>
            </w:tcBorders>
          </w:tcPr>
          <w:p w:rsidR="00000000" w:rsidRDefault="001F233B">
            <w:pPr>
              <w:keepNext/>
              <w:jc w:val="right"/>
              <w:rPr>
                <w:rFonts w:ascii="Arial" w:hAnsi="Arial"/>
                <w:color w:val="000000"/>
                <w:sz w:val="16"/>
              </w:rPr>
            </w:pPr>
            <w:r>
              <w:rPr>
                <w:rFonts w:ascii="Arial" w:hAnsi="Arial"/>
                <w:color w:val="000000"/>
                <w:sz w:val="16"/>
              </w:rPr>
              <w:t xml:space="preserve"> 196.2</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b/>
                <w:color w:val="000000"/>
                <w:sz w:val="16"/>
              </w:rPr>
            </w:pPr>
            <w:r>
              <w:rPr>
                <w:rFonts w:ascii="Arial" w:hAnsi="Arial"/>
                <w:b/>
                <w:color w:val="000000"/>
                <w:sz w:val="16"/>
              </w:rPr>
              <w:t>Total  Revenue and Grants</w:t>
            </w:r>
          </w:p>
        </w:tc>
        <w:tc>
          <w:tcPr>
            <w:tcW w:w="850" w:type="dxa"/>
          </w:tcPr>
          <w:p w:rsidR="00000000" w:rsidRDefault="001F233B">
            <w:pPr>
              <w:keepNext/>
              <w:jc w:val="right"/>
              <w:rPr>
                <w:rFonts w:ascii="Arial" w:hAnsi="Arial"/>
                <w:b/>
                <w:color w:val="000000"/>
                <w:sz w:val="16"/>
              </w:rPr>
            </w:pPr>
            <w:r>
              <w:rPr>
                <w:rFonts w:ascii="Arial" w:hAnsi="Arial"/>
                <w:b/>
                <w:color w:val="000000"/>
                <w:sz w:val="16"/>
              </w:rPr>
              <w:t>19 000.4</w:t>
            </w:r>
          </w:p>
        </w:tc>
        <w:tc>
          <w:tcPr>
            <w:tcW w:w="850" w:type="dxa"/>
          </w:tcPr>
          <w:p w:rsidR="00000000" w:rsidRDefault="001F233B">
            <w:pPr>
              <w:keepNext/>
              <w:jc w:val="right"/>
              <w:rPr>
                <w:rFonts w:ascii="Arial" w:hAnsi="Arial"/>
                <w:b/>
                <w:color w:val="000000"/>
                <w:sz w:val="16"/>
              </w:rPr>
            </w:pPr>
            <w:r>
              <w:rPr>
                <w:rFonts w:ascii="Arial" w:hAnsi="Arial"/>
                <w:b/>
                <w:color w:val="000000"/>
                <w:sz w:val="16"/>
              </w:rPr>
              <w:t>19 353.9</w:t>
            </w:r>
          </w:p>
        </w:tc>
        <w:tc>
          <w:tcPr>
            <w:tcW w:w="850" w:type="dxa"/>
          </w:tcPr>
          <w:p w:rsidR="00000000" w:rsidRDefault="001F233B">
            <w:pPr>
              <w:keepNext/>
              <w:jc w:val="right"/>
              <w:rPr>
                <w:rFonts w:ascii="Arial" w:hAnsi="Arial"/>
                <w:b/>
                <w:color w:val="000000"/>
                <w:sz w:val="16"/>
              </w:rPr>
            </w:pPr>
            <w:r>
              <w:rPr>
                <w:rFonts w:ascii="Arial" w:hAnsi="Arial"/>
                <w:b/>
                <w:color w:val="000000"/>
                <w:sz w:val="16"/>
              </w:rPr>
              <w:t>19 786.0</w:t>
            </w:r>
          </w:p>
        </w:tc>
        <w:tc>
          <w:tcPr>
            <w:tcW w:w="850" w:type="dxa"/>
          </w:tcPr>
          <w:p w:rsidR="00000000" w:rsidRDefault="001F233B">
            <w:pPr>
              <w:keepNext/>
              <w:jc w:val="right"/>
              <w:rPr>
                <w:rFonts w:ascii="Arial" w:hAnsi="Arial"/>
                <w:b/>
                <w:color w:val="000000"/>
                <w:sz w:val="16"/>
              </w:rPr>
            </w:pPr>
            <w:r>
              <w:rPr>
                <w:rFonts w:ascii="Arial" w:hAnsi="Arial"/>
                <w:b/>
                <w:color w:val="000000"/>
                <w:sz w:val="16"/>
              </w:rPr>
              <w:t>20 060.4</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i/>
                <w:color w:val="000000"/>
                <w:sz w:val="16"/>
              </w:rPr>
            </w:pPr>
            <w:r>
              <w:rPr>
                <w:rFonts w:ascii="Arial" w:hAnsi="Arial"/>
                <w:i/>
                <w:color w:val="000000"/>
                <w:sz w:val="16"/>
              </w:rPr>
              <w:t>(% change)</w:t>
            </w:r>
          </w:p>
        </w:tc>
        <w:tc>
          <w:tcPr>
            <w:tcW w:w="850" w:type="dxa"/>
          </w:tcPr>
          <w:p w:rsidR="00000000" w:rsidRDefault="001F233B">
            <w:pPr>
              <w:keepNext/>
              <w:jc w:val="right"/>
              <w:rPr>
                <w:rFonts w:ascii="Arial" w:hAnsi="Arial"/>
                <w:i/>
                <w:color w:val="000000"/>
                <w:sz w:val="16"/>
              </w:rPr>
            </w:pPr>
            <w:r>
              <w:rPr>
                <w:rFonts w:ascii="Arial" w:hAnsi="Arial"/>
                <w:i/>
                <w:color w:val="000000"/>
                <w:sz w:val="16"/>
              </w:rPr>
              <w:t>1.7</w:t>
            </w:r>
          </w:p>
        </w:tc>
        <w:tc>
          <w:tcPr>
            <w:tcW w:w="850" w:type="dxa"/>
          </w:tcPr>
          <w:p w:rsidR="00000000" w:rsidRDefault="001F233B">
            <w:pPr>
              <w:keepNext/>
              <w:jc w:val="right"/>
              <w:rPr>
                <w:rFonts w:ascii="Arial" w:hAnsi="Arial"/>
                <w:i/>
                <w:color w:val="000000"/>
                <w:sz w:val="16"/>
              </w:rPr>
            </w:pPr>
            <w:r>
              <w:rPr>
                <w:rFonts w:ascii="Arial" w:hAnsi="Arial"/>
                <w:i/>
                <w:color w:val="000000"/>
                <w:sz w:val="16"/>
              </w:rPr>
              <w:t>1.9</w:t>
            </w:r>
          </w:p>
        </w:tc>
        <w:tc>
          <w:tcPr>
            <w:tcW w:w="850" w:type="dxa"/>
          </w:tcPr>
          <w:p w:rsidR="00000000" w:rsidRDefault="001F233B">
            <w:pPr>
              <w:keepNext/>
              <w:jc w:val="right"/>
              <w:rPr>
                <w:rFonts w:ascii="Arial" w:hAnsi="Arial"/>
                <w:i/>
                <w:color w:val="000000"/>
                <w:sz w:val="16"/>
              </w:rPr>
            </w:pPr>
            <w:r>
              <w:rPr>
                <w:rFonts w:ascii="Arial" w:hAnsi="Arial"/>
                <w:i/>
                <w:color w:val="000000"/>
                <w:sz w:val="16"/>
              </w:rPr>
              <w:t>2.2</w:t>
            </w:r>
          </w:p>
        </w:tc>
        <w:tc>
          <w:tcPr>
            <w:tcW w:w="850" w:type="dxa"/>
          </w:tcPr>
          <w:p w:rsidR="00000000" w:rsidRDefault="001F233B">
            <w:pPr>
              <w:keepNext/>
              <w:jc w:val="right"/>
              <w:rPr>
                <w:rFonts w:ascii="Arial" w:hAnsi="Arial"/>
                <w:i/>
                <w:color w:val="000000"/>
                <w:sz w:val="16"/>
              </w:rPr>
            </w:pPr>
            <w:r>
              <w:rPr>
                <w:rFonts w:ascii="Arial" w:hAnsi="Arial"/>
                <w:i/>
                <w:color w:val="000000"/>
                <w:sz w:val="16"/>
              </w:rPr>
              <w:t>1.4</w:t>
            </w:r>
          </w:p>
        </w:tc>
      </w:tr>
      <w:tr w:rsidR="00000000">
        <w:tblPrEx>
          <w:tblCellMar>
            <w:top w:w="0" w:type="dxa"/>
            <w:bottom w:w="0" w:type="dxa"/>
          </w:tblCellMar>
        </w:tblPrEx>
        <w:trPr>
          <w:trHeight w:hRule="exact" w:val="240"/>
        </w:trPr>
        <w:tc>
          <w:tcPr>
            <w:tcW w:w="3744" w:type="dxa"/>
          </w:tcPr>
          <w:p w:rsidR="00000000" w:rsidRDefault="001F233B">
            <w:pPr>
              <w:keepNext/>
              <w:jc w:val="right"/>
              <w:rPr>
                <w:rFonts w:ascii="Arial" w:hAnsi="Arial"/>
                <w:i/>
                <w:color w:val="000000"/>
                <w:sz w:val="16"/>
              </w:rPr>
            </w:pPr>
          </w:p>
        </w:tc>
        <w:tc>
          <w:tcPr>
            <w:tcW w:w="850" w:type="dxa"/>
          </w:tcPr>
          <w:p w:rsidR="00000000" w:rsidRDefault="001F233B">
            <w:pPr>
              <w:keepNext/>
              <w:jc w:val="right"/>
              <w:rPr>
                <w:rFonts w:ascii="Arial" w:hAnsi="Arial"/>
                <w:i/>
                <w:color w:val="000000"/>
                <w:sz w:val="16"/>
              </w:rPr>
            </w:pPr>
          </w:p>
        </w:tc>
        <w:tc>
          <w:tcPr>
            <w:tcW w:w="850" w:type="dxa"/>
          </w:tcPr>
          <w:p w:rsidR="00000000" w:rsidRDefault="001F233B">
            <w:pPr>
              <w:keepNext/>
              <w:jc w:val="right"/>
              <w:rPr>
                <w:rFonts w:ascii="Arial" w:hAnsi="Arial"/>
                <w:i/>
                <w:color w:val="000000"/>
                <w:sz w:val="16"/>
              </w:rPr>
            </w:pPr>
          </w:p>
        </w:tc>
        <w:tc>
          <w:tcPr>
            <w:tcW w:w="850" w:type="dxa"/>
          </w:tcPr>
          <w:p w:rsidR="00000000" w:rsidRDefault="001F233B">
            <w:pPr>
              <w:keepNext/>
              <w:jc w:val="right"/>
              <w:rPr>
                <w:rFonts w:ascii="Arial" w:hAnsi="Arial"/>
                <w:i/>
                <w:color w:val="000000"/>
                <w:sz w:val="16"/>
              </w:rPr>
            </w:pPr>
          </w:p>
        </w:tc>
        <w:tc>
          <w:tcPr>
            <w:tcW w:w="850" w:type="dxa"/>
          </w:tcPr>
          <w:p w:rsidR="00000000" w:rsidRDefault="001F233B">
            <w:pPr>
              <w:keepNext/>
              <w:jc w:val="right"/>
              <w:rPr>
                <w:rFonts w:ascii="Arial" w:hAnsi="Arial"/>
                <w:i/>
                <w:color w:val="000000"/>
                <w:sz w:val="16"/>
              </w:rPr>
            </w:pP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b/>
                <w:color w:val="000000"/>
                <w:sz w:val="16"/>
              </w:rPr>
            </w:pPr>
            <w:r>
              <w:rPr>
                <w:rFonts w:ascii="Arial" w:hAnsi="Arial"/>
                <w:b/>
                <w:color w:val="000000"/>
                <w:sz w:val="16"/>
              </w:rPr>
              <w:t>Expenditure</w:t>
            </w:r>
          </w:p>
        </w:tc>
        <w:tc>
          <w:tcPr>
            <w:tcW w:w="850" w:type="dxa"/>
          </w:tcPr>
          <w:p w:rsidR="00000000" w:rsidRDefault="001F233B">
            <w:pPr>
              <w:keepNext/>
              <w:jc w:val="right"/>
              <w:rPr>
                <w:rFonts w:ascii="Arial" w:hAnsi="Arial"/>
                <w:color w:val="000000"/>
                <w:sz w:val="16"/>
              </w:rPr>
            </w:pPr>
          </w:p>
        </w:tc>
        <w:tc>
          <w:tcPr>
            <w:tcW w:w="850" w:type="dxa"/>
          </w:tcPr>
          <w:p w:rsidR="00000000" w:rsidRDefault="001F233B">
            <w:pPr>
              <w:keepNext/>
              <w:jc w:val="right"/>
              <w:rPr>
                <w:rFonts w:ascii="Arial" w:hAnsi="Arial"/>
                <w:color w:val="000000"/>
                <w:sz w:val="16"/>
              </w:rPr>
            </w:pPr>
          </w:p>
        </w:tc>
        <w:tc>
          <w:tcPr>
            <w:tcW w:w="850" w:type="dxa"/>
          </w:tcPr>
          <w:p w:rsidR="00000000" w:rsidRDefault="001F233B">
            <w:pPr>
              <w:keepNext/>
              <w:jc w:val="right"/>
              <w:rPr>
                <w:rFonts w:ascii="Arial" w:hAnsi="Arial"/>
                <w:color w:val="000000"/>
                <w:sz w:val="16"/>
              </w:rPr>
            </w:pPr>
          </w:p>
        </w:tc>
        <w:tc>
          <w:tcPr>
            <w:tcW w:w="850" w:type="dxa"/>
          </w:tcPr>
          <w:p w:rsidR="00000000" w:rsidRDefault="001F233B">
            <w:pPr>
              <w:keepNext/>
              <w:jc w:val="right"/>
              <w:rPr>
                <w:rFonts w:ascii="Arial" w:hAnsi="Arial"/>
                <w:color w:val="000000"/>
                <w:sz w:val="16"/>
              </w:rPr>
            </w:pP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Superannuation</w:t>
            </w:r>
          </w:p>
        </w:tc>
        <w:tc>
          <w:tcPr>
            <w:tcW w:w="850" w:type="dxa"/>
          </w:tcPr>
          <w:p w:rsidR="00000000" w:rsidRDefault="001F233B">
            <w:pPr>
              <w:keepNext/>
              <w:jc w:val="right"/>
              <w:rPr>
                <w:rFonts w:ascii="Arial" w:hAnsi="Arial"/>
                <w:color w:val="000000"/>
                <w:sz w:val="16"/>
              </w:rPr>
            </w:pPr>
            <w:r>
              <w:rPr>
                <w:rFonts w:ascii="Arial" w:hAnsi="Arial"/>
                <w:color w:val="000000"/>
                <w:sz w:val="16"/>
              </w:rPr>
              <w:t>1 686.4</w:t>
            </w:r>
          </w:p>
        </w:tc>
        <w:tc>
          <w:tcPr>
            <w:tcW w:w="850" w:type="dxa"/>
          </w:tcPr>
          <w:p w:rsidR="00000000" w:rsidRDefault="001F233B">
            <w:pPr>
              <w:keepNext/>
              <w:jc w:val="right"/>
              <w:rPr>
                <w:rFonts w:ascii="Arial" w:hAnsi="Arial"/>
                <w:color w:val="000000"/>
                <w:sz w:val="16"/>
              </w:rPr>
            </w:pPr>
            <w:r>
              <w:rPr>
                <w:rFonts w:ascii="Arial" w:hAnsi="Arial"/>
                <w:color w:val="000000"/>
                <w:sz w:val="16"/>
              </w:rPr>
              <w:t>1 427.</w:t>
            </w:r>
            <w:r>
              <w:rPr>
                <w:rFonts w:ascii="Arial" w:hAnsi="Arial"/>
                <w:color w:val="000000"/>
                <w:sz w:val="16"/>
              </w:rPr>
              <w:t>9</w:t>
            </w:r>
          </w:p>
        </w:tc>
        <w:tc>
          <w:tcPr>
            <w:tcW w:w="850" w:type="dxa"/>
          </w:tcPr>
          <w:p w:rsidR="00000000" w:rsidRDefault="001F233B">
            <w:pPr>
              <w:keepNext/>
              <w:jc w:val="right"/>
              <w:rPr>
                <w:rFonts w:ascii="Arial" w:hAnsi="Arial"/>
                <w:color w:val="000000"/>
                <w:sz w:val="16"/>
              </w:rPr>
            </w:pPr>
            <w:r>
              <w:rPr>
                <w:rFonts w:ascii="Arial" w:hAnsi="Arial"/>
                <w:color w:val="000000"/>
                <w:sz w:val="16"/>
              </w:rPr>
              <w:t>1 549.4</w:t>
            </w:r>
          </w:p>
        </w:tc>
        <w:tc>
          <w:tcPr>
            <w:tcW w:w="850" w:type="dxa"/>
          </w:tcPr>
          <w:p w:rsidR="00000000" w:rsidRDefault="001F233B">
            <w:pPr>
              <w:keepNext/>
              <w:jc w:val="right"/>
              <w:rPr>
                <w:rFonts w:ascii="Arial" w:hAnsi="Arial"/>
                <w:color w:val="000000"/>
                <w:sz w:val="16"/>
              </w:rPr>
            </w:pPr>
            <w:r>
              <w:rPr>
                <w:rFonts w:ascii="Arial" w:hAnsi="Arial"/>
                <w:color w:val="000000"/>
                <w:sz w:val="16"/>
              </w:rPr>
              <w:t>1 638.8</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i/>
                <w:color w:val="000000"/>
                <w:sz w:val="16"/>
              </w:rPr>
            </w:pPr>
            <w:r>
              <w:rPr>
                <w:rFonts w:ascii="Arial" w:hAnsi="Arial"/>
                <w:i/>
                <w:color w:val="000000"/>
                <w:sz w:val="16"/>
              </w:rPr>
              <w:t>(% change)</w:t>
            </w:r>
          </w:p>
        </w:tc>
        <w:tc>
          <w:tcPr>
            <w:tcW w:w="850" w:type="dxa"/>
          </w:tcPr>
          <w:p w:rsidR="00000000" w:rsidRDefault="001F233B">
            <w:pPr>
              <w:keepNext/>
              <w:jc w:val="right"/>
              <w:rPr>
                <w:rFonts w:ascii="Arial" w:hAnsi="Arial"/>
                <w:i/>
                <w:color w:val="000000"/>
                <w:sz w:val="16"/>
              </w:rPr>
            </w:pPr>
            <w:r>
              <w:rPr>
                <w:rFonts w:ascii="Arial" w:hAnsi="Arial"/>
                <w:i/>
                <w:color w:val="000000"/>
                <w:sz w:val="16"/>
              </w:rPr>
              <w:t>34.9</w:t>
            </w:r>
          </w:p>
        </w:tc>
        <w:tc>
          <w:tcPr>
            <w:tcW w:w="850" w:type="dxa"/>
          </w:tcPr>
          <w:p w:rsidR="00000000" w:rsidRDefault="001F233B">
            <w:pPr>
              <w:keepNext/>
              <w:jc w:val="right"/>
              <w:rPr>
                <w:rFonts w:ascii="Arial" w:hAnsi="Arial"/>
                <w:i/>
                <w:color w:val="000000"/>
                <w:sz w:val="16"/>
              </w:rPr>
            </w:pPr>
            <w:r>
              <w:rPr>
                <w:rFonts w:ascii="Arial" w:hAnsi="Arial"/>
                <w:i/>
                <w:color w:val="000000"/>
                <w:sz w:val="16"/>
              </w:rPr>
              <w:t>-15.3</w:t>
            </w:r>
          </w:p>
        </w:tc>
        <w:tc>
          <w:tcPr>
            <w:tcW w:w="850" w:type="dxa"/>
          </w:tcPr>
          <w:p w:rsidR="00000000" w:rsidRDefault="001F233B">
            <w:pPr>
              <w:keepNext/>
              <w:jc w:val="right"/>
              <w:rPr>
                <w:rFonts w:ascii="Arial" w:hAnsi="Arial"/>
                <w:i/>
                <w:color w:val="000000"/>
                <w:sz w:val="16"/>
              </w:rPr>
            </w:pPr>
            <w:r>
              <w:rPr>
                <w:rFonts w:ascii="Arial" w:hAnsi="Arial"/>
                <w:i/>
                <w:color w:val="000000"/>
                <w:sz w:val="16"/>
              </w:rPr>
              <w:t>8.5</w:t>
            </w:r>
          </w:p>
        </w:tc>
        <w:tc>
          <w:tcPr>
            <w:tcW w:w="850" w:type="dxa"/>
          </w:tcPr>
          <w:p w:rsidR="00000000" w:rsidRDefault="001F233B">
            <w:pPr>
              <w:keepNext/>
              <w:jc w:val="right"/>
              <w:rPr>
                <w:rFonts w:ascii="Arial" w:hAnsi="Arial"/>
                <w:i/>
                <w:color w:val="000000"/>
                <w:sz w:val="16"/>
              </w:rPr>
            </w:pPr>
            <w:r>
              <w:rPr>
                <w:rFonts w:ascii="Arial" w:hAnsi="Arial"/>
                <w:i/>
                <w:color w:val="000000"/>
                <w:sz w:val="16"/>
              </w:rPr>
              <w:t>5.8</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Operating expenses</w:t>
            </w:r>
          </w:p>
        </w:tc>
        <w:tc>
          <w:tcPr>
            <w:tcW w:w="850" w:type="dxa"/>
          </w:tcPr>
          <w:p w:rsidR="00000000" w:rsidRDefault="001F233B">
            <w:pPr>
              <w:keepNext/>
              <w:jc w:val="right"/>
              <w:rPr>
                <w:rFonts w:ascii="Arial" w:hAnsi="Arial"/>
                <w:color w:val="000000"/>
                <w:sz w:val="16"/>
              </w:rPr>
            </w:pPr>
            <w:r>
              <w:rPr>
                <w:rFonts w:ascii="Arial" w:hAnsi="Arial"/>
                <w:color w:val="000000"/>
                <w:sz w:val="16"/>
              </w:rPr>
              <w:t>11 513.9</w:t>
            </w:r>
          </w:p>
        </w:tc>
        <w:tc>
          <w:tcPr>
            <w:tcW w:w="850" w:type="dxa"/>
          </w:tcPr>
          <w:p w:rsidR="00000000" w:rsidRDefault="001F233B">
            <w:pPr>
              <w:keepNext/>
              <w:jc w:val="right"/>
              <w:rPr>
                <w:rFonts w:ascii="Arial" w:hAnsi="Arial"/>
                <w:color w:val="000000"/>
                <w:sz w:val="16"/>
              </w:rPr>
            </w:pPr>
            <w:r>
              <w:rPr>
                <w:rFonts w:ascii="Arial" w:hAnsi="Arial"/>
                <w:color w:val="000000"/>
                <w:sz w:val="16"/>
              </w:rPr>
              <w:t>11 979.1</w:t>
            </w:r>
          </w:p>
        </w:tc>
        <w:tc>
          <w:tcPr>
            <w:tcW w:w="850" w:type="dxa"/>
          </w:tcPr>
          <w:p w:rsidR="00000000" w:rsidRDefault="001F233B">
            <w:pPr>
              <w:keepNext/>
              <w:jc w:val="right"/>
              <w:rPr>
                <w:rFonts w:ascii="Arial" w:hAnsi="Arial"/>
                <w:color w:val="000000"/>
                <w:sz w:val="16"/>
              </w:rPr>
            </w:pPr>
            <w:r>
              <w:rPr>
                <w:rFonts w:ascii="Arial" w:hAnsi="Arial"/>
                <w:color w:val="000000"/>
                <w:sz w:val="16"/>
              </w:rPr>
              <w:t>12 350.1</w:t>
            </w:r>
          </w:p>
        </w:tc>
        <w:tc>
          <w:tcPr>
            <w:tcW w:w="850" w:type="dxa"/>
          </w:tcPr>
          <w:p w:rsidR="00000000" w:rsidRDefault="001F233B">
            <w:pPr>
              <w:keepNext/>
              <w:jc w:val="right"/>
              <w:rPr>
                <w:rFonts w:ascii="Arial" w:hAnsi="Arial"/>
                <w:color w:val="000000"/>
                <w:sz w:val="16"/>
              </w:rPr>
            </w:pPr>
            <w:r>
              <w:rPr>
                <w:rFonts w:ascii="Arial" w:hAnsi="Arial"/>
                <w:color w:val="000000"/>
                <w:sz w:val="16"/>
              </w:rPr>
              <w:t>12 587.5</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i/>
                <w:color w:val="000000"/>
                <w:sz w:val="16"/>
              </w:rPr>
            </w:pPr>
            <w:r>
              <w:rPr>
                <w:rFonts w:ascii="Arial" w:hAnsi="Arial"/>
                <w:i/>
                <w:color w:val="000000"/>
                <w:sz w:val="16"/>
              </w:rPr>
              <w:t>(% change)</w:t>
            </w:r>
          </w:p>
        </w:tc>
        <w:tc>
          <w:tcPr>
            <w:tcW w:w="850" w:type="dxa"/>
          </w:tcPr>
          <w:p w:rsidR="00000000" w:rsidRDefault="001F233B">
            <w:pPr>
              <w:keepNext/>
              <w:jc w:val="right"/>
              <w:rPr>
                <w:rFonts w:ascii="Arial" w:hAnsi="Arial"/>
                <w:i/>
                <w:color w:val="000000"/>
                <w:sz w:val="16"/>
              </w:rPr>
            </w:pPr>
            <w:r>
              <w:rPr>
                <w:rFonts w:ascii="Arial" w:hAnsi="Arial"/>
                <w:i/>
                <w:color w:val="000000"/>
                <w:sz w:val="16"/>
              </w:rPr>
              <w:t>4.1</w:t>
            </w:r>
          </w:p>
        </w:tc>
        <w:tc>
          <w:tcPr>
            <w:tcW w:w="850" w:type="dxa"/>
          </w:tcPr>
          <w:p w:rsidR="00000000" w:rsidRDefault="001F233B">
            <w:pPr>
              <w:keepNext/>
              <w:jc w:val="right"/>
              <w:rPr>
                <w:rFonts w:ascii="Arial" w:hAnsi="Arial"/>
                <w:i/>
                <w:color w:val="000000"/>
                <w:sz w:val="16"/>
              </w:rPr>
            </w:pPr>
            <w:r>
              <w:rPr>
                <w:rFonts w:ascii="Arial" w:hAnsi="Arial"/>
                <w:i/>
                <w:color w:val="000000"/>
                <w:sz w:val="16"/>
              </w:rPr>
              <w:t>4.0</w:t>
            </w:r>
          </w:p>
        </w:tc>
        <w:tc>
          <w:tcPr>
            <w:tcW w:w="850" w:type="dxa"/>
          </w:tcPr>
          <w:p w:rsidR="00000000" w:rsidRDefault="001F233B">
            <w:pPr>
              <w:keepNext/>
              <w:jc w:val="right"/>
              <w:rPr>
                <w:rFonts w:ascii="Arial" w:hAnsi="Arial"/>
                <w:i/>
                <w:color w:val="000000"/>
                <w:sz w:val="16"/>
              </w:rPr>
            </w:pPr>
            <w:r>
              <w:rPr>
                <w:rFonts w:ascii="Arial" w:hAnsi="Arial"/>
                <w:i/>
                <w:color w:val="000000"/>
                <w:sz w:val="16"/>
              </w:rPr>
              <w:t>3.1</w:t>
            </w:r>
          </w:p>
        </w:tc>
        <w:tc>
          <w:tcPr>
            <w:tcW w:w="850" w:type="dxa"/>
          </w:tcPr>
          <w:p w:rsidR="00000000" w:rsidRDefault="001F233B">
            <w:pPr>
              <w:keepNext/>
              <w:jc w:val="right"/>
              <w:rPr>
                <w:rFonts w:ascii="Arial" w:hAnsi="Arial"/>
                <w:i/>
                <w:color w:val="000000"/>
                <w:sz w:val="16"/>
              </w:rPr>
            </w:pPr>
            <w:r>
              <w:rPr>
                <w:rFonts w:ascii="Arial" w:hAnsi="Arial"/>
                <w:i/>
                <w:color w:val="000000"/>
                <w:sz w:val="16"/>
              </w:rPr>
              <w:t>1.9</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Total gross operating expenditure</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13 200.3</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13 407.0</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13 899.5</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14 226.3</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i/>
                <w:color w:val="000000"/>
                <w:sz w:val="16"/>
              </w:rPr>
            </w:pPr>
            <w:r>
              <w:rPr>
                <w:rFonts w:ascii="Arial" w:hAnsi="Arial"/>
                <w:i/>
                <w:color w:val="000000"/>
                <w:sz w:val="16"/>
              </w:rPr>
              <w:t>(% change)</w:t>
            </w:r>
          </w:p>
        </w:tc>
        <w:tc>
          <w:tcPr>
            <w:tcW w:w="850" w:type="dxa"/>
          </w:tcPr>
          <w:p w:rsidR="00000000" w:rsidRDefault="001F233B">
            <w:pPr>
              <w:keepNext/>
              <w:jc w:val="right"/>
              <w:rPr>
                <w:rFonts w:ascii="Arial" w:hAnsi="Arial"/>
                <w:i/>
                <w:color w:val="000000"/>
                <w:sz w:val="16"/>
              </w:rPr>
            </w:pPr>
            <w:r>
              <w:rPr>
                <w:rFonts w:ascii="Arial" w:hAnsi="Arial"/>
                <w:i/>
                <w:color w:val="000000"/>
                <w:sz w:val="16"/>
              </w:rPr>
              <w:t>7.2</w:t>
            </w:r>
          </w:p>
        </w:tc>
        <w:tc>
          <w:tcPr>
            <w:tcW w:w="850" w:type="dxa"/>
          </w:tcPr>
          <w:p w:rsidR="00000000" w:rsidRDefault="001F233B">
            <w:pPr>
              <w:keepNext/>
              <w:jc w:val="right"/>
              <w:rPr>
                <w:rFonts w:ascii="Arial" w:hAnsi="Arial"/>
                <w:i/>
                <w:color w:val="000000"/>
                <w:sz w:val="16"/>
              </w:rPr>
            </w:pPr>
            <w:r>
              <w:rPr>
                <w:rFonts w:ascii="Arial" w:hAnsi="Arial"/>
                <w:i/>
                <w:color w:val="000000"/>
                <w:sz w:val="16"/>
              </w:rPr>
              <w:t>1.6</w:t>
            </w:r>
          </w:p>
        </w:tc>
        <w:tc>
          <w:tcPr>
            <w:tcW w:w="850" w:type="dxa"/>
          </w:tcPr>
          <w:p w:rsidR="00000000" w:rsidRDefault="001F233B">
            <w:pPr>
              <w:keepNext/>
              <w:jc w:val="right"/>
              <w:rPr>
                <w:rFonts w:ascii="Arial" w:hAnsi="Arial"/>
                <w:i/>
                <w:color w:val="000000"/>
                <w:sz w:val="16"/>
              </w:rPr>
            </w:pPr>
            <w:r>
              <w:rPr>
                <w:rFonts w:ascii="Arial" w:hAnsi="Arial"/>
                <w:i/>
                <w:color w:val="000000"/>
                <w:sz w:val="16"/>
              </w:rPr>
              <w:t>3.7</w:t>
            </w:r>
          </w:p>
        </w:tc>
        <w:tc>
          <w:tcPr>
            <w:tcW w:w="850" w:type="dxa"/>
          </w:tcPr>
          <w:p w:rsidR="00000000" w:rsidRDefault="001F233B">
            <w:pPr>
              <w:keepNext/>
              <w:jc w:val="right"/>
              <w:rPr>
                <w:rFonts w:ascii="Arial" w:hAnsi="Arial"/>
                <w:i/>
                <w:color w:val="000000"/>
                <w:sz w:val="16"/>
              </w:rPr>
            </w:pPr>
            <w:r>
              <w:rPr>
                <w:rFonts w:ascii="Arial" w:hAnsi="Arial"/>
                <w:i/>
                <w:color w:val="000000"/>
                <w:sz w:val="16"/>
              </w:rPr>
              <w:t>2.4</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Interest &amp; other financing costs</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806.3</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754.6</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706.4</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684.2</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Current grants, subsidies and transfer payments</w:t>
            </w:r>
          </w:p>
        </w:tc>
        <w:tc>
          <w:tcPr>
            <w:tcW w:w="850" w:type="dxa"/>
          </w:tcPr>
          <w:p w:rsidR="00000000" w:rsidRDefault="001F233B">
            <w:pPr>
              <w:keepNext/>
              <w:jc w:val="right"/>
              <w:rPr>
                <w:rFonts w:ascii="Arial" w:hAnsi="Arial"/>
                <w:color w:val="000000"/>
                <w:sz w:val="16"/>
              </w:rPr>
            </w:pPr>
            <w:r>
              <w:rPr>
                <w:rFonts w:ascii="Arial" w:hAnsi="Arial"/>
                <w:color w:val="000000"/>
                <w:sz w:val="16"/>
              </w:rPr>
              <w:t>1 973.8</w:t>
            </w:r>
          </w:p>
        </w:tc>
        <w:tc>
          <w:tcPr>
            <w:tcW w:w="850" w:type="dxa"/>
          </w:tcPr>
          <w:p w:rsidR="00000000" w:rsidRDefault="001F233B">
            <w:pPr>
              <w:keepNext/>
              <w:jc w:val="right"/>
              <w:rPr>
                <w:rFonts w:ascii="Arial" w:hAnsi="Arial"/>
                <w:color w:val="000000"/>
                <w:sz w:val="16"/>
              </w:rPr>
            </w:pPr>
            <w:r>
              <w:rPr>
                <w:rFonts w:ascii="Arial" w:hAnsi="Arial"/>
                <w:color w:val="000000"/>
                <w:sz w:val="16"/>
              </w:rPr>
              <w:t>1 779.6</w:t>
            </w:r>
          </w:p>
        </w:tc>
        <w:tc>
          <w:tcPr>
            <w:tcW w:w="850" w:type="dxa"/>
          </w:tcPr>
          <w:p w:rsidR="00000000" w:rsidRDefault="001F233B">
            <w:pPr>
              <w:keepNext/>
              <w:jc w:val="right"/>
              <w:rPr>
                <w:rFonts w:ascii="Arial" w:hAnsi="Arial"/>
                <w:color w:val="000000"/>
                <w:sz w:val="16"/>
              </w:rPr>
            </w:pPr>
            <w:r>
              <w:rPr>
                <w:rFonts w:ascii="Arial" w:hAnsi="Arial"/>
                <w:color w:val="000000"/>
                <w:sz w:val="16"/>
              </w:rPr>
              <w:t>1 826.1</w:t>
            </w:r>
          </w:p>
        </w:tc>
        <w:tc>
          <w:tcPr>
            <w:tcW w:w="850" w:type="dxa"/>
          </w:tcPr>
          <w:p w:rsidR="00000000" w:rsidRDefault="001F233B">
            <w:pPr>
              <w:keepNext/>
              <w:jc w:val="right"/>
              <w:rPr>
                <w:rFonts w:ascii="Arial" w:hAnsi="Arial"/>
                <w:color w:val="000000"/>
                <w:sz w:val="16"/>
              </w:rPr>
            </w:pPr>
            <w:r>
              <w:rPr>
                <w:rFonts w:ascii="Arial" w:hAnsi="Arial"/>
                <w:color w:val="000000"/>
                <w:sz w:val="16"/>
              </w:rPr>
              <w:t>1 796.5</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i/>
                <w:color w:val="000000"/>
                <w:sz w:val="16"/>
              </w:rPr>
            </w:pPr>
            <w:r>
              <w:rPr>
                <w:rFonts w:ascii="Arial" w:hAnsi="Arial"/>
                <w:i/>
                <w:color w:val="000000"/>
                <w:sz w:val="16"/>
              </w:rPr>
              <w:t>(% change)</w:t>
            </w:r>
          </w:p>
        </w:tc>
        <w:tc>
          <w:tcPr>
            <w:tcW w:w="850" w:type="dxa"/>
          </w:tcPr>
          <w:p w:rsidR="00000000" w:rsidRDefault="001F233B">
            <w:pPr>
              <w:keepNext/>
              <w:jc w:val="right"/>
              <w:rPr>
                <w:rFonts w:ascii="Arial" w:hAnsi="Arial"/>
                <w:i/>
                <w:color w:val="000000"/>
                <w:sz w:val="16"/>
              </w:rPr>
            </w:pPr>
            <w:r>
              <w:rPr>
                <w:rFonts w:ascii="Arial" w:hAnsi="Arial"/>
                <w:i/>
                <w:color w:val="000000"/>
                <w:sz w:val="16"/>
              </w:rPr>
              <w:t>3.5</w:t>
            </w:r>
          </w:p>
        </w:tc>
        <w:tc>
          <w:tcPr>
            <w:tcW w:w="850" w:type="dxa"/>
          </w:tcPr>
          <w:p w:rsidR="00000000" w:rsidRDefault="001F233B">
            <w:pPr>
              <w:keepNext/>
              <w:jc w:val="right"/>
              <w:rPr>
                <w:rFonts w:ascii="Arial" w:hAnsi="Arial"/>
                <w:i/>
                <w:color w:val="000000"/>
                <w:sz w:val="16"/>
              </w:rPr>
            </w:pPr>
            <w:r>
              <w:rPr>
                <w:rFonts w:ascii="Arial" w:hAnsi="Arial"/>
                <w:i/>
                <w:color w:val="000000"/>
                <w:sz w:val="16"/>
              </w:rPr>
              <w:t>-9.8</w:t>
            </w:r>
          </w:p>
        </w:tc>
        <w:tc>
          <w:tcPr>
            <w:tcW w:w="850" w:type="dxa"/>
          </w:tcPr>
          <w:p w:rsidR="00000000" w:rsidRDefault="001F233B">
            <w:pPr>
              <w:keepNext/>
              <w:jc w:val="right"/>
              <w:rPr>
                <w:rFonts w:ascii="Arial" w:hAnsi="Arial"/>
                <w:i/>
                <w:color w:val="000000"/>
                <w:sz w:val="16"/>
              </w:rPr>
            </w:pPr>
            <w:r>
              <w:rPr>
                <w:rFonts w:ascii="Arial" w:hAnsi="Arial"/>
                <w:i/>
                <w:color w:val="000000"/>
                <w:sz w:val="16"/>
              </w:rPr>
              <w:t>2.6</w:t>
            </w:r>
          </w:p>
        </w:tc>
        <w:tc>
          <w:tcPr>
            <w:tcW w:w="850" w:type="dxa"/>
          </w:tcPr>
          <w:p w:rsidR="00000000" w:rsidRDefault="001F233B">
            <w:pPr>
              <w:keepNext/>
              <w:jc w:val="right"/>
              <w:rPr>
                <w:rFonts w:ascii="Arial" w:hAnsi="Arial"/>
                <w:i/>
                <w:color w:val="000000"/>
                <w:sz w:val="16"/>
              </w:rPr>
            </w:pPr>
            <w:r>
              <w:rPr>
                <w:rFonts w:ascii="Arial" w:hAnsi="Arial"/>
                <w:i/>
                <w:color w:val="000000"/>
                <w:sz w:val="16"/>
              </w:rPr>
              <w:t>-1.6</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Current grants onpassed</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924.3</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945.2</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957.2</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969.5</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b/>
                <w:color w:val="000000"/>
                <w:sz w:val="16"/>
              </w:rPr>
            </w:pPr>
            <w:r>
              <w:rPr>
                <w:rFonts w:ascii="Arial" w:hAnsi="Arial"/>
                <w:b/>
                <w:color w:val="000000"/>
                <w:sz w:val="16"/>
              </w:rPr>
              <w:t>Total  Current Expenditure</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16 904.6</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16 886.4</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17 389.3</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17 676.5</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i/>
                <w:color w:val="000000"/>
                <w:sz w:val="16"/>
              </w:rPr>
            </w:pPr>
            <w:r>
              <w:rPr>
                <w:rFonts w:ascii="Arial" w:hAnsi="Arial"/>
                <w:i/>
                <w:color w:val="000000"/>
                <w:sz w:val="16"/>
              </w:rPr>
              <w:t>(% change)</w:t>
            </w:r>
          </w:p>
        </w:tc>
        <w:tc>
          <w:tcPr>
            <w:tcW w:w="850" w:type="dxa"/>
          </w:tcPr>
          <w:p w:rsidR="00000000" w:rsidRDefault="001F233B">
            <w:pPr>
              <w:keepNext/>
              <w:jc w:val="right"/>
              <w:rPr>
                <w:rFonts w:ascii="Arial" w:hAnsi="Arial"/>
                <w:i/>
                <w:color w:val="000000"/>
                <w:sz w:val="16"/>
              </w:rPr>
            </w:pPr>
            <w:r>
              <w:rPr>
                <w:rFonts w:ascii="Arial" w:hAnsi="Arial"/>
                <w:i/>
                <w:color w:val="000000"/>
                <w:sz w:val="16"/>
              </w:rPr>
              <w:t>3.9</w:t>
            </w:r>
          </w:p>
        </w:tc>
        <w:tc>
          <w:tcPr>
            <w:tcW w:w="850" w:type="dxa"/>
          </w:tcPr>
          <w:p w:rsidR="00000000" w:rsidRDefault="001F233B">
            <w:pPr>
              <w:keepNext/>
              <w:jc w:val="right"/>
              <w:rPr>
                <w:rFonts w:ascii="Arial" w:hAnsi="Arial"/>
                <w:i/>
                <w:color w:val="000000"/>
                <w:sz w:val="16"/>
              </w:rPr>
            </w:pPr>
            <w:r>
              <w:rPr>
                <w:rFonts w:ascii="Arial" w:hAnsi="Arial"/>
                <w:i/>
                <w:color w:val="000000"/>
                <w:sz w:val="16"/>
              </w:rPr>
              <w:t>-0.1</w:t>
            </w:r>
          </w:p>
        </w:tc>
        <w:tc>
          <w:tcPr>
            <w:tcW w:w="850" w:type="dxa"/>
          </w:tcPr>
          <w:p w:rsidR="00000000" w:rsidRDefault="001F233B">
            <w:pPr>
              <w:keepNext/>
              <w:jc w:val="right"/>
              <w:rPr>
                <w:rFonts w:ascii="Arial" w:hAnsi="Arial"/>
                <w:i/>
                <w:color w:val="000000"/>
                <w:sz w:val="16"/>
              </w:rPr>
            </w:pPr>
            <w:r>
              <w:rPr>
                <w:rFonts w:ascii="Arial" w:hAnsi="Arial"/>
                <w:i/>
                <w:color w:val="000000"/>
                <w:sz w:val="16"/>
              </w:rPr>
              <w:t>3.0</w:t>
            </w:r>
          </w:p>
        </w:tc>
        <w:tc>
          <w:tcPr>
            <w:tcW w:w="850" w:type="dxa"/>
          </w:tcPr>
          <w:p w:rsidR="00000000" w:rsidRDefault="001F233B">
            <w:pPr>
              <w:keepNext/>
              <w:jc w:val="right"/>
              <w:rPr>
                <w:rFonts w:ascii="Arial" w:hAnsi="Arial"/>
                <w:i/>
                <w:color w:val="000000"/>
                <w:sz w:val="16"/>
              </w:rPr>
            </w:pPr>
            <w:r>
              <w:rPr>
                <w:rFonts w:ascii="Arial" w:hAnsi="Arial"/>
                <w:i/>
                <w:color w:val="000000"/>
                <w:sz w:val="16"/>
              </w:rPr>
              <w:t>1.7</w:t>
            </w:r>
          </w:p>
        </w:tc>
      </w:tr>
      <w:tr w:rsidR="00000000">
        <w:tblPrEx>
          <w:tblCellMar>
            <w:top w:w="0" w:type="dxa"/>
            <w:bottom w:w="0" w:type="dxa"/>
          </w:tblCellMar>
        </w:tblPrEx>
        <w:trPr>
          <w:trHeight w:hRule="exact" w:val="240"/>
        </w:trPr>
        <w:tc>
          <w:tcPr>
            <w:tcW w:w="3744" w:type="dxa"/>
          </w:tcPr>
          <w:p w:rsidR="00000000" w:rsidRDefault="001F233B">
            <w:pPr>
              <w:keepNext/>
              <w:jc w:val="right"/>
              <w:rPr>
                <w:rFonts w:ascii="Arial" w:hAnsi="Arial"/>
                <w:i/>
                <w:color w:val="000000"/>
                <w:sz w:val="16"/>
              </w:rPr>
            </w:pPr>
          </w:p>
        </w:tc>
        <w:tc>
          <w:tcPr>
            <w:tcW w:w="850" w:type="dxa"/>
          </w:tcPr>
          <w:p w:rsidR="00000000" w:rsidRDefault="001F233B">
            <w:pPr>
              <w:keepNext/>
              <w:jc w:val="right"/>
              <w:rPr>
                <w:rFonts w:ascii="Arial" w:hAnsi="Arial"/>
                <w:i/>
                <w:color w:val="000000"/>
                <w:sz w:val="16"/>
              </w:rPr>
            </w:pPr>
          </w:p>
        </w:tc>
        <w:tc>
          <w:tcPr>
            <w:tcW w:w="850" w:type="dxa"/>
          </w:tcPr>
          <w:p w:rsidR="00000000" w:rsidRDefault="001F233B">
            <w:pPr>
              <w:keepNext/>
              <w:jc w:val="right"/>
              <w:rPr>
                <w:rFonts w:ascii="Arial" w:hAnsi="Arial"/>
                <w:i/>
                <w:color w:val="000000"/>
                <w:sz w:val="16"/>
              </w:rPr>
            </w:pPr>
          </w:p>
        </w:tc>
        <w:tc>
          <w:tcPr>
            <w:tcW w:w="850" w:type="dxa"/>
          </w:tcPr>
          <w:p w:rsidR="00000000" w:rsidRDefault="001F233B">
            <w:pPr>
              <w:keepNext/>
              <w:jc w:val="right"/>
              <w:rPr>
                <w:rFonts w:ascii="Arial" w:hAnsi="Arial"/>
                <w:i/>
                <w:color w:val="000000"/>
                <w:sz w:val="16"/>
              </w:rPr>
            </w:pPr>
          </w:p>
        </w:tc>
        <w:tc>
          <w:tcPr>
            <w:tcW w:w="850" w:type="dxa"/>
          </w:tcPr>
          <w:p w:rsidR="00000000" w:rsidRDefault="001F233B">
            <w:pPr>
              <w:keepNext/>
              <w:jc w:val="right"/>
              <w:rPr>
                <w:rFonts w:ascii="Arial" w:hAnsi="Arial"/>
                <w:i/>
                <w:color w:val="000000"/>
                <w:sz w:val="16"/>
              </w:rPr>
            </w:pP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New fixed assets, land and stocks</w:t>
            </w:r>
          </w:p>
        </w:tc>
        <w:tc>
          <w:tcPr>
            <w:tcW w:w="850" w:type="dxa"/>
          </w:tcPr>
          <w:p w:rsidR="00000000" w:rsidRDefault="001F233B">
            <w:pPr>
              <w:keepNext/>
              <w:jc w:val="right"/>
              <w:rPr>
                <w:rFonts w:ascii="Arial" w:hAnsi="Arial"/>
                <w:color w:val="000000"/>
                <w:sz w:val="16"/>
              </w:rPr>
            </w:pPr>
            <w:r>
              <w:rPr>
                <w:rFonts w:ascii="Arial" w:hAnsi="Arial"/>
                <w:color w:val="000000"/>
                <w:sz w:val="16"/>
              </w:rPr>
              <w:t>1 456.0</w:t>
            </w:r>
          </w:p>
        </w:tc>
        <w:tc>
          <w:tcPr>
            <w:tcW w:w="850" w:type="dxa"/>
          </w:tcPr>
          <w:p w:rsidR="00000000" w:rsidRDefault="001F233B">
            <w:pPr>
              <w:keepNext/>
              <w:jc w:val="right"/>
              <w:rPr>
                <w:rFonts w:ascii="Arial" w:hAnsi="Arial"/>
                <w:color w:val="000000"/>
                <w:sz w:val="16"/>
              </w:rPr>
            </w:pPr>
            <w:r>
              <w:rPr>
                <w:rFonts w:ascii="Arial" w:hAnsi="Arial"/>
                <w:color w:val="000000"/>
                <w:sz w:val="16"/>
              </w:rPr>
              <w:t>1 642.5</w:t>
            </w:r>
          </w:p>
        </w:tc>
        <w:tc>
          <w:tcPr>
            <w:tcW w:w="850" w:type="dxa"/>
          </w:tcPr>
          <w:p w:rsidR="00000000" w:rsidRDefault="001F233B">
            <w:pPr>
              <w:keepNext/>
              <w:jc w:val="right"/>
              <w:rPr>
                <w:rFonts w:ascii="Arial" w:hAnsi="Arial"/>
                <w:color w:val="000000"/>
                <w:sz w:val="16"/>
              </w:rPr>
            </w:pPr>
            <w:r>
              <w:rPr>
                <w:rFonts w:ascii="Arial" w:hAnsi="Arial"/>
                <w:color w:val="000000"/>
                <w:sz w:val="16"/>
              </w:rPr>
              <w:t>1 772.4</w:t>
            </w:r>
          </w:p>
        </w:tc>
        <w:tc>
          <w:tcPr>
            <w:tcW w:w="850" w:type="dxa"/>
          </w:tcPr>
          <w:p w:rsidR="00000000" w:rsidRDefault="001F233B">
            <w:pPr>
              <w:keepNext/>
              <w:jc w:val="right"/>
              <w:rPr>
                <w:rFonts w:ascii="Arial" w:hAnsi="Arial"/>
                <w:color w:val="000000"/>
                <w:sz w:val="16"/>
              </w:rPr>
            </w:pPr>
            <w:r>
              <w:rPr>
                <w:rFonts w:ascii="Arial" w:hAnsi="Arial"/>
                <w:color w:val="000000"/>
                <w:sz w:val="16"/>
              </w:rPr>
              <w:t>1 926.3</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i/>
                <w:color w:val="000000"/>
                <w:sz w:val="16"/>
              </w:rPr>
            </w:pPr>
            <w:r>
              <w:rPr>
                <w:rFonts w:ascii="Arial" w:hAnsi="Arial"/>
                <w:i/>
                <w:color w:val="000000"/>
                <w:sz w:val="16"/>
              </w:rPr>
              <w:t xml:space="preserve">   less sales</w:t>
            </w:r>
          </w:p>
        </w:tc>
        <w:tc>
          <w:tcPr>
            <w:tcW w:w="850" w:type="dxa"/>
          </w:tcPr>
          <w:p w:rsidR="00000000" w:rsidRDefault="001F233B">
            <w:pPr>
              <w:keepNext/>
              <w:jc w:val="right"/>
              <w:rPr>
                <w:rFonts w:ascii="Arial" w:hAnsi="Arial"/>
                <w:i/>
                <w:color w:val="000000"/>
                <w:sz w:val="16"/>
              </w:rPr>
            </w:pPr>
            <w:r>
              <w:rPr>
                <w:rFonts w:ascii="Arial" w:hAnsi="Arial"/>
                <w:i/>
                <w:color w:val="000000"/>
                <w:sz w:val="16"/>
              </w:rPr>
              <w:t>- 115.3</w:t>
            </w:r>
          </w:p>
        </w:tc>
        <w:tc>
          <w:tcPr>
            <w:tcW w:w="850" w:type="dxa"/>
          </w:tcPr>
          <w:p w:rsidR="00000000" w:rsidRDefault="001F233B">
            <w:pPr>
              <w:keepNext/>
              <w:jc w:val="right"/>
              <w:rPr>
                <w:rFonts w:ascii="Arial" w:hAnsi="Arial"/>
                <w:i/>
                <w:color w:val="000000"/>
                <w:sz w:val="16"/>
              </w:rPr>
            </w:pPr>
            <w:r>
              <w:rPr>
                <w:rFonts w:ascii="Arial" w:hAnsi="Arial"/>
                <w:i/>
                <w:color w:val="000000"/>
                <w:sz w:val="16"/>
              </w:rPr>
              <w:t>- 89.0</w:t>
            </w:r>
          </w:p>
        </w:tc>
        <w:tc>
          <w:tcPr>
            <w:tcW w:w="850" w:type="dxa"/>
          </w:tcPr>
          <w:p w:rsidR="00000000" w:rsidRDefault="001F233B">
            <w:pPr>
              <w:keepNext/>
              <w:jc w:val="right"/>
              <w:rPr>
                <w:rFonts w:ascii="Arial" w:hAnsi="Arial"/>
                <w:i/>
                <w:color w:val="000000"/>
                <w:sz w:val="16"/>
              </w:rPr>
            </w:pPr>
            <w:r>
              <w:rPr>
                <w:rFonts w:ascii="Arial" w:hAnsi="Arial"/>
                <w:i/>
                <w:color w:val="000000"/>
                <w:sz w:val="16"/>
              </w:rPr>
              <w:t>- 93.0</w:t>
            </w:r>
          </w:p>
        </w:tc>
        <w:tc>
          <w:tcPr>
            <w:tcW w:w="850" w:type="dxa"/>
          </w:tcPr>
          <w:p w:rsidR="00000000" w:rsidRDefault="001F233B">
            <w:pPr>
              <w:keepNext/>
              <w:jc w:val="right"/>
              <w:rPr>
                <w:rFonts w:ascii="Arial" w:hAnsi="Arial"/>
                <w:i/>
                <w:color w:val="000000"/>
                <w:sz w:val="16"/>
              </w:rPr>
            </w:pPr>
            <w:r>
              <w:rPr>
                <w:rFonts w:ascii="Arial" w:hAnsi="Arial"/>
                <w:i/>
                <w:color w:val="000000"/>
                <w:sz w:val="16"/>
              </w:rPr>
              <w:t>- 72.0</w:t>
            </w:r>
          </w:p>
        </w:tc>
      </w:tr>
      <w:tr w:rsidR="00000000">
        <w:tblPrEx>
          <w:tblCellMar>
            <w:top w:w="0" w:type="dxa"/>
            <w:bottom w:w="0" w:type="dxa"/>
          </w:tblCellMar>
        </w:tblPrEx>
        <w:trPr>
          <w:trHeight w:hRule="exact" w:val="240"/>
        </w:trPr>
        <w:tc>
          <w:tcPr>
            <w:tcW w:w="3744" w:type="dxa"/>
            <w:tcBorders>
              <w:top w:val="single" w:sz="6" w:space="0" w:color="auto"/>
            </w:tcBorders>
          </w:tcPr>
          <w:p w:rsidR="00000000" w:rsidRDefault="001F233B">
            <w:pPr>
              <w:keepNext/>
              <w:rPr>
                <w:rFonts w:ascii="Arial" w:hAnsi="Arial"/>
                <w:color w:val="000000"/>
                <w:sz w:val="16"/>
              </w:rPr>
            </w:pPr>
            <w:r>
              <w:rPr>
                <w:rFonts w:ascii="Arial" w:hAnsi="Arial"/>
                <w:color w:val="000000"/>
                <w:sz w:val="16"/>
              </w:rPr>
              <w:t>Expenditure on fixed assets, stocks and land (net)</w:t>
            </w:r>
          </w:p>
        </w:tc>
        <w:tc>
          <w:tcPr>
            <w:tcW w:w="850" w:type="dxa"/>
            <w:tcBorders>
              <w:top w:val="single" w:sz="6" w:space="0" w:color="auto"/>
            </w:tcBorders>
          </w:tcPr>
          <w:p w:rsidR="00000000" w:rsidRDefault="001F233B">
            <w:pPr>
              <w:keepNext/>
              <w:jc w:val="right"/>
              <w:rPr>
                <w:rFonts w:ascii="Arial" w:hAnsi="Arial"/>
                <w:color w:val="000000"/>
                <w:sz w:val="16"/>
              </w:rPr>
            </w:pPr>
            <w:r>
              <w:rPr>
                <w:rFonts w:ascii="Arial" w:hAnsi="Arial"/>
                <w:color w:val="000000"/>
                <w:sz w:val="16"/>
              </w:rPr>
              <w:t>1 340.7</w:t>
            </w:r>
          </w:p>
        </w:tc>
        <w:tc>
          <w:tcPr>
            <w:tcW w:w="850" w:type="dxa"/>
            <w:tcBorders>
              <w:top w:val="single" w:sz="6" w:space="0" w:color="auto"/>
            </w:tcBorders>
          </w:tcPr>
          <w:p w:rsidR="00000000" w:rsidRDefault="001F233B">
            <w:pPr>
              <w:keepNext/>
              <w:jc w:val="right"/>
              <w:rPr>
                <w:rFonts w:ascii="Arial" w:hAnsi="Arial"/>
                <w:color w:val="000000"/>
                <w:sz w:val="16"/>
              </w:rPr>
            </w:pPr>
            <w:r>
              <w:rPr>
                <w:rFonts w:ascii="Arial" w:hAnsi="Arial"/>
                <w:color w:val="000000"/>
                <w:sz w:val="16"/>
              </w:rPr>
              <w:t>1 553.5</w:t>
            </w:r>
          </w:p>
        </w:tc>
        <w:tc>
          <w:tcPr>
            <w:tcW w:w="850" w:type="dxa"/>
            <w:tcBorders>
              <w:top w:val="single" w:sz="6" w:space="0" w:color="auto"/>
            </w:tcBorders>
          </w:tcPr>
          <w:p w:rsidR="00000000" w:rsidRDefault="001F233B">
            <w:pPr>
              <w:keepNext/>
              <w:jc w:val="right"/>
              <w:rPr>
                <w:rFonts w:ascii="Arial" w:hAnsi="Arial"/>
                <w:color w:val="000000"/>
                <w:sz w:val="16"/>
              </w:rPr>
            </w:pPr>
            <w:r>
              <w:rPr>
                <w:rFonts w:ascii="Arial" w:hAnsi="Arial"/>
                <w:color w:val="000000"/>
                <w:sz w:val="16"/>
              </w:rPr>
              <w:t>1 679.4</w:t>
            </w:r>
          </w:p>
        </w:tc>
        <w:tc>
          <w:tcPr>
            <w:tcW w:w="850" w:type="dxa"/>
            <w:tcBorders>
              <w:top w:val="single" w:sz="6" w:space="0" w:color="auto"/>
            </w:tcBorders>
          </w:tcPr>
          <w:p w:rsidR="00000000" w:rsidRDefault="001F233B">
            <w:pPr>
              <w:keepNext/>
              <w:jc w:val="right"/>
              <w:rPr>
                <w:rFonts w:ascii="Arial" w:hAnsi="Arial"/>
                <w:color w:val="000000"/>
                <w:sz w:val="16"/>
              </w:rPr>
            </w:pPr>
            <w:r>
              <w:rPr>
                <w:rFonts w:ascii="Arial" w:hAnsi="Arial"/>
                <w:color w:val="000000"/>
                <w:sz w:val="16"/>
              </w:rPr>
              <w:t>1 854.3</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Grants</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346.4</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310.8</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288.9</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278.2</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Other capital expenditure (net)</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220.3</w:t>
            </w:r>
          </w:p>
        </w:tc>
        <w:tc>
          <w:tcPr>
            <w:tcW w:w="850" w:type="dxa"/>
          </w:tcPr>
          <w:p w:rsidR="00000000" w:rsidRDefault="001F233B">
            <w:pPr>
              <w:keepNext/>
              <w:jc w:val="right"/>
              <w:rPr>
                <w:rFonts w:ascii="Arial" w:hAnsi="Arial"/>
                <w:color w:val="000000"/>
                <w:sz w:val="16"/>
              </w:rPr>
            </w:pPr>
            <w:r>
              <w:rPr>
                <w:rFonts w:ascii="Arial" w:hAnsi="Arial"/>
                <w:color w:val="000000"/>
                <w:sz w:val="16"/>
              </w:rPr>
              <w:t>- 41.8</w:t>
            </w:r>
          </w:p>
        </w:tc>
        <w:tc>
          <w:tcPr>
            <w:tcW w:w="850" w:type="dxa"/>
          </w:tcPr>
          <w:p w:rsidR="00000000" w:rsidRDefault="001F233B">
            <w:pPr>
              <w:keepNext/>
              <w:jc w:val="right"/>
              <w:rPr>
                <w:rFonts w:ascii="Arial" w:hAnsi="Arial"/>
                <w:color w:val="000000"/>
                <w:sz w:val="16"/>
              </w:rPr>
            </w:pPr>
            <w:r>
              <w:rPr>
                <w:rFonts w:ascii="Arial" w:hAnsi="Arial"/>
                <w:color w:val="000000"/>
                <w:sz w:val="16"/>
              </w:rPr>
              <w:t>- 54.3</w:t>
            </w:r>
          </w:p>
        </w:tc>
        <w:tc>
          <w:tcPr>
            <w:tcW w:w="850" w:type="dxa"/>
          </w:tcPr>
          <w:p w:rsidR="00000000" w:rsidRDefault="001F233B">
            <w:pPr>
              <w:keepNext/>
              <w:jc w:val="right"/>
              <w:rPr>
                <w:rFonts w:ascii="Arial" w:hAnsi="Arial"/>
                <w:color w:val="000000"/>
                <w:sz w:val="16"/>
              </w:rPr>
            </w:pPr>
            <w:r>
              <w:rPr>
                <w:rFonts w:ascii="Arial" w:hAnsi="Arial"/>
                <w:color w:val="000000"/>
                <w:sz w:val="16"/>
              </w:rPr>
              <w:t>- 55.2</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color w:val="000000"/>
                <w:sz w:val="16"/>
              </w:rPr>
            </w:pPr>
            <w:r>
              <w:rPr>
                <w:rFonts w:ascii="Arial" w:hAnsi="Arial"/>
                <w:color w:val="000000"/>
                <w:sz w:val="16"/>
              </w:rPr>
              <w:t>Capital grants onpassed</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23.7</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24.2</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24.6</w:t>
            </w:r>
          </w:p>
        </w:tc>
        <w:tc>
          <w:tcPr>
            <w:tcW w:w="850" w:type="dxa"/>
          </w:tcPr>
          <w:p w:rsidR="00000000" w:rsidRDefault="001F233B">
            <w:pPr>
              <w:keepNext/>
              <w:jc w:val="right"/>
              <w:rPr>
                <w:rFonts w:ascii="Arial" w:hAnsi="Arial"/>
                <w:color w:val="000000"/>
                <w:sz w:val="16"/>
              </w:rPr>
            </w:pPr>
            <w:r>
              <w:rPr>
                <w:rFonts w:ascii="Arial" w:hAnsi="Arial"/>
                <w:color w:val="000000"/>
                <w:sz w:val="16"/>
              </w:rPr>
              <w:t xml:space="preserve"> 25.1</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b/>
                <w:color w:val="000000"/>
                <w:sz w:val="16"/>
              </w:rPr>
            </w:pPr>
            <w:r>
              <w:rPr>
                <w:rFonts w:ascii="Arial" w:hAnsi="Arial"/>
                <w:b/>
                <w:color w:val="000000"/>
                <w:sz w:val="16"/>
              </w:rPr>
              <w:t>Total  Capital Expenditure</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1 931.1</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1 846.6</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1 938.6</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2 102.4</w:t>
            </w:r>
          </w:p>
        </w:tc>
      </w:tr>
      <w:tr w:rsidR="00000000">
        <w:tblPrEx>
          <w:tblCellMar>
            <w:top w:w="0" w:type="dxa"/>
            <w:bottom w:w="0" w:type="dxa"/>
          </w:tblCellMar>
        </w:tblPrEx>
        <w:trPr>
          <w:trHeight w:hRule="exact" w:val="240"/>
        </w:trPr>
        <w:tc>
          <w:tcPr>
            <w:tcW w:w="3744" w:type="dxa"/>
          </w:tcPr>
          <w:p w:rsidR="00000000" w:rsidRDefault="001F233B">
            <w:pPr>
              <w:keepNext/>
              <w:rPr>
                <w:rFonts w:ascii="Arial" w:hAnsi="Arial"/>
                <w:i/>
                <w:color w:val="000000"/>
                <w:sz w:val="16"/>
              </w:rPr>
            </w:pPr>
            <w:r>
              <w:rPr>
                <w:rFonts w:ascii="Arial" w:hAnsi="Arial"/>
                <w:i/>
                <w:color w:val="000000"/>
                <w:sz w:val="16"/>
              </w:rPr>
              <w:t>(% change)</w:t>
            </w:r>
          </w:p>
        </w:tc>
        <w:tc>
          <w:tcPr>
            <w:tcW w:w="850" w:type="dxa"/>
          </w:tcPr>
          <w:p w:rsidR="00000000" w:rsidRDefault="001F233B">
            <w:pPr>
              <w:keepNext/>
              <w:jc w:val="right"/>
              <w:rPr>
                <w:rFonts w:ascii="Arial" w:hAnsi="Arial"/>
                <w:i/>
                <w:color w:val="000000"/>
                <w:sz w:val="16"/>
              </w:rPr>
            </w:pPr>
            <w:r>
              <w:rPr>
                <w:rFonts w:ascii="Arial" w:hAnsi="Arial"/>
                <w:i/>
                <w:color w:val="000000"/>
                <w:sz w:val="16"/>
              </w:rPr>
              <w:t>13.4</w:t>
            </w:r>
          </w:p>
        </w:tc>
        <w:tc>
          <w:tcPr>
            <w:tcW w:w="850" w:type="dxa"/>
          </w:tcPr>
          <w:p w:rsidR="00000000" w:rsidRDefault="001F233B">
            <w:pPr>
              <w:keepNext/>
              <w:jc w:val="right"/>
              <w:rPr>
                <w:rFonts w:ascii="Arial" w:hAnsi="Arial"/>
                <w:i/>
                <w:color w:val="000000"/>
                <w:sz w:val="16"/>
              </w:rPr>
            </w:pPr>
            <w:r>
              <w:rPr>
                <w:rFonts w:ascii="Arial" w:hAnsi="Arial"/>
                <w:i/>
                <w:color w:val="000000"/>
                <w:sz w:val="16"/>
              </w:rPr>
              <w:t>-4.4</w:t>
            </w:r>
          </w:p>
        </w:tc>
        <w:tc>
          <w:tcPr>
            <w:tcW w:w="850" w:type="dxa"/>
          </w:tcPr>
          <w:p w:rsidR="00000000" w:rsidRDefault="001F233B">
            <w:pPr>
              <w:keepNext/>
              <w:jc w:val="right"/>
              <w:rPr>
                <w:rFonts w:ascii="Arial" w:hAnsi="Arial"/>
                <w:i/>
                <w:color w:val="000000"/>
                <w:sz w:val="16"/>
              </w:rPr>
            </w:pPr>
            <w:r>
              <w:rPr>
                <w:rFonts w:ascii="Arial" w:hAnsi="Arial"/>
                <w:i/>
                <w:color w:val="000000"/>
                <w:sz w:val="16"/>
              </w:rPr>
              <w:t>5.0</w:t>
            </w:r>
          </w:p>
        </w:tc>
        <w:tc>
          <w:tcPr>
            <w:tcW w:w="850" w:type="dxa"/>
          </w:tcPr>
          <w:p w:rsidR="00000000" w:rsidRDefault="001F233B">
            <w:pPr>
              <w:keepNext/>
              <w:jc w:val="right"/>
              <w:rPr>
                <w:rFonts w:ascii="Arial" w:hAnsi="Arial"/>
                <w:i/>
                <w:color w:val="000000"/>
                <w:sz w:val="16"/>
              </w:rPr>
            </w:pPr>
            <w:r>
              <w:rPr>
                <w:rFonts w:ascii="Arial" w:hAnsi="Arial"/>
                <w:i/>
                <w:color w:val="000000"/>
                <w:sz w:val="16"/>
              </w:rPr>
              <w:t>8.5</w:t>
            </w:r>
          </w:p>
        </w:tc>
      </w:tr>
      <w:tr w:rsidR="00000000">
        <w:tblPrEx>
          <w:tblCellMar>
            <w:top w:w="0" w:type="dxa"/>
            <w:bottom w:w="0" w:type="dxa"/>
          </w:tblCellMar>
        </w:tblPrEx>
        <w:trPr>
          <w:trHeight w:hRule="exact" w:val="240"/>
        </w:trPr>
        <w:tc>
          <w:tcPr>
            <w:tcW w:w="3744" w:type="dxa"/>
          </w:tcPr>
          <w:p w:rsidR="00000000" w:rsidRDefault="001F233B">
            <w:pPr>
              <w:keepNext/>
              <w:jc w:val="right"/>
              <w:rPr>
                <w:rFonts w:ascii="Arial" w:hAnsi="Arial"/>
                <w:color w:val="000000"/>
                <w:sz w:val="16"/>
              </w:rPr>
            </w:pPr>
          </w:p>
        </w:tc>
        <w:tc>
          <w:tcPr>
            <w:tcW w:w="850" w:type="dxa"/>
          </w:tcPr>
          <w:p w:rsidR="00000000" w:rsidRDefault="001F233B">
            <w:pPr>
              <w:keepNext/>
              <w:jc w:val="right"/>
              <w:rPr>
                <w:rFonts w:ascii="Arial" w:hAnsi="Arial"/>
                <w:color w:val="000000"/>
                <w:sz w:val="16"/>
              </w:rPr>
            </w:pPr>
          </w:p>
        </w:tc>
        <w:tc>
          <w:tcPr>
            <w:tcW w:w="850" w:type="dxa"/>
          </w:tcPr>
          <w:p w:rsidR="00000000" w:rsidRDefault="001F233B">
            <w:pPr>
              <w:keepNext/>
              <w:jc w:val="right"/>
              <w:rPr>
                <w:rFonts w:ascii="Arial" w:hAnsi="Arial"/>
                <w:color w:val="000000"/>
                <w:sz w:val="16"/>
              </w:rPr>
            </w:pPr>
          </w:p>
        </w:tc>
        <w:tc>
          <w:tcPr>
            <w:tcW w:w="850" w:type="dxa"/>
          </w:tcPr>
          <w:p w:rsidR="00000000" w:rsidRDefault="001F233B">
            <w:pPr>
              <w:keepNext/>
              <w:jc w:val="right"/>
              <w:rPr>
                <w:rFonts w:ascii="Arial" w:hAnsi="Arial"/>
                <w:color w:val="000000"/>
                <w:sz w:val="16"/>
              </w:rPr>
            </w:pPr>
          </w:p>
        </w:tc>
        <w:tc>
          <w:tcPr>
            <w:tcW w:w="850" w:type="dxa"/>
          </w:tcPr>
          <w:p w:rsidR="00000000" w:rsidRDefault="001F233B">
            <w:pPr>
              <w:keepNext/>
              <w:jc w:val="right"/>
              <w:rPr>
                <w:rFonts w:ascii="Arial" w:hAnsi="Arial"/>
                <w:color w:val="000000"/>
                <w:sz w:val="16"/>
              </w:rPr>
            </w:pPr>
          </w:p>
        </w:tc>
      </w:tr>
      <w:tr w:rsidR="00000000">
        <w:tblPrEx>
          <w:tblCellMar>
            <w:top w:w="0" w:type="dxa"/>
            <w:bottom w:w="0" w:type="dxa"/>
          </w:tblCellMar>
        </w:tblPrEx>
        <w:trPr>
          <w:trHeight w:hRule="exact" w:val="240"/>
        </w:trPr>
        <w:tc>
          <w:tcPr>
            <w:tcW w:w="3744" w:type="dxa"/>
            <w:tcBorders>
              <w:top w:val="single" w:sz="6" w:space="0" w:color="auto"/>
            </w:tcBorders>
          </w:tcPr>
          <w:p w:rsidR="00000000" w:rsidRDefault="001F233B">
            <w:pPr>
              <w:keepNext/>
              <w:rPr>
                <w:rFonts w:ascii="Arial" w:hAnsi="Arial"/>
                <w:b/>
                <w:color w:val="000000"/>
                <w:sz w:val="16"/>
              </w:rPr>
            </w:pPr>
            <w:r>
              <w:rPr>
                <w:rFonts w:ascii="Arial" w:hAnsi="Arial"/>
                <w:b/>
                <w:color w:val="000000"/>
                <w:sz w:val="16"/>
              </w:rPr>
              <w:t>Total Budget Surplus</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 xml:space="preserve"> 164.6</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 xml:space="preserve"> </w:t>
            </w:r>
            <w:r>
              <w:rPr>
                <w:rFonts w:ascii="Arial" w:hAnsi="Arial"/>
                <w:b/>
                <w:color w:val="000000"/>
                <w:sz w:val="16"/>
              </w:rPr>
              <w:t>620.8</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 xml:space="preserve"> 458.2</w:t>
            </w:r>
          </w:p>
        </w:tc>
        <w:tc>
          <w:tcPr>
            <w:tcW w:w="850" w:type="dxa"/>
            <w:tcBorders>
              <w:top w:val="single" w:sz="6" w:space="0" w:color="auto"/>
            </w:tcBorders>
          </w:tcPr>
          <w:p w:rsidR="00000000" w:rsidRDefault="001F233B">
            <w:pPr>
              <w:keepNext/>
              <w:jc w:val="right"/>
              <w:rPr>
                <w:rFonts w:ascii="Arial" w:hAnsi="Arial"/>
                <w:b/>
                <w:color w:val="000000"/>
                <w:sz w:val="16"/>
              </w:rPr>
            </w:pPr>
            <w:r>
              <w:rPr>
                <w:rFonts w:ascii="Arial" w:hAnsi="Arial"/>
                <w:b/>
                <w:color w:val="000000"/>
                <w:sz w:val="16"/>
              </w:rPr>
              <w:t xml:space="preserve"> 281.4</w:t>
            </w:r>
          </w:p>
        </w:tc>
      </w:tr>
      <w:tr w:rsidR="00000000">
        <w:tblPrEx>
          <w:tblCellMar>
            <w:top w:w="0" w:type="dxa"/>
            <w:bottom w:w="0" w:type="dxa"/>
          </w:tblCellMar>
        </w:tblPrEx>
        <w:trPr>
          <w:trHeight w:hRule="exact" w:val="240"/>
        </w:trPr>
        <w:tc>
          <w:tcPr>
            <w:tcW w:w="3744" w:type="dxa"/>
            <w:tcBorders>
              <w:bottom w:val="single" w:sz="12" w:space="0" w:color="auto"/>
            </w:tcBorders>
          </w:tcPr>
          <w:p w:rsidR="00000000" w:rsidRDefault="001F233B">
            <w:pPr>
              <w:keepNext/>
              <w:rPr>
                <w:rFonts w:ascii="Arial" w:hAnsi="Arial"/>
                <w:color w:val="000000"/>
                <w:sz w:val="16"/>
              </w:rPr>
            </w:pPr>
          </w:p>
        </w:tc>
        <w:tc>
          <w:tcPr>
            <w:tcW w:w="850" w:type="dxa"/>
            <w:tcBorders>
              <w:bottom w:val="single" w:sz="12" w:space="0" w:color="auto"/>
            </w:tcBorders>
          </w:tcPr>
          <w:p w:rsidR="00000000" w:rsidRDefault="001F233B">
            <w:pPr>
              <w:keepNext/>
              <w:jc w:val="right"/>
              <w:rPr>
                <w:rFonts w:ascii="Arial" w:hAnsi="Arial"/>
                <w:color w:val="000000"/>
                <w:sz w:val="16"/>
              </w:rPr>
            </w:pPr>
          </w:p>
        </w:tc>
        <w:tc>
          <w:tcPr>
            <w:tcW w:w="850" w:type="dxa"/>
            <w:tcBorders>
              <w:bottom w:val="single" w:sz="12" w:space="0" w:color="auto"/>
            </w:tcBorders>
          </w:tcPr>
          <w:p w:rsidR="00000000" w:rsidRDefault="001F233B">
            <w:pPr>
              <w:keepNext/>
              <w:jc w:val="right"/>
              <w:rPr>
                <w:rFonts w:ascii="Arial" w:hAnsi="Arial"/>
                <w:color w:val="000000"/>
                <w:sz w:val="16"/>
              </w:rPr>
            </w:pPr>
          </w:p>
        </w:tc>
        <w:tc>
          <w:tcPr>
            <w:tcW w:w="850" w:type="dxa"/>
            <w:tcBorders>
              <w:bottom w:val="single" w:sz="12" w:space="0" w:color="auto"/>
            </w:tcBorders>
          </w:tcPr>
          <w:p w:rsidR="00000000" w:rsidRDefault="001F233B">
            <w:pPr>
              <w:keepNext/>
              <w:jc w:val="right"/>
              <w:rPr>
                <w:rFonts w:ascii="Arial" w:hAnsi="Arial"/>
                <w:color w:val="000000"/>
                <w:sz w:val="16"/>
              </w:rPr>
            </w:pPr>
          </w:p>
        </w:tc>
        <w:tc>
          <w:tcPr>
            <w:tcW w:w="850" w:type="dxa"/>
            <w:tcBorders>
              <w:bottom w:val="single" w:sz="12" w:space="0" w:color="auto"/>
            </w:tcBorders>
          </w:tcPr>
          <w:p w:rsidR="00000000" w:rsidRDefault="001F233B">
            <w:pPr>
              <w:keepNext/>
              <w:jc w:val="right"/>
              <w:rPr>
                <w:rFonts w:ascii="Arial" w:hAnsi="Arial"/>
                <w:color w:val="000000"/>
                <w:sz w:val="16"/>
              </w:rPr>
            </w:pPr>
          </w:p>
        </w:tc>
      </w:tr>
    </w:tbl>
    <w:p w:rsidR="00000000" w:rsidRDefault="001F233B">
      <w:pPr>
        <w:pStyle w:val="Source"/>
        <w:keepNext/>
      </w:pPr>
      <w:r>
        <w:t>Source: Department of Treasury and Finance.</w:t>
      </w:r>
    </w:p>
    <w:p w:rsidR="00000000" w:rsidRDefault="001F233B">
      <w:pPr>
        <w:pStyle w:val="Heading2"/>
      </w:pPr>
      <w:bookmarkStart w:id="65" w:name="_Toc417119828"/>
      <w:bookmarkStart w:id="66" w:name="_Toc417552080"/>
      <w:r>
        <w:t>The sustainable budget planning position</w:t>
      </w:r>
      <w:bookmarkEnd w:id="65"/>
      <w:bookmarkEnd w:id="66"/>
      <w:r>
        <w:fldChar w:fldCharType="begin"/>
      </w:r>
      <w:r>
        <w:instrText>xe "Budget:Sustainable planning"</w:instrText>
      </w:r>
      <w:r>
        <w:fldChar w:fldCharType="end"/>
      </w:r>
      <w:r>
        <w:fldChar w:fldCharType="begin"/>
      </w:r>
      <w:r>
        <w:instrText>xe "Budget:Sustainable budget planning position"</w:instrText>
      </w:r>
      <w:r>
        <w:fldChar w:fldCharType="end"/>
      </w:r>
      <w:r>
        <w:t xml:space="preserve"> </w:t>
      </w:r>
    </w:p>
    <w:p w:rsidR="00000000" w:rsidRDefault="001F233B">
      <w:r>
        <w:t>The forward estimates include a number of temporary revenue streams and one</w:t>
      </w:r>
      <w:r>
        <w:noBreakHyphen/>
        <w:t>off transactions that have a substantial impact on the budget position</w:t>
      </w:r>
      <w:r>
        <w:fldChar w:fldCharType="begin"/>
      </w:r>
      <w:r>
        <w:instrText>xe "Budget:Position"</w:instrText>
      </w:r>
      <w:r>
        <w:fldChar w:fldCharType="end"/>
      </w:r>
      <w:r>
        <w:t xml:space="preserve"> over the forward estimates period, but not beyond it. In order to ensure responsible financial management, budget planning decisions exclude these</w:t>
      </w:r>
      <w:r>
        <w:t xml:space="preserve"> temporary effects and focus on the underlying or </w:t>
      </w:r>
      <w:r>
        <w:rPr>
          <w:i/>
        </w:rPr>
        <w:t>sustainable budget planning position</w:t>
      </w:r>
      <w:r>
        <w:rPr>
          <w:i/>
        </w:rPr>
        <w:fldChar w:fldCharType="begin"/>
      </w:r>
      <w:r>
        <w:rPr>
          <w:i/>
        </w:rPr>
        <w:instrText>xe "Budget:Sustainable budget planning position"</w:instrText>
      </w:r>
      <w:r>
        <w:rPr>
          <w:i/>
        </w:rPr>
        <w:fldChar w:fldCharType="end"/>
      </w:r>
      <w:r>
        <w:rPr>
          <w:i/>
        </w:rPr>
        <w:t>.</w:t>
      </w:r>
      <w:r>
        <w:rPr>
          <w:i/>
        </w:rPr>
        <w:fldChar w:fldCharType="begin"/>
      </w:r>
      <w:r>
        <w:rPr>
          <w:i/>
        </w:rPr>
        <w:instrText>xe "Budget:Sustainable planning"</w:instrText>
      </w:r>
      <w:r>
        <w:rPr>
          <w:i/>
        </w:rPr>
        <w:fldChar w:fldCharType="end"/>
      </w:r>
    </w:p>
    <w:p w:rsidR="00000000" w:rsidRDefault="001F233B">
      <w:r>
        <w:t>Over the long term, the Government’s target is to maintain a sustainable operating surplus</w:t>
      </w:r>
      <w:r>
        <w:fldChar w:fldCharType="begin"/>
      </w:r>
      <w:r>
        <w:instrText>xe "Operating surplus"</w:instrText>
      </w:r>
      <w:r>
        <w:fldChar w:fldCharType="end"/>
      </w:r>
      <w:r>
        <w:t xml:space="preserve"> sufficient to fully fund gross asset investment</w:t>
      </w:r>
      <w:r>
        <w:fldChar w:fldCharType="begin"/>
      </w:r>
      <w:r>
        <w:instrText>xe "Economy:Investment"</w:instrText>
      </w:r>
      <w:r>
        <w:fldChar w:fldCharType="end"/>
      </w:r>
      <w:r>
        <w:t>. Table 3.10 presents the sustainable budget planning position</w:t>
      </w:r>
      <w:r>
        <w:fldChar w:fldCharType="begin"/>
      </w:r>
      <w:r>
        <w:instrText>xe "Budget:Sustainable planning"</w:instrText>
      </w:r>
      <w:r>
        <w:fldChar w:fldCharType="end"/>
      </w:r>
      <w:r>
        <w:fldChar w:fldCharType="begin"/>
      </w:r>
      <w:r>
        <w:instrText>xe "Budget:Sustainable budget planning position"</w:instrText>
      </w:r>
      <w:r>
        <w:fldChar w:fldCharType="end"/>
      </w:r>
      <w:r>
        <w:t>. The s</w:t>
      </w:r>
      <w:r>
        <w:t>ustainable planning surplus</w:t>
      </w:r>
      <w:r>
        <w:fldChar w:fldCharType="begin"/>
      </w:r>
      <w:r>
        <w:instrText>xe "Budget:Sustainable planning"</w:instrText>
      </w:r>
      <w:r>
        <w:fldChar w:fldCharType="end"/>
      </w:r>
      <w:r>
        <w:fldChar w:fldCharType="begin"/>
      </w:r>
      <w:r>
        <w:instrText>xe "Budget:Sustainable planning surplus"</w:instrText>
      </w:r>
      <w:r>
        <w:fldChar w:fldCharType="end"/>
      </w:r>
      <w:r>
        <w:t xml:space="preserve"> is expected to increase from $701.1 million in 1998</w:t>
      </w:r>
      <w:r>
        <w:noBreakHyphen/>
        <w:t>99 to $949.2 million by 2001</w:t>
      </w:r>
      <w:r>
        <w:noBreakHyphen/>
        <w:t>02. After allowance is made for the funding of investment, the sustainable cash surplus averages around $260 million over the period 1999</w:t>
      </w:r>
      <w:r>
        <w:noBreakHyphen/>
        <w:t>00 to 2001</w:t>
      </w:r>
      <w:r>
        <w:noBreakHyphen/>
        <w:t>02.</w:t>
      </w:r>
    </w:p>
    <w:p w:rsidR="00000000" w:rsidRDefault="001F233B">
      <w:r>
        <w:t>This $260 million represents, on an unchanged policy basis, the excess over the Government’s target to maintain a sustainable operating surplus</w:t>
      </w:r>
      <w:r>
        <w:fldChar w:fldCharType="begin"/>
      </w:r>
      <w:r>
        <w:instrText>xe "Operating surplus"</w:instrText>
      </w:r>
      <w:r>
        <w:fldChar w:fldCharType="end"/>
      </w:r>
      <w:r>
        <w:t xml:space="preserve"> suffic</w:t>
      </w:r>
      <w:r>
        <w:t>ient to fully fund gross asset investment</w:t>
      </w:r>
      <w:r>
        <w:fldChar w:fldCharType="begin"/>
      </w:r>
      <w:r>
        <w:instrText>xe "Economy:Investment"</w:instrText>
      </w:r>
      <w:r>
        <w:fldChar w:fldCharType="end"/>
      </w:r>
      <w:r>
        <w:t>. As detailed in Chapters 1 and 2, this is considered prudent given the uncertainties involved in preparing such forward projections. For example, recent developments in Asia</w:t>
      </w:r>
      <w:r>
        <w:fldChar w:fldCharType="begin"/>
      </w:r>
      <w:r>
        <w:instrText>xe "Asia"</w:instrText>
      </w:r>
      <w:r>
        <w:fldChar w:fldCharType="end"/>
      </w:r>
      <w:r>
        <w:t xml:space="preserve"> could have a more significant impact on the State economy than anticipated.</w:t>
      </w:r>
    </w:p>
    <w:p w:rsidR="00000000" w:rsidRDefault="001F233B">
      <w:pPr>
        <w:pStyle w:val="Tableheading"/>
      </w:pPr>
      <w:r>
        <w:br w:type="page"/>
      </w:r>
      <w:bookmarkStart w:id="67" w:name="_Toc417119988"/>
      <w:bookmarkStart w:id="68" w:name="_Toc417552747"/>
      <w:r>
        <w:t>Table 3.10: Sustainable Budget Planning Position</w:t>
      </w:r>
      <w:bookmarkEnd w:id="67"/>
      <w:bookmarkEnd w:id="68"/>
      <w:r>
        <w:fldChar w:fldCharType="begin"/>
      </w:r>
      <w:r>
        <w:instrText>xe "Budget:Sustainable planning"</w:instrText>
      </w:r>
      <w:r>
        <w:fldChar w:fldCharType="end"/>
      </w:r>
    </w:p>
    <w:p w:rsidR="00000000" w:rsidRDefault="001F233B">
      <w:pPr>
        <w:pStyle w:val="Source"/>
        <w:spacing w:after="0"/>
        <w:jc w:val="center"/>
        <w:rPr>
          <w:noProof/>
        </w:rPr>
      </w:pPr>
      <w:r>
        <w:rPr>
          <w:rFonts w:ascii="Arial" w:hAnsi="Arial"/>
        </w:rPr>
        <w:t xml:space="preserve">$ million </w:t>
      </w:r>
    </w:p>
    <w:tbl>
      <w:tblPr>
        <w:tblW w:w="0" w:type="auto"/>
        <w:tblLayout w:type="fixed"/>
        <w:tblCellMar>
          <w:left w:w="30" w:type="dxa"/>
          <w:right w:w="30" w:type="dxa"/>
        </w:tblCellMar>
        <w:tblLook w:val="0000" w:firstRow="0" w:lastRow="0" w:firstColumn="0" w:lastColumn="0" w:noHBand="0" w:noVBand="0"/>
      </w:tblPr>
      <w:tblGrid>
        <w:gridCol w:w="2854"/>
        <w:gridCol w:w="820"/>
        <w:gridCol w:w="821"/>
        <w:gridCol w:w="821"/>
        <w:gridCol w:w="821"/>
        <w:gridCol w:w="821"/>
      </w:tblGrid>
      <w:tr w:rsidR="00000000">
        <w:tblPrEx>
          <w:tblCellMar>
            <w:top w:w="0" w:type="dxa"/>
            <w:bottom w:w="0" w:type="dxa"/>
          </w:tblCellMar>
        </w:tblPrEx>
        <w:trPr>
          <w:trHeight w:hRule="exact" w:val="240"/>
        </w:trPr>
        <w:tc>
          <w:tcPr>
            <w:tcW w:w="2854" w:type="dxa"/>
            <w:tcBorders>
              <w:top w:val="single" w:sz="6" w:space="0" w:color="auto"/>
            </w:tcBorders>
          </w:tcPr>
          <w:p w:rsidR="00000000" w:rsidRDefault="001F233B">
            <w:pPr>
              <w:jc w:val="right"/>
              <w:rPr>
                <w:rFonts w:ascii="Arial" w:hAnsi="Arial"/>
                <w:b/>
                <w:color w:val="000000"/>
                <w:sz w:val="16"/>
              </w:rPr>
            </w:pPr>
          </w:p>
        </w:tc>
        <w:tc>
          <w:tcPr>
            <w:tcW w:w="820" w:type="dxa"/>
            <w:tcBorders>
              <w:top w:val="single" w:sz="6" w:space="0" w:color="auto"/>
            </w:tcBorders>
          </w:tcPr>
          <w:p w:rsidR="00000000" w:rsidRDefault="001F233B">
            <w:pPr>
              <w:jc w:val="right"/>
              <w:rPr>
                <w:rFonts w:ascii="Arial" w:hAnsi="Arial"/>
                <w:i/>
                <w:color w:val="000000"/>
                <w:sz w:val="16"/>
              </w:rPr>
            </w:pPr>
            <w:r>
              <w:rPr>
                <w:rFonts w:ascii="Arial" w:hAnsi="Arial"/>
                <w:i/>
                <w:color w:val="000000"/>
                <w:sz w:val="16"/>
              </w:rPr>
              <w:t>1997-98</w:t>
            </w:r>
          </w:p>
        </w:tc>
        <w:tc>
          <w:tcPr>
            <w:tcW w:w="821" w:type="dxa"/>
            <w:tcBorders>
              <w:top w:val="single" w:sz="6" w:space="0" w:color="auto"/>
            </w:tcBorders>
          </w:tcPr>
          <w:p w:rsidR="00000000" w:rsidRDefault="001F233B">
            <w:pPr>
              <w:jc w:val="right"/>
              <w:rPr>
                <w:rFonts w:ascii="Arial" w:hAnsi="Arial"/>
                <w:i/>
                <w:color w:val="000000"/>
                <w:sz w:val="16"/>
              </w:rPr>
            </w:pPr>
            <w:r>
              <w:rPr>
                <w:rFonts w:ascii="Arial" w:hAnsi="Arial"/>
                <w:i/>
                <w:color w:val="000000"/>
                <w:sz w:val="16"/>
              </w:rPr>
              <w:t>1998-99</w:t>
            </w:r>
          </w:p>
        </w:tc>
        <w:tc>
          <w:tcPr>
            <w:tcW w:w="821" w:type="dxa"/>
            <w:tcBorders>
              <w:top w:val="single" w:sz="6" w:space="0" w:color="auto"/>
            </w:tcBorders>
          </w:tcPr>
          <w:p w:rsidR="00000000" w:rsidRDefault="001F233B">
            <w:pPr>
              <w:jc w:val="right"/>
              <w:rPr>
                <w:rFonts w:ascii="Arial" w:hAnsi="Arial"/>
                <w:i/>
                <w:color w:val="000000"/>
                <w:sz w:val="16"/>
              </w:rPr>
            </w:pPr>
            <w:r>
              <w:rPr>
                <w:rFonts w:ascii="Arial" w:hAnsi="Arial"/>
                <w:i/>
                <w:color w:val="000000"/>
                <w:sz w:val="16"/>
              </w:rPr>
              <w:t>1999-00</w:t>
            </w:r>
          </w:p>
        </w:tc>
        <w:tc>
          <w:tcPr>
            <w:tcW w:w="821" w:type="dxa"/>
            <w:tcBorders>
              <w:top w:val="single" w:sz="6" w:space="0" w:color="auto"/>
            </w:tcBorders>
          </w:tcPr>
          <w:p w:rsidR="00000000" w:rsidRDefault="001F233B">
            <w:pPr>
              <w:jc w:val="right"/>
              <w:rPr>
                <w:rFonts w:ascii="Arial" w:hAnsi="Arial"/>
                <w:i/>
                <w:color w:val="000000"/>
                <w:sz w:val="16"/>
              </w:rPr>
            </w:pPr>
            <w:r>
              <w:rPr>
                <w:rFonts w:ascii="Arial" w:hAnsi="Arial"/>
                <w:i/>
                <w:color w:val="000000"/>
                <w:sz w:val="16"/>
              </w:rPr>
              <w:t>2000-01</w:t>
            </w:r>
          </w:p>
        </w:tc>
        <w:tc>
          <w:tcPr>
            <w:tcW w:w="821" w:type="dxa"/>
            <w:tcBorders>
              <w:top w:val="single" w:sz="6" w:space="0" w:color="auto"/>
            </w:tcBorders>
          </w:tcPr>
          <w:p w:rsidR="00000000" w:rsidRDefault="001F233B">
            <w:pPr>
              <w:jc w:val="right"/>
              <w:rPr>
                <w:rFonts w:ascii="Arial" w:hAnsi="Arial"/>
                <w:i/>
                <w:color w:val="000000"/>
                <w:sz w:val="16"/>
              </w:rPr>
            </w:pPr>
            <w:r>
              <w:rPr>
                <w:rFonts w:ascii="Arial" w:hAnsi="Arial"/>
                <w:i/>
                <w:color w:val="000000"/>
                <w:sz w:val="16"/>
              </w:rPr>
              <w:t>2001-02</w:t>
            </w:r>
          </w:p>
        </w:tc>
      </w:tr>
      <w:tr w:rsidR="00000000">
        <w:tblPrEx>
          <w:tblCellMar>
            <w:top w:w="0" w:type="dxa"/>
            <w:bottom w:w="0" w:type="dxa"/>
          </w:tblCellMar>
        </w:tblPrEx>
        <w:trPr>
          <w:trHeight w:hRule="exact" w:val="240"/>
        </w:trPr>
        <w:tc>
          <w:tcPr>
            <w:tcW w:w="2854" w:type="dxa"/>
            <w:tcBorders>
              <w:bottom w:val="single" w:sz="6" w:space="0" w:color="auto"/>
            </w:tcBorders>
          </w:tcPr>
          <w:p w:rsidR="00000000" w:rsidRDefault="001F233B">
            <w:pPr>
              <w:jc w:val="right"/>
              <w:rPr>
                <w:rFonts w:ascii="Arial" w:hAnsi="Arial"/>
                <w:b/>
                <w:color w:val="000000"/>
                <w:sz w:val="16"/>
              </w:rPr>
            </w:pPr>
          </w:p>
        </w:tc>
        <w:tc>
          <w:tcPr>
            <w:tcW w:w="820" w:type="dxa"/>
          </w:tcPr>
          <w:p w:rsidR="00000000" w:rsidRDefault="001F233B">
            <w:pPr>
              <w:jc w:val="right"/>
              <w:rPr>
                <w:rFonts w:ascii="Arial" w:hAnsi="Arial"/>
                <w:i/>
                <w:color w:val="000000"/>
                <w:sz w:val="16"/>
              </w:rPr>
            </w:pPr>
            <w:r>
              <w:rPr>
                <w:rFonts w:ascii="Arial" w:hAnsi="Arial"/>
                <w:i/>
                <w:color w:val="000000"/>
                <w:sz w:val="16"/>
              </w:rPr>
              <w:t>Revise</w:t>
            </w:r>
          </w:p>
        </w:tc>
        <w:tc>
          <w:tcPr>
            <w:tcW w:w="821" w:type="dxa"/>
          </w:tcPr>
          <w:p w:rsidR="00000000" w:rsidRDefault="001F233B">
            <w:pPr>
              <w:jc w:val="right"/>
              <w:rPr>
                <w:rFonts w:ascii="Arial" w:hAnsi="Arial"/>
                <w:i/>
                <w:color w:val="000000"/>
                <w:sz w:val="16"/>
              </w:rPr>
            </w:pPr>
            <w:r>
              <w:rPr>
                <w:rFonts w:ascii="Arial" w:hAnsi="Arial"/>
                <w:i/>
                <w:color w:val="000000"/>
                <w:sz w:val="16"/>
              </w:rPr>
              <w:t>Budget</w:t>
            </w:r>
          </w:p>
        </w:tc>
        <w:tc>
          <w:tcPr>
            <w:tcW w:w="821" w:type="dxa"/>
          </w:tcPr>
          <w:p w:rsidR="00000000" w:rsidRDefault="001F233B">
            <w:pPr>
              <w:jc w:val="right"/>
              <w:rPr>
                <w:rFonts w:ascii="Arial" w:hAnsi="Arial"/>
                <w:i/>
                <w:color w:val="000000"/>
                <w:sz w:val="16"/>
              </w:rPr>
            </w:pPr>
            <w:r>
              <w:rPr>
                <w:rFonts w:ascii="Arial" w:hAnsi="Arial"/>
                <w:i/>
                <w:color w:val="000000"/>
                <w:sz w:val="16"/>
              </w:rPr>
              <w:t>Estimate</w:t>
            </w:r>
          </w:p>
        </w:tc>
        <w:tc>
          <w:tcPr>
            <w:tcW w:w="821" w:type="dxa"/>
          </w:tcPr>
          <w:p w:rsidR="00000000" w:rsidRDefault="001F233B">
            <w:pPr>
              <w:jc w:val="right"/>
              <w:rPr>
                <w:rFonts w:ascii="Arial" w:hAnsi="Arial"/>
                <w:i/>
                <w:color w:val="000000"/>
                <w:sz w:val="16"/>
              </w:rPr>
            </w:pPr>
            <w:r>
              <w:rPr>
                <w:rFonts w:ascii="Arial" w:hAnsi="Arial"/>
                <w:i/>
                <w:color w:val="000000"/>
                <w:sz w:val="16"/>
              </w:rPr>
              <w:t>Estimate</w:t>
            </w:r>
          </w:p>
        </w:tc>
        <w:tc>
          <w:tcPr>
            <w:tcW w:w="821" w:type="dxa"/>
          </w:tcPr>
          <w:p w:rsidR="00000000" w:rsidRDefault="001F233B">
            <w:pPr>
              <w:jc w:val="right"/>
              <w:rPr>
                <w:rFonts w:ascii="Arial" w:hAnsi="Arial"/>
                <w:i/>
                <w:color w:val="000000"/>
                <w:sz w:val="16"/>
              </w:rPr>
            </w:pPr>
            <w:r>
              <w:rPr>
                <w:rFonts w:ascii="Arial" w:hAnsi="Arial"/>
                <w:i/>
                <w:color w:val="000000"/>
                <w:sz w:val="16"/>
              </w:rPr>
              <w:t>Estimate</w:t>
            </w:r>
          </w:p>
        </w:tc>
      </w:tr>
      <w:tr w:rsidR="00000000">
        <w:tblPrEx>
          <w:tblCellMar>
            <w:top w:w="0" w:type="dxa"/>
            <w:bottom w:w="0" w:type="dxa"/>
          </w:tblCellMar>
        </w:tblPrEx>
        <w:trPr>
          <w:trHeight w:hRule="exact" w:val="240"/>
        </w:trPr>
        <w:tc>
          <w:tcPr>
            <w:tcW w:w="2854" w:type="dxa"/>
          </w:tcPr>
          <w:p w:rsidR="00000000" w:rsidRDefault="001F233B">
            <w:pPr>
              <w:rPr>
                <w:rFonts w:ascii="Arial" w:hAnsi="Arial"/>
                <w:b/>
                <w:color w:val="000000"/>
                <w:sz w:val="16"/>
              </w:rPr>
            </w:pPr>
            <w:r>
              <w:rPr>
                <w:rFonts w:ascii="Arial" w:hAnsi="Arial"/>
                <w:b/>
                <w:color w:val="000000"/>
                <w:sz w:val="16"/>
              </w:rPr>
              <w:t>Oper</w:t>
            </w:r>
            <w:r>
              <w:rPr>
                <w:rFonts w:ascii="Arial" w:hAnsi="Arial"/>
                <w:b/>
                <w:color w:val="000000"/>
                <w:sz w:val="16"/>
              </w:rPr>
              <w:t>ating Surplus/(Deficit)</w:t>
            </w:r>
          </w:p>
        </w:tc>
        <w:tc>
          <w:tcPr>
            <w:tcW w:w="820" w:type="dxa"/>
            <w:tcBorders>
              <w:top w:val="single" w:sz="6" w:space="0" w:color="auto"/>
            </w:tcBorders>
          </w:tcPr>
          <w:p w:rsidR="00000000" w:rsidRDefault="001F233B">
            <w:pPr>
              <w:jc w:val="right"/>
              <w:rPr>
                <w:rFonts w:ascii="Arial" w:hAnsi="Arial"/>
                <w:color w:val="000000"/>
                <w:sz w:val="16"/>
              </w:rPr>
            </w:pPr>
          </w:p>
        </w:tc>
        <w:tc>
          <w:tcPr>
            <w:tcW w:w="821" w:type="dxa"/>
            <w:tcBorders>
              <w:top w:val="single" w:sz="6" w:space="0" w:color="auto"/>
            </w:tcBorders>
          </w:tcPr>
          <w:p w:rsidR="00000000" w:rsidRDefault="001F233B">
            <w:pPr>
              <w:jc w:val="center"/>
              <w:rPr>
                <w:rFonts w:ascii="Arial" w:hAnsi="Arial"/>
                <w:color w:val="000000"/>
                <w:sz w:val="16"/>
              </w:rPr>
            </w:pPr>
          </w:p>
        </w:tc>
        <w:tc>
          <w:tcPr>
            <w:tcW w:w="821" w:type="dxa"/>
            <w:tcBorders>
              <w:top w:val="single" w:sz="6" w:space="0" w:color="auto"/>
            </w:tcBorders>
          </w:tcPr>
          <w:p w:rsidR="00000000" w:rsidRDefault="001F233B">
            <w:pPr>
              <w:jc w:val="center"/>
              <w:rPr>
                <w:rFonts w:ascii="Arial" w:hAnsi="Arial"/>
                <w:color w:val="000000"/>
                <w:sz w:val="16"/>
              </w:rPr>
            </w:pPr>
          </w:p>
        </w:tc>
        <w:tc>
          <w:tcPr>
            <w:tcW w:w="821" w:type="dxa"/>
            <w:tcBorders>
              <w:top w:val="single" w:sz="6" w:space="0" w:color="auto"/>
            </w:tcBorders>
          </w:tcPr>
          <w:p w:rsidR="00000000" w:rsidRDefault="001F233B">
            <w:pPr>
              <w:jc w:val="center"/>
              <w:rPr>
                <w:rFonts w:ascii="Arial" w:hAnsi="Arial"/>
                <w:color w:val="000000"/>
                <w:sz w:val="16"/>
              </w:rPr>
            </w:pPr>
          </w:p>
        </w:tc>
        <w:tc>
          <w:tcPr>
            <w:tcW w:w="821" w:type="dxa"/>
            <w:tcBorders>
              <w:top w:val="single" w:sz="6" w:space="0" w:color="auto"/>
            </w:tcBorders>
          </w:tcPr>
          <w:p w:rsidR="00000000" w:rsidRDefault="001F233B">
            <w:pPr>
              <w:jc w:val="center"/>
              <w:rPr>
                <w:rFonts w:ascii="Arial" w:hAnsi="Arial"/>
                <w:color w:val="000000"/>
                <w:sz w:val="16"/>
              </w:rPr>
            </w:pPr>
          </w:p>
        </w:tc>
      </w:tr>
      <w:tr w:rsidR="00000000">
        <w:tblPrEx>
          <w:tblCellMar>
            <w:top w:w="0" w:type="dxa"/>
            <w:bottom w:w="0" w:type="dxa"/>
          </w:tblCellMar>
        </w:tblPrEx>
        <w:trPr>
          <w:trHeight w:hRule="exact" w:val="240"/>
        </w:trPr>
        <w:tc>
          <w:tcPr>
            <w:tcW w:w="2854" w:type="dxa"/>
          </w:tcPr>
          <w:p w:rsidR="00000000" w:rsidRDefault="001F233B">
            <w:pPr>
              <w:rPr>
                <w:rFonts w:ascii="Arial" w:hAnsi="Arial"/>
                <w:b/>
                <w:color w:val="000000"/>
                <w:sz w:val="16"/>
              </w:rPr>
            </w:pPr>
            <w:r>
              <w:rPr>
                <w:rFonts w:ascii="Arial" w:hAnsi="Arial"/>
                <w:b/>
                <w:color w:val="000000"/>
                <w:sz w:val="16"/>
              </w:rPr>
              <w:t>before abnormals</w:t>
            </w:r>
          </w:p>
        </w:tc>
        <w:tc>
          <w:tcPr>
            <w:tcW w:w="820" w:type="dxa"/>
          </w:tcPr>
          <w:p w:rsidR="00000000" w:rsidRDefault="001F233B">
            <w:pPr>
              <w:jc w:val="right"/>
              <w:rPr>
                <w:rFonts w:ascii="Arial" w:hAnsi="Arial"/>
                <w:color w:val="000000"/>
                <w:sz w:val="16"/>
              </w:rPr>
            </w:pPr>
            <w:r>
              <w:rPr>
                <w:rFonts w:ascii="Arial" w:hAnsi="Arial"/>
                <w:color w:val="000000"/>
                <w:sz w:val="16"/>
              </w:rPr>
              <w:t>1 153.1</w:t>
            </w:r>
          </w:p>
        </w:tc>
        <w:tc>
          <w:tcPr>
            <w:tcW w:w="821" w:type="dxa"/>
          </w:tcPr>
          <w:p w:rsidR="00000000" w:rsidRDefault="001F233B">
            <w:pPr>
              <w:jc w:val="right"/>
              <w:rPr>
                <w:rFonts w:ascii="Arial" w:hAnsi="Arial"/>
                <w:color w:val="000000"/>
                <w:sz w:val="16"/>
              </w:rPr>
            </w:pPr>
            <w:r>
              <w:rPr>
                <w:rFonts w:ascii="Arial" w:hAnsi="Arial"/>
                <w:color w:val="000000"/>
                <w:sz w:val="16"/>
              </w:rPr>
              <w:t xml:space="preserve"> 767.3</w:t>
            </w:r>
          </w:p>
        </w:tc>
        <w:tc>
          <w:tcPr>
            <w:tcW w:w="821" w:type="dxa"/>
          </w:tcPr>
          <w:p w:rsidR="00000000" w:rsidRDefault="001F233B">
            <w:pPr>
              <w:jc w:val="right"/>
              <w:rPr>
                <w:rFonts w:ascii="Arial" w:hAnsi="Arial"/>
                <w:color w:val="000000"/>
                <w:sz w:val="16"/>
              </w:rPr>
            </w:pPr>
            <w:r>
              <w:rPr>
                <w:rFonts w:ascii="Arial" w:hAnsi="Arial"/>
                <w:color w:val="000000"/>
                <w:sz w:val="16"/>
              </w:rPr>
              <w:t xml:space="preserve"> 970.9</w:t>
            </w:r>
          </w:p>
        </w:tc>
        <w:tc>
          <w:tcPr>
            <w:tcW w:w="821" w:type="dxa"/>
          </w:tcPr>
          <w:p w:rsidR="00000000" w:rsidRDefault="001F233B">
            <w:pPr>
              <w:jc w:val="right"/>
              <w:rPr>
                <w:rFonts w:ascii="Arial" w:hAnsi="Arial"/>
                <w:color w:val="000000"/>
                <w:sz w:val="16"/>
              </w:rPr>
            </w:pPr>
            <w:r>
              <w:rPr>
                <w:rFonts w:ascii="Arial" w:hAnsi="Arial"/>
                <w:color w:val="000000"/>
                <w:sz w:val="16"/>
              </w:rPr>
              <w:t xml:space="preserve"> 920.9</w:t>
            </w:r>
          </w:p>
        </w:tc>
        <w:tc>
          <w:tcPr>
            <w:tcW w:w="821" w:type="dxa"/>
          </w:tcPr>
          <w:p w:rsidR="00000000" w:rsidRDefault="001F233B">
            <w:pPr>
              <w:jc w:val="right"/>
              <w:rPr>
                <w:rFonts w:ascii="Arial" w:hAnsi="Arial"/>
                <w:color w:val="000000"/>
                <w:sz w:val="16"/>
              </w:rPr>
            </w:pPr>
            <w:r>
              <w:rPr>
                <w:rFonts w:ascii="Arial" w:hAnsi="Arial"/>
                <w:color w:val="000000"/>
                <w:sz w:val="16"/>
              </w:rPr>
              <w:t xml:space="preserve"> 949.2</w:t>
            </w:r>
          </w:p>
        </w:tc>
      </w:tr>
      <w:tr w:rsidR="00000000">
        <w:tblPrEx>
          <w:tblCellMar>
            <w:top w:w="0" w:type="dxa"/>
            <w:bottom w:w="0" w:type="dxa"/>
          </w:tblCellMar>
        </w:tblPrEx>
        <w:trPr>
          <w:trHeight w:hRule="exact" w:val="240"/>
        </w:trPr>
        <w:tc>
          <w:tcPr>
            <w:tcW w:w="2854" w:type="dxa"/>
          </w:tcPr>
          <w:p w:rsidR="00000000" w:rsidRDefault="001F233B">
            <w:pPr>
              <w:rPr>
                <w:rFonts w:ascii="Arial" w:hAnsi="Arial"/>
                <w:i/>
                <w:color w:val="000000"/>
                <w:sz w:val="16"/>
              </w:rPr>
            </w:pPr>
            <w:r>
              <w:rPr>
                <w:rFonts w:ascii="Arial" w:hAnsi="Arial"/>
                <w:i/>
                <w:color w:val="000000"/>
                <w:sz w:val="16"/>
              </w:rPr>
              <w:t>Revenue sources to be discontinued</w:t>
            </w:r>
          </w:p>
        </w:tc>
        <w:tc>
          <w:tcPr>
            <w:tcW w:w="820"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r>
      <w:tr w:rsidR="00000000">
        <w:tblPrEx>
          <w:tblCellMar>
            <w:top w:w="0" w:type="dxa"/>
            <w:bottom w:w="0" w:type="dxa"/>
          </w:tblCellMar>
        </w:tblPrEx>
        <w:trPr>
          <w:trHeight w:hRule="exact" w:val="240"/>
        </w:trPr>
        <w:tc>
          <w:tcPr>
            <w:tcW w:w="2854" w:type="dxa"/>
          </w:tcPr>
          <w:p w:rsidR="00000000" w:rsidRDefault="001F233B">
            <w:pPr>
              <w:rPr>
                <w:rFonts w:ascii="Arial" w:hAnsi="Arial"/>
                <w:color w:val="000000"/>
                <w:sz w:val="16"/>
              </w:rPr>
            </w:pPr>
            <w:r>
              <w:rPr>
                <w:rFonts w:ascii="Arial" w:hAnsi="Arial"/>
                <w:color w:val="000000"/>
                <w:sz w:val="16"/>
              </w:rPr>
              <w:t>PAC/</w:t>
            </w:r>
            <w:r>
              <w:rPr>
                <w:rFonts w:ascii="Arial" w:hAnsi="Arial"/>
                <w:color w:val="000000"/>
                <w:sz w:val="16"/>
              </w:rPr>
              <w:fldChar w:fldCharType="begin"/>
            </w:r>
            <w:r>
              <w:rPr>
                <w:rFonts w:ascii="Arial" w:hAnsi="Arial"/>
                <w:color w:val="000000"/>
                <w:sz w:val="16"/>
              </w:rPr>
              <w:instrText>xe "Public authority contribution"</w:instrText>
            </w:r>
            <w:r>
              <w:rPr>
                <w:rFonts w:ascii="Arial" w:hAnsi="Arial"/>
                <w:color w:val="000000"/>
                <w:sz w:val="16"/>
              </w:rPr>
              <w:fldChar w:fldCharType="end"/>
            </w:r>
            <w:r>
              <w:rPr>
                <w:rFonts w:ascii="Arial" w:hAnsi="Arial"/>
                <w:color w:val="000000"/>
                <w:sz w:val="16"/>
              </w:rPr>
              <w:t>temporary Gas</w:t>
            </w:r>
            <w:r>
              <w:rPr>
                <w:rFonts w:ascii="Arial" w:hAnsi="Arial"/>
                <w:color w:val="000000"/>
                <w:sz w:val="16"/>
              </w:rPr>
              <w:fldChar w:fldCharType="begin"/>
            </w:r>
            <w:r>
              <w:rPr>
                <w:rFonts w:ascii="Arial" w:hAnsi="Arial"/>
                <w:color w:val="000000"/>
                <w:sz w:val="16"/>
              </w:rPr>
              <w:instrText>xe "Gas"</w:instrText>
            </w:r>
            <w:r>
              <w:rPr>
                <w:rFonts w:ascii="Arial" w:hAnsi="Arial"/>
                <w:color w:val="000000"/>
                <w:sz w:val="16"/>
              </w:rPr>
              <w:fldChar w:fldCharType="end"/>
            </w:r>
            <w:r>
              <w:rPr>
                <w:rFonts w:ascii="Arial" w:hAnsi="Arial"/>
                <w:color w:val="000000"/>
                <w:sz w:val="16"/>
              </w:rPr>
              <w:t xml:space="preserve"> Industry dividends</w:t>
            </w:r>
          </w:p>
        </w:tc>
        <w:tc>
          <w:tcPr>
            <w:tcW w:w="820" w:type="dxa"/>
          </w:tcPr>
          <w:p w:rsidR="00000000" w:rsidRDefault="001F233B">
            <w:pPr>
              <w:jc w:val="right"/>
              <w:rPr>
                <w:rFonts w:ascii="Arial" w:hAnsi="Arial"/>
                <w:color w:val="000000"/>
                <w:sz w:val="16"/>
              </w:rPr>
            </w:pPr>
            <w:r>
              <w:rPr>
                <w:rFonts w:ascii="Arial" w:hAnsi="Arial"/>
                <w:color w:val="000000"/>
                <w:sz w:val="16"/>
              </w:rPr>
              <w:t>- 276.3</w:t>
            </w:r>
          </w:p>
        </w:tc>
        <w:tc>
          <w:tcPr>
            <w:tcW w:w="821" w:type="dxa"/>
          </w:tcPr>
          <w:p w:rsidR="00000000" w:rsidRDefault="001F233B">
            <w:pPr>
              <w:jc w:val="right"/>
              <w:rPr>
                <w:rFonts w:ascii="Arial" w:hAnsi="Arial"/>
                <w:color w:val="000000"/>
                <w:sz w:val="16"/>
              </w:rPr>
            </w:pPr>
            <w:r>
              <w:rPr>
                <w:rFonts w:ascii="Arial" w:hAnsi="Arial"/>
                <w:color w:val="000000"/>
                <w:sz w:val="16"/>
              </w:rPr>
              <w:t>- 308.0</w:t>
            </w:r>
          </w:p>
        </w:tc>
        <w:tc>
          <w:tcPr>
            <w:tcW w:w="821" w:type="dxa"/>
          </w:tcPr>
          <w:p w:rsidR="00000000" w:rsidRDefault="001F233B">
            <w:pPr>
              <w:jc w:val="right"/>
              <w:rPr>
                <w:rFonts w:ascii="Arial" w:hAnsi="Arial"/>
                <w:color w:val="000000"/>
                <w:sz w:val="16"/>
              </w:rPr>
            </w:pPr>
            <w:r>
              <w:rPr>
                <w:rFonts w:ascii="Arial" w:hAnsi="Arial"/>
                <w:color w:val="000000"/>
                <w:sz w:val="16"/>
              </w:rPr>
              <w:t>- 277.0</w:t>
            </w:r>
          </w:p>
        </w:tc>
        <w:tc>
          <w:tcPr>
            <w:tcW w:w="821" w:type="dxa"/>
          </w:tcPr>
          <w:p w:rsidR="00000000" w:rsidRDefault="001F233B">
            <w:pPr>
              <w:jc w:val="right"/>
              <w:rPr>
                <w:rFonts w:ascii="Arial" w:hAnsi="Arial"/>
                <w:color w:val="000000"/>
                <w:sz w:val="16"/>
              </w:rPr>
            </w:pPr>
            <w:r>
              <w:rPr>
                <w:rFonts w:ascii="Arial" w:hAnsi="Arial"/>
                <w:color w:val="000000"/>
                <w:sz w:val="16"/>
              </w:rPr>
              <w:t>- 237.0</w:t>
            </w:r>
          </w:p>
        </w:tc>
        <w:tc>
          <w:tcPr>
            <w:tcW w:w="821" w:type="dxa"/>
          </w:tcPr>
          <w:p w:rsidR="00000000" w:rsidRDefault="001F233B">
            <w:pPr>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rPr>
          <w:trHeight w:hRule="exact" w:val="240"/>
        </w:trPr>
        <w:tc>
          <w:tcPr>
            <w:tcW w:w="2854" w:type="dxa"/>
          </w:tcPr>
          <w:p w:rsidR="00000000" w:rsidRDefault="001F233B">
            <w:pPr>
              <w:rPr>
                <w:rFonts w:ascii="Arial" w:hAnsi="Arial"/>
                <w:color w:val="000000"/>
                <w:sz w:val="16"/>
              </w:rPr>
            </w:pPr>
            <w:r>
              <w:rPr>
                <w:rFonts w:ascii="Arial" w:hAnsi="Arial"/>
                <w:color w:val="000000"/>
                <w:sz w:val="16"/>
              </w:rPr>
              <w:t>Electricity</w:t>
            </w:r>
            <w:r>
              <w:rPr>
                <w:rFonts w:ascii="Arial" w:hAnsi="Arial"/>
                <w:color w:val="000000"/>
                <w:sz w:val="16"/>
              </w:rPr>
              <w:fldChar w:fldCharType="begin"/>
            </w:r>
            <w:r>
              <w:rPr>
                <w:rFonts w:ascii="Arial" w:hAnsi="Arial"/>
                <w:color w:val="000000"/>
                <w:sz w:val="16"/>
              </w:rPr>
              <w:instrText>xe "Electricity"</w:instrText>
            </w:r>
            <w:r>
              <w:rPr>
                <w:rFonts w:ascii="Arial" w:hAnsi="Arial"/>
                <w:color w:val="000000"/>
                <w:sz w:val="16"/>
              </w:rPr>
              <w:fldChar w:fldCharType="end"/>
            </w:r>
            <w:r>
              <w:rPr>
                <w:rFonts w:ascii="Arial" w:hAnsi="Arial"/>
                <w:color w:val="000000"/>
                <w:sz w:val="16"/>
              </w:rPr>
              <w:t xml:space="preserve"> Licence fee (PowerNet)</w:t>
            </w:r>
          </w:p>
        </w:tc>
        <w:tc>
          <w:tcPr>
            <w:tcW w:w="820" w:type="dxa"/>
          </w:tcPr>
          <w:p w:rsidR="00000000" w:rsidRDefault="001F233B">
            <w:pPr>
              <w:jc w:val="right"/>
              <w:rPr>
                <w:rFonts w:ascii="Arial" w:hAnsi="Arial"/>
                <w:color w:val="000000"/>
                <w:sz w:val="16"/>
              </w:rPr>
            </w:pPr>
            <w:r>
              <w:rPr>
                <w:rFonts w:ascii="Arial" w:hAnsi="Arial"/>
                <w:color w:val="000000"/>
                <w:sz w:val="16"/>
              </w:rPr>
              <w:t>- 37.5</w:t>
            </w:r>
          </w:p>
        </w:tc>
        <w:tc>
          <w:tcPr>
            <w:tcW w:w="821" w:type="dxa"/>
          </w:tcPr>
          <w:p w:rsidR="00000000" w:rsidRDefault="001F233B">
            <w:pPr>
              <w:jc w:val="right"/>
              <w:rPr>
                <w:rFonts w:ascii="Arial" w:hAnsi="Arial"/>
                <w:color w:val="000000"/>
                <w:sz w:val="16"/>
              </w:rPr>
            </w:pPr>
            <w:r>
              <w:rPr>
                <w:rFonts w:ascii="Arial" w:hAnsi="Arial"/>
                <w:color w:val="000000"/>
                <w:sz w:val="16"/>
              </w:rPr>
              <w:t>- 50.0</w:t>
            </w:r>
          </w:p>
        </w:tc>
        <w:tc>
          <w:tcPr>
            <w:tcW w:w="821" w:type="dxa"/>
          </w:tcPr>
          <w:p w:rsidR="00000000" w:rsidRDefault="001F233B">
            <w:pPr>
              <w:jc w:val="right"/>
              <w:rPr>
                <w:rFonts w:ascii="Arial" w:hAnsi="Arial"/>
                <w:color w:val="000000"/>
                <w:sz w:val="16"/>
              </w:rPr>
            </w:pPr>
            <w:r>
              <w:rPr>
                <w:rFonts w:ascii="Arial" w:hAnsi="Arial"/>
                <w:color w:val="000000"/>
                <w:sz w:val="16"/>
              </w:rPr>
              <w:t>- 50.0</w:t>
            </w:r>
          </w:p>
        </w:tc>
        <w:tc>
          <w:tcPr>
            <w:tcW w:w="821" w:type="dxa"/>
          </w:tcPr>
          <w:p w:rsidR="00000000" w:rsidRDefault="001F233B">
            <w:pPr>
              <w:jc w:val="right"/>
              <w:rPr>
                <w:rFonts w:ascii="Arial" w:hAnsi="Arial"/>
                <w:color w:val="000000"/>
                <w:sz w:val="16"/>
              </w:rPr>
            </w:pPr>
            <w:r>
              <w:rPr>
                <w:rFonts w:ascii="Arial" w:hAnsi="Arial"/>
                <w:color w:val="000000"/>
                <w:sz w:val="16"/>
              </w:rPr>
              <w:t>- 40.0</w:t>
            </w:r>
          </w:p>
        </w:tc>
        <w:tc>
          <w:tcPr>
            <w:tcW w:w="821" w:type="dxa"/>
          </w:tcPr>
          <w:p w:rsidR="00000000" w:rsidRDefault="001F233B">
            <w:pPr>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rPr>
          <w:trHeight w:hRule="exact" w:val="240"/>
        </w:trPr>
        <w:tc>
          <w:tcPr>
            <w:tcW w:w="2854" w:type="dxa"/>
          </w:tcPr>
          <w:p w:rsidR="00000000" w:rsidRDefault="001F233B">
            <w:pPr>
              <w:rPr>
                <w:rFonts w:ascii="Arial" w:hAnsi="Arial"/>
                <w:color w:val="000000"/>
                <w:sz w:val="16"/>
              </w:rPr>
            </w:pPr>
            <w:r>
              <w:rPr>
                <w:rFonts w:ascii="Arial" w:hAnsi="Arial"/>
                <w:color w:val="000000"/>
                <w:sz w:val="16"/>
              </w:rPr>
              <w:t>Electricity</w:t>
            </w:r>
            <w:r>
              <w:rPr>
                <w:rFonts w:ascii="Arial" w:hAnsi="Arial"/>
                <w:color w:val="000000"/>
                <w:sz w:val="16"/>
              </w:rPr>
              <w:fldChar w:fldCharType="begin"/>
            </w:r>
            <w:r>
              <w:rPr>
                <w:rFonts w:ascii="Arial" w:hAnsi="Arial"/>
                <w:color w:val="000000"/>
                <w:sz w:val="16"/>
              </w:rPr>
              <w:instrText>xe "Electricity"</w:instrText>
            </w:r>
            <w:r>
              <w:rPr>
                <w:rFonts w:ascii="Arial" w:hAnsi="Arial"/>
                <w:color w:val="000000"/>
                <w:sz w:val="16"/>
              </w:rPr>
              <w:fldChar w:fldCharType="end"/>
            </w:r>
            <w:r>
              <w:rPr>
                <w:rFonts w:ascii="Arial" w:hAnsi="Arial"/>
                <w:color w:val="000000"/>
                <w:sz w:val="16"/>
              </w:rPr>
              <w:t xml:space="preserve"> franchise fees</w:t>
            </w:r>
          </w:p>
        </w:tc>
        <w:tc>
          <w:tcPr>
            <w:tcW w:w="820" w:type="dxa"/>
          </w:tcPr>
          <w:p w:rsidR="00000000" w:rsidRDefault="001F233B">
            <w:pPr>
              <w:jc w:val="right"/>
              <w:rPr>
                <w:rFonts w:ascii="Arial" w:hAnsi="Arial"/>
                <w:color w:val="000000"/>
                <w:sz w:val="16"/>
              </w:rPr>
            </w:pPr>
            <w:r>
              <w:rPr>
                <w:rFonts w:ascii="Arial" w:hAnsi="Arial"/>
                <w:color w:val="000000"/>
                <w:sz w:val="16"/>
              </w:rPr>
              <w:t>- 153.7</w:t>
            </w:r>
          </w:p>
        </w:tc>
        <w:tc>
          <w:tcPr>
            <w:tcW w:w="821" w:type="dxa"/>
          </w:tcPr>
          <w:p w:rsidR="00000000" w:rsidRDefault="001F233B">
            <w:pPr>
              <w:jc w:val="right"/>
              <w:rPr>
                <w:rFonts w:ascii="Arial" w:hAnsi="Arial"/>
                <w:color w:val="000000"/>
                <w:sz w:val="16"/>
              </w:rPr>
            </w:pPr>
            <w:r>
              <w:rPr>
                <w:rFonts w:ascii="Arial" w:hAnsi="Arial"/>
                <w:color w:val="000000"/>
                <w:sz w:val="16"/>
              </w:rPr>
              <w:t>- 90.6</w:t>
            </w:r>
          </w:p>
        </w:tc>
        <w:tc>
          <w:tcPr>
            <w:tcW w:w="821" w:type="dxa"/>
          </w:tcPr>
          <w:p w:rsidR="00000000" w:rsidRDefault="001F233B">
            <w:pPr>
              <w:jc w:val="right"/>
              <w:rPr>
                <w:rFonts w:ascii="Arial" w:hAnsi="Arial"/>
                <w:color w:val="000000"/>
                <w:sz w:val="16"/>
              </w:rPr>
            </w:pPr>
            <w:r>
              <w:rPr>
                <w:rFonts w:ascii="Arial" w:hAnsi="Arial"/>
                <w:color w:val="000000"/>
                <w:sz w:val="16"/>
              </w:rPr>
              <w:t>- 104.3</w:t>
            </w:r>
          </w:p>
        </w:tc>
        <w:tc>
          <w:tcPr>
            <w:tcW w:w="821" w:type="dxa"/>
          </w:tcPr>
          <w:p w:rsidR="00000000" w:rsidRDefault="001F233B">
            <w:pPr>
              <w:jc w:val="right"/>
              <w:rPr>
                <w:rFonts w:ascii="Arial" w:hAnsi="Arial"/>
                <w:color w:val="000000"/>
                <w:sz w:val="16"/>
              </w:rPr>
            </w:pPr>
            <w:r>
              <w:rPr>
                <w:rFonts w:ascii="Arial" w:hAnsi="Arial"/>
                <w:color w:val="000000"/>
                <w:sz w:val="16"/>
              </w:rPr>
              <w:t>- 25.1</w:t>
            </w:r>
          </w:p>
        </w:tc>
        <w:tc>
          <w:tcPr>
            <w:tcW w:w="821" w:type="dxa"/>
          </w:tcPr>
          <w:p w:rsidR="00000000" w:rsidRDefault="001F233B">
            <w:pPr>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rPr>
          <w:trHeight w:hRule="exact" w:val="240"/>
        </w:trPr>
        <w:tc>
          <w:tcPr>
            <w:tcW w:w="2854" w:type="dxa"/>
            <w:tcBorders>
              <w:bottom w:val="single" w:sz="6" w:space="0" w:color="auto"/>
            </w:tcBorders>
          </w:tcPr>
          <w:p w:rsidR="00000000" w:rsidRDefault="001F233B">
            <w:pPr>
              <w:jc w:val="right"/>
              <w:rPr>
                <w:rFonts w:ascii="Arial" w:hAnsi="Arial"/>
                <w:color w:val="000000"/>
                <w:sz w:val="16"/>
              </w:rPr>
            </w:pPr>
          </w:p>
        </w:tc>
        <w:tc>
          <w:tcPr>
            <w:tcW w:w="820" w:type="dxa"/>
            <w:tcBorders>
              <w:bottom w:val="single" w:sz="6" w:space="0" w:color="auto"/>
            </w:tcBorders>
          </w:tcPr>
          <w:p w:rsidR="00000000" w:rsidRDefault="001F233B">
            <w:pPr>
              <w:jc w:val="right"/>
              <w:rPr>
                <w:rFonts w:ascii="Arial" w:hAnsi="Arial"/>
                <w:color w:val="000000"/>
                <w:sz w:val="16"/>
              </w:rPr>
            </w:pPr>
          </w:p>
        </w:tc>
        <w:tc>
          <w:tcPr>
            <w:tcW w:w="821" w:type="dxa"/>
            <w:tcBorders>
              <w:bottom w:val="single" w:sz="6" w:space="0" w:color="auto"/>
            </w:tcBorders>
          </w:tcPr>
          <w:p w:rsidR="00000000" w:rsidRDefault="001F233B">
            <w:pPr>
              <w:jc w:val="right"/>
              <w:rPr>
                <w:rFonts w:ascii="Arial" w:hAnsi="Arial"/>
                <w:color w:val="000000"/>
                <w:sz w:val="16"/>
              </w:rPr>
            </w:pPr>
          </w:p>
        </w:tc>
        <w:tc>
          <w:tcPr>
            <w:tcW w:w="821" w:type="dxa"/>
            <w:tcBorders>
              <w:bottom w:val="single" w:sz="6" w:space="0" w:color="auto"/>
            </w:tcBorders>
          </w:tcPr>
          <w:p w:rsidR="00000000" w:rsidRDefault="001F233B">
            <w:pPr>
              <w:jc w:val="right"/>
              <w:rPr>
                <w:rFonts w:ascii="Arial" w:hAnsi="Arial"/>
                <w:color w:val="000000"/>
                <w:sz w:val="16"/>
              </w:rPr>
            </w:pPr>
          </w:p>
        </w:tc>
        <w:tc>
          <w:tcPr>
            <w:tcW w:w="821" w:type="dxa"/>
            <w:tcBorders>
              <w:bottom w:val="single" w:sz="6" w:space="0" w:color="auto"/>
            </w:tcBorders>
          </w:tcPr>
          <w:p w:rsidR="00000000" w:rsidRDefault="001F233B">
            <w:pPr>
              <w:jc w:val="right"/>
              <w:rPr>
                <w:rFonts w:ascii="Arial" w:hAnsi="Arial"/>
                <w:color w:val="000000"/>
                <w:sz w:val="16"/>
              </w:rPr>
            </w:pPr>
          </w:p>
        </w:tc>
        <w:tc>
          <w:tcPr>
            <w:tcW w:w="821" w:type="dxa"/>
            <w:tcBorders>
              <w:bottom w:val="single" w:sz="6" w:space="0" w:color="auto"/>
            </w:tcBorders>
          </w:tcPr>
          <w:p w:rsidR="00000000" w:rsidRDefault="001F233B">
            <w:pPr>
              <w:jc w:val="right"/>
              <w:rPr>
                <w:rFonts w:ascii="Arial" w:hAnsi="Arial"/>
                <w:color w:val="000000"/>
                <w:sz w:val="16"/>
              </w:rPr>
            </w:pPr>
          </w:p>
        </w:tc>
      </w:tr>
      <w:tr w:rsidR="00000000">
        <w:tblPrEx>
          <w:tblCellMar>
            <w:top w:w="0" w:type="dxa"/>
            <w:bottom w:w="0" w:type="dxa"/>
          </w:tblCellMar>
        </w:tblPrEx>
        <w:trPr>
          <w:trHeight w:hRule="exact" w:val="240"/>
        </w:trPr>
        <w:tc>
          <w:tcPr>
            <w:tcW w:w="2854" w:type="dxa"/>
          </w:tcPr>
          <w:p w:rsidR="00000000" w:rsidRDefault="001F233B">
            <w:pPr>
              <w:rPr>
                <w:rFonts w:ascii="Arial" w:hAnsi="Arial"/>
                <w:b/>
                <w:color w:val="000000"/>
                <w:sz w:val="16"/>
              </w:rPr>
            </w:pPr>
            <w:r>
              <w:rPr>
                <w:rFonts w:ascii="Arial" w:hAnsi="Arial"/>
                <w:b/>
                <w:color w:val="000000"/>
                <w:sz w:val="16"/>
              </w:rPr>
              <w:t>Total revenue to be discontinued</w:t>
            </w:r>
          </w:p>
        </w:tc>
        <w:tc>
          <w:tcPr>
            <w:tcW w:w="820" w:type="dxa"/>
          </w:tcPr>
          <w:p w:rsidR="00000000" w:rsidRDefault="001F233B">
            <w:pPr>
              <w:jc w:val="right"/>
              <w:rPr>
                <w:rFonts w:ascii="Arial" w:hAnsi="Arial"/>
                <w:b/>
                <w:color w:val="000000"/>
                <w:sz w:val="16"/>
              </w:rPr>
            </w:pPr>
            <w:r>
              <w:rPr>
                <w:rFonts w:ascii="Arial" w:hAnsi="Arial"/>
                <w:b/>
                <w:color w:val="000000"/>
                <w:sz w:val="16"/>
              </w:rPr>
              <w:t>- 467.5</w:t>
            </w:r>
          </w:p>
        </w:tc>
        <w:tc>
          <w:tcPr>
            <w:tcW w:w="821" w:type="dxa"/>
          </w:tcPr>
          <w:p w:rsidR="00000000" w:rsidRDefault="001F233B">
            <w:pPr>
              <w:jc w:val="right"/>
              <w:rPr>
                <w:rFonts w:ascii="Arial" w:hAnsi="Arial"/>
                <w:b/>
                <w:color w:val="000000"/>
                <w:sz w:val="16"/>
              </w:rPr>
            </w:pPr>
            <w:r>
              <w:rPr>
                <w:rFonts w:ascii="Arial" w:hAnsi="Arial"/>
                <w:b/>
                <w:color w:val="000000"/>
                <w:sz w:val="16"/>
              </w:rPr>
              <w:t>- 448.6</w:t>
            </w:r>
          </w:p>
        </w:tc>
        <w:tc>
          <w:tcPr>
            <w:tcW w:w="821" w:type="dxa"/>
          </w:tcPr>
          <w:p w:rsidR="00000000" w:rsidRDefault="001F233B">
            <w:pPr>
              <w:jc w:val="right"/>
              <w:rPr>
                <w:rFonts w:ascii="Arial" w:hAnsi="Arial"/>
                <w:b/>
                <w:color w:val="000000"/>
                <w:sz w:val="16"/>
              </w:rPr>
            </w:pPr>
            <w:r>
              <w:rPr>
                <w:rFonts w:ascii="Arial" w:hAnsi="Arial"/>
                <w:b/>
                <w:color w:val="000000"/>
                <w:sz w:val="16"/>
              </w:rPr>
              <w:t>- 431.3</w:t>
            </w:r>
          </w:p>
        </w:tc>
        <w:tc>
          <w:tcPr>
            <w:tcW w:w="821" w:type="dxa"/>
          </w:tcPr>
          <w:p w:rsidR="00000000" w:rsidRDefault="001F233B">
            <w:pPr>
              <w:jc w:val="right"/>
              <w:rPr>
                <w:rFonts w:ascii="Arial" w:hAnsi="Arial"/>
                <w:b/>
                <w:color w:val="000000"/>
                <w:sz w:val="16"/>
              </w:rPr>
            </w:pPr>
            <w:r>
              <w:rPr>
                <w:rFonts w:ascii="Arial" w:hAnsi="Arial"/>
                <w:b/>
                <w:color w:val="000000"/>
                <w:sz w:val="16"/>
              </w:rPr>
              <w:t>- 302.1</w:t>
            </w:r>
          </w:p>
        </w:tc>
        <w:tc>
          <w:tcPr>
            <w:tcW w:w="821" w:type="dxa"/>
          </w:tcPr>
          <w:p w:rsidR="00000000" w:rsidRDefault="001F233B">
            <w:pPr>
              <w:jc w:val="right"/>
              <w:rPr>
                <w:rFonts w:ascii="Arial" w:hAnsi="Arial"/>
                <w:b/>
                <w:color w:val="000000"/>
                <w:sz w:val="16"/>
              </w:rPr>
            </w:pPr>
            <w:r>
              <w:rPr>
                <w:rFonts w:ascii="Arial" w:hAnsi="Arial"/>
                <w:b/>
                <w:color w:val="000000"/>
                <w:sz w:val="16"/>
              </w:rPr>
              <w:t>..</w:t>
            </w:r>
          </w:p>
        </w:tc>
      </w:tr>
      <w:tr w:rsidR="00000000">
        <w:tblPrEx>
          <w:tblCellMar>
            <w:top w:w="0" w:type="dxa"/>
            <w:bottom w:w="0" w:type="dxa"/>
          </w:tblCellMar>
        </w:tblPrEx>
        <w:trPr>
          <w:trHeight w:hRule="exact" w:val="240"/>
        </w:trPr>
        <w:tc>
          <w:tcPr>
            <w:tcW w:w="2854" w:type="dxa"/>
          </w:tcPr>
          <w:p w:rsidR="00000000" w:rsidRDefault="001F233B">
            <w:pPr>
              <w:jc w:val="right"/>
              <w:rPr>
                <w:rFonts w:ascii="Arial" w:hAnsi="Arial"/>
                <w:color w:val="000000"/>
                <w:sz w:val="16"/>
              </w:rPr>
            </w:pPr>
          </w:p>
        </w:tc>
        <w:tc>
          <w:tcPr>
            <w:tcW w:w="820"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r>
      <w:tr w:rsidR="00000000">
        <w:tblPrEx>
          <w:tblCellMar>
            <w:top w:w="0" w:type="dxa"/>
            <w:bottom w:w="0" w:type="dxa"/>
          </w:tblCellMar>
        </w:tblPrEx>
        <w:trPr>
          <w:trHeight w:hRule="exact" w:val="240"/>
        </w:trPr>
        <w:tc>
          <w:tcPr>
            <w:tcW w:w="2854" w:type="dxa"/>
          </w:tcPr>
          <w:p w:rsidR="00000000" w:rsidRDefault="001F233B">
            <w:pPr>
              <w:rPr>
                <w:rFonts w:ascii="Arial" w:hAnsi="Arial"/>
                <w:i/>
                <w:color w:val="000000"/>
                <w:sz w:val="16"/>
              </w:rPr>
            </w:pPr>
            <w:r>
              <w:rPr>
                <w:rFonts w:ascii="Arial" w:hAnsi="Arial"/>
                <w:i/>
                <w:color w:val="000000"/>
                <w:sz w:val="16"/>
              </w:rPr>
              <w:t>Removal of major one-</w:t>
            </w:r>
            <w:r>
              <w:rPr>
                <w:rFonts w:ascii="Arial" w:hAnsi="Arial"/>
                <w:i/>
                <w:color w:val="000000"/>
                <w:sz w:val="16"/>
              </w:rPr>
              <w:t>off expenses</w:t>
            </w:r>
          </w:p>
        </w:tc>
        <w:tc>
          <w:tcPr>
            <w:tcW w:w="820"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r>
      <w:tr w:rsidR="00000000">
        <w:tblPrEx>
          <w:tblCellMar>
            <w:top w:w="0" w:type="dxa"/>
            <w:bottom w:w="0" w:type="dxa"/>
          </w:tblCellMar>
        </w:tblPrEx>
        <w:trPr>
          <w:trHeight w:hRule="exact" w:val="240"/>
        </w:trPr>
        <w:tc>
          <w:tcPr>
            <w:tcW w:w="2854" w:type="dxa"/>
          </w:tcPr>
          <w:p w:rsidR="00000000" w:rsidRDefault="001F233B">
            <w:pPr>
              <w:rPr>
                <w:rFonts w:ascii="Arial" w:hAnsi="Arial"/>
                <w:color w:val="000000"/>
                <w:sz w:val="16"/>
              </w:rPr>
            </w:pPr>
            <w:r>
              <w:rPr>
                <w:rFonts w:ascii="Arial" w:hAnsi="Arial"/>
                <w:color w:val="000000"/>
                <w:sz w:val="16"/>
              </w:rPr>
              <w:t>Contribution to Commonwealth</w:t>
            </w:r>
          </w:p>
        </w:tc>
        <w:tc>
          <w:tcPr>
            <w:tcW w:w="820"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r>
      <w:tr w:rsidR="00000000">
        <w:tblPrEx>
          <w:tblCellMar>
            <w:top w:w="0" w:type="dxa"/>
            <w:bottom w:w="0" w:type="dxa"/>
          </w:tblCellMar>
        </w:tblPrEx>
        <w:trPr>
          <w:trHeight w:hRule="exact" w:val="240"/>
        </w:trPr>
        <w:tc>
          <w:tcPr>
            <w:tcW w:w="2854" w:type="dxa"/>
          </w:tcPr>
          <w:p w:rsidR="00000000" w:rsidRDefault="001F233B">
            <w:pPr>
              <w:rPr>
                <w:rFonts w:ascii="Arial" w:hAnsi="Arial"/>
                <w:color w:val="000000"/>
                <w:sz w:val="16"/>
              </w:rPr>
            </w:pPr>
            <w:r>
              <w:rPr>
                <w:rFonts w:ascii="Arial" w:hAnsi="Arial"/>
                <w:color w:val="000000"/>
                <w:sz w:val="16"/>
              </w:rPr>
              <w:t>deficit reduction</w:t>
            </w:r>
          </w:p>
        </w:tc>
        <w:tc>
          <w:tcPr>
            <w:tcW w:w="820" w:type="dxa"/>
          </w:tcPr>
          <w:p w:rsidR="00000000" w:rsidRDefault="001F233B">
            <w:pPr>
              <w:jc w:val="right"/>
              <w:rPr>
                <w:rFonts w:ascii="Arial" w:hAnsi="Arial"/>
                <w:color w:val="000000"/>
                <w:sz w:val="16"/>
              </w:rPr>
            </w:pPr>
            <w:r>
              <w:rPr>
                <w:rFonts w:ascii="Arial" w:hAnsi="Arial"/>
                <w:color w:val="000000"/>
                <w:sz w:val="16"/>
              </w:rPr>
              <w:t xml:space="preserve"> 159.0</w:t>
            </w:r>
          </w:p>
        </w:tc>
        <w:tc>
          <w:tcPr>
            <w:tcW w:w="821" w:type="dxa"/>
          </w:tcPr>
          <w:p w:rsidR="00000000" w:rsidRDefault="001F233B">
            <w:pPr>
              <w:jc w:val="right"/>
              <w:rPr>
                <w:rFonts w:ascii="Arial" w:hAnsi="Arial"/>
                <w:color w:val="000000"/>
                <w:sz w:val="16"/>
              </w:rPr>
            </w:pPr>
            <w:r>
              <w:rPr>
                <w:rFonts w:ascii="Arial" w:hAnsi="Arial"/>
                <w:color w:val="000000"/>
                <w:sz w:val="16"/>
              </w:rPr>
              <w:t xml:space="preserve"> 74.4</w:t>
            </w:r>
          </w:p>
        </w:tc>
        <w:tc>
          <w:tcPr>
            <w:tcW w:w="821" w:type="dxa"/>
          </w:tcPr>
          <w:p w:rsidR="00000000" w:rsidRDefault="001F233B">
            <w:pPr>
              <w:jc w:val="right"/>
              <w:rPr>
                <w:rFonts w:ascii="Arial" w:hAnsi="Arial"/>
                <w:color w:val="000000"/>
                <w:sz w:val="16"/>
              </w:rPr>
            </w:pPr>
            <w:r>
              <w:rPr>
                <w:rFonts w:ascii="Arial" w:hAnsi="Arial"/>
                <w:color w:val="000000"/>
                <w:sz w:val="16"/>
              </w:rPr>
              <w:t>..</w:t>
            </w:r>
          </w:p>
        </w:tc>
        <w:tc>
          <w:tcPr>
            <w:tcW w:w="821" w:type="dxa"/>
          </w:tcPr>
          <w:p w:rsidR="00000000" w:rsidRDefault="001F233B">
            <w:pPr>
              <w:jc w:val="right"/>
              <w:rPr>
                <w:rFonts w:ascii="Arial" w:hAnsi="Arial"/>
                <w:color w:val="000000"/>
                <w:sz w:val="16"/>
              </w:rPr>
            </w:pPr>
            <w:r>
              <w:rPr>
                <w:rFonts w:ascii="Arial" w:hAnsi="Arial"/>
                <w:color w:val="000000"/>
                <w:sz w:val="16"/>
              </w:rPr>
              <w:t>..</w:t>
            </w:r>
          </w:p>
        </w:tc>
        <w:tc>
          <w:tcPr>
            <w:tcW w:w="821" w:type="dxa"/>
          </w:tcPr>
          <w:p w:rsidR="00000000" w:rsidRDefault="001F233B">
            <w:pPr>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rPr>
          <w:trHeight w:hRule="exact" w:val="240"/>
        </w:trPr>
        <w:tc>
          <w:tcPr>
            <w:tcW w:w="2854" w:type="dxa"/>
          </w:tcPr>
          <w:p w:rsidR="00000000" w:rsidRDefault="001F233B">
            <w:pPr>
              <w:rPr>
                <w:rFonts w:ascii="Arial" w:hAnsi="Arial"/>
                <w:color w:val="000000"/>
                <w:sz w:val="16"/>
              </w:rPr>
            </w:pPr>
            <w:r>
              <w:rPr>
                <w:rFonts w:ascii="Arial" w:hAnsi="Arial"/>
                <w:color w:val="000000"/>
                <w:sz w:val="16"/>
              </w:rPr>
              <w:t>Winter Energy payments</w:t>
            </w:r>
          </w:p>
        </w:tc>
        <w:tc>
          <w:tcPr>
            <w:tcW w:w="820" w:type="dxa"/>
          </w:tcPr>
          <w:p w:rsidR="00000000" w:rsidRDefault="001F233B">
            <w:pPr>
              <w:jc w:val="right"/>
              <w:rPr>
                <w:rFonts w:ascii="Arial" w:hAnsi="Arial"/>
                <w:color w:val="000000"/>
                <w:sz w:val="16"/>
              </w:rPr>
            </w:pPr>
            <w:r>
              <w:rPr>
                <w:rFonts w:ascii="Arial" w:hAnsi="Arial"/>
                <w:color w:val="000000"/>
                <w:sz w:val="16"/>
              </w:rPr>
              <w:t>..</w:t>
            </w:r>
          </w:p>
        </w:tc>
        <w:tc>
          <w:tcPr>
            <w:tcW w:w="821" w:type="dxa"/>
          </w:tcPr>
          <w:p w:rsidR="00000000" w:rsidRDefault="001F233B">
            <w:pPr>
              <w:jc w:val="right"/>
              <w:rPr>
                <w:rFonts w:ascii="Arial" w:hAnsi="Arial"/>
                <w:color w:val="000000"/>
                <w:sz w:val="16"/>
              </w:rPr>
            </w:pPr>
            <w:r>
              <w:rPr>
                <w:rFonts w:ascii="Arial" w:hAnsi="Arial"/>
                <w:color w:val="000000"/>
                <w:sz w:val="16"/>
              </w:rPr>
              <w:t xml:space="preserve"> 134.0</w:t>
            </w:r>
          </w:p>
        </w:tc>
        <w:tc>
          <w:tcPr>
            <w:tcW w:w="821" w:type="dxa"/>
          </w:tcPr>
          <w:p w:rsidR="00000000" w:rsidRDefault="001F233B">
            <w:pPr>
              <w:jc w:val="right"/>
              <w:rPr>
                <w:rFonts w:ascii="Arial" w:hAnsi="Arial"/>
                <w:color w:val="000000"/>
                <w:sz w:val="16"/>
              </w:rPr>
            </w:pPr>
            <w:r>
              <w:rPr>
                <w:rFonts w:ascii="Arial" w:hAnsi="Arial"/>
                <w:color w:val="000000"/>
                <w:sz w:val="16"/>
              </w:rPr>
              <w:t xml:space="preserve"> 114.7</w:t>
            </w:r>
          </w:p>
        </w:tc>
        <w:tc>
          <w:tcPr>
            <w:tcW w:w="821" w:type="dxa"/>
          </w:tcPr>
          <w:p w:rsidR="00000000" w:rsidRDefault="001F233B">
            <w:pPr>
              <w:jc w:val="right"/>
              <w:rPr>
                <w:rFonts w:ascii="Arial" w:hAnsi="Arial"/>
                <w:color w:val="000000"/>
                <w:sz w:val="16"/>
              </w:rPr>
            </w:pPr>
            <w:r>
              <w:rPr>
                <w:rFonts w:ascii="Arial" w:hAnsi="Arial"/>
                <w:color w:val="000000"/>
                <w:sz w:val="16"/>
              </w:rPr>
              <w:t xml:space="preserve"> 116.7</w:t>
            </w:r>
          </w:p>
        </w:tc>
        <w:tc>
          <w:tcPr>
            <w:tcW w:w="821" w:type="dxa"/>
          </w:tcPr>
          <w:p w:rsidR="00000000" w:rsidRDefault="001F233B">
            <w:pPr>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c>
          <w:tcPr>
            <w:tcW w:w="2854" w:type="dxa"/>
          </w:tcPr>
          <w:p w:rsidR="00000000" w:rsidRDefault="001F233B">
            <w:pPr>
              <w:jc w:val="left"/>
              <w:rPr>
                <w:rFonts w:ascii="Arial" w:hAnsi="Arial"/>
                <w:color w:val="000000"/>
                <w:sz w:val="16"/>
              </w:rPr>
            </w:pPr>
            <w:r>
              <w:rPr>
                <w:rFonts w:ascii="Arial" w:hAnsi="Arial"/>
                <w:color w:val="000000"/>
                <w:sz w:val="16"/>
              </w:rPr>
              <w:t>One-off costs of financial &amp; PTC restructuring</w:t>
            </w:r>
          </w:p>
        </w:tc>
        <w:tc>
          <w:tcPr>
            <w:tcW w:w="820" w:type="dxa"/>
          </w:tcPr>
          <w:p w:rsidR="00000000" w:rsidRDefault="001F233B">
            <w:pPr>
              <w:jc w:val="right"/>
              <w:rPr>
                <w:rFonts w:ascii="Arial" w:hAnsi="Arial"/>
                <w:color w:val="000000"/>
                <w:sz w:val="16"/>
              </w:rPr>
            </w:pPr>
            <w:r>
              <w:rPr>
                <w:rFonts w:ascii="Arial" w:hAnsi="Arial"/>
                <w:color w:val="000000"/>
                <w:sz w:val="16"/>
              </w:rPr>
              <w:t xml:space="preserve"> 48.0</w:t>
            </w:r>
          </w:p>
        </w:tc>
        <w:tc>
          <w:tcPr>
            <w:tcW w:w="821" w:type="dxa"/>
          </w:tcPr>
          <w:p w:rsidR="00000000" w:rsidRDefault="001F233B">
            <w:pPr>
              <w:jc w:val="right"/>
              <w:rPr>
                <w:rFonts w:ascii="Arial" w:hAnsi="Arial"/>
                <w:color w:val="000000"/>
                <w:sz w:val="16"/>
              </w:rPr>
            </w:pPr>
            <w:r>
              <w:rPr>
                <w:rFonts w:ascii="Arial" w:hAnsi="Arial"/>
                <w:color w:val="000000"/>
                <w:sz w:val="16"/>
              </w:rPr>
              <w:t xml:space="preserve"> 174.0</w:t>
            </w:r>
          </w:p>
        </w:tc>
        <w:tc>
          <w:tcPr>
            <w:tcW w:w="821" w:type="dxa"/>
          </w:tcPr>
          <w:p w:rsidR="00000000" w:rsidRDefault="001F233B">
            <w:pPr>
              <w:jc w:val="right"/>
              <w:rPr>
                <w:rFonts w:ascii="Arial" w:hAnsi="Arial"/>
                <w:color w:val="000000"/>
                <w:sz w:val="16"/>
              </w:rPr>
            </w:pPr>
            <w:r>
              <w:rPr>
                <w:rFonts w:ascii="Arial" w:hAnsi="Arial"/>
                <w:color w:val="000000"/>
                <w:sz w:val="16"/>
              </w:rPr>
              <w:t>..</w:t>
            </w:r>
          </w:p>
        </w:tc>
        <w:tc>
          <w:tcPr>
            <w:tcW w:w="821" w:type="dxa"/>
          </w:tcPr>
          <w:p w:rsidR="00000000" w:rsidRDefault="001F233B">
            <w:pPr>
              <w:jc w:val="right"/>
              <w:rPr>
                <w:rFonts w:ascii="Arial" w:hAnsi="Arial"/>
                <w:color w:val="000000"/>
                <w:sz w:val="16"/>
              </w:rPr>
            </w:pPr>
            <w:r>
              <w:rPr>
                <w:rFonts w:ascii="Arial" w:hAnsi="Arial"/>
                <w:color w:val="000000"/>
                <w:sz w:val="16"/>
              </w:rPr>
              <w:t>..</w:t>
            </w:r>
          </w:p>
        </w:tc>
        <w:tc>
          <w:tcPr>
            <w:tcW w:w="821" w:type="dxa"/>
          </w:tcPr>
          <w:p w:rsidR="00000000" w:rsidRDefault="001F233B">
            <w:pPr>
              <w:jc w:val="right"/>
              <w:rPr>
                <w:rFonts w:ascii="Arial" w:hAnsi="Arial"/>
                <w:color w:val="000000"/>
                <w:sz w:val="16"/>
              </w:rPr>
            </w:pPr>
            <w:r>
              <w:rPr>
                <w:rFonts w:ascii="Arial" w:hAnsi="Arial"/>
                <w:color w:val="000000"/>
                <w:sz w:val="16"/>
              </w:rPr>
              <w:t>..</w:t>
            </w:r>
          </w:p>
        </w:tc>
      </w:tr>
      <w:tr w:rsidR="00000000">
        <w:tblPrEx>
          <w:tblCellMar>
            <w:top w:w="0" w:type="dxa"/>
            <w:bottom w:w="0" w:type="dxa"/>
          </w:tblCellMar>
        </w:tblPrEx>
        <w:tc>
          <w:tcPr>
            <w:tcW w:w="2854" w:type="dxa"/>
          </w:tcPr>
          <w:p w:rsidR="00000000" w:rsidRDefault="001F233B">
            <w:pPr>
              <w:rPr>
                <w:rFonts w:ascii="Arial" w:hAnsi="Arial"/>
                <w:b/>
                <w:color w:val="000000"/>
                <w:sz w:val="16"/>
              </w:rPr>
            </w:pPr>
            <w:r>
              <w:rPr>
                <w:rFonts w:ascii="Arial" w:hAnsi="Arial"/>
                <w:b/>
                <w:color w:val="000000"/>
                <w:sz w:val="16"/>
              </w:rPr>
              <w:t>Total major one-off expenses</w:t>
            </w:r>
          </w:p>
        </w:tc>
        <w:tc>
          <w:tcPr>
            <w:tcW w:w="820" w:type="dxa"/>
          </w:tcPr>
          <w:p w:rsidR="00000000" w:rsidRDefault="001F233B">
            <w:pPr>
              <w:jc w:val="right"/>
              <w:rPr>
                <w:rFonts w:ascii="Arial" w:hAnsi="Arial"/>
                <w:b/>
                <w:color w:val="000000"/>
                <w:sz w:val="16"/>
              </w:rPr>
            </w:pPr>
            <w:r>
              <w:rPr>
                <w:rFonts w:ascii="Arial" w:hAnsi="Arial"/>
                <w:b/>
                <w:color w:val="000000"/>
                <w:sz w:val="16"/>
              </w:rPr>
              <w:t xml:space="preserve"> 207.0</w:t>
            </w:r>
          </w:p>
        </w:tc>
        <w:tc>
          <w:tcPr>
            <w:tcW w:w="821" w:type="dxa"/>
          </w:tcPr>
          <w:p w:rsidR="00000000" w:rsidRDefault="001F233B">
            <w:pPr>
              <w:jc w:val="right"/>
              <w:rPr>
                <w:rFonts w:ascii="Arial" w:hAnsi="Arial"/>
                <w:b/>
                <w:color w:val="000000"/>
                <w:sz w:val="16"/>
              </w:rPr>
            </w:pPr>
            <w:r>
              <w:rPr>
                <w:rFonts w:ascii="Arial" w:hAnsi="Arial"/>
                <w:b/>
                <w:color w:val="000000"/>
                <w:sz w:val="16"/>
              </w:rPr>
              <w:t xml:space="preserve"> 382.4</w:t>
            </w:r>
          </w:p>
        </w:tc>
        <w:tc>
          <w:tcPr>
            <w:tcW w:w="821" w:type="dxa"/>
          </w:tcPr>
          <w:p w:rsidR="00000000" w:rsidRDefault="001F233B">
            <w:pPr>
              <w:jc w:val="right"/>
              <w:rPr>
                <w:rFonts w:ascii="Arial" w:hAnsi="Arial"/>
                <w:b/>
                <w:color w:val="000000"/>
                <w:sz w:val="16"/>
              </w:rPr>
            </w:pPr>
            <w:r>
              <w:rPr>
                <w:rFonts w:ascii="Arial" w:hAnsi="Arial"/>
                <w:b/>
                <w:color w:val="000000"/>
                <w:sz w:val="16"/>
              </w:rPr>
              <w:t xml:space="preserve"> 114.7</w:t>
            </w:r>
          </w:p>
        </w:tc>
        <w:tc>
          <w:tcPr>
            <w:tcW w:w="821" w:type="dxa"/>
          </w:tcPr>
          <w:p w:rsidR="00000000" w:rsidRDefault="001F233B">
            <w:pPr>
              <w:jc w:val="right"/>
              <w:rPr>
                <w:rFonts w:ascii="Arial" w:hAnsi="Arial"/>
                <w:b/>
                <w:color w:val="000000"/>
                <w:sz w:val="16"/>
              </w:rPr>
            </w:pPr>
            <w:r>
              <w:rPr>
                <w:rFonts w:ascii="Arial" w:hAnsi="Arial"/>
                <w:b/>
                <w:color w:val="000000"/>
                <w:sz w:val="16"/>
              </w:rPr>
              <w:t xml:space="preserve"> 116.7</w:t>
            </w:r>
          </w:p>
        </w:tc>
        <w:tc>
          <w:tcPr>
            <w:tcW w:w="821" w:type="dxa"/>
          </w:tcPr>
          <w:p w:rsidR="00000000" w:rsidRDefault="001F233B">
            <w:pPr>
              <w:jc w:val="right"/>
              <w:rPr>
                <w:rFonts w:ascii="Arial" w:hAnsi="Arial"/>
                <w:b/>
                <w:color w:val="000000"/>
                <w:sz w:val="16"/>
              </w:rPr>
            </w:pPr>
            <w:r>
              <w:rPr>
                <w:rFonts w:ascii="Arial" w:hAnsi="Arial"/>
                <w:b/>
                <w:color w:val="000000"/>
                <w:sz w:val="16"/>
              </w:rPr>
              <w:t>..</w:t>
            </w:r>
          </w:p>
        </w:tc>
      </w:tr>
      <w:tr w:rsidR="00000000">
        <w:tblPrEx>
          <w:tblCellMar>
            <w:top w:w="0" w:type="dxa"/>
            <w:bottom w:w="0" w:type="dxa"/>
          </w:tblCellMar>
        </w:tblPrEx>
        <w:trPr>
          <w:trHeight w:hRule="exact" w:val="160"/>
        </w:trPr>
        <w:tc>
          <w:tcPr>
            <w:tcW w:w="2854" w:type="dxa"/>
            <w:tcBorders>
              <w:bottom w:val="single" w:sz="6" w:space="0" w:color="auto"/>
            </w:tcBorders>
          </w:tcPr>
          <w:p w:rsidR="00000000" w:rsidRDefault="001F233B">
            <w:pPr>
              <w:jc w:val="right"/>
              <w:rPr>
                <w:rFonts w:ascii="Arial" w:hAnsi="Arial"/>
                <w:color w:val="000000"/>
                <w:sz w:val="16"/>
              </w:rPr>
            </w:pPr>
          </w:p>
        </w:tc>
        <w:tc>
          <w:tcPr>
            <w:tcW w:w="820" w:type="dxa"/>
            <w:tcBorders>
              <w:bottom w:val="single" w:sz="6" w:space="0" w:color="auto"/>
            </w:tcBorders>
          </w:tcPr>
          <w:p w:rsidR="00000000" w:rsidRDefault="001F233B">
            <w:pPr>
              <w:jc w:val="right"/>
              <w:rPr>
                <w:rFonts w:ascii="Arial" w:hAnsi="Arial"/>
                <w:color w:val="000000"/>
                <w:sz w:val="16"/>
              </w:rPr>
            </w:pPr>
          </w:p>
        </w:tc>
        <w:tc>
          <w:tcPr>
            <w:tcW w:w="821" w:type="dxa"/>
            <w:tcBorders>
              <w:bottom w:val="single" w:sz="6" w:space="0" w:color="auto"/>
            </w:tcBorders>
          </w:tcPr>
          <w:p w:rsidR="00000000" w:rsidRDefault="001F233B">
            <w:pPr>
              <w:jc w:val="right"/>
              <w:rPr>
                <w:rFonts w:ascii="Arial" w:hAnsi="Arial"/>
                <w:color w:val="000000"/>
                <w:sz w:val="16"/>
              </w:rPr>
            </w:pPr>
          </w:p>
        </w:tc>
        <w:tc>
          <w:tcPr>
            <w:tcW w:w="821" w:type="dxa"/>
            <w:tcBorders>
              <w:bottom w:val="single" w:sz="6" w:space="0" w:color="auto"/>
            </w:tcBorders>
          </w:tcPr>
          <w:p w:rsidR="00000000" w:rsidRDefault="001F233B">
            <w:pPr>
              <w:jc w:val="right"/>
              <w:rPr>
                <w:rFonts w:ascii="Arial" w:hAnsi="Arial"/>
                <w:color w:val="000000"/>
                <w:sz w:val="16"/>
              </w:rPr>
            </w:pPr>
          </w:p>
        </w:tc>
        <w:tc>
          <w:tcPr>
            <w:tcW w:w="821" w:type="dxa"/>
            <w:tcBorders>
              <w:bottom w:val="single" w:sz="6" w:space="0" w:color="auto"/>
            </w:tcBorders>
          </w:tcPr>
          <w:p w:rsidR="00000000" w:rsidRDefault="001F233B">
            <w:pPr>
              <w:jc w:val="right"/>
              <w:rPr>
                <w:rFonts w:ascii="Arial" w:hAnsi="Arial"/>
                <w:color w:val="000000"/>
                <w:sz w:val="16"/>
              </w:rPr>
            </w:pPr>
          </w:p>
        </w:tc>
        <w:tc>
          <w:tcPr>
            <w:tcW w:w="821" w:type="dxa"/>
            <w:tcBorders>
              <w:bottom w:val="single" w:sz="6" w:space="0" w:color="auto"/>
            </w:tcBorders>
          </w:tcPr>
          <w:p w:rsidR="00000000" w:rsidRDefault="001F233B">
            <w:pPr>
              <w:jc w:val="right"/>
              <w:rPr>
                <w:rFonts w:ascii="Arial" w:hAnsi="Arial"/>
                <w:color w:val="000000"/>
                <w:sz w:val="16"/>
              </w:rPr>
            </w:pPr>
          </w:p>
        </w:tc>
      </w:tr>
      <w:tr w:rsidR="00000000">
        <w:tblPrEx>
          <w:tblCellMar>
            <w:top w:w="0" w:type="dxa"/>
            <w:bottom w:w="0" w:type="dxa"/>
          </w:tblCellMar>
        </w:tblPrEx>
        <w:trPr>
          <w:trHeight w:hRule="exact" w:val="240"/>
        </w:trPr>
        <w:tc>
          <w:tcPr>
            <w:tcW w:w="2854" w:type="dxa"/>
          </w:tcPr>
          <w:p w:rsidR="00000000" w:rsidRDefault="001F233B">
            <w:pPr>
              <w:rPr>
                <w:rFonts w:ascii="Arial" w:hAnsi="Arial"/>
                <w:b/>
                <w:color w:val="000000"/>
                <w:sz w:val="16"/>
              </w:rPr>
            </w:pPr>
            <w:r>
              <w:rPr>
                <w:rFonts w:ascii="Arial" w:hAnsi="Arial"/>
                <w:b/>
                <w:color w:val="000000"/>
                <w:sz w:val="16"/>
              </w:rPr>
              <w:t>Sustainable Operating Surplus</w:t>
            </w:r>
          </w:p>
        </w:tc>
        <w:tc>
          <w:tcPr>
            <w:tcW w:w="820"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r>
      <w:tr w:rsidR="00000000">
        <w:tblPrEx>
          <w:tblCellMar>
            <w:top w:w="0" w:type="dxa"/>
            <w:bottom w:w="0" w:type="dxa"/>
          </w:tblCellMar>
        </w:tblPrEx>
        <w:trPr>
          <w:trHeight w:hRule="exact" w:val="240"/>
        </w:trPr>
        <w:tc>
          <w:tcPr>
            <w:tcW w:w="2854" w:type="dxa"/>
            <w:tcBorders>
              <w:bottom w:val="single" w:sz="6" w:space="0" w:color="auto"/>
            </w:tcBorders>
          </w:tcPr>
          <w:p w:rsidR="00000000" w:rsidRDefault="001F233B">
            <w:pPr>
              <w:rPr>
                <w:rFonts w:ascii="Arial" w:hAnsi="Arial"/>
                <w:b/>
                <w:color w:val="000000"/>
                <w:sz w:val="16"/>
              </w:rPr>
            </w:pPr>
            <w:r>
              <w:rPr>
                <w:rFonts w:ascii="Arial" w:hAnsi="Arial"/>
                <w:b/>
                <w:color w:val="000000"/>
                <w:sz w:val="16"/>
              </w:rPr>
              <w:t>(GFS accrual basis)</w:t>
            </w:r>
          </w:p>
        </w:tc>
        <w:tc>
          <w:tcPr>
            <w:tcW w:w="820" w:type="dxa"/>
            <w:tcBorders>
              <w:bottom w:val="single" w:sz="6" w:space="0" w:color="auto"/>
            </w:tcBorders>
          </w:tcPr>
          <w:p w:rsidR="00000000" w:rsidRDefault="001F233B">
            <w:pPr>
              <w:jc w:val="right"/>
              <w:rPr>
                <w:rFonts w:ascii="Arial" w:hAnsi="Arial"/>
                <w:b/>
                <w:color w:val="000000"/>
                <w:sz w:val="16"/>
              </w:rPr>
            </w:pPr>
            <w:r>
              <w:rPr>
                <w:rFonts w:ascii="Arial" w:hAnsi="Arial"/>
                <w:b/>
                <w:color w:val="000000"/>
                <w:sz w:val="16"/>
              </w:rPr>
              <w:t xml:space="preserve"> 892.6</w:t>
            </w:r>
          </w:p>
        </w:tc>
        <w:tc>
          <w:tcPr>
            <w:tcW w:w="821" w:type="dxa"/>
            <w:tcBorders>
              <w:bottom w:val="single" w:sz="6" w:space="0" w:color="auto"/>
            </w:tcBorders>
          </w:tcPr>
          <w:p w:rsidR="00000000" w:rsidRDefault="001F233B">
            <w:pPr>
              <w:jc w:val="right"/>
              <w:rPr>
                <w:rFonts w:ascii="Arial" w:hAnsi="Arial"/>
                <w:b/>
                <w:color w:val="000000"/>
                <w:sz w:val="16"/>
              </w:rPr>
            </w:pPr>
            <w:r>
              <w:rPr>
                <w:rFonts w:ascii="Arial" w:hAnsi="Arial"/>
                <w:b/>
                <w:color w:val="000000"/>
                <w:sz w:val="16"/>
              </w:rPr>
              <w:t xml:space="preserve"> 701.1</w:t>
            </w:r>
          </w:p>
        </w:tc>
        <w:tc>
          <w:tcPr>
            <w:tcW w:w="821" w:type="dxa"/>
            <w:tcBorders>
              <w:bottom w:val="single" w:sz="6" w:space="0" w:color="auto"/>
            </w:tcBorders>
          </w:tcPr>
          <w:p w:rsidR="00000000" w:rsidRDefault="001F233B">
            <w:pPr>
              <w:jc w:val="right"/>
              <w:rPr>
                <w:rFonts w:ascii="Arial" w:hAnsi="Arial"/>
                <w:b/>
                <w:color w:val="000000"/>
                <w:sz w:val="16"/>
              </w:rPr>
            </w:pPr>
            <w:r>
              <w:rPr>
                <w:rFonts w:ascii="Arial" w:hAnsi="Arial"/>
                <w:b/>
                <w:color w:val="000000"/>
                <w:sz w:val="16"/>
              </w:rPr>
              <w:t xml:space="preserve"> 654.4</w:t>
            </w:r>
          </w:p>
        </w:tc>
        <w:tc>
          <w:tcPr>
            <w:tcW w:w="821" w:type="dxa"/>
            <w:tcBorders>
              <w:bottom w:val="single" w:sz="6" w:space="0" w:color="auto"/>
            </w:tcBorders>
          </w:tcPr>
          <w:p w:rsidR="00000000" w:rsidRDefault="001F233B">
            <w:pPr>
              <w:jc w:val="right"/>
              <w:rPr>
                <w:rFonts w:ascii="Arial" w:hAnsi="Arial"/>
                <w:b/>
                <w:color w:val="000000"/>
                <w:sz w:val="16"/>
              </w:rPr>
            </w:pPr>
            <w:r>
              <w:rPr>
                <w:rFonts w:ascii="Arial" w:hAnsi="Arial"/>
                <w:b/>
                <w:color w:val="000000"/>
                <w:sz w:val="16"/>
              </w:rPr>
              <w:t xml:space="preserve"> 735.5</w:t>
            </w:r>
          </w:p>
        </w:tc>
        <w:tc>
          <w:tcPr>
            <w:tcW w:w="821" w:type="dxa"/>
            <w:tcBorders>
              <w:bottom w:val="single" w:sz="6" w:space="0" w:color="auto"/>
            </w:tcBorders>
          </w:tcPr>
          <w:p w:rsidR="00000000" w:rsidRDefault="001F233B">
            <w:pPr>
              <w:jc w:val="right"/>
              <w:rPr>
                <w:rFonts w:ascii="Arial" w:hAnsi="Arial"/>
                <w:b/>
                <w:color w:val="000000"/>
                <w:sz w:val="16"/>
              </w:rPr>
            </w:pPr>
            <w:r>
              <w:rPr>
                <w:rFonts w:ascii="Arial" w:hAnsi="Arial"/>
                <w:b/>
                <w:color w:val="000000"/>
                <w:sz w:val="16"/>
              </w:rPr>
              <w:t xml:space="preserve"> 949.2</w:t>
            </w:r>
          </w:p>
        </w:tc>
      </w:tr>
      <w:tr w:rsidR="00000000">
        <w:tblPrEx>
          <w:tblCellMar>
            <w:top w:w="0" w:type="dxa"/>
            <w:bottom w:w="0" w:type="dxa"/>
          </w:tblCellMar>
        </w:tblPrEx>
        <w:trPr>
          <w:trHeight w:hRule="exact" w:val="160"/>
        </w:trPr>
        <w:tc>
          <w:tcPr>
            <w:tcW w:w="2854" w:type="dxa"/>
          </w:tcPr>
          <w:p w:rsidR="00000000" w:rsidRDefault="001F233B">
            <w:pPr>
              <w:jc w:val="right"/>
              <w:rPr>
                <w:rFonts w:ascii="Arial" w:hAnsi="Arial"/>
                <w:b/>
                <w:color w:val="000000"/>
                <w:sz w:val="16"/>
              </w:rPr>
            </w:pPr>
          </w:p>
        </w:tc>
        <w:tc>
          <w:tcPr>
            <w:tcW w:w="820" w:type="dxa"/>
          </w:tcPr>
          <w:p w:rsidR="00000000" w:rsidRDefault="001F233B">
            <w:pPr>
              <w:jc w:val="right"/>
              <w:rPr>
                <w:rFonts w:ascii="Arial" w:hAnsi="Arial"/>
                <w:b/>
                <w:color w:val="000000"/>
                <w:sz w:val="16"/>
              </w:rPr>
            </w:pPr>
          </w:p>
        </w:tc>
        <w:tc>
          <w:tcPr>
            <w:tcW w:w="821" w:type="dxa"/>
          </w:tcPr>
          <w:p w:rsidR="00000000" w:rsidRDefault="001F233B">
            <w:pPr>
              <w:jc w:val="right"/>
              <w:rPr>
                <w:rFonts w:ascii="Arial" w:hAnsi="Arial"/>
                <w:b/>
                <w:color w:val="000000"/>
                <w:sz w:val="16"/>
              </w:rPr>
            </w:pPr>
          </w:p>
        </w:tc>
        <w:tc>
          <w:tcPr>
            <w:tcW w:w="821" w:type="dxa"/>
          </w:tcPr>
          <w:p w:rsidR="00000000" w:rsidRDefault="001F233B">
            <w:pPr>
              <w:jc w:val="right"/>
              <w:rPr>
                <w:rFonts w:ascii="Arial" w:hAnsi="Arial"/>
                <w:b/>
                <w:color w:val="000000"/>
                <w:sz w:val="16"/>
              </w:rPr>
            </w:pPr>
          </w:p>
        </w:tc>
        <w:tc>
          <w:tcPr>
            <w:tcW w:w="821" w:type="dxa"/>
          </w:tcPr>
          <w:p w:rsidR="00000000" w:rsidRDefault="001F233B">
            <w:pPr>
              <w:jc w:val="right"/>
              <w:rPr>
                <w:rFonts w:ascii="Arial" w:hAnsi="Arial"/>
                <w:b/>
                <w:color w:val="000000"/>
                <w:sz w:val="16"/>
              </w:rPr>
            </w:pPr>
          </w:p>
        </w:tc>
        <w:tc>
          <w:tcPr>
            <w:tcW w:w="821" w:type="dxa"/>
          </w:tcPr>
          <w:p w:rsidR="00000000" w:rsidRDefault="001F233B">
            <w:pPr>
              <w:jc w:val="right"/>
              <w:rPr>
                <w:rFonts w:ascii="Arial" w:hAnsi="Arial"/>
                <w:b/>
                <w:color w:val="000000"/>
                <w:sz w:val="16"/>
              </w:rPr>
            </w:pPr>
          </w:p>
        </w:tc>
      </w:tr>
      <w:tr w:rsidR="00000000">
        <w:tblPrEx>
          <w:tblCellMar>
            <w:top w:w="0" w:type="dxa"/>
            <w:bottom w:w="0" w:type="dxa"/>
          </w:tblCellMar>
        </w:tblPrEx>
        <w:trPr>
          <w:trHeight w:hRule="exact" w:val="240"/>
        </w:trPr>
        <w:tc>
          <w:tcPr>
            <w:tcW w:w="2854" w:type="dxa"/>
          </w:tcPr>
          <w:p w:rsidR="00000000" w:rsidRDefault="001F233B">
            <w:pPr>
              <w:rPr>
                <w:rFonts w:ascii="Arial" w:hAnsi="Arial"/>
                <w:color w:val="000000"/>
                <w:sz w:val="16"/>
              </w:rPr>
            </w:pPr>
            <w:r>
              <w:rPr>
                <w:rFonts w:ascii="Arial" w:hAnsi="Arial"/>
                <w:color w:val="000000"/>
                <w:sz w:val="16"/>
              </w:rPr>
              <w:t>Contribution to fund capital</w:t>
            </w:r>
          </w:p>
        </w:tc>
        <w:tc>
          <w:tcPr>
            <w:tcW w:w="820" w:type="dxa"/>
          </w:tcPr>
          <w:p w:rsidR="00000000" w:rsidRDefault="001F233B">
            <w:pPr>
              <w:jc w:val="right"/>
              <w:rPr>
                <w:rFonts w:ascii="Arial" w:hAnsi="Arial"/>
                <w:color w:val="000000"/>
                <w:sz w:val="16"/>
              </w:rPr>
            </w:pPr>
            <w:r>
              <w:rPr>
                <w:rFonts w:ascii="Arial" w:hAnsi="Arial"/>
                <w:color w:val="000000"/>
                <w:sz w:val="16"/>
              </w:rPr>
              <w:t xml:space="preserve"> 125.4</w:t>
            </w:r>
          </w:p>
        </w:tc>
        <w:tc>
          <w:tcPr>
            <w:tcW w:w="821" w:type="dxa"/>
          </w:tcPr>
          <w:p w:rsidR="00000000" w:rsidRDefault="001F233B">
            <w:pPr>
              <w:jc w:val="right"/>
              <w:rPr>
                <w:rFonts w:ascii="Arial" w:hAnsi="Arial"/>
                <w:color w:val="000000"/>
                <w:sz w:val="16"/>
              </w:rPr>
            </w:pPr>
            <w:r>
              <w:rPr>
                <w:rFonts w:ascii="Arial" w:hAnsi="Arial"/>
                <w:color w:val="000000"/>
                <w:sz w:val="16"/>
              </w:rPr>
              <w:t xml:space="preserve"> 153.8</w:t>
            </w:r>
          </w:p>
        </w:tc>
        <w:tc>
          <w:tcPr>
            <w:tcW w:w="821" w:type="dxa"/>
          </w:tcPr>
          <w:p w:rsidR="00000000" w:rsidRDefault="001F233B">
            <w:pPr>
              <w:jc w:val="right"/>
              <w:rPr>
                <w:rFonts w:ascii="Arial" w:hAnsi="Arial"/>
                <w:color w:val="000000"/>
                <w:sz w:val="16"/>
              </w:rPr>
            </w:pPr>
            <w:r>
              <w:rPr>
                <w:rFonts w:ascii="Arial" w:hAnsi="Arial"/>
                <w:color w:val="000000"/>
                <w:sz w:val="16"/>
              </w:rPr>
              <w:t xml:space="preserve"> 366.7</w:t>
            </w:r>
          </w:p>
        </w:tc>
        <w:tc>
          <w:tcPr>
            <w:tcW w:w="821" w:type="dxa"/>
          </w:tcPr>
          <w:p w:rsidR="00000000" w:rsidRDefault="001F233B">
            <w:pPr>
              <w:jc w:val="right"/>
              <w:rPr>
                <w:rFonts w:ascii="Arial" w:hAnsi="Arial"/>
                <w:color w:val="000000"/>
                <w:sz w:val="16"/>
              </w:rPr>
            </w:pPr>
            <w:r>
              <w:rPr>
                <w:rFonts w:ascii="Arial" w:hAnsi="Arial"/>
                <w:color w:val="000000"/>
                <w:sz w:val="16"/>
              </w:rPr>
              <w:t xml:space="preserve"> 508.8</w:t>
            </w:r>
          </w:p>
        </w:tc>
        <w:tc>
          <w:tcPr>
            <w:tcW w:w="821" w:type="dxa"/>
          </w:tcPr>
          <w:p w:rsidR="00000000" w:rsidRDefault="001F233B">
            <w:pPr>
              <w:jc w:val="right"/>
              <w:rPr>
                <w:rFonts w:ascii="Arial" w:hAnsi="Arial"/>
                <w:color w:val="000000"/>
                <w:sz w:val="16"/>
              </w:rPr>
            </w:pPr>
            <w:r>
              <w:rPr>
                <w:rFonts w:ascii="Arial" w:hAnsi="Arial"/>
                <w:color w:val="000000"/>
                <w:sz w:val="16"/>
              </w:rPr>
              <w:t xml:space="preserve"> 687.8</w:t>
            </w:r>
          </w:p>
        </w:tc>
      </w:tr>
      <w:tr w:rsidR="00000000">
        <w:tblPrEx>
          <w:tblCellMar>
            <w:top w:w="0" w:type="dxa"/>
            <w:bottom w:w="0" w:type="dxa"/>
          </w:tblCellMar>
        </w:tblPrEx>
        <w:trPr>
          <w:trHeight w:hRule="exact" w:val="160"/>
        </w:trPr>
        <w:tc>
          <w:tcPr>
            <w:tcW w:w="2854" w:type="dxa"/>
          </w:tcPr>
          <w:p w:rsidR="00000000" w:rsidRDefault="001F233B">
            <w:pPr>
              <w:jc w:val="right"/>
              <w:rPr>
                <w:rFonts w:ascii="Arial" w:hAnsi="Arial"/>
                <w:color w:val="000000"/>
                <w:sz w:val="16"/>
              </w:rPr>
            </w:pPr>
          </w:p>
        </w:tc>
        <w:tc>
          <w:tcPr>
            <w:tcW w:w="820"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c>
          <w:tcPr>
            <w:tcW w:w="821" w:type="dxa"/>
          </w:tcPr>
          <w:p w:rsidR="00000000" w:rsidRDefault="001F233B">
            <w:pPr>
              <w:jc w:val="right"/>
              <w:rPr>
                <w:rFonts w:ascii="Arial" w:hAnsi="Arial"/>
                <w:color w:val="000000"/>
                <w:sz w:val="16"/>
              </w:rPr>
            </w:pPr>
          </w:p>
        </w:tc>
      </w:tr>
      <w:tr w:rsidR="00000000">
        <w:tblPrEx>
          <w:tblCellMar>
            <w:top w:w="0" w:type="dxa"/>
            <w:bottom w:w="0" w:type="dxa"/>
          </w:tblCellMar>
        </w:tblPrEx>
        <w:trPr>
          <w:trHeight w:hRule="exact" w:val="240"/>
        </w:trPr>
        <w:tc>
          <w:tcPr>
            <w:tcW w:w="2854" w:type="dxa"/>
            <w:tcBorders>
              <w:bottom w:val="single" w:sz="12" w:space="0" w:color="auto"/>
            </w:tcBorders>
          </w:tcPr>
          <w:p w:rsidR="00000000" w:rsidRDefault="001F233B">
            <w:pPr>
              <w:rPr>
                <w:rFonts w:ascii="Arial" w:hAnsi="Arial"/>
                <w:b/>
                <w:color w:val="000000"/>
                <w:sz w:val="16"/>
              </w:rPr>
            </w:pPr>
            <w:r>
              <w:rPr>
                <w:rFonts w:ascii="Arial" w:hAnsi="Arial"/>
                <w:b/>
                <w:color w:val="000000"/>
                <w:sz w:val="16"/>
              </w:rPr>
              <w:t>Sustainable Cash Surplus</w:t>
            </w:r>
          </w:p>
        </w:tc>
        <w:tc>
          <w:tcPr>
            <w:tcW w:w="820" w:type="dxa"/>
            <w:tcBorders>
              <w:bottom w:val="single" w:sz="12" w:space="0" w:color="auto"/>
            </w:tcBorders>
          </w:tcPr>
          <w:p w:rsidR="00000000" w:rsidRDefault="001F233B">
            <w:pPr>
              <w:jc w:val="right"/>
              <w:rPr>
                <w:rFonts w:ascii="Arial" w:hAnsi="Arial"/>
                <w:b/>
                <w:color w:val="000000"/>
                <w:sz w:val="16"/>
              </w:rPr>
            </w:pPr>
            <w:r>
              <w:rPr>
                <w:rFonts w:ascii="Arial" w:hAnsi="Arial"/>
                <w:b/>
                <w:color w:val="000000"/>
                <w:sz w:val="16"/>
              </w:rPr>
              <w:t xml:space="preserve"> 767.2</w:t>
            </w:r>
          </w:p>
        </w:tc>
        <w:tc>
          <w:tcPr>
            <w:tcW w:w="821" w:type="dxa"/>
            <w:tcBorders>
              <w:bottom w:val="single" w:sz="12" w:space="0" w:color="auto"/>
            </w:tcBorders>
          </w:tcPr>
          <w:p w:rsidR="00000000" w:rsidRDefault="001F233B">
            <w:pPr>
              <w:jc w:val="right"/>
              <w:rPr>
                <w:rFonts w:ascii="Arial" w:hAnsi="Arial"/>
                <w:b/>
                <w:color w:val="000000"/>
                <w:sz w:val="16"/>
              </w:rPr>
            </w:pPr>
            <w:r>
              <w:rPr>
                <w:rFonts w:ascii="Arial" w:hAnsi="Arial"/>
                <w:b/>
                <w:color w:val="000000"/>
                <w:sz w:val="16"/>
              </w:rPr>
              <w:t xml:space="preserve"> 547.4</w:t>
            </w:r>
          </w:p>
        </w:tc>
        <w:tc>
          <w:tcPr>
            <w:tcW w:w="821" w:type="dxa"/>
            <w:tcBorders>
              <w:bottom w:val="single" w:sz="12" w:space="0" w:color="auto"/>
            </w:tcBorders>
          </w:tcPr>
          <w:p w:rsidR="00000000" w:rsidRDefault="001F233B">
            <w:pPr>
              <w:jc w:val="right"/>
              <w:rPr>
                <w:rFonts w:ascii="Arial" w:hAnsi="Arial"/>
                <w:b/>
                <w:color w:val="000000"/>
                <w:sz w:val="16"/>
              </w:rPr>
            </w:pPr>
            <w:r>
              <w:rPr>
                <w:rFonts w:ascii="Arial" w:hAnsi="Arial"/>
                <w:b/>
                <w:color w:val="000000"/>
                <w:sz w:val="16"/>
              </w:rPr>
              <w:t xml:space="preserve"> 287.7</w:t>
            </w:r>
          </w:p>
        </w:tc>
        <w:tc>
          <w:tcPr>
            <w:tcW w:w="821" w:type="dxa"/>
            <w:tcBorders>
              <w:bottom w:val="single" w:sz="12" w:space="0" w:color="auto"/>
            </w:tcBorders>
          </w:tcPr>
          <w:p w:rsidR="00000000" w:rsidRDefault="001F233B">
            <w:pPr>
              <w:jc w:val="right"/>
              <w:rPr>
                <w:rFonts w:ascii="Arial" w:hAnsi="Arial"/>
                <w:b/>
                <w:color w:val="000000"/>
                <w:sz w:val="16"/>
              </w:rPr>
            </w:pPr>
            <w:r>
              <w:rPr>
                <w:rFonts w:ascii="Arial" w:hAnsi="Arial"/>
                <w:b/>
                <w:color w:val="000000"/>
                <w:sz w:val="16"/>
              </w:rPr>
              <w:t xml:space="preserve"> 226.8</w:t>
            </w:r>
          </w:p>
        </w:tc>
        <w:tc>
          <w:tcPr>
            <w:tcW w:w="821" w:type="dxa"/>
            <w:tcBorders>
              <w:bottom w:val="single" w:sz="12" w:space="0" w:color="auto"/>
            </w:tcBorders>
          </w:tcPr>
          <w:p w:rsidR="00000000" w:rsidRDefault="001F233B">
            <w:pPr>
              <w:jc w:val="right"/>
              <w:rPr>
                <w:rFonts w:ascii="Arial" w:hAnsi="Arial"/>
                <w:b/>
                <w:color w:val="000000"/>
                <w:sz w:val="16"/>
              </w:rPr>
            </w:pPr>
            <w:r>
              <w:rPr>
                <w:rFonts w:ascii="Arial" w:hAnsi="Arial"/>
                <w:b/>
                <w:color w:val="000000"/>
                <w:sz w:val="16"/>
              </w:rPr>
              <w:t xml:space="preserve"> 261</w:t>
            </w:r>
            <w:r>
              <w:rPr>
                <w:rFonts w:ascii="Arial" w:hAnsi="Arial"/>
                <w:b/>
                <w:color w:val="000000"/>
                <w:sz w:val="16"/>
              </w:rPr>
              <w:t>.4</w:t>
            </w:r>
          </w:p>
        </w:tc>
      </w:tr>
    </w:tbl>
    <w:p w:rsidR="00000000" w:rsidRDefault="001F233B">
      <w:pPr>
        <w:pStyle w:val="Source"/>
      </w:pPr>
      <w:r>
        <w:t>Source: Department of Treasury and Finance.</w:t>
      </w:r>
    </w:p>
    <w:p w:rsidR="00000000" w:rsidRDefault="001F233B">
      <w:pPr>
        <w:pStyle w:val="Header"/>
        <w:tabs>
          <w:tab w:val="clear" w:pos="4320"/>
          <w:tab w:val="clear" w:pos="8640"/>
        </w:tabs>
        <w:sectPr w:rsidR="00000000">
          <w:headerReference w:type="even" r:id="rId39"/>
          <w:type w:val="oddPage"/>
          <w:pgSz w:w="11907" w:h="16840" w:code="9"/>
          <w:pgMar w:top="1440" w:right="3402" w:bottom="4082" w:left="1418" w:header="720" w:footer="4253" w:gutter="0"/>
          <w:cols w:space="720"/>
        </w:sectPr>
      </w:pPr>
    </w:p>
    <w:p w:rsidR="00000000" w:rsidRDefault="001F233B">
      <w:pPr>
        <w:sectPr w:rsidR="00000000">
          <w:headerReference w:type="even" r:id="rId40"/>
          <w:footerReference w:type="even" r:id="rId41"/>
          <w:footerReference w:type="default" r:id="rId42"/>
          <w:type w:val="continuous"/>
          <w:pgSz w:w="11907" w:h="16840" w:code="9"/>
          <w:pgMar w:top="1440" w:right="3402" w:bottom="4082" w:left="1418" w:header="720" w:footer="4253" w:gutter="0"/>
          <w:cols w:space="720"/>
        </w:sectPr>
      </w:pPr>
    </w:p>
    <w:p w:rsidR="00000000" w:rsidRDefault="001F233B">
      <w:pPr>
        <w:pStyle w:val="Heading1"/>
      </w:pPr>
      <w:bookmarkStart w:id="69" w:name="_Toc417482317"/>
      <w:bookmarkStart w:id="70" w:name="_Toc417552081"/>
      <w:r>
        <w:t>Chapter 4: Service Delivery</w:t>
      </w:r>
      <w:bookmarkEnd w:id="69"/>
      <w:bookmarkEnd w:id="70"/>
      <w:r>
        <w:fldChar w:fldCharType="begin"/>
      </w:r>
      <w:r>
        <w:instrText>xe "Service delivery"</w:instrText>
      </w:r>
      <w:r>
        <w:fldChar w:fldCharType="end"/>
      </w:r>
    </w:p>
    <w:p w:rsidR="00000000" w:rsidRDefault="001F233B">
      <w:pPr>
        <w:pStyle w:val="Heading2"/>
      </w:pPr>
      <w:bookmarkStart w:id="71" w:name="_Toc417482318"/>
      <w:bookmarkStart w:id="72" w:name="_Toc417552082"/>
      <w:r>
        <w:t>Introduction</w:t>
      </w:r>
      <w:bookmarkEnd w:id="71"/>
      <w:bookmarkEnd w:id="72"/>
    </w:p>
    <w:p w:rsidR="00000000" w:rsidRDefault="001F233B">
      <w:r>
        <w:t>The restoration of the State’s finances and improved service delivery</w:t>
      </w:r>
      <w:r>
        <w:fldChar w:fldCharType="begin"/>
      </w:r>
      <w:r>
        <w:instrText>xe "Service delivery"</w:instrText>
      </w:r>
      <w:r>
        <w:fldChar w:fldCharType="end"/>
      </w:r>
      <w:r>
        <w:t xml:space="preserve"> efficiency</w:t>
      </w:r>
      <w:r>
        <w:fldChar w:fldCharType="begin"/>
      </w:r>
      <w:r>
        <w:instrText>xe "Service delivery:Service delivery efficiency"</w:instrText>
      </w:r>
      <w:r>
        <w:fldChar w:fldCharType="end"/>
      </w:r>
      <w:r>
        <w:t xml:space="preserve"> mean that the Victorian Government can now provide secure, sustainable levels of service delivery. In order to ensure ongoing social benefits to the community in line with these achievements, all new legislation and initiatives brought before </w:t>
      </w:r>
      <w:r>
        <w:t>Parliament will be required to undergo the test of social advantage. This was announced in the Governor’s Speech re</w:t>
      </w:r>
      <w:r>
        <w:noBreakHyphen/>
        <w:t>opening Parliament on 17 February 1998.</w:t>
      </w:r>
    </w:p>
    <w:p w:rsidR="00000000" w:rsidRDefault="001F233B">
      <w:r>
        <w:t>By providing increased operational and capital funding</w:t>
      </w:r>
      <w:r>
        <w:fldChar w:fldCharType="begin"/>
      </w:r>
      <w:r>
        <w:instrText>xe "Funding:Capital"</w:instrText>
      </w:r>
      <w:r>
        <w:fldChar w:fldCharType="end"/>
      </w:r>
      <w:r>
        <w:t xml:space="preserve"> for health</w:t>
      </w:r>
      <w:r>
        <w:fldChar w:fldCharType="begin"/>
      </w:r>
      <w:r>
        <w:instrText>xe "Health"</w:instrText>
      </w:r>
      <w:r>
        <w:fldChar w:fldCharType="end"/>
      </w:r>
      <w:r>
        <w:t xml:space="preserve"> and welfare services as part of the 1998</w:t>
      </w:r>
      <w:r>
        <w:noBreakHyphen/>
        <w:t>99 Budget, the Government is working to improve the health and well</w:t>
      </w:r>
      <w:r>
        <w:noBreakHyphen/>
        <w:t>being of all Victorians. The increased expenditure will enable hospitals and other major services to meet increased demand.</w:t>
      </w:r>
    </w:p>
    <w:p w:rsidR="00000000" w:rsidRDefault="001F233B" w:rsidP="001F233B">
      <w:pPr>
        <w:pStyle w:val="BulletText"/>
        <w:numPr>
          <w:ilvl w:val="0"/>
          <w:numId w:val="0"/>
        </w:numPr>
        <w:rPr>
          <w:lang w:val="en-AU"/>
        </w:rPr>
      </w:pPr>
      <w:r>
        <w:rPr>
          <w:lang w:val="en-AU"/>
        </w:rPr>
        <w:t>This Budget includes n</w:t>
      </w:r>
      <w:r>
        <w:rPr>
          <w:lang w:val="en-AU"/>
        </w:rPr>
        <w:t>ew spending initiatives</w:t>
      </w:r>
      <w:r>
        <w:rPr>
          <w:lang w:val="en-AU"/>
        </w:rPr>
        <w:fldChar w:fldCharType="begin"/>
      </w:r>
      <w:r>
        <w:rPr>
          <w:lang w:val="en-AU"/>
        </w:rPr>
        <w:instrText>xe "Spending initiatives"</w:instrText>
      </w:r>
      <w:r>
        <w:rPr>
          <w:lang w:val="en-AU"/>
        </w:rPr>
        <w:fldChar w:fldCharType="end"/>
      </w:r>
      <w:r>
        <w:rPr>
          <w:lang w:val="en-AU"/>
        </w:rPr>
        <w:t xml:space="preserve"> on outputs</w:t>
      </w:r>
      <w:r>
        <w:rPr>
          <w:lang w:val="en-AU"/>
        </w:rPr>
        <w:fldChar w:fldCharType="begin"/>
      </w:r>
      <w:r>
        <w:rPr>
          <w:lang w:val="en-AU"/>
        </w:rPr>
        <w:instrText>xe "Outputs"</w:instrText>
      </w:r>
      <w:r>
        <w:rPr>
          <w:lang w:val="en-AU"/>
        </w:rPr>
        <w:fldChar w:fldCharType="end"/>
      </w:r>
      <w:r>
        <w:rPr>
          <w:lang w:val="en-AU"/>
        </w:rPr>
        <w:t xml:space="preserve"> totalling $233.4 million in 1998</w:t>
      </w:r>
      <w:r>
        <w:rPr>
          <w:lang w:val="en-AU"/>
        </w:rPr>
        <w:noBreakHyphen/>
        <w:t>99 and $271.4 million in 1999</w:t>
      </w:r>
      <w:r>
        <w:rPr>
          <w:lang w:val="en-AU"/>
        </w:rPr>
        <w:noBreakHyphen/>
        <w:t>00, targeted in particular to addressing high priority needs in the health</w:t>
      </w:r>
      <w:r>
        <w:rPr>
          <w:lang w:val="en-AU"/>
        </w:rPr>
        <w:fldChar w:fldCharType="begin"/>
      </w:r>
      <w:r>
        <w:rPr>
          <w:lang w:val="en-AU"/>
        </w:rPr>
        <w:instrText>xe "Health"</w:instrText>
      </w:r>
      <w:r>
        <w:rPr>
          <w:lang w:val="en-AU"/>
        </w:rPr>
        <w:fldChar w:fldCharType="end"/>
      </w:r>
      <w:r>
        <w:rPr>
          <w:lang w:val="en-AU"/>
        </w:rPr>
        <w:t xml:space="preserve"> and education</w:t>
      </w:r>
      <w:r>
        <w:rPr>
          <w:lang w:val="en-AU"/>
        </w:rPr>
        <w:fldChar w:fldCharType="begin"/>
      </w:r>
      <w:r>
        <w:rPr>
          <w:lang w:val="en-AU"/>
        </w:rPr>
        <w:instrText>xe "Education"</w:instrText>
      </w:r>
      <w:r>
        <w:rPr>
          <w:lang w:val="en-AU"/>
        </w:rPr>
        <w:fldChar w:fldCharType="end"/>
      </w:r>
      <w:r>
        <w:rPr>
          <w:lang w:val="en-AU"/>
        </w:rPr>
        <w:t xml:space="preserve"> areas.</w:t>
      </w:r>
    </w:p>
    <w:p w:rsidR="00000000" w:rsidRDefault="001F233B">
      <w:r>
        <w:t>These initiatives are funded in part by efficiency gains and a reassessment of expenditure priorities across other departments totalling $125.2 million in a full year and a reallocation of resources within the Departments of Human Services.</w:t>
      </w:r>
      <w:r>
        <w:fldChar w:fldCharType="begin"/>
      </w:r>
      <w:r>
        <w:instrText>xe "Edu</w:instrText>
      </w:r>
      <w:r>
        <w:instrText>cation"</w:instrText>
      </w:r>
      <w:r>
        <w:fldChar w:fldCharType="end"/>
      </w:r>
      <w:r>
        <w:t xml:space="preserve"> The remainder represents a net increase in departmental service delivery</w:t>
      </w:r>
      <w:r>
        <w:fldChar w:fldCharType="begin"/>
      </w:r>
      <w:r>
        <w:instrText>xe "Service delivery"</w:instrText>
      </w:r>
      <w:r>
        <w:fldChar w:fldCharType="end"/>
      </w:r>
      <w:r>
        <w:t xml:space="preserve"> output funding, of which $75 million has been allocated from the demand contingency</w:t>
      </w:r>
      <w:r>
        <w:fldChar w:fldCharType="begin"/>
      </w:r>
      <w:r>
        <w:instrText>xe "Demand contingency"</w:instrText>
      </w:r>
      <w:r>
        <w:fldChar w:fldCharType="end"/>
      </w:r>
      <w:r>
        <w:t xml:space="preserve"> provision built into the forward estimates. </w:t>
      </w:r>
    </w:p>
    <w:p w:rsidR="00000000" w:rsidRDefault="001F233B" w:rsidP="001F233B">
      <w:pPr>
        <w:pStyle w:val="BulletText"/>
        <w:numPr>
          <w:ilvl w:val="0"/>
          <w:numId w:val="0"/>
        </w:numPr>
        <w:rPr>
          <w:lang w:val="en-AU"/>
        </w:rPr>
      </w:pPr>
      <w:r>
        <w:rPr>
          <w:lang w:val="en-AU"/>
        </w:rPr>
        <w:t>The service delivery</w:t>
      </w:r>
      <w:r>
        <w:rPr>
          <w:lang w:val="en-AU"/>
        </w:rPr>
        <w:fldChar w:fldCharType="begin"/>
      </w:r>
      <w:r>
        <w:rPr>
          <w:lang w:val="en-AU"/>
        </w:rPr>
        <w:instrText>xe "Service delivery"</w:instrText>
      </w:r>
      <w:r>
        <w:rPr>
          <w:lang w:val="en-AU"/>
        </w:rPr>
        <w:fldChar w:fldCharType="end"/>
      </w:r>
      <w:r>
        <w:rPr>
          <w:lang w:val="en-AU"/>
        </w:rPr>
        <w:t xml:space="preserve"> measures</w:t>
      </w:r>
      <w:r>
        <w:rPr>
          <w:lang w:val="en-AU"/>
        </w:rPr>
        <w:fldChar w:fldCharType="begin"/>
      </w:r>
      <w:r>
        <w:rPr>
          <w:lang w:val="en-AU"/>
        </w:rPr>
        <w:instrText>xe "Service delivery:Service delivery measures"</w:instrText>
      </w:r>
      <w:r>
        <w:rPr>
          <w:lang w:val="en-AU"/>
        </w:rPr>
        <w:fldChar w:fldCharType="end"/>
      </w:r>
      <w:r>
        <w:rPr>
          <w:lang w:val="en-AU"/>
        </w:rPr>
        <w:t xml:space="preserve"> are part of the Government’s overall strategy to deliver quality, value</w:t>
      </w:r>
      <w:r>
        <w:rPr>
          <w:lang w:val="en-AU"/>
        </w:rPr>
        <w:noBreakHyphen/>
        <w:t>for</w:t>
      </w:r>
      <w:r>
        <w:rPr>
          <w:lang w:val="en-AU"/>
        </w:rPr>
        <w:noBreakHyphen/>
        <w:t>money public services and infrastructure</w:t>
      </w:r>
      <w:r>
        <w:rPr>
          <w:lang w:val="en-AU"/>
        </w:rPr>
        <w:fldChar w:fldCharType="begin"/>
      </w:r>
      <w:r>
        <w:rPr>
          <w:lang w:val="en-AU"/>
        </w:rPr>
        <w:instrText>xe "Economy:Infrastructure"</w:instrText>
      </w:r>
      <w:r>
        <w:rPr>
          <w:lang w:val="en-AU"/>
        </w:rPr>
        <w:fldChar w:fldCharType="end"/>
      </w:r>
      <w:r>
        <w:rPr>
          <w:lang w:val="en-AU"/>
        </w:rPr>
        <w:t xml:space="preserve"> to th</w:t>
      </w:r>
      <w:r>
        <w:rPr>
          <w:lang w:val="en-AU"/>
        </w:rPr>
        <w:t xml:space="preserve">e community. </w:t>
      </w:r>
    </w:p>
    <w:p w:rsidR="00000000" w:rsidRDefault="001F233B" w:rsidP="001F233B">
      <w:pPr>
        <w:pStyle w:val="BulletText"/>
        <w:numPr>
          <w:ilvl w:val="0"/>
          <w:numId w:val="0"/>
        </w:numPr>
        <w:rPr>
          <w:lang w:val="en-AU"/>
        </w:rPr>
      </w:pPr>
      <w:r>
        <w:rPr>
          <w:lang w:val="en-AU"/>
        </w:rPr>
        <w:t>Further, the initiatives reflect the social gains to the community from the Government’s sound financial management and reforms designed to deliver value</w:t>
      </w:r>
      <w:r>
        <w:rPr>
          <w:lang w:val="en-AU"/>
        </w:rPr>
        <w:noBreakHyphen/>
        <w:t>for</w:t>
      </w:r>
      <w:r>
        <w:rPr>
          <w:lang w:val="en-AU"/>
        </w:rPr>
        <w:noBreakHyphen/>
        <w:t>money services that meet the needs of the community.</w:t>
      </w:r>
    </w:p>
    <w:p w:rsidR="00000000" w:rsidRDefault="001F233B" w:rsidP="001F233B">
      <w:pPr>
        <w:pStyle w:val="BulletText"/>
        <w:numPr>
          <w:ilvl w:val="0"/>
          <w:numId w:val="0"/>
        </w:numPr>
        <w:rPr>
          <w:lang w:val="en-AU"/>
        </w:rPr>
      </w:pPr>
      <w:r>
        <w:rPr>
          <w:lang w:val="en-AU"/>
        </w:rPr>
        <w:t>Service delivery</w:t>
      </w:r>
      <w:r>
        <w:rPr>
          <w:lang w:val="en-AU"/>
        </w:rPr>
        <w:fldChar w:fldCharType="begin"/>
      </w:r>
      <w:r>
        <w:rPr>
          <w:lang w:val="en-AU"/>
        </w:rPr>
        <w:instrText>xe "Service delivery"</w:instrText>
      </w:r>
      <w:r>
        <w:rPr>
          <w:lang w:val="en-AU"/>
        </w:rPr>
        <w:fldChar w:fldCharType="end"/>
      </w:r>
      <w:r>
        <w:rPr>
          <w:lang w:val="en-AU"/>
        </w:rPr>
        <w:t xml:space="preserve"> reforms</w:t>
      </w:r>
      <w:r>
        <w:rPr>
          <w:lang w:val="en-AU"/>
        </w:rPr>
        <w:fldChar w:fldCharType="begin"/>
      </w:r>
      <w:r>
        <w:rPr>
          <w:lang w:val="en-AU"/>
        </w:rPr>
        <w:instrText>xe "Service delivery:Service delivery reforms"</w:instrText>
      </w:r>
      <w:r>
        <w:rPr>
          <w:lang w:val="en-AU"/>
        </w:rPr>
        <w:fldChar w:fldCharType="end"/>
      </w:r>
      <w:r>
        <w:rPr>
          <w:lang w:val="en-AU"/>
        </w:rPr>
        <w:t xml:space="preserve"> have included the introduction of increased competition through outsourcing</w:t>
      </w:r>
      <w:r>
        <w:rPr>
          <w:lang w:val="en-AU"/>
        </w:rPr>
        <w:fldChar w:fldCharType="begin"/>
      </w:r>
      <w:r>
        <w:rPr>
          <w:lang w:val="en-AU"/>
        </w:rPr>
        <w:instrText>xe "Outsourcing"</w:instrText>
      </w:r>
      <w:r>
        <w:rPr>
          <w:lang w:val="en-AU"/>
        </w:rPr>
        <w:fldChar w:fldCharType="end"/>
      </w:r>
      <w:r>
        <w:rPr>
          <w:lang w:val="en-AU"/>
        </w:rPr>
        <w:t xml:space="preserve"> and contract management where services can be provided better or at a lower cost by the private s</w:t>
      </w:r>
      <w:r>
        <w:rPr>
          <w:lang w:val="en-AU"/>
        </w:rPr>
        <w:t>ector. The introduction of market disciplines as a result of competitive tendering, and financial management reforms have resulted in a greater focus on service outputs</w:t>
      </w:r>
      <w:r>
        <w:rPr>
          <w:lang w:val="en-AU"/>
        </w:rPr>
        <w:fldChar w:fldCharType="begin"/>
      </w:r>
      <w:r>
        <w:rPr>
          <w:lang w:val="en-AU"/>
        </w:rPr>
        <w:instrText>xe "Outputs"</w:instrText>
      </w:r>
      <w:r>
        <w:rPr>
          <w:lang w:val="en-AU"/>
        </w:rPr>
        <w:fldChar w:fldCharType="end"/>
      </w:r>
      <w:r>
        <w:rPr>
          <w:lang w:val="en-AU"/>
        </w:rPr>
        <w:t xml:space="preserve"> rather than inputs of service delivery.</w:t>
      </w:r>
    </w:p>
    <w:p w:rsidR="00000000" w:rsidRDefault="001F233B">
      <w:r>
        <w:t>Victoria was clearly overspending on service delivery</w:t>
      </w:r>
      <w:r>
        <w:fldChar w:fldCharType="begin"/>
      </w:r>
      <w:r>
        <w:instrText>xe "Service delivery"</w:instrText>
      </w:r>
      <w:r>
        <w:fldChar w:fldCharType="end"/>
      </w:r>
      <w:r>
        <w:t xml:space="preserve"> relative to other States in the early 1990s without achieving enhanced outcomes. Initiatives since 1992 have focused on using the State’s resources more productively, by delivering better quality services more ef</w:t>
      </w:r>
      <w:r>
        <w:t>ficiently. Initiatives to achieve this have included:</w:t>
      </w:r>
    </w:p>
    <w:p w:rsidR="00000000" w:rsidRDefault="001F233B" w:rsidP="001F233B">
      <w:pPr>
        <w:pStyle w:val="BulletText"/>
        <w:numPr>
          <w:ilvl w:val="0"/>
          <w:numId w:val="1"/>
        </w:numPr>
        <w:tabs>
          <w:tab w:val="left" w:pos="360"/>
        </w:tabs>
        <w:rPr>
          <w:lang w:val="en-AU"/>
        </w:rPr>
      </w:pPr>
      <w:r>
        <w:rPr>
          <w:lang w:val="en-AU"/>
        </w:rPr>
        <w:t>amalgamating smaller schools to improve student access to enhance curriculum choices and facilities whilst reducing the fixed costs of education</w:t>
      </w:r>
      <w:r>
        <w:rPr>
          <w:lang w:val="en-AU"/>
        </w:rPr>
        <w:fldChar w:fldCharType="begin"/>
      </w:r>
      <w:r>
        <w:rPr>
          <w:lang w:val="en-AU"/>
        </w:rPr>
        <w:instrText>xe "Education"</w:instrText>
      </w:r>
      <w:r>
        <w:rPr>
          <w:lang w:val="en-AU"/>
        </w:rPr>
        <w:fldChar w:fldCharType="end"/>
      </w:r>
      <w:r>
        <w:rPr>
          <w:lang w:val="en-AU"/>
        </w:rPr>
        <w:t>. Proceeds from the sale of surplus assets have been reinvested in schools;</w:t>
      </w:r>
    </w:p>
    <w:p w:rsidR="00000000" w:rsidRDefault="001F233B" w:rsidP="001F233B">
      <w:pPr>
        <w:pStyle w:val="BulletText"/>
        <w:numPr>
          <w:ilvl w:val="0"/>
          <w:numId w:val="1"/>
        </w:numPr>
        <w:tabs>
          <w:tab w:val="left" w:pos="360"/>
        </w:tabs>
        <w:rPr>
          <w:lang w:val="en-AU"/>
        </w:rPr>
      </w:pPr>
      <w:r>
        <w:rPr>
          <w:lang w:val="en-AU"/>
        </w:rPr>
        <w:t>introducing per capita funding and increasing user choice providing an incentive to schools to improve the quality of educational service delivery</w:t>
      </w:r>
      <w:r>
        <w:rPr>
          <w:lang w:val="en-AU"/>
        </w:rPr>
        <w:fldChar w:fldCharType="begin"/>
      </w:r>
      <w:r>
        <w:rPr>
          <w:lang w:val="en-AU"/>
        </w:rPr>
        <w:instrText>xe "Service delivery"</w:instrText>
      </w:r>
      <w:r>
        <w:rPr>
          <w:lang w:val="en-AU"/>
        </w:rPr>
        <w:fldChar w:fldCharType="end"/>
      </w:r>
      <w:r>
        <w:rPr>
          <w:lang w:val="en-AU"/>
        </w:rPr>
        <w:t xml:space="preserve"> and better target delivery to student needs;</w:t>
      </w:r>
    </w:p>
    <w:p w:rsidR="00000000" w:rsidRDefault="001F233B" w:rsidP="001F233B">
      <w:pPr>
        <w:pStyle w:val="BulletText"/>
        <w:numPr>
          <w:ilvl w:val="0"/>
          <w:numId w:val="1"/>
        </w:numPr>
        <w:tabs>
          <w:tab w:val="left" w:pos="360"/>
        </w:tabs>
        <w:rPr>
          <w:lang w:val="en-AU"/>
        </w:rPr>
      </w:pPr>
      <w:r>
        <w:rPr>
          <w:lang w:val="en-AU"/>
        </w:rPr>
        <w:t>decisio</w:t>
      </w:r>
      <w:r>
        <w:rPr>
          <w:lang w:val="en-AU"/>
        </w:rPr>
        <w:t>n</w:t>
      </w:r>
      <w:r>
        <w:rPr>
          <w:lang w:val="en-AU"/>
        </w:rPr>
        <w:noBreakHyphen/>
        <w:t>making powers and associated funding being devolved to schools. Schools have more flexibility to match curriculum priorities, class structures, staffing arrangements, school facilities and funding to student needs;</w:t>
      </w:r>
    </w:p>
    <w:p w:rsidR="00000000" w:rsidRDefault="001F233B" w:rsidP="001F233B">
      <w:pPr>
        <w:pStyle w:val="BulletText"/>
        <w:numPr>
          <w:ilvl w:val="0"/>
          <w:numId w:val="1"/>
        </w:numPr>
        <w:tabs>
          <w:tab w:val="left" w:pos="360"/>
        </w:tabs>
        <w:rPr>
          <w:lang w:val="en-AU"/>
        </w:rPr>
      </w:pPr>
      <w:r>
        <w:rPr>
          <w:lang w:val="en-AU"/>
        </w:rPr>
        <w:t>funding hospitals on the basis of the mix of services provided, i.e. casemix</w:t>
      </w:r>
      <w:r>
        <w:rPr>
          <w:lang w:val="en-AU"/>
        </w:rPr>
        <w:fldChar w:fldCharType="begin"/>
      </w:r>
      <w:r>
        <w:rPr>
          <w:lang w:val="en-AU"/>
        </w:rPr>
        <w:instrText>xe "Casemix"</w:instrText>
      </w:r>
      <w:r>
        <w:rPr>
          <w:lang w:val="en-AU"/>
        </w:rPr>
        <w:fldChar w:fldCharType="end"/>
      </w:r>
      <w:r>
        <w:rPr>
          <w:lang w:val="en-AU"/>
        </w:rPr>
        <w:t xml:space="preserve"> funding, rather than on historical expenditure basis. As a consequence, waiting lists for elective surgery have been dramatically reduced; and</w:t>
      </w:r>
    </w:p>
    <w:p w:rsidR="00000000" w:rsidRDefault="001F233B" w:rsidP="001F233B">
      <w:pPr>
        <w:pStyle w:val="BulletText"/>
        <w:numPr>
          <w:ilvl w:val="0"/>
          <w:numId w:val="1"/>
        </w:numPr>
        <w:tabs>
          <w:tab w:val="left" w:pos="360"/>
        </w:tabs>
        <w:rPr>
          <w:lang w:val="en-AU"/>
        </w:rPr>
      </w:pPr>
      <w:r>
        <w:rPr>
          <w:lang w:val="en-AU"/>
        </w:rPr>
        <w:t>moving services from institutional to home and community</w:t>
      </w:r>
      <w:r>
        <w:rPr>
          <w:lang w:val="en-AU"/>
        </w:rPr>
        <w:noBreakHyphen/>
        <w:t>base</w:t>
      </w:r>
      <w:r>
        <w:rPr>
          <w:lang w:val="en-AU"/>
        </w:rPr>
        <w:t>d care in all human service areas. This is not only what people want, in some instances it is also less costly.</w:t>
      </w:r>
    </w:p>
    <w:p w:rsidR="00000000" w:rsidRDefault="001F233B">
      <w:pPr>
        <w:pStyle w:val="Heading2"/>
      </w:pPr>
      <w:bookmarkStart w:id="73" w:name="_Toc417482319"/>
      <w:bookmarkStart w:id="74" w:name="_Toc417552083"/>
      <w:r>
        <w:t>Departmental initiatives</w:t>
      </w:r>
      <w:bookmarkEnd w:id="73"/>
      <w:bookmarkEnd w:id="74"/>
    </w:p>
    <w:p w:rsidR="00000000" w:rsidRDefault="001F233B">
      <w:r>
        <w:t>Table 4.1 sets out by department the gross expenditure on new output initiative</w:t>
      </w:r>
      <w:r>
        <w:fldChar w:fldCharType="begin"/>
      </w:r>
      <w:r>
        <w:instrText>xe "Output initiative"</w:instrText>
      </w:r>
      <w:r>
        <w:fldChar w:fldCharType="end"/>
      </w:r>
      <w:r>
        <w:t>s for implementation in 1998</w:t>
      </w:r>
      <w:r>
        <w:noBreakHyphen/>
        <w:t>99.</w:t>
      </w:r>
    </w:p>
    <w:p w:rsidR="00000000" w:rsidRDefault="001F233B">
      <w:r>
        <w:t>In gross terms operating expenses will increase by $233.4 million in 1998</w:t>
      </w:r>
      <w:r>
        <w:noBreakHyphen/>
        <w:t>99 and $271.4 million in 1999</w:t>
      </w:r>
      <w:r>
        <w:noBreakHyphen/>
        <w:t>00. This will be partly offset by re</w:t>
      </w:r>
      <w:r>
        <w:noBreakHyphen/>
        <w:t>prioritisation of resources across all departments of $125.2 million and $126.6 million in these t</w:t>
      </w:r>
      <w:r>
        <w:t>wo years. These additional resources have been made available through reducing outputs</w:t>
      </w:r>
      <w:r>
        <w:fldChar w:fldCharType="begin"/>
      </w:r>
      <w:r>
        <w:instrText>xe "Outputs"</w:instrText>
      </w:r>
      <w:r>
        <w:fldChar w:fldCharType="end"/>
      </w:r>
      <w:r>
        <w:t xml:space="preserve"> in lower priority service areas. A further $75 million of demand contingency</w:t>
      </w:r>
      <w:r>
        <w:fldChar w:fldCharType="begin"/>
      </w:r>
      <w:r>
        <w:instrText>xe "Demand contingency"</w:instrText>
      </w:r>
      <w:r>
        <w:fldChar w:fldCharType="end"/>
      </w:r>
      <w:r>
        <w:t xml:space="preserve"> funding previously included in the forward estimates has also been used to offset the cost of these initiatives.</w:t>
      </w:r>
    </w:p>
    <w:p w:rsidR="00000000" w:rsidRDefault="001F233B">
      <w:pPr>
        <w:rPr>
          <w:i/>
        </w:rPr>
      </w:pPr>
      <w:r>
        <w:t>In addition, $59.5 million ($23.4 million recurrent and $36.1 million non</w:t>
      </w:r>
      <w:r>
        <w:noBreakHyphen/>
        <w:t>current) has been reallocated within the Department of Human Services</w:t>
      </w:r>
      <w:r>
        <w:fldChar w:fldCharType="begin"/>
      </w:r>
      <w:r>
        <w:instrText>xe "Department of Human Services"</w:instrText>
      </w:r>
      <w:r>
        <w:fldChar w:fldCharType="end"/>
      </w:r>
      <w:r>
        <w:t xml:space="preserve"> for 1998</w:t>
      </w:r>
      <w:r>
        <w:noBreakHyphen/>
        <w:t xml:space="preserve">99 from </w:t>
      </w:r>
      <w:r>
        <w:t>existing resources to fund initiatives across all output groups</w:t>
      </w:r>
      <w:r>
        <w:fldChar w:fldCharType="begin"/>
      </w:r>
      <w:r>
        <w:instrText>xe "Health"</w:instrText>
      </w:r>
      <w:r>
        <w:fldChar w:fldCharType="end"/>
      </w:r>
      <w:r>
        <w:t>.</w:t>
      </w:r>
    </w:p>
    <w:p w:rsidR="00000000" w:rsidRDefault="001F233B">
      <w:pPr>
        <w:pStyle w:val="Tableheading"/>
        <w:keepNext/>
      </w:pPr>
      <w:bookmarkStart w:id="75" w:name="_Toc417482510"/>
      <w:bookmarkStart w:id="76" w:name="_Toc417552748"/>
      <w:r>
        <w:t>Table 4.1: New funding for output initiative</w:t>
      </w:r>
      <w:r>
        <w:fldChar w:fldCharType="begin"/>
      </w:r>
      <w:r>
        <w:instrText>xe "Output initiative"</w:instrText>
      </w:r>
      <w:r>
        <w:fldChar w:fldCharType="end"/>
      </w:r>
      <w:r>
        <w:t>s announced as part of the 1998</w:t>
      </w:r>
      <w:r>
        <w:noBreakHyphen/>
        <w:t>99 Budget</w:t>
      </w:r>
      <w:bookmarkEnd w:id="75"/>
      <w:bookmarkEnd w:id="76"/>
    </w:p>
    <w:p w:rsidR="00000000" w:rsidRDefault="001F233B">
      <w:pPr>
        <w:keepNext/>
        <w:spacing w:after="0"/>
        <w:jc w:val="center"/>
        <w:rPr>
          <w:rFonts w:ascii="Arial" w:hAnsi="Arial"/>
          <w:i/>
          <w:noProof/>
          <w:sz w:val="20"/>
        </w:rPr>
      </w:pPr>
      <w:r>
        <w:rPr>
          <w:rFonts w:ascii="Arial" w:hAnsi="Arial"/>
          <w:i/>
          <w:sz w:val="20"/>
        </w:rPr>
        <w:t>($ million)</w:t>
      </w:r>
    </w:p>
    <w:tbl>
      <w:tblPr>
        <w:tblW w:w="0" w:type="auto"/>
        <w:tblLayout w:type="fixed"/>
        <w:tblCellMar>
          <w:left w:w="30" w:type="dxa"/>
          <w:right w:w="30" w:type="dxa"/>
        </w:tblCellMar>
        <w:tblLook w:val="0000" w:firstRow="0" w:lastRow="0" w:firstColumn="0" w:lastColumn="0" w:noHBand="0" w:noVBand="0"/>
      </w:tblPr>
      <w:tblGrid>
        <w:gridCol w:w="1"/>
        <w:gridCol w:w="4518"/>
        <w:gridCol w:w="1134"/>
        <w:gridCol w:w="1276"/>
      </w:tblGrid>
      <w:tr w:rsidR="00000000">
        <w:tblPrEx>
          <w:tblCellMar>
            <w:top w:w="0" w:type="dxa"/>
            <w:bottom w:w="0" w:type="dxa"/>
          </w:tblCellMar>
        </w:tblPrEx>
        <w:trPr>
          <w:cantSplit/>
        </w:trPr>
        <w:tc>
          <w:tcPr>
            <w:tcW w:w="4519" w:type="dxa"/>
            <w:gridSpan w:val="2"/>
            <w:tcBorders>
              <w:top w:val="single" w:sz="6" w:space="0" w:color="auto"/>
              <w:bottom w:val="single" w:sz="6" w:space="0" w:color="auto"/>
            </w:tcBorders>
          </w:tcPr>
          <w:p w:rsidR="00000000" w:rsidRDefault="001F233B">
            <w:pPr>
              <w:pStyle w:val="Tabletextheading"/>
              <w:keepNext/>
              <w:jc w:val="left"/>
              <w:rPr>
                <w:b w:val="0"/>
                <w:i/>
              </w:rPr>
            </w:pPr>
            <w:r>
              <w:rPr>
                <w:b w:val="0"/>
                <w:i/>
              </w:rPr>
              <w:t>Department</w:t>
            </w:r>
          </w:p>
        </w:tc>
        <w:tc>
          <w:tcPr>
            <w:tcW w:w="1134" w:type="dxa"/>
            <w:tcBorders>
              <w:top w:val="single" w:sz="6" w:space="0" w:color="auto"/>
              <w:bottom w:val="single" w:sz="6" w:space="0" w:color="auto"/>
            </w:tcBorders>
          </w:tcPr>
          <w:p w:rsidR="00000000" w:rsidRDefault="001F233B">
            <w:pPr>
              <w:pStyle w:val="Tabletextheading"/>
              <w:keepNext/>
              <w:rPr>
                <w:b w:val="0"/>
                <w:i/>
                <w:color w:val="000000"/>
              </w:rPr>
            </w:pPr>
            <w:r>
              <w:rPr>
                <w:b w:val="0"/>
                <w:i/>
                <w:color w:val="000000"/>
              </w:rPr>
              <w:t>1998</w:t>
            </w:r>
            <w:r>
              <w:rPr>
                <w:b w:val="0"/>
                <w:i/>
                <w:color w:val="000000"/>
              </w:rPr>
              <w:noBreakHyphen/>
              <w:t>99</w:t>
            </w:r>
          </w:p>
          <w:p w:rsidR="00000000" w:rsidRDefault="001F233B">
            <w:pPr>
              <w:pStyle w:val="Tabletextheading"/>
              <w:keepNext/>
              <w:rPr>
                <w:b w:val="0"/>
                <w:i/>
                <w:color w:val="000000"/>
              </w:rPr>
            </w:pPr>
            <w:r>
              <w:rPr>
                <w:b w:val="0"/>
                <w:i/>
                <w:color w:val="000000"/>
              </w:rPr>
              <w:t>Budget</w:t>
            </w:r>
          </w:p>
        </w:tc>
        <w:tc>
          <w:tcPr>
            <w:tcW w:w="1276" w:type="dxa"/>
            <w:tcBorders>
              <w:top w:val="single" w:sz="6" w:space="0" w:color="auto"/>
              <w:bottom w:val="single" w:sz="6" w:space="0" w:color="auto"/>
            </w:tcBorders>
          </w:tcPr>
          <w:p w:rsidR="00000000" w:rsidRDefault="001F233B">
            <w:pPr>
              <w:pStyle w:val="Tabletextheading"/>
              <w:keepNext/>
              <w:rPr>
                <w:b w:val="0"/>
                <w:i/>
                <w:color w:val="000000"/>
              </w:rPr>
            </w:pPr>
            <w:r>
              <w:rPr>
                <w:b w:val="0"/>
                <w:i/>
                <w:color w:val="000000"/>
              </w:rPr>
              <w:t>1999</w:t>
            </w:r>
            <w:r>
              <w:rPr>
                <w:b w:val="0"/>
                <w:i/>
                <w:color w:val="000000"/>
              </w:rPr>
              <w:noBreakHyphen/>
              <w:t>00</w:t>
            </w:r>
          </w:p>
          <w:p w:rsidR="00000000" w:rsidRDefault="001F233B">
            <w:pPr>
              <w:pStyle w:val="Tabletextheading"/>
              <w:keepNext/>
              <w:rPr>
                <w:b w:val="0"/>
                <w:i/>
                <w:color w:val="000000"/>
              </w:rPr>
            </w:pPr>
            <w:r>
              <w:rPr>
                <w:b w:val="0"/>
                <w:i/>
                <w:color w:val="000000"/>
              </w:rPr>
              <w:t>Estimate</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pPr>
            <w:r>
              <w:t>Education</w:t>
            </w:r>
            <w:r>
              <w:fldChar w:fldCharType="begin"/>
            </w:r>
            <w:r>
              <w:instrText>xe "Education"</w:instrText>
            </w:r>
            <w:r>
              <w:fldChar w:fldCharType="end"/>
            </w: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p>
          <w:p w:rsidR="00000000" w:rsidRDefault="001F233B">
            <w:pPr>
              <w:pStyle w:val="Tabletext"/>
              <w:keepNext/>
            </w:pPr>
            <w:r>
              <w:fldChar w:fldCharType="begin"/>
            </w:r>
            <w:r>
              <w:instrText>xe "Education"</w:instrText>
            </w:r>
            <w:r>
              <w:fldChar w:fldCharType="end"/>
            </w:r>
          </w:p>
        </w:tc>
        <w:tc>
          <w:tcPr>
            <w:hMerge/>
          </w:tcPr>
          <w:p w:rsidR="00000000" w:rsidRDefault="001F233B">
            <w:pPr>
              <w:pStyle w:val="Tabletext"/>
              <w:keepNext/>
              <w:rPr>
                <w:color w:val="000000"/>
              </w:rPr>
            </w:pPr>
          </w:p>
        </w:tc>
        <w:tc>
          <w:tcPr>
            <w:tcW w:w="1134" w:type="dxa"/>
          </w:tcPr>
          <w:p w:rsidR="00000000" w:rsidRDefault="001F233B">
            <w:pPr>
              <w:pStyle w:val="TableofFigures"/>
              <w:keepNext/>
            </w:pPr>
            <w:r>
              <w:t>63.5</w:t>
            </w:r>
          </w:p>
        </w:tc>
        <w:tc>
          <w:tcPr>
            <w:tcW w:w="1276" w:type="dxa"/>
          </w:tcPr>
          <w:p w:rsidR="00000000" w:rsidRDefault="001F233B">
            <w:pPr>
              <w:pStyle w:val="TableofFigures"/>
              <w:keepNext/>
            </w:pPr>
            <w:r>
              <w:t>100.1</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Human Services</w:t>
            </w:r>
          </w:p>
        </w:tc>
        <w:tc>
          <w:tcPr>
            <w:hMerge/>
          </w:tcPr>
          <w:p w:rsidR="00000000" w:rsidRDefault="001F233B">
            <w:pPr>
              <w:pStyle w:val="Tabletext"/>
              <w:keepNext/>
              <w:rPr>
                <w:color w:val="000000"/>
              </w:rPr>
            </w:pPr>
          </w:p>
        </w:tc>
        <w:tc>
          <w:tcPr>
            <w:tcW w:w="1134" w:type="dxa"/>
          </w:tcPr>
          <w:p w:rsidR="00000000" w:rsidRDefault="001F233B">
            <w:pPr>
              <w:pStyle w:val="TableofFigures"/>
              <w:keepNext/>
            </w:pPr>
            <w:r>
              <w:t>100.0</w:t>
            </w:r>
          </w:p>
        </w:tc>
        <w:tc>
          <w:tcPr>
            <w:tcW w:w="1276" w:type="dxa"/>
          </w:tcPr>
          <w:p w:rsidR="00000000" w:rsidRDefault="001F233B">
            <w:pPr>
              <w:pStyle w:val="TableofFigures"/>
              <w:keepNext/>
            </w:pPr>
            <w:r>
              <w:t>117.6</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Justice</w:t>
            </w:r>
          </w:p>
        </w:tc>
        <w:tc>
          <w:tcPr>
            <w:hMerge/>
          </w:tcPr>
          <w:p w:rsidR="00000000" w:rsidRDefault="001F233B">
            <w:pPr>
              <w:pStyle w:val="Tabletext"/>
              <w:keepNext/>
              <w:rPr>
                <w:color w:val="000000"/>
              </w:rPr>
            </w:pPr>
          </w:p>
        </w:tc>
        <w:tc>
          <w:tcPr>
            <w:tcW w:w="1134" w:type="dxa"/>
          </w:tcPr>
          <w:p w:rsidR="00000000" w:rsidRDefault="001F233B">
            <w:pPr>
              <w:pStyle w:val="TableofFigures"/>
              <w:keepNext/>
            </w:pPr>
            <w:r>
              <w:t>30.5</w:t>
            </w:r>
          </w:p>
        </w:tc>
        <w:tc>
          <w:tcPr>
            <w:tcW w:w="1276" w:type="dxa"/>
          </w:tcPr>
          <w:p w:rsidR="00000000" w:rsidRDefault="001F233B">
            <w:pPr>
              <w:pStyle w:val="TableofFigures"/>
              <w:keepNext/>
            </w:pPr>
            <w:r>
              <w:t>22.7</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Infrastructure</w:t>
            </w:r>
            <w:r>
              <w:rPr>
                <w:color w:val="000000"/>
              </w:rPr>
              <w:fldChar w:fldCharType="begin"/>
            </w:r>
            <w:r>
              <w:rPr>
                <w:color w:val="000000"/>
              </w:rPr>
              <w:instrText>xe "Economy:Infrastructure"</w:instrText>
            </w:r>
            <w:r>
              <w:rPr>
                <w:color w:val="000000"/>
              </w:rPr>
              <w:fldChar w:fldCharType="end"/>
            </w:r>
          </w:p>
        </w:tc>
        <w:tc>
          <w:tcPr>
            <w:hMerge/>
          </w:tcPr>
          <w:p w:rsidR="00000000" w:rsidRDefault="001F233B">
            <w:pPr>
              <w:pStyle w:val="Tabletext"/>
              <w:keepNext/>
              <w:rPr>
                <w:color w:val="000000"/>
              </w:rPr>
            </w:pPr>
          </w:p>
        </w:tc>
        <w:tc>
          <w:tcPr>
            <w:tcW w:w="1134" w:type="dxa"/>
          </w:tcPr>
          <w:p w:rsidR="00000000" w:rsidRDefault="001F233B">
            <w:pPr>
              <w:pStyle w:val="TableofFigures"/>
              <w:keepNext/>
            </w:pPr>
            <w:r>
              <w:t>5.9</w:t>
            </w:r>
          </w:p>
        </w:tc>
        <w:tc>
          <w:tcPr>
            <w:tcW w:w="1276" w:type="dxa"/>
          </w:tcPr>
          <w:p w:rsidR="00000000" w:rsidRDefault="001F233B">
            <w:pPr>
              <w:pStyle w:val="TableofFigures"/>
              <w:keepNext/>
            </w:pPr>
            <w:r>
              <w:t>..</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Natural Resources and Environment</w:t>
            </w:r>
            <w:r>
              <w:rPr>
                <w:color w:val="000000"/>
              </w:rPr>
              <w:fldChar w:fldCharType="begin"/>
            </w:r>
            <w:r>
              <w:rPr>
                <w:color w:val="000000"/>
              </w:rPr>
              <w:instrText>xe "Department of Natural Resources and</w:instrText>
            </w:r>
            <w:r>
              <w:rPr>
                <w:color w:val="000000"/>
              </w:rPr>
              <w:instrText xml:space="preserve"> Environment"</w:instrText>
            </w:r>
            <w:r>
              <w:rPr>
                <w:color w:val="000000"/>
              </w:rPr>
              <w:fldChar w:fldCharType="end"/>
            </w:r>
          </w:p>
        </w:tc>
        <w:tc>
          <w:tcPr>
            <w:hMerge/>
          </w:tcPr>
          <w:p w:rsidR="00000000" w:rsidRDefault="001F233B">
            <w:pPr>
              <w:pStyle w:val="Tabletext"/>
              <w:keepNext/>
              <w:rPr>
                <w:color w:val="000000"/>
              </w:rPr>
            </w:pPr>
          </w:p>
        </w:tc>
        <w:tc>
          <w:tcPr>
            <w:tcW w:w="1134" w:type="dxa"/>
          </w:tcPr>
          <w:p w:rsidR="00000000" w:rsidRDefault="001F233B">
            <w:pPr>
              <w:pStyle w:val="TableofFigures"/>
              <w:keepNext/>
            </w:pPr>
            <w:r>
              <w:t>9.0</w:t>
            </w:r>
          </w:p>
        </w:tc>
        <w:tc>
          <w:tcPr>
            <w:tcW w:w="1276" w:type="dxa"/>
          </w:tcPr>
          <w:p w:rsidR="00000000" w:rsidRDefault="001F233B">
            <w:pPr>
              <w:pStyle w:val="TableofFigures"/>
              <w:keepNext/>
            </w:pPr>
            <w:r>
              <w:t>10.1</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Premier and Cabinet</w:t>
            </w:r>
          </w:p>
        </w:tc>
        <w:tc>
          <w:tcPr>
            <w:hMerge/>
          </w:tcPr>
          <w:p w:rsidR="00000000" w:rsidRDefault="001F233B">
            <w:pPr>
              <w:pStyle w:val="Tabletext"/>
              <w:keepNext/>
              <w:rPr>
                <w:color w:val="000000"/>
              </w:rPr>
            </w:pPr>
          </w:p>
        </w:tc>
        <w:tc>
          <w:tcPr>
            <w:tcW w:w="1134" w:type="dxa"/>
          </w:tcPr>
          <w:p w:rsidR="00000000" w:rsidRDefault="001F233B">
            <w:pPr>
              <w:pStyle w:val="TableofFigures"/>
              <w:keepNext/>
            </w:pPr>
            <w:r>
              <w:t>9.3</w:t>
            </w:r>
          </w:p>
        </w:tc>
        <w:tc>
          <w:tcPr>
            <w:tcW w:w="1276" w:type="dxa"/>
          </w:tcPr>
          <w:p w:rsidR="00000000" w:rsidRDefault="001F233B">
            <w:pPr>
              <w:pStyle w:val="TableofFigures"/>
              <w:keepNext/>
            </w:pPr>
            <w:r>
              <w:t>8.8</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State Development</w:t>
            </w:r>
          </w:p>
        </w:tc>
        <w:tc>
          <w:tcPr>
            <w:hMerge/>
          </w:tcPr>
          <w:p w:rsidR="00000000" w:rsidRDefault="001F233B">
            <w:pPr>
              <w:pStyle w:val="Tabletext"/>
              <w:keepNext/>
              <w:rPr>
                <w:color w:val="000000"/>
              </w:rPr>
            </w:pPr>
          </w:p>
        </w:tc>
        <w:tc>
          <w:tcPr>
            <w:tcW w:w="1134" w:type="dxa"/>
          </w:tcPr>
          <w:p w:rsidR="00000000" w:rsidRDefault="001F233B">
            <w:pPr>
              <w:pStyle w:val="TableofFigures"/>
              <w:keepNext/>
            </w:pPr>
            <w:r>
              <w:t>15.2</w:t>
            </w:r>
          </w:p>
        </w:tc>
        <w:tc>
          <w:tcPr>
            <w:tcW w:w="1276" w:type="dxa"/>
          </w:tcPr>
          <w:p w:rsidR="00000000" w:rsidRDefault="001F233B">
            <w:pPr>
              <w:pStyle w:val="TableofFigures"/>
              <w:keepNext/>
            </w:pPr>
            <w:r>
              <w:t>12.1</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Treasury and Finance</w:t>
            </w:r>
          </w:p>
        </w:tc>
        <w:tc>
          <w:tcPr>
            <w:hMerge/>
          </w:tcPr>
          <w:p w:rsidR="00000000" w:rsidRDefault="001F233B">
            <w:pPr>
              <w:pStyle w:val="Tabletext"/>
              <w:keepNext/>
              <w:rPr>
                <w:color w:val="000000"/>
              </w:rPr>
            </w:pPr>
          </w:p>
        </w:tc>
        <w:tc>
          <w:tcPr>
            <w:tcW w:w="1134" w:type="dxa"/>
          </w:tcPr>
          <w:p w:rsidR="00000000" w:rsidRDefault="001F233B">
            <w:pPr>
              <w:pStyle w:val="TableofFigures"/>
              <w:keepNext/>
            </w:pPr>
            <w:r>
              <w:t>..</w:t>
            </w:r>
          </w:p>
        </w:tc>
        <w:tc>
          <w:tcPr>
            <w:tcW w:w="1276" w:type="dxa"/>
          </w:tcPr>
          <w:p w:rsidR="00000000" w:rsidRDefault="001F233B">
            <w:pPr>
              <w:pStyle w:val="TableofFigures"/>
              <w:keepNext/>
            </w:pPr>
            <w:r>
              <w:t>..</w:t>
            </w:r>
          </w:p>
        </w:tc>
      </w:tr>
      <w:tr w:rsidR="00000000">
        <w:tblPrEx>
          <w:tblCellMar>
            <w:top w:w="0" w:type="dxa"/>
            <w:bottom w:w="0" w:type="dxa"/>
          </w:tblCellMar>
        </w:tblPrEx>
        <w:trPr>
          <w:trHeight w:hRule="exact" w:val="240"/>
        </w:trPr>
        <w:tc>
          <w:tcPr>
            <w:tcW w:w="4519" w:type="dxa"/>
            <w:hMerge w:val="restart"/>
            <w:tcBorders>
              <w:top w:val="single" w:sz="6" w:space="0" w:color="auto"/>
              <w:bottom w:val="single" w:sz="6" w:space="0" w:color="auto"/>
            </w:tcBorders>
          </w:tcPr>
          <w:p w:rsidR="00000000" w:rsidRDefault="001F233B">
            <w:pPr>
              <w:pStyle w:val="Tabletext"/>
              <w:keepNext/>
              <w:rPr>
                <w:b/>
                <w:color w:val="000000"/>
              </w:rPr>
            </w:pPr>
            <w:r>
              <w:rPr>
                <w:b/>
                <w:color w:val="000000"/>
              </w:rPr>
              <w:t>Total</w:t>
            </w:r>
          </w:p>
        </w:tc>
        <w:tc>
          <w:tcPr>
            <w:hMerge/>
            <w:tcBorders>
              <w:top w:val="single" w:sz="6" w:space="0" w:color="auto"/>
              <w:bottom w:val="single" w:sz="6" w:space="0" w:color="auto"/>
            </w:tcBorders>
          </w:tcPr>
          <w:p w:rsidR="00000000" w:rsidRDefault="001F233B">
            <w:pPr>
              <w:pStyle w:val="Tabletext"/>
              <w:keepNext/>
              <w:rPr>
                <w:color w:val="000000"/>
              </w:rPr>
            </w:pPr>
          </w:p>
        </w:tc>
        <w:tc>
          <w:tcPr>
            <w:tcW w:w="1134" w:type="dxa"/>
            <w:tcBorders>
              <w:top w:val="single" w:sz="6" w:space="0" w:color="auto"/>
              <w:bottom w:val="single" w:sz="6" w:space="0" w:color="auto"/>
            </w:tcBorders>
          </w:tcPr>
          <w:p w:rsidR="00000000" w:rsidRDefault="001F233B">
            <w:pPr>
              <w:pStyle w:val="TableofFigures"/>
              <w:keepNext/>
              <w:rPr>
                <w:b/>
              </w:rPr>
            </w:pPr>
            <w:r>
              <w:rPr>
                <w:b/>
              </w:rPr>
              <w:t>233.4</w:t>
            </w:r>
          </w:p>
        </w:tc>
        <w:tc>
          <w:tcPr>
            <w:tcW w:w="1276" w:type="dxa"/>
            <w:tcBorders>
              <w:top w:val="single" w:sz="6" w:space="0" w:color="auto"/>
              <w:bottom w:val="single" w:sz="6" w:space="0" w:color="auto"/>
            </w:tcBorders>
          </w:tcPr>
          <w:p w:rsidR="00000000" w:rsidRDefault="001F233B">
            <w:pPr>
              <w:pStyle w:val="TableofFigures"/>
              <w:keepNext/>
              <w:rPr>
                <w:b/>
              </w:rPr>
            </w:pPr>
            <w:r>
              <w:rPr>
                <w:b/>
              </w:rPr>
              <w:t>271.4</w:t>
            </w:r>
          </w:p>
        </w:tc>
      </w:tr>
    </w:tbl>
    <w:p w:rsidR="00000000" w:rsidRDefault="001F233B">
      <w:pPr>
        <w:pStyle w:val="Source"/>
        <w:keepNext/>
      </w:pPr>
      <w:r>
        <w:t>Source: Department of Treasury and Finance.</w:t>
      </w:r>
    </w:p>
    <w:p w:rsidR="00000000" w:rsidRDefault="001F233B">
      <w:r>
        <w:t>Table 4.2 summarises the new infrastructure</w:t>
      </w:r>
      <w:r>
        <w:fldChar w:fldCharType="begin"/>
      </w:r>
      <w:r>
        <w:instrText>xe "Economy:Infrastructure"</w:instrText>
      </w:r>
      <w:r>
        <w:fldChar w:fldCharType="end"/>
      </w:r>
      <w:r>
        <w:t xml:space="preserve"> expenditure</w:t>
      </w:r>
      <w:r>
        <w:fldChar w:fldCharType="begin"/>
      </w:r>
      <w:r>
        <w:instrText>xe "Funding:Infrastructure expenditure"</w:instrText>
      </w:r>
      <w:r>
        <w:fldChar w:fldCharType="end"/>
      </w:r>
      <w:r>
        <w:t xml:space="preserve"> of departments approved as part of the 1998</w:t>
      </w:r>
      <w:r>
        <w:noBreakHyphen/>
        <w:t>99 Budget.</w:t>
      </w:r>
    </w:p>
    <w:p w:rsidR="00000000" w:rsidRDefault="001F233B">
      <w:pPr>
        <w:pStyle w:val="Tableheading"/>
        <w:keepNext/>
        <w:spacing w:after="0"/>
      </w:pPr>
      <w:bookmarkStart w:id="77" w:name="_Toc417482511"/>
      <w:bookmarkStart w:id="78" w:name="_Toc417552749"/>
      <w:r>
        <w:t>Table 4.2: Funding for new infrastructure</w:t>
      </w:r>
      <w:r>
        <w:fldChar w:fldCharType="begin"/>
      </w:r>
      <w:r>
        <w:instrText>xe "Economy:Infrastructure"</w:instrText>
      </w:r>
      <w:r>
        <w:fldChar w:fldCharType="end"/>
      </w:r>
      <w:r>
        <w:t xml:space="preserve"> projects to be commenced in 1998</w:t>
      </w:r>
      <w:r>
        <w:noBreakHyphen/>
        <w:t xml:space="preserve">99 </w:t>
      </w:r>
      <w:r>
        <w:rPr>
          <w:i/>
          <w:sz w:val="22"/>
          <w:vertAlign w:val="superscript"/>
        </w:rPr>
        <w:t>(a)</w:t>
      </w:r>
      <w:bookmarkEnd w:id="77"/>
      <w:bookmarkEnd w:id="78"/>
    </w:p>
    <w:p w:rsidR="00000000" w:rsidRDefault="001F233B">
      <w:pPr>
        <w:keepNext/>
        <w:spacing w:after="0"/>
        <w:jc w:val="center"/>
        <w:rPr>
          <w:rFonts w:ascii="Arial" w:hAnsi="Arial"/>
          <w:i/>
          <w:noProof/>
          <w:sz w:val="20"/>
        </w:rPr>
      </w:pPr>
      <w:r>
        <w:rPr>
          <w:rFonts w:ascii="Arial" w:hAnsi="Arial"/>
          <w:i/>
          <w:sz w:val="20"/>
        </w:rPr>
        <w:t>($ million)</w:t>
      </w:r>
    </w:p>
    <w:tbl>
      <w:tblPr>
        <w:tblW w:w="0" w:type="auto"/>
        <w:jc w:val="center"/>
        <w:tblLayout w:type="fixed"/>
        <w:tblCellMar>
          <w:left w:w="30" w:type="dxa"/>
          <w:right w:w="30" w:type="dxa"/>
        </w:tblCellMar>
        <w:tblLook w:val="0000" w:firstRow="0" w:lastRow="0" w:firstColumn="0" w:lastColumn="0" w:noHBand="0" w:noVBand="0"/>
      </w:tblPr>
      <w:tblGrid>
        <w:gridCol w:w="2735"/>
        <w:gridCol w:w="929"/>
        <w:gridCol w:w="829"/>
        <w:gridCol w:w="942"/>
        <w:gridCol w:w="829"/>
        <w:gridCol w:w="825"/>
      </w:tblGrid>
      <w:tr w:rsidR="00000000">
        <w:tblPrEx>
          <w:tblCellMar>
            <w:top w:w="0" w:type="dxa"/>
            <w:bottom w:w="0" w:type="dxa"/>
          </w:tblCellMar>
        </w:tblPrEx>
        <w:trPr>
          <w:jc w:val="center"/>
        </w:trPr>
        <w:tc>
          <w:tcPr>
            <w:tcW w:w="2735" w:type="dxa"/>
            <w:tcBorders>
              <w:top w:val="single" w:sz="6" w:space="0" w:color="auto"/>
              <w:bottom w:val="single" w:sz="6" w:space="0" w:color="auto"/>
            </w:tcBorders>
          </w:tcPr>
          <w:p w:rsidR="00000000" w:rsidRDefault="001F233B">
            <w:pPr>
              <w:pStyle w:val="Tabletextheading"/>
              <w:keepNext/>
              <w:jc w:val="left"/>
              <w:rPr>
                <w:b w:val="0"/>
                <w:i/>
              </w:rPr>
            </w:pPr>
            <w:r>
              <w:rPr>
                <w:b w:val="0"/>
                <w:i/>
              </w:rPr>
              <w:t>Department</w:t>
            </w:r>
          </w:p>
        </w:tc>
        <w:tc>
          <w:tcPr>
            <w:tcW w:w="929" w:type="dxa"/>
            <w:tcBorders>
              <w:top w:val="single" w:sz="6" w:space="0" w:color="auto"/>
              <w:bottom w:val="single" w:sz="6" w:space="0" w:color="auto"/>
            </w:tcBorders>
          </w:tcPr>
          <w:p w:rsidR="00000000" w:rsidRDefault="001F233B">
            <w:pPr>
              <w:pStyle w:val="Tabletextheading"/>
              <w:keepNext/>
              <w:rPr>
                <w:b w:val="0"/>
                <w:i/>
                <w:color w:val="000000"/>
              </w:rPr>
            </w:pPr>
            <w:r>
              <w:rPr>
                <w:b w:val="0"/>
                <w:i/>
                <w:color w:val="000000"/>
              </w:rPr>
              <w:t>Total Estimated Co</w:t>
            </w:r>
            <w:r>
              <w:rPr>
                <w:b w:val="0"/>
                <w:i/>
                <w:color w:val="000000"/>
              </w:rPr>
              <w:t>st</w:t>
            </w:r>
          </w:p>
        </w:tc>
        <w:tc>
          <w:tcPr>
            <w:tcW w:w="829" w:type="dxa"/>
            <w:tcBorders>
              <w:top w:val="single" w:sz="6" w:space="0" w:color="auto"/>
              <w:bottom w:val="single" w:sz="6" w:space="0" w:color="auto"/>
            </w:tcBorders>
          </w:tcPr>
          <w:p w:rsidR="00000000" w:rsidRDefault="001F233B">
            <w:pPr>
              <w:pStyle w:val="Tabletextheading"/>
              <w:keepNext/>
              <w:rPr>
                <w:b w:val="0"/>
                <w:i/>
                <w:color w:val="000000"/>
              </w:rPr>
            </w:pPr>
            <w:r>
              <w:rPr>
                <w:b w:val="0"/>
                <w:i/>
                <w:color w:val="000000"/>
              </w:rPr>
              <w:t>1998</w:t>
            </w:r>
            <w:r>
              <w:rPr>
                <w:b w:val="0"/>
                <w:i/>
                <w:color w:val="000000"/>
              </w:rPr>
              <w:noBreakHyphen/>
              <w:t>99</w:t>
            </w:r>
          </w:p>
          <w:p w:rsidR="00000000" w:rsidRDefault="001F233B">
            <w:pPr>
              <w:pStyle w:val="Tabletextheading"/>
              <w:keepNext/>
              <w:rPr>
                <w:b w:val="0"/>
                <w:i/>
                <w:color w:val="000000"/>
              </w:rPr>
            </w:pPr>
            <w:r>
              <w:rPr>
                <w:b w:val="0"/>
                <w:i/>
                <w:color w:val="000000"/>
              </w:rPr>
              <w:t>Budget</w:t>
            </w:r>
          </w:p>
        </w:tc>
        <w:tc>
          <w:tcPr>
            <w:tcW w:w="942" w:type="dxa"/>
            <w:tcBorders>
              <w:top w:val="single" w:sz="6" w:space="0" w:color="auto"/>
              <w:bottom w:val="single" w:sz="6" w:space="0" w:color="auto"/>
            </w:tcBorders>
          </w:tcPr>
          <w:p w:rsidR="00000000" w:rsidRDefault="001F233B">
            <w:pPr>
              <w:pStyle w:val="Tabletextheading"/>
              <w:keepNext/>
              <w:rPr>
                <w:b w:val="0"/>
                <w:i/>
                <w:color w:val="000000"/>
              </w:rPr>
            </w:pPr>
            <w:r>
              <w:rPr>
                <w:b w:val="0"/>
                <w:i/>
                <w:color w:val="000000"/>
              </w:rPr>
              <w:t>1999</w:t>
            </w:r>
            <w:r>
              <w:rPr>
                <w:b w:val="0"/>
                <w:i/>
                <w:color w:val="000000"/>
              </w:rPr>
              <w:noBreakHyphen/>
              <w:t>00</w:t>
            </w:r>
          </w:p>
          <w:p w:rsidR="00000000" w:rsidRDefault="001F233B">
            <w:pPr>
              <w:pStyle w:val="Tabletextheading"/>
              <w:keepNext/>
              <w:rPr>
                <w:b w:val="0"/>
                <w:i/>
                <w:color w:val="000000"/>
              </w:rPr>
            </w:pPr>
            <w:r>
              <w:rPr>
                <w:b w:val="0"/>
                <w:i/>
                <w:color w:val="000000"/>
              </w:rPr>
              <w:t>Estimate</w:t>
            </w:r>
          </w:p>
        </w:tc>
        <w:tc>
          <w:tcPr>
            <w:tcW w:w="829" w:type="dxa"/>
            <w:tcBorders>
              <w:top w:val="single" w:sz="6" w:space="0" w:color="auto"/>
              <w:bottom w:val="single" w:sz="6" w:space="0" w:color="auto"/>
            </w:tcBorders>
          </w:tcPr>
          <w:p w:rsidR="00000000" w:rsidRDefault="001F233B">
            <w:pPr>
              <w:pStyle w:val="Tabletextheading"/>
              <w:keepNext/>
              <w:rPr>
                <w:b w:val="0"/>
                <w:i/>
                <w:color w:val="000000"/>
              </w:rPr>
            </w:pPr>
            <w:r>
              <w:rPr>
                <w:b w:val="0"/>
                <w:i/>
                <w:color w:val="000000"/>
              </w:rPr>
              <w:t>2000</w:t>
            </w:r>
            <w:r>
              <w:rPr>
                <w:b w:val="0"/>
                <w:i/>
                <w:color w:val="000000"/>
              </w:rPr>
              <w:noBreakHyphen/>
              <w:t>01</w:t>
            </w:r>
          </w:p>
          <w:p w:rsidR="00000000" w:rsidRDefault="001F233B">
            <w:pPr>
              <w:pStyle w:val="Tabletextheading"/>
              <w:keepNext/>
              <w:rPr>
                <w:b w:val="0"/>
                <w:i/>
                <w:color w:val="000000"/>
              </w:rPr>
            </w:pPr>
            <w:r>
              <w:rPr>
                <w:b w:val="0"/>
                <w:i/>
                <w:color w:val="000000"/>
              </w:rPr>
              <w:t>Estimate</w:t>
            </w:r>
          </w:p>
        </w:tc>
        <w:tc>
          <w:tcPr>
            <w:tcW w:w="825" w:type="dxa"/>
            <w:tcBorders>
              <w:top w:val="single" w:sz="6" w:space="0" w:color="auto"/>
              <w:bottom w:val="single" w:sz="6" w:space="0" w:color="auto"/>
            </w:tcBorders>
          </w:tcPr>
          <w:p w:rsidR="00000000" w:rsidRDefault="001F233B">
            <w:pPr>
              <w:pStyle w:val="Tabletextheading"/>
              <w:keepNext/>
              <w:rPr>
                <w:b w:val="0"/>
                <w:i/>
                <w:color w:val="000000"/>
              </w:rPr>
            </w:pPr>
            <w:r>
              <w:rPr>
                <w:b w:val="0"/>
                <w:i/>
                <w:color w:val="000000"/>
              </w:rPr>
              <w:t>2001</w:t>
            </w:r>
            <w:r>
              <w:rPr>
                <w:b w:val="0"/>
                <w:i/>
                <w:color w:val="000000"/>
              </w:rPr>
              <w:noBreakHyphen/>
              <w:t>02</w:t>
            </w:r>
          </w:p>
          <w:p w:rsidR="00000000" w:rsidRDefault="001F233B">
            <w:pPr>
              <w:pStyle w:val="Tabletextheading"/>
              <w:keepNext/>
              <w:rPr>
                <w:b w:val="0"/>
                <w:i/>
                <w:color w:val="000000"/>
              </w:rPr>
            </w:pPr>
            <w:r>
              <w:rPr>
                <w:b w:val="0"/>
                <w:i/>
                <w:color w:val="000000"/>
              </w:rPr>
              <w:t>Estimate</w:t>
            </w:r>
          </w:p>
        </w:tc>
      </w:tr>
      <w:tr w:rsidR="00000000">
        <w:tblPrEx>
          <w:tblCellMar>
            <w:top w:w="0" w:type="dxa"/>
            <w:bottom w:w="0" w:type="dxa"/>
          </w:tblCellMar>
        </w:tblPrEx>
        <w:trPr>
          <w:trHeight w:hRule="exact" w:val="260"/>
          <w:jc w:val="center"/>
        </w:trPr>
        <w:tc>
          <w:tcPr>
            <w:tcW w:w="2735" w:type="dxa"/>
          </w:tcPr>
          <w:p w:rsidR="00000000" w:rsidRDefault="001F233B">
            <w:pPr>
              <w:pStyle w:val="Tabletext"/>
              <w:keepNext/>
            </w:pPr>
            <w:r>
              <w:t>Education</w:t>
            </w:r>
            <w:r>
              <w:fldChar w:fldCharType="begin"/>
            </w:r>
            <w:r>
              <w:instrText>xe "Education"</w:instrText>
            </w:r>
            <w:r>
              <w:fldChar w:fldCharType="end"/>
            </w:r>
          </w:p>
        </w:tc>
        <w:tc>
          <w:tcPr>
            <w:tcW w:w="929" w:type="dxa"/>
          </w:tcPr>
          <w:p w:rsidR="00000000" w:rsidRDefault="001F233B">
            <w:pPr>
              <w:keepNext/>
              <w:spacing w:after="0"/>
              <w:jc w:val="right"/>
              <w:rPr>
                <w:rFonts w:ascii="Arial" w:hAnsi="Arial"/>
                <w:color w:val="000000"/>
                <w:sz w:val="18"/>
              </w:rPr>
            </w:pPr>
            <w:r>
              <w:rPr>
                <w:rFonts w:ascii="Arial" w:hAnsi="Arial"/>
                <w:color w:val="000000"/>
                <w:sz w:val="18"/>
              </w:rPr>
              <w:t xml:space="preserve"> 114.7 </w:t>
            </w:r>
          </w:p>
        </w:tc>
        <w:tc>
          <w:tcPr>
            <w:tcW w:w="829" w:type="dxa"/>
          </w:tcPr>
          <w:p w:rsidR="00000000" w:rsidRDefault="001F233B">
            <w:pPr>
              <w:keepNext/>
              <w:spacing w:after="0"/>
              <w:jc w:val="right"/>
              <w:rPr>
                <w:rFonts w:ascii="Arial" w:hAnsi="Arial"/>
                <w:color w:val="000000"/>
                <w:sz w:val="18"/>
              </w:rPr>
            </w:pPr>
            <w:r>
              <w:rPr>
                <w:rFonts w:ascii="Arial" w:hAnsi="Arial"/>
                <w:color w:val="000000"/>
                <w:sz w:val="18"/>
              </w:rPr>
              <w:t xml:space="preserve"> 66.4 </w:t>
            </w:r>
          </w:p>
        </w:tc>
        <w:tc>
          <w:tcPr>
            <w:tcW w:w="942" w:type="dxa"/>
          </w:tcPr>
          <w:p w:rsidR="00000000" w:rsidRDefault="001F233B">
            <w:pPr>
              <w:keepNext/>
              <w:spacing w:after="0"/>
              <w:jc w:val="right"/>
              <w:rPr>
                <w:rFonts w:ascii="Arial" w:hAnsi="Arial"/>
                <w:color w:val="000000"/>
                <w:sz w:val="18"/>
              </w:rPr>
            </w:pPr>
            <w:r>
              <w:rPr>
                <w:rFonts w:ascii="Arial" w:hAnsi="Arial"/>
                <w:color w:val="000000"/>
                <w:sz w:val="18"/>
              </w:rPr>
              <w:t xml:space="preserve"> 48.2 </w:t>
            </w:r>
          </w:p>
        </w:tc>
        <w:tc>
          <w:tcPr>
            <w:tcW w:w="829" w:type="dxa"/>
          </w:tcPr>
          <w:p w:rsidR="00000000" w:rsidRDefault="001F233B">
            <w:pPr>
              <w:keepNext/>
              <w:spacing w:after="0"/>
              <w:jc w:val="right"/>
              <w:rPr>
                <w:rFonts w:ascii="Arial" w:hAnsi="Arial"/>
                <w:color w:val="000000"/>
                <w:sz w:val="18"/>
              </w:rPr>
            </w:pPr>
            <w:r>
              <w:rPr>
                <w:rFonts w:ascii="Arial" w:hAnsi="Arial"/>
                <w:color w:val="000000"/>
                <w:sz w:val="18"/>
              </w:rPr>
              <w:t>..</w:t>
            </w:r>
          </w:p>
        </w:tc>
        <w:tc>
          <w:tcPr>
            <w:tcW w:w="825" w:type="dxa"/>
          </w:tcPr>
          <w:p w:rsidR="00000000" w:rsidRDefault="001F233B">
            <w:pPr>
              <w:keepNext/>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jc w:val="center"/>
        </w:trPr>
        <w:tc>
          <w:tcPr>
            <w:tcW w:w="2735" w:type="dxa"/>
          </w:tcPr>
          <w:p w:rsidR="00000000" w:rsidRDefault="001F233B">
            <w:pPr>
              <w:pStyle w:val="Tabletext"/>
              <w:keepNext/>
            </w:pPr>
            <w:r>
              <w:t>Human Services</w:t>
            </w:r>
          </w:p>
        </w:tc>
        <w:tc>
          <w:tcPr>
            <w:tcW w:w="929" w:type="dxa"/>
          </w:tcPr>
          <w:p w:rsidR="00000000" w:rsidRDefault="001F233B">
            <w:pPr>
              <w:keepNext/>
              <w:spacing w:after="0"/>
              <w:jc w:val="right"/>
              <w:rPr>
                <w:rFonts w:ascii="Arial" w:hAnsi="Arial"/>
                <w:color w:val="000000"/>
                <w:sz w:val="18"/>
              </w:rPr>
            </w:pPr>
            <w:r>
              <w:rPr>
                <w:rFonts w:ascii="Arial" w:hAnsi="Arial"/>
                <w:color w:val="000000"/>
                <w:sz w:val="18"/>
              </w:rPr>
              <w:t xml:space="preserve"> 168.9 </w:t>
            </w:r>
          </w:p>
        </w:tc>
        <w:tc>
          <w:tcPr>
            <w:tcW w:w="829" w:type="dxa"/>
          </w:tcPr>
          <w:p w:rsidR="00000000" w:rsidRDefault="001F233B">
            <w:pPr>
              <w:keepNext/>
              <w:spacing w:after="0"/>
              <w:jc w:val="right"/>
              <w:rPr>
                <w:rFonts w:ascii="Arial" w:hAnsi="Arial"/>
                <w:color w:val="000000"/>
                <w:sz w:val="18"/>
              </w:rPr>
            </w:pPr>
            <w:r>
              <w:rPr>
                <w:rFonts w:ascii="Arial" w:hAnsi="Arial"/>
                <w:color w:val="000000"/>
                <w:sz w:val="18"/>
              </w:rPr>
              <w:t xml:space="preserve"> 64.0 </w:t>
            </w:r>
          </w:p>
        </w:tc>
        <w:tc>
          <w:tcPr>
            <w:tcW w:w="942" w:type="dxa"/>
          </w:tcPr>
          <w:p w:rsidR="00000000" w:rsidRDefault="001F233B">
            <w:pPr>
              <w:keepNext/>
              <w:spacing w:after="0"/>
              <w:jc w:val="right"/>
              <w:rPr>
                <w:rFonts w:ascii="Arial" w:hAnsi="Arial"/>
                <w:color w:val="000000"/>
                <w:sz w:val="18"/>
              </w:rPr>
            </w:pPr>
            <w:r>
              <w:rPr>
                <w:rFonts w:ascii="Arial" w:hAnsi="Arial"/>
                <w:color w:val="000000"/>
                <w:sz w:val="18"/>
              </w:rPr>
              <w:t xml:space="preserve"> 84.1 </w:t>
            </w:r>
          </w:p>
        </w:tc>
        <w:tc>
          <w:tcPr>
            <w:tcW w:w="829" w:type="dxa"/>
          </w:tcPr>
          <w:p w:rsidR="00000000" w:rsidRDefault="001F233B">
            <w:pPr>
              <w:keepNext/>
              <w:spacing w:after="0"/>
              <w:jc w:val="right"/>
              <w:rPr>
                <w:rFonts w:ascii="Arial" w:hAnsi="Arial"/>
                <w:color w:val="000000"/>
                <w:sz w:val="18"/>
              </w:rPr>
            </w:pPr>
            <w:r>
              <w:rPr>
                <w:rFonts w:ascii="Arial" w:hAnsi="Arial"/>
                <w:color w:val="000000"/>
                <w:sz w:val="18"/>
              </w:rPr>
              <w:t xml:space="preserve"> 19.9 </w:t>
            </w:r>
          </w:p>
        </w:tc>
        <w:tc>
          <w:tcPr>
            <w:tcW w:w="825" w:type="dxa"/>
          </w:tcPr>
          <w:p w:rsidR="00000000" w:rsidRDefault="001F233B">
            <w:pPr>
              <w:keepNext/>
              <w:spacing w:after="0"/>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60"/>
          <w:jc w:val="center"/>
        </w:trPr>
        <w:tc>
          <w:tcPr>
            <w:tcW w:w="2735" w:type="dxa"/>
          </w:tcPr>
          <w:p w:rsidR="00000000" w:rsidRDefault="001F233B">
            <w:pPr>
              <w:pStyle w:val="Tabletext"/>
              <w:keepNext/>
            </w:pPr>
            <w:r>
              <w:t>Justice</w:t>
            </w:r>
          </w:p>
        </w:tc>
        <w:tc>
          <w:tcPr>
            <w:tcW w:w="929" w:type="dxa"/>
          </w:tcPr>
          <w:p w:rsidR="00000000" w:rsidRDefault="001F233B">
            <w:pPr>
              <w:pStyle w:val="TableofFigures"/>
              <w:keepNext/>
            </w:pPr>
            <w:r>
              <w:t xml:space="preserve"> 47.1 </w:t>
            </w:r>
          </w:p>
        </w:tc>
        <w:tc>
          <w:tcPr>
            <w:tcW w:w="829" w:type="dxa"/>
          </w:tcPr>
          <w:p w:rsidR="00000000" w:rsidRDefault="001F233B">
            <w:pPr>
              <w:pStyle w:val="TableofFigures"/>
              <w:keepNext/>
            </w:pPr>
            <w:r>
              <w:t xml:space="preserve"> 18.7 </w:t>
            </w:r>
          </w:p>
        </w:tc>
        <w:tc>
          <w:tcPr>
            <w:tcW w:w="942" w:type="dxa"/>
          </w:tcPr>
          <w:p w:rsidR="00000000" w:rsidRDefault="001F233B">
            <w:pPr>
              <w:pStyle w:val="TableofFigures"/>
              <w:keepNext/>
            </w:pPr>
            <w:r>
              <w:t xml:space="preserve"> 19.0 </w:t>
            </w:r>
          </w:p>
        </w:tc>
        <w:tc>
          <w:tcPr>
            <w:tcW w:w="829" w:type="dxa"/>
          </w:tcPr>
          <w:p w:rsidR="00000000" w:rsidRDefault="001F233B">
            <w:pPr>
              <w:pStyle w:val="TableofFigures"/>
              <w:keepNext/>
            </w:pPr>
            <w:r>
              <w:t xml:space="preserve"> 9.4 </w:t>
            </w:r>
          </w:p>
        </w:tc>
        <w:tc>
          <w:tcPr>
            <w:tcW w:w="825" w:type="dxa"/>
          </w:tcPr>
          <w:p w:rsidR="00000000" w:rsidRDefault="001F233B">
            <w:pPr>
              <w:pStyle w:val="TableofFigures"/>
              <w:keepNext/>
            </w:pPr>
            <w:r>
              <w:t>..</w:t>
            </w:r>
          </w:p>
        </w:tc>
      </w:tr>
      <w:tr w:rsidR="00000000">
        <w:tblPrEx>
          <w:tblCellMar>
            <w:top w:w="0" w:type="dxa"/>
            <w:bottom w:w="0" w:type="dxa"/>
          </w:tblCellMar>
        </w:tblPrEx>
        <w:trPr>
          <w:trHeight w:hRule="exact" w:val="260"/>
          <w:jc w:val="center"/>
        </w:trPr>
        <w:tc>
          <w:tcPr>
            <w:tcW w:w="2735" w:type="dxa"/>
          </w:tcPr>
          <w:p w:rsidR="00000000" w:rsidRDefault="001F233B">
            <w:pPr>
              <w:pStyle w:val="Tabletext"/>
              <w:keepNext/>
            </w:pPr>
            <w:r>
              <w:t>Infrastructure</w:t>
            </w:r>
            <w:r>
              <w:fldChar w:fldCharType="begin"/>
            </w:r>
            <w:r>
              <w:instrText>xe "Economy:Infrastructure"</w:instrText>
            </w:r>
            <w:r>
              <w:fldChar w:fldCharType="end"/>
            </w:r>
            <w:r>
              <w:t xml:space="preserve"> </w:t>
            </w:r>
            <w:r>
              <w:rPr>
                <w:i/>
                <w:sz w:val="20"/>
                <w:vertAlign w:val="superscript"/>
              </w:rPr>
              <w:t>(b)</w:t>
            </w:r>
          </w:p>
        </w:tc>
        <w:tc>
          <w:tcPr>
            <w:tcW w:w="929" w:type="dxa"/>
          </w:tcPr>
          <w:p w:rsidR="00000000" w:rsidRDefault="001F233B">
            <w:pPr>
              <w:pStyle w:val="TableofFigures"/>
              <w:keepNext/>
            </w:pPr>
            <w:r>
              <w:t xml:space="preserve"> 188.0 </w:t>
            </w:r>
          </w:p>
        </w:tc>
        <w:tc>
          <w:tcPr>
            <w:tcW w:w="829" w:type="dxa"/>
          </w:tcPr>
          <w:p w:rsidR="00000000" w:rsidRDefault="001F233B">
            <w:pPr>
              <w:pStyle w:val="TableofFigures"/>
              <w:keepNext/>
            </w:pPr>
            <w:r>
              <w:t xml:space="preserve"> 63.9 </w:t>
            </w:r>
          </w:p>
        </w:tc>
        <w:tc>
          <w:tcPr>
            <w:tcW w:w="942" w:type="dxa"/>
          </w:tcPr>
          <w:p w:rsidR="00000000" w:rsidRDefault="001F233B">
            <w:pPr>
              <w:pStyle w:val="TableofFigures"/>
              <w:keepNext/>
            </w:pPr>
            <w:r>
              <w:t xml:space="preserve"> 85.0 </w:t>
            </w:r>
          </w:p>
        </w:tc>
        <w:tc>
          <w:tcPr>
            <w:tcW w:w="829" w:type="dxa"/>
          </w:tcPr>
          <w:p w:rsidR="00000000" w:rsidRDefault="001F233B">
            <w:pPr>
              <w:pStyle w:val="TableofFigures"/>
              <w:keepNext/>
            </w:pPr>
            <w:r>
              <w:t xml:space="preserve"> 26.0 </w:t>
            </w:r>
          </w:p>
        </w:tc>
        <w:tc>
          <w:tcPr>
            <w:tcW w:w="825" w:type="dxa"/>
          </w:tcPr>
          <w:p w:rsidR="00000000" w:rsidRDefault="001F233B">
            <w:pPr>
              <w:pStyle w:val="TableofFigures"/>
              <w:keepNext/>
            </w:pPr>
            <w:r>
              <w:t xml:space="preserve"> 10.5 </w:t>
            </w:r>
          </w:p>
        </w:tc>
      </w:tr>
      <w:tr w:rsidR="00000000">
        <w:tblPrEx>
          <w:tblCellMar>
            <w:top w:w="0" w:type="dxa"/>
            <w:bottom w:w="0" w:type="dxa"/>
          </w:tblCellMar>
        </w:tblPrEx>
        <w:trPr>
          <w:jc w:val="center"/>
        </w:trPr>
        <w:tc>
          <w:tcPr>
            <w:tcW w:w="2735" w:type="dxa"/>
          </w:tcPr>
          <w:p w:rsidR="00000000" w:rsidRDefault="001F233B">
            <w:pPr>
              <w:pStyle w:val="Tabletext"/>
              <w:keepNext/>
            </w:pPr>
            <w:r>
              <w:t>Natural Resources and Environment</w:t>
            </w:r>
            <w:r>
              <w:fldChar w:fldCharType="begin"/>
            </w:r>
            <w:r>
              <w:instrText>xe "Department of Natural Resources and Environment"</w:instrText>
            </w:r>
            <w:r>
              <w:fldChar w:fldCharType="end"/>
            </w:r>
          </w:p>
        </w:tc>
        <w:tc>
          <w:tcPr>
            <w:tcW w:w="929" w:type="dxa"/>
          </w:tcPr>
          <w:p w:rsidR="00000000" w:rsidRDefault="001F233B">
            <w:pPr>
              <w:pStyle w:val="TableofFigures"/>
              <w:keepNext/>
            </w:pPr>
            <w:r>
              <w:t xml:space="preserve"> 41.4 </w:t>
            </w:r>
          </w:p>
        </w:tc>
        <w:tc>
          <w:tcPr>
            <w:tcW w:w="829" w:type="dxa"/>
          </w:tcPr>
          <w:p w:rsidR="00000000" w:rsidRDefault="001F233B">
            <w:pPr>
              <w:pStyle w:val="TableofFigures"/>
              <w:keepNext/>
            </w:pPr>
            <w:r>
              <w:t xml:space="preserve"> 15.4 </w:t>
            </w:r>
          </w:p>
        </w:tc>
        <w:tc>
          <w:tcPr>
            <w:tcW w:w="942" w:type="dxa"/>
          </w:tcPr>
          <w:p w:rsidR="00000000" w:rsidRDefault="001F233B">
            <w:pPr>
              <w:pStyle w:val="TableofFigures"/>
              <w:keepNext/>
            </w:pPr>
            <w:r>
              <w:t xml:space="preserve"> 15.4 </w:t>
            </w:r>
          </w:p>
        </w:tc>
        <w:tc>
          <w:tcPr>
            <w:tcW w:w="829" w:type="dxa"/>
          </w:tcPr>
          <w:p w:rsidR="00000000" w:rsidRDefault="001F233B">
            <w:pPr>
              <w:pStyle w:val="TableofFigures"/>
              <w:keepNext/>
            </w:pPr>
            <w:r>
              <w:t xml:space="preserve"> 9.6 </w:t>
            </w:r>
          </w:p>
        </w:tc>
        <w:tc>
          <w:tcPr>
            <w:tcW w:w="825" w:type="dxa"/>
          </w:tcPr>
          <w:p w:rsidR="00000000" w:rsidRDefault="001F233B">
            <w:pPr>
              <w:pStyle w:val="TableofFigures"/>
              <w:keepNext/>
            </w:pPr>
            <w:r>
              <w:t xml:space="preserve">1.0 </w:t>
            </w:r>
          </w:p>
        </w:tc>
      </w:tr>
      <w:tr w:rsidR="00000000">
        <w:tblPrEx>
          <w:tblCellMar>
            <w:top w:w="0" w:type="dxa"/>
            <w:bottom w:w="0" w:type="dxa"/>
          </w:tblCellMar>
        </w:tblPrEx>
        <w:trPr>
          <w:trHeight w:hRule="exact" w:val="260"/>
          <w:jc w:val="center"/>
        </w:trPr>
        <w:tc>
          <w:tcPr>
            <w:tcW w:w="2735" w:type="dxa"/>
          </w:tcPr>
          <w:p w:rsidR="00000000" w:rsidRDefault="001F233B">
            <w:pPr>
              <w:pStyle w:val="Tabletext"/>
              <w:keepNext/>
            </w:pPr>
            <w:r>
              <w:t>Premier and Cabinet</w:t>
            </w:r>
          </w:p>
        </w:tc>
        <w:tc>
          <w:tcPr>
            <w:tcW w:w="929" w:type="dxa"/>
          </w:tcPr>
          <w:p w:rsidR="00000000" w:rsidRDefault="001F233B">
            <w:pPr>
              <w:pStyle w:val="TableofFigures"/>
              <w:keepNext/>
            </w:pPr>
            <w:r>
              <w:t xml:space="preserve"> 147.0</w:t>
            </w:r>
          </w:p>
        </w:tc>
        <w:tc>
          <w:tcPr>
            <w:tcW w:w="829" w:type="dxa"/>
          </w:tcPr>
          <w:p w:rsidR="00000000" w:rsidRDefault="001F233B">
            <w:pPr>
              <w:pStyle w:val="TableofFigures"/>
              <w:keepNext/>
            </w:pPr>
            <w:r>
              <w:t xml:space="preserve"> 50.1 </w:t>
            </w:r>
          </w:p>
        </w:tc>
        <w:tc>
          <w:tcPr>
            <w:tcW w:w="942" w:type="dxa"/>
          </w:tcPr>
          <w:p w:rsidR="00000000" w:rsidRDefault="001F233B">
            <w:pPr>
              <w:pStyle w:val="TableofFigures"/>
              <w:keepNext/>
            </w:pPr>
            <w:r>
              <w:t xml:space="preserve"> 33.6 </w:t>
            </w:r>
          </w:p>
        </w:tc>
        <w:tc>
          <w:tcPr>
            <w:tcW w:w="829" w:type="dxa"/>
          </w:tcPr>
          <w:p w:rsidR="00000000" w:rsidRDefault="001F233B">
            <w:pPr>
              <w:pStyle w:val="TableofFigures"/>
              <w:keepNext/>
            </w:pPr>
            <w:r>
              <w:t xml:space="preserve">29.8 </w:t>
            </w:r>
          </w:p>
        </w:tc>
        <w:tc>
          <w:tcPr>
            <w:tcW w:w="825" w:type="dxa"/>
          </w:tcPr>
          <w:p w:rsidR="00000000" w:rsidRDefault="001F233B">
            <w:pPr>
              <w:pStyle w:val="TableofFigures"/>
              <w:keepNext/>
            </w:pPr>
            <w:r>
              <w:t xml:space="preserve">33.5 </w:t>
            </w:r>
          </w:p>
        </w:tc>
      </w:tr>
      <w:tr w:rsidR="00000000">
        <w:tblPrEx>
          <w:tblCellMar>
            <w:top w:w="0" w:type="dxa"/>
            <w:bottom w:w="0" w:type="dxa"/>
          </w:tblCellMar>
        </w:tblPrEx>
        <w:trPr>
          <w:trHeight w:hRule="exact" w:val="260"/>
          <w:jc w:val="center"/>
        </w:trPr>
        <w:tc>
          <w:tcPr>
            <w:tcW w:w="2735" w:type="dxa"/>
          </w:tcPr>
          <w:p w:rsidR="00000000" w:rsidRDefault="001F233B">
            <w:pPr>
              <w:pStyle w:val="Tabletext"/>
              <w:keepNext/>
            </w:pPr>
            <w:r>
              <w:t>State Development</w:t>
            </w:r>
          </w:p>
        </w:tc>
        <w:tc>
          <w:tcPr>
            <w:tcW w:w="929" w:type="dxa"/>
          </w:tcPr>
          <w:p w:rsidR="00000000" w:rsidRDefault="001F233B">
            <w:pPr>
              <w:pStyle w:val="TableofFigures"/>
              <w:keepNext/>
            </w:pPr>
            <w:r>
              <w:t xml:space="preserve"> 5.7 </w:t>
            </w:r>
          </w:p>
        </w:tc>
        <w:tc>
          <w:tcPr>
            <w:tcW w:w="829" w:type="dxa"/>
          </w:tcPr>
          <w:p w:rsidR="00000000" w:rsidRDefault="001F233B">
            <w:pPr>
              <w:pStyle w:val="TableofFigures"/>
              <w:keepNext/>
            </w:pPr>
            <w:r>
              <w:t xml:space="preserve"> 5.7 </w:t>
            </w:r>
          </w:p>
        </w:tc>
        <w:tc>
          <w:tcPr>
            <w:tcW w:w="942" w:type="dxa"/>
          </w:tcPr>
          <w:p w:rsidR="00000000" w:rsidRDefault="001F233B">
            <w:pPr>
              <w:pStyle w:val="TableofFigures"/>
              <w:keepNext/>
            </w:pPr>
            <w:r>
              <w:t>..</w:t>
            </w:r>
          </w:p>
        </w:tc>
        <w:tc>
          <w:tcPr>
            <w:tcW w:w="829" w:type="dxa"/>
          </w:tcPr>
          <w:p w:rsidR="00000000" w:rsidRDefault="001F233B">
            <w:pPr>
              <w:pStyle w:val="TableofFigures"/>
              <w:keepNext/>
            </w:pPr>
            <w:r>
              <w:t>..</w:t>
            </w:r>
          </w:p>
        </w:tc>
        <w:tc>
          <w:tcPr>
            <w:tcW w:w="825" w:type="dxa"/>
          </w:tcPr>
          <w:p w:rsidR="00000000" w:rsidRDefault="001F233B">
            <w:pPr>
              <w:pStyle w:val="TableofFigures"/>
              <w:keepNext/>
            </w:pPr>
            <w:r>
              <w:t>..</w:t>
            </w:r>
          </w:p>
        </w:tc>
      </w:tr>
      <w:tr w:rsidR="00000000">
        <w:tblPrEx>
          <w:tblCellMar>
            <w:top w:w="0" w:type="dxa"/>
            <w:bottom w:w="0" w:type="dxa"/>
          </w:tblCellMar>
        </w:tblPrEx>
        <w:trPr>
          <w:trHeight w:hRule="exact" w:val="260"/>
          <w:jc w:val="center"/>
        </w:trPr>
        <w:tc>
          <w:tcPr>
            <w:tcW w:w="2735" w:type="dxa"/>
          </w:tcPr>
          <w:p w:rsidR="00000000" w:rsidRDefault="001F233B">
            <w:pPr>
              <w:pStyle w:val="Tabletext"/>
              <w:keepNext/>
            </w:pPr>
            <w:r>
              <w:t>Treasury and Finance</w:t>
            </w:r>
          </w:p>
        </w:tc>
        <w:tc>
          <w:tcPr>
            <w:tcW w:w="929" w:type="dxa"/>
          </w:tcPr>
          <w:p w:rsidR="00000000" w:rsidRDefault="001F233B">
            <w:pPr>
              <w:pStyle w:val="TableofFigures"/>
              <w:keepNext/>
            </w:pPr>
            <w:r>
              <w:t xml:space="preserve"> 39.6 </w:t>
            </w:r>
          </w:p>
        </w:tc>
        <w:tc>
          <w:tcPr>
            <w:tcW w:w="829" w:type="dxa"/>
          </w:tcPr>
          <w:p w:rsidR="00000000" w:rsidRDefault="001F233B">
            <w:pPr>
              <w:pStyle w:val="TableofFigures"/>
              <w:keepNext/>
            </w:pPr>
            <w:r>
              <w:t xml:space="preserve"> 22.2 </w:t>
            </w:r>
          </w:p>
        </w:tc>
        <w:tc>
          <w:tcPr>
            <w:tcW w:w="942" w:type="dxa"/>
          </w:tcPr>
          <w:p w:rsidR="00000000" w:rsidRDefault="001F233B">
            <w:pPr>
              <w:pStyle w:val="TableofFigures"/>
              <w:keepNext/>
            </w:pPr>
            <w:r>
              <w:t xml:space="preserve"> 13.9 </w:t>
            </w:r>
          </w:p>
        </w:tc>
        <w:tc>
          <w:tcPr>
            <w:tcW w:w="829" w:type="dxa"/>
          </w:tcPr>
          <w:p w:rsidR="00000000" w:rsidRDefault="001F233B">
            <w:pPr>
              <w:pStyle w:val="TableofFigures"/>
              <w:keepNext/>
            </w:pPr>
            <w:r>
              <w:t xml:space="preserve"> 3.5 </w:t>
            </w:r>
          </w:p>
        </w:tc>
        <w:tc>
          <w:tcPr>
            <w:tcW w:w="825" w:type="dxa"/>
          </w:tcPr>
          <w:p w:rsidR="00000000" w:rsidRDefault="001F233B">
            <w:pPr>
              <w:pStyle w:val="TableofFigures"/>
              <w:keepNext/>
            </w:pPr>
            <w:r>
              <w:t>..</w:t>
            </w:r>
          </w:p>
        </w:tc>
      </w:tr>
      <w:tr w:rsidR="00000000">
        <w:tblPrEx>
          <w:tblCellMar>
            <w:top w:w="0" w:type="dxa"/>
            <w:bottom w:w="0" w:type="dxa"/>
          </w:tblCellMar>
        </w:tblPrEx>
        <w:trPr>
          <w:trHeight w:hRule="exact" w:val="260"/>
          <w:jc w:val="center"/>
        </w:trPr>
        <w:tc>
          <w:tcPr>
            <w:tcW w:w="2735" w:type="dxa"/>
          </w:tcPr>
          <w:p w:rsidR="00000000" w:rsidRDefault="001F233B">
            <w:pPr>
              <w:pStyle w:val="Tabletext"/>
              <w:keepNext/>
            </w:pPr>
            <w:r>
              <w:t>Parliament</w:t>
            </w:r>
          </w:p>
        </w:tc>
        <w:tc>
          <w:tcPr>
            <w:tcW w:w="929" w:type="dxa"/>
          </w:tcPr>
          <w:p w:rsidR="00000000" w:rsidRDefault="001F233B">
            <w:pPr>
              <w:pStyle w:val="TableofFigures"/>
              <w:keepNext/>
            </w:pPr>
            <w:r>
              <w:t xml:space="preserve"> 2.8 </w:t>
            </w:r>
          </w:p>
        </w:tc>
        <w:tc>
          <w:tcPr>
            <w:tcW w:w="829" w:type="dxa"/>
          </w:tcPr>
          <w:p w:rsidR="00000000" w:rsidRDefault="001F233B">
            <w:pPr>
              <w:pStyle w:val="TableofFigures"/>
              <w:keepNext/>
            </w:pPr>
            <w:r>
              <w:t xml:space="preserve"> 2.8 </w:t>
            </w:r>
          </w:p>
        </w:tc>
        <w:tc>
          <w:tcPr>
            <w:tcW w:w="942" w:type="dxa"/>
          </w:tcPr>
          <w:p w:rsidR="00000000" w:rsidRDefault="001F233B">
            <w:pPr>
              <w:pStyle w:val="TableofFigures"/>
              <w:keepNext/>
            </w:pPr>
            <w:r>
              <w:t>..</w:t>
            </w:r>
          </w:p>
        </w:tc>
        <w:tc>
          <w:tcPr>
            <w:tcW w:w="829" w:type="dxa"/>
          </w:tcPr>
          <w:p w:rsidR="00000000" w:rsidRDefault="001F233B">
            <w:pPr>
              <w:pStyle w:val="TableofFigures"/>
              <w:keepNext/>
            </w:pPr>
            <w:r>
              <w:t>..</w:t>
            </w:r>
          </w:p>
        </w:tc>
        <w:tc>
          <w:tcPr>
            <w:tcW w:w="825" w:type="dxa"/>
          </w:tcPr>
          <w:p w:rsidR="00000000" w:rsidRDefault="001F233B">
            <w:pPr>
              <w:pStyle w:val="TableofFigures"/>
              <w:keepNext/>
            </w:pPr>
            <w:r>
              <w:t>..</w:t>
            </w:r>
          </w:p>
        </w:tc>
      </w:tr>
      <w:tr w:rsidR="00000000">
        <w:tblPrEx>
          <w:tblCellMar>
            <w:top w:w="0" w:type="dxa"/>
            <w:bottom w:w="0" w:type="dxa"/>
          </w:tblCellMar>
        </w:tblPrEx>
        <w:trPr>
          <w:trHeight w:hRule="exact" w:val="260"/>
          <w:jc w:val="center"/>
        </w:trPr>
        <w:tc>
          <w:tcPr>
            <w:tcW w:w="2735" w:type="dxa"/>
            <w:tcBorders>
              <w:top w:val="single" w:sz="6" w:space="0" w:color="auto"/>
              <w:bottom w:val="single" w:sz="6" w:space="0" w:color="auto"/>
            </w:tcBorders>
          </w:tcPr>
          <w:p w:rsidR="00000000" w:rsidRDefault="001F233B">
            <w:pPr>
              <w:pStyle w:val="Tabletext"/>
              <w:keepNext/>
              <w:rPr>
                <w:b/>
              </w:rPr>
            </w:pPr>
            <w:r>
              <w:rPr>
                <w:b/>
              </w:rPr>
              <w:t xml:space="preserve">Total </w:t>
            </w:r>
          </w:p>
        </w:tc>
        <w:tc>
          <w:tcPr>
            <w:tcW w:w="929" w:type="dxa"/>
            <w:tcBorders>
              <w:top w:val="single" w:sz="6" w:space="0" w:color="auto"/>
              <w:bottom w:val="single" w:sz="6" w:space="0" w:color="auto"/>
            </w:tcBorders>
          </w:tcPr>
          <w:p w:rsidR="00000000" w:rsidRDefault="001F233B">
            <w:pPr>
              <w:pStyle w:val="TableofFigures"/>
              <w:keepNext/>
              <w:rPr>
                <w:b/>
              </w:rPr>
            </w:pPr>
            <w:r>
              <w:rPr>
                <w:b/>
              </w:rPr>
              <w:t xml:space="preserve"> 755.1 </w:t>
            </w:r>
          </w:p>
        </w:tc>
        <w:tc>
          <w:tcPr>
            <w:tcW w:w="829" w:type="dxa"/>
            <w:tcBorders>
              <w:top w:val="single" w:sz="6" w:space="0" w:color="auto"/>
              <w:bottom w:val="single" w:sz="6" w:space="0" w:color="auto"/>
            </w:tcBorders>
          </w:tcPr>
          <w:p w:rsidR="00000000" w:rsidRDefault="001F233B">
            <w:pPr>
              <w:pStyle w:val="TableofFigures"/>
              <w:keepNext/>
              <w:rPr>
                <w:b/>
              </w:rPr>
            </w:pPr>
            <w:r>
              <w:rPr>
                <w:b/>
              </w:rPr>
              <w:t xml:space="preserve"> 309.2 </w:t>
            </w:r>
          </w:p>
        </w:tc>
        <w:tc>
          <w:tcPr>
            <w:tcW w:w="942" w:type="dxa"/>
            <w:tcBorders>
              <w:top w:val="single" w:sz="6" w:space="0" w:color="auto"/>
              <w:bottom w:val="single" w:sz="6" w:space="0" w:color="auto"/>
            </w:tcBorders>
          </w:tcPr>
          <w:p w:rsidR="00000000" w:rsidRDefault="001F233B">
            <w:pPr>
              <w:pStyle w:val="TableofFigures"/>
              <w:keepNext/>
              <w:rPr>
                <w:b/>
              </w:rPr>
            </w:pPr>
            <w:r>
              <w:rPr>
                <w:b/>
              </w:rPr>
              <w:t xml:space="preserve"> 299.2 </w:t>
            </w:r>
          </w:p>
        </w:tc>
        <w:tc>
          <w:tcPr>
            <w:tcW w:w="829" w:type="dxa"/>
            <w:tcBorders>
              <w:top w:val="single" w:sz="6" w:space="0" w:color="auto"/>
              <w:bottom w:val="single" w:sz="6" w:space="0" w:color="auto"/>
            </w:tcBorders>
          </w:tcPr>
          <w:p w:rsidR="00000000" w:rsidRDefault="001F233B">
            <w:pPr>
              <w:pStyle w:val="TableofFigures"/>
              <w:keepNext/>
              <w:rPr>
                <w:b/>
              </w:rPr>
            </w:pPr>
            <w:r>
              <w:rPr>
                <w:b/>
              </w:rPr>
              <w:t xml:space="preserve"> 98.2 </w:t>
            </w:r>
          </w:p>
        </w:tc>
        <w:tc>
          <w:tcPr>
            <w:tcW w:w="825" w:type="dxa"/>
            <w:tcBorders>
              <w:top w:val="single" w:sz="6" w:space="0" w:color="auto"/>
              <w:bottom w:val="single" w:sz="6" w:space="0" w:color="auto"/>
            </w:tcBorders>
          </w:tcPr>
          <w:p w:rsidR="00000000" w:rsidRDefault="001F233B">
            <w:pPr>
              <w:pStyle w:val="TableofFigures"/>
              <w:keepNext/>
              <w:rPr>
                <w:b/>
              </w:rPr>
            </w:pPr>
            <w:r>
              <w:rPr>
                <w:b/>
              </w:rPr>
              <w:t xml:space="preserve"> 45.0 </w:t>
            </w:r>
          </w:p>
        </w:tc>
      </w:tr>
    </w:tbl>
    <w:p w:rsidR="00000000" w:rsidRDefault="001F233B">
      <w:pPr>
        <w:pStyle w:val="Source"/>
        <w:keepNext/>
      </w:pPr>
      <w:r>
        <w:t>Source: Department of Treasury and Finance.</w:t>
      </w:r>
    </w:p>
    <w:p w:rsidR="00000000" w:rsidRDefault="001F233B">
      <w:pPr>
        <w:pStyle w:val="Notes"/>
        <w:keepNext/>
      </w:pPr>
      <w:r>
        <w:t>Notes:</w:t>
      </w:r>
    </w:p>
    <w:p w:rsidR="00000000" w:rsidRDefault="001F233B">
      <w:pPr>
        <w:pStyle w:val="Notes"/>
        <w:keepNext/>
        <w:tabs>
          <w:tab w:val="left" w:pos="90"/>
        </w:tabs>
        <w:ind w:left="450" w:hanging="450"/>
      </w:pPr>
      <w:r>
        <w:t>(a)</w:t>
      </w:r>
      <w:r>
        <w:tab/>
        <w:t>Includes funding from all sources such as Micro</w:t>
      </w:r>
      <w:r>
        <w:noBreakHyphen/>
        <w:t>Economic Reform, Agenda 21</w:t>
      </w:r>
      <w:r>
        <w:fldChar w:fldCharType="begin"/>
      </w:r>
      <w:r>
        <w:instrText>xe "Agenda 21"</w:instrText>
      </w:r>
      <w:r>
        <w:fldChar w:fldCharType="end"/>
      </w:r>
      <w:r>
        <w:t>, Community Support Fund and the Better Roads</w:t>
      </w:r>
      <w:r>
        <w:fldChar w:fldCharType="begin"/>
      </w:r>
      <w:r>
        <w:instrText>xe "Roads"</w:instrText>
      </w:r>
      <w:r>
        <w:fldChar w:fldCharType="end"/>
      </w:r>
      <w:r>
        <w:t xml:space="preserve"> Trust Fund</w:t>
      </w:r>
      <w:r>
        <w:fldChar w:fldCharType="begin"/>
      </w:r>
      <w:r>
        <w:instrText>xe "Department of Infrastructure:Better Roads Trust Fund"</w:instrText>
      </w:r>
      <w:r>
        <w:fldChar w:fldCharType="end"/>
      </w:r>
      <w:r>
        <w:t>.</w:t>
      </w:r>
    </w:p>
    <w:p w:rsidR="00000000" w:rsidRDefault="001F233B">
      <w:pPr>
        <w:pStyle w:val="Notes"/>
        <w:keepNext/>
      </w:pPr>
      <w:r>
        <w:t>(b)</w:t>
      </w:r>
      <w:r>
        <w:tab/>
        <w:t>Includes projects for the Public Transport</w:t>
      </w:r>
      <w:r>
        <w:fldChar w:fldCharType="begin"/>
      </w:r>
      <w:r>
        <w:instrText>xe "Transport"</w:instrText>
      </w:r>
      <w:r>
        <w:fldChar w:fldCharType="end"/>
      </w:r>
      <w:r>
        <w:t xml:space="preserve"> Corporation</w:t>
      </w:r>
      <w:r>
        <w:fldChar w:fldCharType="begin"/>
      </w:r>
      <w:r>
        <w:instrText>xe "Public Transport Corporation</w:instrText>
      </w:r>
      <w:r>
        <w:instrText>"</w:instrText>
      </w:r>
      <w:r>
        <w:fldChar w:fldCharType="end"/>
      </w:r>
      <w:r>
        <w:t>.</w:t>
      </w:r>
    </w:p>
    <w:p w:rsidR="00000000" w:rsidRDefault="001F233B"/>
    <w:p w:rsidR="00000000" w:rsidRDefault="001F233B">
      <w:r>
        <w:t>Table 4.3 provides a summary of the change to departmental operating expenses between the 1997</w:t>
      </w:r>
      <w:r>
        <w:noBreakHyphen/>
        <w:t>98 Revised Budget and the 1998</w:t>
      </w:r>
      <w:r>
        <w:noBreakHyphen/>
        <w:t>99 Budget.</w:t>
      </w:r>
    </w:p>
    <w:p w:rsidR="00000000" w:rsidRDefault="001F233B">
      <w:r>
        <w:rPr>
          <w:i/>
        </w:rPr>
        <w:t>Statement 2</w:t>
      </w:r>
      <w:r>
        <w:t xml:space="preserve"> of Budget Paper No. 3 provides details on departmental budgets. It also includes a listing of the outputs</w:t>
      </w:r>
      <w:r>
        <w:fldChar w:fldCharType="begin"/>
      </w:r>
      <w:r>
        <w:instrText>xe "Outputs"</w:instrText>
      </w:r>
      <w:r>
        <w:fldChar w:fldCharType="end"/>
      </w:r>
      <w:r>
        <w:t xml:space="preserve"> to be provided together with the associated performance measures and targets for 1997-98 and 1998</w:t>
      </w:r>
      <w:r>
        <w:noBreakHyphen/>
        <w:t>99.</w:t>
      </w:r>
    </w:p>
    <w:p w:rsidR="00000000" w:rsidRDefault="001F233B">
      <w:pPr>
        <w:pStyle w:val="Tableheading"/>
      </w:pPr>
      <w:bookmarkStart w:id="79" w:name="_Toc417552750"/>
      <w:r>
        <w:br w:type="page"/>
        <w:t>Table 4.3: Total operating expenses</w:t>
      </w:r>
      <w:bookmarkEnd w:id="79"/>
    </w:p>
    <w:p w:rsidR="00000000" w:rsidRDefault="001F233B">
      <w:pPr>
        <w:keepNext/>
        <w:spacing w:after="0"/>
        <w:jc w:val="center"/>
        <w:rPr>
          <w:rFonts w:ascii="Arial" w:hAnsi="Arial"/>
          <w:i/>
          <w:noProof/>
          <w:sz w:val="20"/>
        </w:rPr>
      </w:pPr>
      <w:r>
        <w:rPr>
          <w:rFonts w:ascii="Arial" w:hAnsi="Arial"/>
          <w:i/>
          <w:sz w:val="20"/>
        </w:rPr>
        <w:t>($ million)</w:t>
      </w:r>
    </w:p>
    <w:tbl>
      <w:tblPr>
        <w:tblW w:w="0" w:type="auto"/>
        <w:tblLayout w:type="fixed"/>
        <w:tblCellMar>
          <w:left w:w="30" w:type="dxa"/>
          <w:right w:w="30" w:type="dxa"/>
        </w:tblCellMar>
        <w:tblLook w:val="0000" w:firstRow="0" w:lastRow="0" w:firstColumn="0" w:lastColumn="0" w:noHBand="0" w:noVBand="0"/>
      </w:tblPr>
      <w:tblGrid>
        <w:gridCol w:w="1"/>
        <w:gridCol w:w="4518"/>
        <w:gridCol w:w="1134"/>
        <w:gridCol w:w="1276"/>
      </w:tblGrid>
      <w:tr w:rsidR="00000000">
        <w:tblPrEx>
          <w:tblCellMar>
            <w:top w:w="0" w:type="dxa"/>
            <w:bottom w:w="0" w:type="dxa"/>
          </w:tblCellMar>
        </w:tblPrEx>
        <w:trPr>
          <w:cantSplit/>
          <w:trHeight w:hRule="exact" w:val="240"/>
          <w:tblHeader/>
        </w:trPr>
        <w:tc>
          <w:tcPr>
            <w:tcW w:w="4519" w:type="dxa"/>
            <w:gridSpan w:val="2"/>
            <w:tcBorders>
              <w:top w:val="single" w:sz="6" w:space="0" w:color="auto"/>
              <w:bottom w:val="single" w:sz="6" w:space="0" w:color="auto"/>
            </w:tcBorders>
          </w:tcPr>
          <w:p w:rsidR="00000000" w:rsidRDefault="001F233B">
            <w:pPr>
              <w:pStyle w:val="Tabletextheading"/>
              <w:keepNext/>
              <w:jc w:val="left"/>
              <w:rPr>
                <w:b w:val="0"/>
                <w:i/>
              </w:rPr>
            </w:pPr>
            <w:r>
              <w:rPr>
                <w:b w:val="0"/>
                <w:i/>
              </w:rPr>
              <w:t>Department</w:t>
            </w:r>
          </w:p>
        </w:tc>
        <w:tc>
          <w:tcPr>
            <w:tcW w:w="1134" w:type="dxa"/>
            <w:tcBorders>
              <w:top w:val="single" w:sz="6" w:space="0" w:color="auto"/>
              <w:bottom w:val="single" w:sz="6" w:space="0" w:color="auto"/>
            </w:tcBorders>
          </w:tcPr>
          <w:p w:rsidR="00000000" w:rsidRDefault="001F233B">
            <w:pPr>
              <w:pStyle w:val="Tabletextheading"/>
              <w:keepNext/>
              <w:rPr>
                <w:b w:val="0"/>
                <w:i/>
                <w:color w:val="000000"/>
              </w:rPr>
            </w:pPr>
            <w:r>
              <w:rPr>
                <w:b w:val="0"/>
                <w:i/>
                <w:color w:val="000000"/>
              </w:rPr>
              <w:t>1997</w:t>
            </w:r>
            <w:r>
              <w:rPr>
                <w:b w:val="0"/>
                <w:i/>
                <w:color w:val="000000"/>
              </w:rPr>
              <w:noBreakHyphen/>
              <w:t>98</w:t>
            </w:r>
          </w:p>
          <w:p w:rsidR="00000000" w:rsidRDefault="001F233B">
            <w:pPr>
              <w:pStyle w:val="Tabletextheading"/>
              <w:keepNext/>
              <w:rPr>
                <w:b w:val="0"/>
                <w:i/>
                <w:color w:val="000000"/>
              </w:rPr>
            </w:pPr>
            <w:r>
              <w:rPr>
                <w:b w:val="0"/>
                <w:i/>
                <w:color w:val="000000"/>
              </w:rPr>
              <w:t>Revised</w:t>
            </w:r>
          </w:p>
        </w:tc>
        <w:tc>
          <w:tcPr>
            <w:tcW w:w="1276" w:type="dxa"/>
            <w:tcBorders>
              <w:top w:val="single" w:sz="6" w:space="0" w:color="auto"/>
              <w:bottom w:val="single" w:sz="6" w:space="0" w:color="auto"/>
            </w:tcBorders>
          </w:tcPr>
          <w:p w:rsidR="00000000" w:rsidRDefault="001F233B">
            <w:pPr>
              <w:pStyle w:val="Tabletextheading"/>
              <w:keepNext/>
              <w:rPr>
                <w:b w:val="0"/>
                <w:i/>
                <w:color w:val="000000"/>
              </w:rPr>
            </w:pPr>
            <w:r>
              <w:rPr>
                <w:b w:val="0"/>
                <w:i/>
                <w:color w:val="000000"/>
              </w:rPr>
              <w:t>1998</w:t>
            </w:r>
            <w:r>
              <w:rPr>
                <w:b w:val="0"/>
                <w:i/>
                <w:color w:val="000000"/>
              </w:rPr>
              <w:noBreakHyphen/>
              <w:t>99</w:t>
            </w:r>
          </w:p>
          <w:p w:rsidR="00000000" w:rsidRDefault="001F233B">
            <w:pPr>
              <w:pStyle w:val="Tabletextheading"/>
              <w:keepNext/>
              <w:rPr>
                <w:b w:val="0"/>
                <w:i/>
                <w:color w:val="000000"/>
              </w:rPr>
            </w:pPr>
            <w:r>
              <w:rPr>
                <w:b w:val="0"/>
                <w:i/>
                <w:color w:val="000000"/>
              </w:rPr>
              <w:t>Budget</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pPr>
            <w:r>
              <w:t>Education</w:t>
            </w:r>
            <w:r>
              <w:fldChar w:fldCharType="begin"/>
            </w:r>
            <w:r>
              <w:instrText>xe "Education"</w:instrText>
            </w:r>
            <w:r>
              <w:fldChar w:fldCharType="end"/>
            </w:r>
          </w:p>
        </w:tc>
        <w:tc>
          <w:tcPr>
            <w:hMerge/>
          </w:tcPr>
          <w:p w:rsidR="00000000" w:rsidRDefault="001F233B">
            <w:pPr>
              <w:keepNext/>
              <w:spacing w:after="0"/>
              <w:jc w:val="right"/>
              <w:rPr>
                <w:rFonts w:ascii="Arial" w:hAnsi="Arial"/>
                <w:color w:val="000000"/>
                <w:sz w:val="18"/>
              </w:rPr>
            </w:pPr>
          </w:p>
        </w:tc>
        <w:tc>
          <w:tcPr>
            <w:tcW w:w="1134" w:type="dxa"/>
          </w:tcPr>
          <w:p w:rsidR="00000000" w:rsidRDefault="001F233B">
            <w:pPr>
              <w:pStyle w:val="TableofFigures"/>
              <w:keepNext/>
            </w:pPr>
            <w:r>
              <w:t>4 746.6</w:t>
            </w:r>
          </w:p>
        </w:tc>
        <w:tc>
          <w:tcPr>
            <w:tcW w:w="1276" w:type="dxa"/>
          </w:tcPr>
          <w:p w:rsidR="00000000" w:rsidRDefault="001F233B">
            <w:pPr>
              <w:pStyle w:val="TableofFigures"/>
              <w:keepNext/>
            </w:pPr>
            <w:r>
              <w:t>4 915.1</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Human Services</w:t>
            </w:r>
          </w:p>
        </w:tc>
        <w:tc>
          <w:tcPr>
            <w:hMerge/>
          </w:tcPr>
          <w:p w:rsidR="00000000" w:rsidRDefault="001F233B">
            <w:pPr>
              <w:keepNext/>
              <w:spacing w:after="0"/>
              <w:jc w:val="right"/>
              <w:rPr>
                <w:rFonts w:ascii="Arial" w:hAnsi="Arial"/>
                <w:color w:val="000000"/>
                <w:sz w:val="18"/>
              </w:rPr>
            </w:pPr>
          </w:p>
        </w:tc>
        <w:tc>
          <w:tcPr>
            <w:tcW w:w="1134" w:type="dxa"/>
          </w:tcPr>
          <w:p w:rsidR="00000000" w:rsidRDefault="001F233B">
            <w:pPr>
              <w:pStyle w:val="TableofFigures"/>
              <w:keepNext/>
            </w:pPr>
            <w:r>
              <w:t>6 095.9</w:t>
            </w:r>
          </w:p>
        </w:tc>
        <w:tc>
          <w:tcPr>
            <w:tcW w:w="1276" w:type="dxa"/>
          </w:tcPr>
          <w:p w:rsidR="00000000" w:rsidRDefault="001F233B">
            <w:pPr>
              <w:pStyle w:val="TableofFigures"/>
              <w:keepNext/>
            </w:pPr>
            <w:r>
              <w:t>6 409.2</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Justice</w:t>
            </w:r>
          </w:p>
        </w:tc>
        <w:tc>
          <w:tcPr>
            <w:hMerge/>
          </w:tcPr>
          <w:p w:rsidR="00000000" w:rsidRDefault="001F233B">
            <w:pPr>
              <w:keepNext/>
              <w:spacing w:after="0"/>
              <w:jc w:val="right"/>
              <w:rPr>
                <w:rFonts w:ascii="Arial" w:hAnsi="Arial"/>
                <w:color w:val="000000"/>
                <w:sz w:val="18"/>
              </w:rPr>
            </w:pPr>
          </w:p>
        </w:tc>
        <w:tc>
          <w:tcPr>
            <w:tcW w:w="1134" w:type="dxa"/>
          </w:tcPr>
          <w:p w:rsidR="00000000" w:rsidRDefault="001F233B">
            <w:pPr>
              <w:pStyle w:val="TableofFigures"/>
              <w:keepNext/>
            </w:pPr>
            <w:r>
              <w:t>1 504.4</w:t>
            </w:r>
          </w:p>
        </w:tc>
        <w:tc>
          <w:tcPr>
            <w:tcW w:w="1276" w:type="dxa"/>
          </w:tcPr>
          <w:p w:rsidR="00000000" w:rsidRDefault="001F233B">
            <w:pPr>
              <w:pStyle w:val="TableofFigures"/>
              <w:keepNext/>
            </w:pPr>
            <w:r>
              <w:t>1 489.5</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Infrastructure</w:t>
            </w:r>
            <w:r>
              <w:rPr>
                <w:color w:val="000000"/>
              </w:rPr>
              <w:fldChar w:fldCharType="begin"/>
            </w:r>
            <w:r>
              <w:rPr>
                <w:color w:val="000000"/>
              </w:rPr>
              <w:instrText>xe "Economy:Infrastructure"</w:instrText>
            </w:r>
            <w:r>
              <w:rPr>
                <w:color w:val="000000"/>
              </w:rPr>
              <w:fldChar w:fldCharType="end"/>
            </w:r>
          </w:p>
        </w:tc>
        <w:tc>
          <w:tcPr>
            <w:hMerge/>
          </w:tcPr>
          <w:p w:rsidR="00000000" w:rsidRDefault="001F233B">
            <w:pPr>
              <w:keepNext/>
              <w:spacing w:after="0"/>
              <w:jc w:val="right"/>
              <w:rPr>
                <w:rFonts w:ascii="Arial" w:hAnsi="Arial"/>
                <w:color w:val="000000"/>
                <w:sz w:val="18"/>
              </w:rPr>
            </w:pPr>
          </w:p>
        </w:tc>
        <w:tc>
          <w:tcPr>
            <w:tcW w:w="1134" w:type="dxa"/>
          </w:tcPr>
          <w:p w:rsidR="00000000" w:rsidRDefault="001F233B">
            <w:pPr>
              <w:pStyle w:val="TableofFigures"/>
              <w:keepNext/>
            </w:pPr>
            <w:r>
              <w:t>1 728.3</w:t>
            </w:r>
          </w:p>
        </w:tc>
        <w:tc>
          <w:tcPr>
            <w:tcW w:w="1276" w:type="dxa"/>
          </w:tcPr>
          <w:p w:rsidR="00000000" w:rsidRDefault="001F233B">
            <w:pPr>
              <w:pStyle w:val="TableofFigures"/>
              <w:keepNext/>
            </w:pPr>
            <w:r>
              <w:t>1 713.3</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Natural Resources and Environment</w:t>
            </w:r>
            <w:r>
              <w:rPr>
                <w:color w:val="000000"/>
              </w:rPr>
              <w:fldChar w:fldCharType="begin"/>
            </w:r>
            <w:r>
              <w:rPr>
                <w:color w:val="000000"/>
              </w:rPr>
              <w:instrText>xe "Department of Natural Resources and Environment"</w:instrText>
            </w:r>
            <w:r>
              <w:rPr>
                <w:color w:val="000000"/>
              </w:rPr>
              <w:fldChar w:fldCharType="end"/>
            </w:r>
          </w:p>
        </w:tc>
        <w:tc>
          <w:tcPr>
            <w:hMerge/>
          </w:tcPr>
          <w:p w:rsidR="00000000" w:rsidRDefault="001F233B">
            <w:pPr>
              <w:keepNext/>
              <w:spacing w:after="0"/>
              <w:jc w:val="right"/>
              <w:rPr>
                <w:rFonts w:ascii="Arial" w:hAnsi="Arial"/>
                <w:color w:val="000000"/>
                <w:sz w:val="18"/>
              </w:rPr>
            </w:pPr>
          </w:p>
        </w:tc>
        <w:tc>
          <w:tcPr>
            <w:tcW w:w="1134" w:type="dxa"/>
          </w:tcPr>
          <w:p w:rsidR="00000000" w:rsidRDefault="001F233B">
            <w:pPr>
              <w:pStyle w:val="TableofFigures"/>
              <w:keepNext/>
            </w:pPr>
            <w:r>
              <w:t>619.7</w:t>
            </w:r>
          </w:p>
        </w:tc>
        <w:tc>
          <w:tcPr>
            <w:tcW w:w="1276" w:type="dxa"/>
          </w:tcPr>
          <w:p w:rsidR="00000000" w:rsidRDefault="001F233B">
            <w:pPr>
              <w:pStyle w:val="TableofFigures"/>
              <w:keepNext/>
            </w:pPr>
            <w:r>
              <w:t>645.8</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Premier and Cabinet</w:t>
            </w:r>
          </w:p>
        </w:tc>
        <w:tc>
          <w:tcPr>
            <w:hMerge/>
          </w:tcPr>
          <w:p w:rsidR="00000000" w:rsidRDefault="001F233B">
            <w:pPr>
              <w:keepNext/>
              <w:spacing w:after="0"/>
              <w:jc w:val="right"/>
              <w:rPr>
                <w:rFonts w:ascii="Arial" w:hAnsi="Arial"/>
                <w:color w:val="000000"/>
                <w:sz w:val="18"/>
              </w:rPr>
            </w:pPr>
          </w:p>
        </w:tc>
        <w:tc>
          <w:tcPr>
            <w:tcW w:w="1134" w:type="dxa"/>
          </w:tcPr>
          <w:p w:rsidR="00000000" w:rsidRDefault="001F233B">
            <w:pPr>
              <w:pStyle w:val="TableofFigures"/>
              <w:keepNext/>
            </w:pPr>
            <w:r>
              <w:t>226.8</w:t>
            </w:r>
          </w:p>
        </w:tc>
        <w:tc>
          <w:tcPr>
            <w:tcW w:w="1276" w:type="dxa"/>
          </w:tcPr>
          <w:p w:rsidR="00000000" w:rsidRDefault="001F233B">
            <w:pPr>
              <w:pStyle w:val="TableofFigures"/>
              <w:keepNext/>
            </w:pPr>
            <w:r>
              <w:t>235.5</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State Development</w:t>
            </w:r>
          </w:p>
        </w:tc>
        <w:tc>
          <w:tcPr>
            <w:hMerge/>
          </w:tcPr>
          <w:p w:rsidR="00000000" w:rsidRDefault="001F233B">
            <w:pPr>
              <w:keepNext/>
              <w:spacing w:after="0"/>
              <w:jc w:val="right"/>
              <w:rPr>
                <w:rFonts w:ascii="Arial" w:hAnsi="Arial"/>
                <w:color w:val="000000"/>
                <w:sz w:val="18"/>
              </w:rPr>
            </w:pPr>
          </w:p>
        </w:tc>
        <w:tc>
          <w:tcPr>
            <w:tcW w:w="1134" w:type="dxa"/>
          </w:tcPr>
          <w:p w:rsidR="00000000" w:rsidRDefault="001F233B">
            <w:pPr>
              <w:pStyle w:val="TableofFigures"/>
              <w:keepNext/>
            </w:pPr>
            <w:r>
              <w:t>206.5</w:t>
            </w:r>
          </w:p>
        </w:tc>
        <w:tc>
          <w:tcPr>
            <w:tcW w:w="1276" w:type="dxa"/>
          </w:tcPr>
          <w:p w:rsidR="00000000" w:rsidRDefault="001F233B">
            <w:pPr>
              <w:pStyle w:val="TableofFigures"/>
              <w:keepNext/>
            </w:pPr>
            <w:r>
              <w:t>194.3</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Treasury and Finance</w:t>
            </w:r>
          </w:p>
        </w:tc>
        <w:tc>
          <w:tcPr>
            <w:hMerge/>
          </w:tcPr>
          <w:p w:rsidR="00000000" w:rsidRDefault="001F233B">
            <w:pPr>
              <w:keepNext/>
              <w:spacing w:after="0"/>
              <w:jc w:val="right"/>
              <w:rPr>
                <w:rFonts w:ascii="Arial" w:hAnsi="Arial"/>
                <w:color w:val="000000"/>
                <w:sz w:val="18"/>
              </w:rPr>
            </w:pPr>
          </w:p>
        </w:tc>
        <w:tc>
          <w:tcPr>
            <w:tcW w:w="1134" w:type="dxa"/>
          </w:tcPr>
          <w:p w:rsidR="00000000" w:rsidRDefault="001F233B">
            <w:pPr>
              <w:pStyle w:val="TableofFigures"/>
              <w:keepNext/>
            </w:pPr>
            <w:r>
              <w:t>2 347.1</w:t>
            </w:r>
          </w:p>
        </w:tc>
        <w:tc>
          <w:tcPr>
            <w:tcW w:w="1276" w:type="dxa"/>
          </w:tcPr>
          <w:p w:rsidR="00000000" w:rsidRDefault="001F233B">
            <w:pPr>
              <w:pStyle w:val="TableofFigures"/>
              <w:keepNext/>
            </w:pPr>
            <w:r>
              <w:t>2 584.2</w:t>
            </w:r>
          </w:p>
        </w:tc>
      </w:tr>
      <w:tr w:rsidR="00000000">
        <w:tblPrEx>
          <w:tblCellMar>
            <w:top w:w="0" w:type="dxa"/>
            <w:bottom w:w="0" w:type="dxa"/>
          </w:tblCellMar>
        </w:tblPrEx>
        <w:trPr>
          <w:trHeight w:hRule="exact" w:val="240"/>
        </w:trPr>
        <w:tc>
          <w:tcPr>
            <w:tcW w:w="4519" w:type="dxa"/>
            <w:hMerge w:val="restart"/>
          </w:tcPr>
          <w:p w:rsidR="00000000" w:rsidRDefault="001F233B">
            <w:pPr>
              <w:pStyle w:val="Tabletext"/>
              <w:keepNext/>
              <w:rPr>
                <w:color w:val="000000"/>
              </w:rPr>
            </w:pPr>
            <w:r>
              <w:rPr>
                <w:color w:val="000000"/>
              </w:rPr>
              <w:t>Parliament</w:t>
            </w:r>
          </w:p>
        </w:tc>
        <w:tc>
          <w:tcPr>
            <w:hMerge/>
          </w:tcPr>
          <w:p w:rsidR="00000000" w:rsidRDefault="001F233B">
            <w:pPr>
              <w:keepNext/>
              <w:spacing w:after="0"/>
              <w:jc w:val="right"/>
              <w:rPr>
                <w:rFonts w:ascii="Arial" w:hAnsi="Arial"/>
                <w:color w:val="000000"/>
                <w:sz w:val="18"/>
              </w:rPr>
            </w:pPr>
          </w:p>
        </w:tc>
        <w:tc>
          <w:tcPr>
            <w:tcW w:w="1134" w:type="dxa"/>
            <w:tcBorders>
              <w:bottom w:val="single" w:sz="6" w:space="0" w:color="auto"/>
            </w:tcBorders>
          </w:tcPr>
          <w:p w:rsidR="00000000" w:rsidRDefault="001F233B">
            <w:pPr>
              <w:pStyle w:val="TableofFigures"/>
              <w:keepNext/>
            </w:pPr>
            <w:r>
              <w:t>86.9</w:t>
            </w:r>
          </w:p>
        </w:tc>
        <w:tc>
          <w:tcPr>
            <w:tcW w:w="1276" w:type="dxa"/>
            <w:tcBorders>
              <w:bottom w:val="single" w:sz="6" w:space="0" w:color="auto"/>
            </w:tcBorders>
          </w:tcPr>
          <w:p w:rsidR="00000000" w:rsidRDefault="001F233B">
            <w:pPr>
              <w:pStyle w:val="TableofFigures"/>
              <w:keepNext/>
            </w:pPr>
            <w:r>
              <w:t>89.7</w:t>
            </w:r>
          </w:p>
        </w:tc>
      </w:tr>
      <w:tr w:rsidR="00000000">
        <w:tblPrEx>
          <w:tblCellMar>
            <w:top w:w="0" w:type="dxa"/>
            <w:bottom w:w="0" w:type="dxa"/>
          </w:tblCellMar>
        </w:tblPrEx>
        <w:trPr>
          <w:trHeight w:hRule="exact" w:val="240"/>
        </w:trPr>
        <w:tc>
          <w:tcPr>
            <w:tcW w:w="4519" w:type="dxa"/>
            <w:hMerge w:val="restart"/>
            <w:tcBorders>
              <w:top w:val="single" w:sz="6" w:space="0" w:color="auto"/>
              <w:bottom w:val="single" w:sz="6" w:space="0" w:color="auto"/>
            </w:tcBorders>
          </w:tcPr>
          <w:p w:rsidR="00000000" w:rsidRDefault="001F233B">
            <w:pPr>
              <w:pStyle w:val="Tabletext"/>
              <w:keepNext/>
              <w:rPr>
                <w:b/>
                <w:color w:val="000000"/>
              </w:rPr>
            </w:pPr>
            <w:r>
              <w:rPr>
                <w:b/>
                <w:color w:val="000000"/>
              </w:rPr>
              <w:t>Total</w:t>
            </w:r>
          </w:p>
        </w:tc>
        <w:tc>
          <w:tcPr>
            <w:hMerge/>
            <w:tcBorders>
              <w:top w:val="single" w:sz="6" w:space="0" w:color="auto"/>
              <w:bottom w:val="single" w:sz="6" w:space="0" w:color="auto"/>
            </w:tcBorders>
          </w:tcPr>
          <w:p w:rsidR="00000000" w:rsidRDefault="001F233B">
            <w:pPr>
              <w:keepNext/>
              <w:spacing w:after="0"/>
              <w:jc w:val="right"/>
              <w:rPr>
                <w:rFonts w:ascii="Arial" w:hAnsi="Arial"/>
                <w:b/>
                <w:color w:val="000000"/>
                <w:sz w:val="18"/>
              </w:rPr>
            </w:pPr>
          </w:p>
        </w:tc>
        <w:tc>
          <w:tcPr>
            <w:tcW w:w="1134" w:type="dxa"/>
            <w:tcBorders>
              <w:bottom w:val="single" w:sz="6" w:space="0" w:color="auto"/>
            </w:tcBorders>
          </w:tcPr>
          <w:p w:rsidR="00000000" w:rsidRDefault="001F233B">
            <w:pPr>
              <w:pStyle w:val="TableofFigures"/>
              <w:keepNext/>
              <w:rPr>
                <w:b/>
              </w:rPr>
            </w:pPr>
            <w:r>
              <w:rPr>
                <w:b/>
              </w:rPr>
              <w:t>17 562.2</w:t>
            </w:r>
          </w:p>
        </w:tc>
        <w:tc>
          <w:tcPr>
            <w:tcW w:w="1276" w:type="dxa"/>
            <w:tcBorders>
              <w:bottom w:val="single" w:sz="6" w:space="0" w:color="auto"/>
            </w:tcBorders>
          </w:tcPr>
          <w:p w:rsidR="00000000" w:rsidRDefault="001F233B">
            <w:pPr>
              <w:pStyle w:val="TableofFigures"/>
              <w:keepNext/>
              <w:rPr>
                <w:b/>
              </w:rPr>
            </w:pPr>
            <w:r>
              <w:rPr>
                <w:b/>
              </w:rPr>
              <w:t>18 276.6</w:t>
            </w:r>
          </w:p>
        </w:tc>
      </w:tr>
    </w:tbl>
    <w:p w:rsidR="00000000" w:rsidRDefault="001F233B">
      <w:pPr>
        <w:pStyle w:val="Source"/>
        <w:keepNext/>
      </w:pPr>
      <w:r>
        <w:t>Source: Department of Treasury and Finance.</w:t>
      </w:r>
    </w:p>
    <w:p w:rsidR="00000000" w:rsidRDefault="001F233B">
      <w:r>
        <w:t>The following section provides an outline of the major initiatives by department.</w:t>
      </w:r>
    </w:p>
    <w:p w:rsidR="00000000" w:rsidRDefault="001F233B">
      <w:pPr>
        <w:pStyle w:val="Heading3"/>
      </w:pPr>
      <w:r>
        <w:t>Education</w:t>
      </w:r>
      <w:r>
        <w:fldChar w:fldCharType="begin"/>
      </w:r>
      <w:r>
        <w:instrText>xe "Education"</w:instrText>
      </w:r>
      <w:r>
        <w:fldChar w:fldCharType="end"/>
      </w:r>
    </w:p>
    <w:p w:rsidR="00000000" w:rsidRDefault="001F233B">
      <w:r>
        <w:t>The Government is committed to providing young people with the basic building blocks of knowledge that qualify them for work, equip them to be full participants in society, and give them the capacity for personal growth and fulfilment.</w:t>
      </w:r>
    </w:p>
    <w:p w:rsidR="00000000" w:rsidRDefault="001F233B">
      <w:r>
        <w:t>As announced in the Governor’s Speech, the Government has adopted the following targets for education</w:t>
      </w:r>
      <w:r>
        <w:fldChar w:fldCharType="begin"/>
      </w:r>
      <w:r>
        <w:instrText>xe "Education"</w:instrText>
      </w:r>
      <w:r>
        <w:fldChar w:fldCharType="end"/>
      </w:r>
      <w:r>
        <w:t>:</w:t>
      </w:r>
    </w:p>
    <w:p w:rsidR="00000000" w:rsidRDefault="001F233B" w:rsidP="001F233B">
      <w:pPr>
        <w:pStyle w:val="BulletText"/>
        <w:numPr>
          <w:ilvl w:val="0"/>
          <w:numId w:val="1"/>
        </w:numPr>
        <w:rPr>
          <w:lang w:val="en-AU"/>
        </w:rPr>
      </w:pPr>
      <w:r>
        <w:rPr>
          <w:lang w:val="en-AU"/>
        </w:rPr>
        <w:t>100 per cent literacy</w:t>
      </w:r>
      <w:r>
        <w:rPr>
          <w:lang w:val="en-AU"/>
        </w:rPr>
        <w:fldChar w:fldCharType="begin"/>
      </w:r>
      <w:r>
        <w:rPr>
          <w:lang w:val="en-AU"/>
        </w:rPr>
        <w:instrText>xe "Department of Education:Literacy"</w:instrText>
      </w:r>
      <w:r>
        <w:rPr>
          <w:lang w:val="en-AU"/>
        </w:rPr>
        <w:fldChar w:fldCharType="end"/>
      </w:r>
      <w:r>
        <w:rPr>
          <w:lang w:val="en-AU"/>
        </w:rPr>
        <w:t xml:space="preserve"> proficiency for school children at Year 3 by 2005; and</w:t>
      </w:r>
    </w:p>
    <w:p w:rsidR="00000000" w:rsidRDefault="001F233B" w:rsidP="001F233B">
      <w:pPr>
        <w:pStyle w:val="BulletText"/>
        <w:numPr>
          <w:ilvl w:val="0"/>
          <w:numId w:val="1"/>
        </w:numPr>
        <w:rPr>
          <w:lang w:val="en-AU"/>
        </w:rPr>
      </w:pPr>
      <w:r>
        <w:rPr>
          <w:lang w:val="en-AU"/>
        </w:rPr>
        <w:t>Victorian students to be</w:t>
      </w:r>
      <w:r>
        <w:rPr>
          <w:lang w:val="en-AU"/>
        </w:rPr>
        <w:t xml:space="preserve"> in the top five in the world in mathematics and science at the Year 9 level by 2010.</w:t>
      </w:r>
    </w:p>
    <w:p w:rsidR="00000000" w:rsidRDefault="001F233B">
      <w:r>
        <w:t>To allow the achievement of these targets, as well as meet the Government’s broad education</w:t>
      </w:r>
      <w:r>
        <w:fldChar w:fldCharType="begin"/>
      </w:r>
      <w:r>
        <w:instrText>xe "Education"</w:instrText>
      </w:r>
      <w:r>
        <w:fldChar w:fldCharType="end"/>
      </w:r>
      <w:r>
        <w:t xml:space="preserve"> objectives, this Budget contains funding of $63.5 million in 1998</w:t>
      </w:r>
      <w:r>
        <w:noBreakHyphen/>
        <w:t>99 for new education output initiative</w:t>
      </w:r>
      <w:r>
        <w:fldChar w:fldCharType="begin"/>
      </w:r>
      <w:r>
        <w:instrText>xe "Output initiative"</w:instrText>
      </w:r>
      <w:r>
        <w:fldChar w:fldCharType="end"/>
      </w:r>
      <w:r>
        <w:t>s. These initiatives include:</w:t>
      </w:r>
    </w:p>
    <w:p w:rsidR="00000000" w:rsidRDefault="001F233B" w:rsidP="001F233B">
      <w:pPr>
        <w:pStyle w:val="BulletText"/>
        <w:numPr>
          <w:ilvl w:val="0"/>
          <w:numId w:val="1"/>
        </w:numPr>
      </w:pPr>
      <w:r>
        <w:t>expansion of the highly successful Keys to Life program</w:t>
      </w:r>
      <w:r>
        <w:fldChar w:fldCharType="begin"/>
      </w:r>
      <w:r>
        <w:instrText>xe "Department of Education:Keys to Life program"</w:instrText>
      </w:r>
      <w:r>
        <w:fldChar w:fldCharType="end"/>
      </w:r>
      <w:r>
        <w:t xml:space="preserve"> ($26.1 million in 1998</w:t>
      </w:r>
      <w:r>
        <w:noBreakHyphen/>
        <w:t>99 growing to $50.0 million on</w:t>
      </w:r>
      <w:r>
        <w:t>going in 1999</w:t>
      </w:r>
      <w:r>
        <w:noBreakHyphen/>
        <w:t>00) which will enable all schools to introduce balanced and structured classroom literacy</w:t>
      </w:r>
      <w:r>
        <w:fldChar w:fldCharType="begin"/>
      </w:r>
      <w:r>
        <w:instrText>xe "Department of Education:Literacy"</w:instrText>
      </w:r>
      <w:r>
        <w:fldChar w:fldCharType="end"/>
      </w:r>
      <w:r>
        <w:t xml:space="preserve"> programs and a Reading Recovery program which will target intensive teaching to students who require additional assistance. These programs will ensure that students have the opportunity to reach their full potential through the achievement of appropriate literacy skills;</w:t>
      </w:r>
    </w:p>
    <w:p w:rsidR="00000000" w:rsidRDefault="001F233B" w:rsidP="001F233B">
      <w:pPr>
        <w:pStyle w:val="BulletText"/>
        <w:numPr>
          <w:ilvl w:val="0"/>
          <w:numId w:val="1"/>
        </w:numPr>
      </w:pPr>
      <w:r>
        <w:t>implementation of the Literacy</w:t>
      </w:r>
      <w:r>
        <w:fldChar w:fldCharType="begin"/>
      </w:r>
      <w:r>
        <w:instrText>xe "Department of Education:Literacy"</w:instrText>
      </w:r>
      <w:r>
        <w:fldChar w:fldCharType="end"/>
      </w:r>
      <w:r>
        <w:t xml:space="preserve"> 2001</w:t>
      </w:r>
      <w:r>
        <w:fldChar w:fldCharType="begin"/>
      </w:r>
      <w:r>
        <w:instrText>xe "Department of Educ</w:instrText>
      </w:r>
      <w:r>
        <w:instrText>ation:Literacy 2001"</w:instrText>
      </w:r>
      <w:r>
        <w:fldChar w:fldCharType="end"/>
      </w:r>
      <w:r>
        <w:t xml:space="preserve"> Action Plan, funding being $0.5 million in 1998</w:t>
      </w:r>
      <w:r>
        <w:noBreakHyphen/>
        <w:t>99, to complement the Keys to Life program</w:t>
      </w:r>
      <w:r>
        <w:fldChar w:fldCharType="begin"/>
      </w:r>
      <w:r>
        <w:instrText>xe "Department of Education:Keys to Life program"</w:instrText>
      </w:r>
      <w:r>
        <w:fldChar w:fldCharType="end"/>
      </w:r>
      <w:r>
        <w:t xml:space="preserve"> and assist Victoria meet its national literacy commitments. The funding will be used to implement pre</w:t>
      </w:r>
      <w:r>
        <w:noBreakHyphen/>
        <w:t>school assessments of students entering primary school</w:t>
      </w:r>
      <w:r>
        <w:fldChar w:fldCharType="begin"/>
      </w:r>
      <w:r>
        <w:instrText>xe "Department of Education:Primary school"</w:instrText>
      </w:r>
      <w:r>
        <w:fldChar w:fldCharType="end"/>
      </w:r>
      <w:r>
        <w:t>s and target intervention strategies for students in the middle years of schooling. Preschool assessment will ensure that every student receives th</w:t>
      </w:r>
      <w:r>
        <w:t>e appropriate level of assistance from their first day of school;</w:t>
      </w:r>
    </w:p>
    <w:p w:rsidR="00000000" w:rsidRDefault="001F233B" w:rsidP="001F233B">
      <w:pPr>
        <w:pStyle w:val="BulletText"/>
        <w:numPr>
          <w:ilvl w:val="0"/>
          <w:numId w:val="1"/>
        </w:numPr>
      </w:pPr>
      <w:r>
        <w:t>support for the national Literacy</w:t>
      </w:r>
      <w:r>
        <w:fldChar w:fldCharType="begin"/>
      </w:r>
      <w:r>
        <w:instrText>xe "Department of Education:Literacy"</w:instrText>
      </w:r>
      <w:r>
        <w:fldChar w:fldCharType="end"/>
      </w:r>
      <w:r>
        <w:t xml:space="preserve"> 2001</w:t>
      </w:r>
      <w:r>
        <w:fldChar w:fldCharType="begin"/>
      </w:r>
      <w:r>
        <w:instrText>xe "Department of Education:Literacy 2001"</w:instrText>
      </w:r>
      <w:r>
        <w:fldChar w:fldCharType="end"/>
      </w:r>
      <w:r>
        <w:t xml:space="preserve"> strategy to complement the Keys to Life program,</w:t>
      </w:r>
      <w:r>
        <w:fldChar w:fldCharType="begin"/>
      </w:r>
      <w:r>
        <w:instrText>xe "Department of Education:Keys to Life program"</w:instrText>
      </w:r>
      <w:r>
        <w:fldChar w:fldCharType="end"/>
      </w:r>
      <w:r>
        <w:t xml:space="preserve"> an additional $0.2 million to be provided in 1998</w:t>
      </w:r>
      <w:r>
        <w:noBreakHyphen/>
        <w:t>99, to ensure that both parents and students are properly informed about the new literacy initiatives and student achievements; and</w:t>
      </w:r>
    </w:p>
    <w:p w:rsidR="00000000" w:rsidRDefault="001F233B" w:rsidP="001F233B">
      <w:pPr>
        <w:pStyle w:val="BulletText"/>
        <w:numPr>
          <w:ilvl w:val="0"/>
          <w:numId w:val="1"/>
        </w:numPr>
      </w:pPr>
      <w:r>
        <w:t>a comprehensive strategy costing $2.2 mill</w:t>
      </w:r>
      <w:r>
        <w:t>ion over 2 years to improve the quality of teaching and learning in science from Year prep to Year 10 leading to enhanced knowledge and skills in science for both students and teachers.</w:t>
      </w:r>
    </w:p>
    <w:p w:rsidR="00000000" w:rsidRDefault="001F233B">
      <w:r>
        <w:t>The Government places a high priority on information and multimedia technology in schools and in the vocational education</w:t>
      </w:r>
      <w:r>
        <w:fldChar w:fldCharType="begin"/>
      </w:r>
      <w:r>
        <w:instrText>xe "Education"</w:instrText>
      </w:r>
      <w:r>
        <w:fldChar w:fldCharType="end"/>
      </w:r>
      <w:r>
        <w:t xml:space="preserve"> and training sector. Developing young people with appropriate multimedia skills, is essential for the economic future of the State. ‘Break through’ initiatives to achieve these objectives </w:t>
      </w:r>
      <w:r>
        <w:t>include:</w:t>
      </w:r>
    </w:p>
    <w:p w:rsidR="00000000" w:rsidRDefault="001F233B" w:rsidP="001F233B">
      <w:pPr>
        <w:pStyle w:val="BulletText"/>
        <w:numPr>
          <w:ilvl w:val="0"/>
          <w:numId w:val="1"/>
        </w:numPr>
      </w:pPr>
      <w:r>
        <w:t>$67.7 million over seven years to make available to every government school teacher a subsidised multimedia notebook computer, as part of a structured learning technologies strategy, which will improve teacher skills in using learning technologies, delivery of the curriculum and productivity</w:t>
      </w:r>
      <w:r>
        <w:fldChar w:fldCharType="begin"/>
      </w:r>
      <w:r>
        <w:instrText>xe "Economy:Productivity"</w:instrText>
      </w:r>
      <w:r>
        <w:fldChar w:fldCharType="end"/>
      </w:r>
      <w:r>
        <w:t>;</w:t>
      </w:r>
    </w:p>
    <w:p w:rsidR="00000000" w:rsidRDefault="001F233B" w:rsidP="001F233B">
      <w:pPr>
        <w:pStyle w:val="BulletText"/>
        <w:numPr>
          <w:ilvl w:val="0"/>
          <w:numId w:val="1"/>
        </w:numPr>
      </w:pPr>
      <w:r>
        <w:t>$12.8 million over two years for the VicOne network which will link some 1900 educational sites across Victoria, including all TAFE</w:t>
      </w:r>
      <w:r>
        <w:fldChar w:fldCharType="begin"/>
      </w:r>
      <w:r>
        <w:instrText>xe "Department of Education:TAFE"</w:instrText>
      </w:r>
      <w:r>
        <w:fldChar w:fldCharType="end"/>
      </w:r>
      <w:r>
        <w:t xml:space="preserve"> institutes and </w:t>
      </w:r>
      <w:r>
        <w:t>all schools. As a result, every student in a government school will have access to the internet and other on</w:t>
      </w:r>
      <w:r>
        <w:noBreakHyphen/>
        <w:t>line learning opportunities;</w:t>
      </w:r>
    </w:p>
    <w:p w:rsidR="00000000" w:rsidRDefault="001F233B" w:rsidP="001F233B">
      <w:pPr>
        <w:pStyle w:val="BulletText"/>
        <w:numPr>
          <w:ilvl w:val="0"/>
          <w:numId w:val="1"/>
        </w:numPr>
      </w:pPr>
      <w:r>
        <w:t>establishment of the Victorian Digital Resource Centre at a cost of $2.5 million over 2 years as a core information repository for the delivery of on</w:t>
      </w:r>
      <w:r>
        <w:noBreakHyphen/>
        <w:t>line information to provide high quality digital education</w:t>
      </w:r>
      <w:r>
        <w:fldChar w:fldCharType="begin"/>
      </w:r>
      <w:r>
        <w:instrText>xe "Education"</w:instrText>
      </w:r>
      <w:r>
        <w:fldChar w:fldCharType="end"/>
      </w:r>
      <w:r>
        <w:t xml:space="preserve"> materials for schools and the Vocational Education and Training sector; and</w:t>
      </w:r>
    </w:p>
    <w:p w:rsidR="00000000" w:rsidRDefault="001F233B" w:rsidP="001F233B">
      <w:pPr>
        <w:pStyle w:val="BulletText"/>
        <w:numPr>
          <w:ilvl w:val="0"/>
          <w:numId w:val="1"/>
        </w:numPr>
      </w:pPr>
      <w:r>
        <w:t>$15 million over two years to boost funds for computers in schools. Compu</w:t>
      </w:r>
      <w:r>
        <w:t>ters will be funded on a 25 per cent subsidy basis, as with the highly successful ‘Classrooms of the Future’ project which was over subscribed.</w:t>
      </w:r>
    </w:p>
    <w:p w:rsidR="00000000" w:rsidRDefault="001F233B">
      <w:r>
        <w:t>The combined impact of these four new initiatives will put Victoria into a leading position to deliver multimedia education</w:t>
      </w:r>
      <w:r>
        <w:fldChar w:fldCharType="begin"/>
      </w:r>
      <w:r>
        <w:instrText>xe "Education"</w:instrText>
      </w:r>
      <w:r>
        <w:fldChar w:fldCharType="end"/>
      </w:r>
      <w:r>
        <w:t>.</w:t>
      </w:r>
    </w:p>
    <w:p w:rsidR="00000000" w:rsidRDefault="001F233B">
      <w:r>
        <w:br w:type="page"/>
        <w:t>Further initiatives include:</w:t>
      </w:r>
    </w:p>
    <w:p w:rsidR="00000000" w:rsidRDefault="001F233B" w:rsidP="001F233B">
      <w:pPr>
        <w:pStyle w:val="BulletText"/>
        <w:numPr>
          <w:ilvl w:val="0"/>
          <w:numId w:val="1"/>
        </w:numPr>
      </w:pPr>
      <w:r>
        <w:t xml:space="preserve">implementing the </w:t>
      </w:r>
      <w:r>
        <w:rPr>
          <w:i/>
        </w:rPr>
        <w:t>Schools of the Third Millennium</w:t>
      </w:r>
      <w:r>
        <w:rPr>
          <w:i/>
        </w:rPr>
        <w:fldChar w:fldCharType="begin"/>
      </w:r>
      <w:r>
        <w:rPr>
          <w:i/>
        </w:rPr>
        <w:instrText>xe "Department of Education:Schools of the Third Millennium"</w:instrText>
      </w:r>
      <w:r>
        <w:rPr>
          <w:i/>
        </w:rPr>
        <w:fldChar w:fldCharType="end"/>
      </w:r>
      <w:r>
        <w:t xml:space="preserve"> initiative which builds on the </w:t>
      </w:r>
      <w:r>
        <w:rPr>
          <w:i/>
        </w:rPr>
        <w:t>Schools of the Future</w:t>
      </w:r>
      <w:r>
        <w:rPr>
          <w:i/>
        </w:rPr>
        <w:fldChar w:fldCharType="begin"/>
      </w:r>
      <w:r>
        <w:rPr>
          <w:i/>
        </w:rPr>
        <w:instrText>xe "Department of Education:Schoo</w:instrText>
      </w:r>
      <w:r>
        <w:rPr>
          <w:i/>
        </w:rPr>
        <w:instrText>ls of the Future"</w:instrText>
      </w:r>
      <w:r>
        <w:rPr>
          <w:i/>
        </w:rPr>
        <w:fldChar w:fldCharType="end"/>
      </w:r>
      <w:r>
        <w:t xml:space="preserve"> reforms. The Government has allocated $12.9 million over four years to enable selected schools to increase management flexibility in order to facilitate greater choice, contestability and enable enhanced service delivery</w:t>
      </w:r>
      <w:r>
        <w:fldChar w:fldCharType="begin"/>
      </w:r>
      <w:r>
        <w:instrText>xe "Service delivery"</w:instrText>
      </w:r>
      <w:r>
        <w:fldChar w:fldCharType="end"/>
      </w:r>
      <w:r>
        <w:t xml:space="preserve"> choices to be made at the local level;</w:t>
      </w:r>
    </w:p>
    <w:p w:rsidR="00000000" w:rsidRDefault="001F233B" w:rsidP="001F233B">
      <w:pPr>
        <w:pStyle w:val="BulletText"/>
        <w:numPr>
          <w:ilvl w:val="0"/>
          <w:numId w:val="1"/>
        </w:numPr>
      </w:pPr>
      <w:r>
        <w:t>a further $6.3 million a year to support expanded education</w:t>
      </w:r>
      <w:r>
        <w:fldChar w:fldCharType="begin"/>
      </w:r>
      <w:r>
        <w:instrText>xe "Education"</w:instrText>
      </w:r>
      <w:r>
        <w:fldChar w:fldCharType="end"/>
      </w:r>
      <w:r>
        <w:t xml:space="preserve"> service delivery</w:t>
      </w:r>
      <w:r>
        <w:fldChar w:fldCharType="begin"/>
      </w:r>
      <w:r>
        <w:instrText>xe "Service delivery"</w:instrText>
      </w:r>
      <w:r>
        <w:fldChar w:fldCharType="end"/>
      </w:r>
      <w:r>
        <w:t xml:space="preserve"> for students with disabilities and impairments; and</w:t>
      </w:r>
    </w:p>
    <w:p w:rsidR="00000000" w:rsidRDefault="001F233B" w:rsidP="001F233B">
      <w:pPr>
        <w:pStyle w:val="BulletText"/>
        <w:numPr>
          <w:ilvl w:val="0"/>
          <w:numId w:val="1"/>
        </w:numPr>
      </w:pPr>
      <w:r>
        <w:t>$31.5 million over two years, with $19.5 m</w:t>
      </w:r>
      <w:r>
        <w:t>illion ongoing to purchase additional educational services to meet the anticipated demand as a result of Commonwealth eligibility changes to its youth allowance</w:t>
      </w:r>
      <w:r>
        <w:fldChar w:fldCharType="begin"/>
      </w:r>
      <w:r>
        <w:instrText>xe "Department of Education:Youth allowance"</w:instrText>
      </w:r>
      <w:r>
        <w:fldChar w:fldCharType="end"/>
      </w:r>
      <w:r>
        <w:t>s.</w:t>
      </w:r>
    </w:p>
    <w:p w:rsidR="00000000" w:rsidRDefault="001F233B">
      <w:pPr>
        <w:pStyle w:val="Tableheading"/>
        <w:keepNext/>
      </w:pPr>
      <w:bookmarkStart w:id="80" w:name="_Toc417482512"/>
      <w:bookmarkStart w:id="81" w:name="_Toc417552751"/>
      <w:r>
        <w:t>Table 4.4: Output initiative</w:t>
      </w:r>
      <w:r>
        <w:fldChar w:fldCharType="begin"/>
      </w:r>
      <w:r>
        <w:instrText>xe "Output initiative"</w:instrText>
      </w:r>
      <w:r>
        <w:fldChar w:fldCharType="end"/>
      </w:r>
      <w:r>
        <w:t xml:space="preserve">s </w:t>
      </w:r>
      <w:r>
        <w:noBreakHyphen/>
        <w:t xml:space="preserve"> Education</w:t>
      </w:r>
      <w:bookmarkEnd w:id="80"/>
      <w:bookmarkEnd w:id="81"/>
      <w:r>
        <w:fldChar w:fldCharType="begin"/>
      </w:r>
      <w:r>
        <w:instrText>xe "Education"</w:instrText>
      </w:r>
      <w:r>
        <w:fldChar w:fldCharType="end"/>
      </w:r>
    </w:p>
    <w:p w:rsidR="00000000" w:rsidRDefault="001F233B">
      <w:pPr>
        <w:keepNext/>
        <w:spacing w:after="0"/>
        <w:jc w:val="center"/>
        <w:rPr>
          <w:rFonts w:ascii="Arial" w:hAnsi="Arial"/>
          <w:i/>
          <w:noProof/>
          <w:sz w:val="20"/>
        </w:rPr>
      </w:pPr>
      <w:r>
        <w:rPr>
          <w:rFonts w:ascii="Arial" w:hAnsi="Arial"/>
          <w:i/>
          <w:sz w:val="20"/>
        </w:rPr>
        <w:t>($ million)</w:t>
      </w:r>
    </w:p>
    <w:tbl>
      <w:tblPr>
        <w:tblW w:w="0" w:type="auto"/>
        <w:tblLayout w:type="fixed"/>
        <w:tblCellMar>
          <w:left w:w="30" w:type="dxa"/>
          <w:right w:w="30" w:type="dxa"/>
        </w:tblCellMar>
        <w:tblLook w:val="0000" w:firstRow="0" w:lastRow="0" w:firstColumn="0" w:lastColumn="0" w:noHBand="0" w:noVBand="0"/>
      </w:tblPr>
      <w:tblGrid>
        <w:gridCol w:w="4500"/>
        <w:gridCol w:w="30"/>
        <w:gridCol w:w="1140"/>
        <w:gridCol w:w="30"/>
        <w:gridCol w:w="1140"/>
        <w:gridCol w:w="30"/>
      </w:tblGrid>
      <w:tr w:rsidR="00000000">
        <w:tblPrEx>
          <w:tblCellMar>
            <w:top w:w="0" w:type="dxa"/>
            <w:bottom w:w="0" w:type="dxa"/>
          </w:tblCellMar>
        </w:tblPrEx>
        <w:trPr>
          <w:gridAfter w:val="1"/>
          <w:wAfter w:w="30" w:type="dxa"/>
          <w:cantSplit/>
          <w:tblHeader/>
        </w:trPr>
        <w:tc>
          <w:tcPr>
            <w:tcW w:w="4500" w:type="dxa"/>
            <w:tcBorders>
              <w:top w:val="single" w:sz="6" w:space="0" w:color="auto"/>
              <w:bottom w:val="single" w:sz="6" w:space="0" w:color="auto"/>
            </w:tcBorders>
          </w:tcPr>
          <w:p w:rsidR="00000000" w:rsidRDefault="001F233B">
            <w:pPr>
              <w:pStyle w:val="Tabletext"/>
              <w:keepNext/>
              <w:rPr>
                <w:i/>
              </w:rPr>
            </w:pPr>
          </w:p>
        </w:tc>
        <w:tc>
          <w:tcPr>
            <w:tcW w:w="1170" w:type="dxa"/>
            <w:gridSpan w:val="2"/>
            <w:tcBorders>
              <w:top w:val="single" w:sz="6" w:space="0" w:color="auto"/>
              <w:bottom w:val="single" w:sz="6" w:space="0" w:color="auto"/>
            </w:tcBorders>
          </w:tcPr>
          <w:p w:rsidR="00000000" w:rsidRDefault="001F233B">
            <w:pPr>
              <w:pStyle w:val="Tabletextheading"/>
              <w:keepNext/>
              <w:rPr>
                <w:b w:val="0"/>
                <w:i/>
              </w:rPr>
            </w:pPr>
            <w:r>
              <w:rPr>
                <w:b w:val="0"/>
                <w:i/>
              </w:rPr>
              <w:t>1998</w:t>
            </w:r>
            <w:r>
              <w:rPr>
                <w:b w:val="0"/>
                <w:i/>
              </w:rPr>
              <w:noBreakHyphen/>
              <w:t>99</w:t>
            </w:r>
          </w:p>
          <w:p w:rsidR="00000000" w:rsidRDefault="001F233B">
            <w:pPr>
              <w:pStyle w:val="Tabletextheading"/>
              <w:keepNext/>
              <w:rPr>
                <w:b w:val="0"/>
                <w:i/>
              </w:rPr>
            </w:pPr>
            <w:r>
              <w:rPr>
                <w:b w:val="0"/>
                <w:i/>
              </w:rPr>
              <w:t>Budget</w:t>
            </w:r>
          </w:p>
        </w:tc>
        <w:tc>
          <w:tcPr>
            <w:tcW w:w="1170" w:type="dxa"/>
            <w:gridSpan w:val="2"/>
            <w:tcBorders>
              <w:top w:val="single" w:sz="6" w:space="0" w:color="auto"/>
              <w:bottom w:val="single" w:sz="6" w:space="0" w:color="auto"/>
            </w:tcBorders>
          </w:tcPr>
          <w:p w:rsidR="00000000" w:rsidRDefault="001F233B">
            <w:pPr>
              <w:pStyle w:val="Tabletextheading"/>
              <w:keepNext/>
              <w:rPr>
                <w:b w:val="0"/>
                <w:i/>
              </w:rPr>
            </w:pPr>
            <w:r>
              <w:rPr>
                <w:b w:val="0"/>
                <w:i/>
              </w:rPr>
              <w:t>1999</w:t>
            </w:r>
            <w:r>
              <w:rPr>
                <w:b w:val="0"/>
                <w:i/>
              </w:rPr>
              <w:noBreakHyphen/>
              <w:t>00</w:t>
            </w:r>
          </w:p>
          <w:p w:rsidR="00000000" w:rsidRDefault="001F233B">
            <w:pPr>
              <w:pStyle w:val="Tabletextheading"/>
              <w:keepNext/>
              <w:rPr>
                <w:b w:val="0"/>
                <w:i/>
              </w:rPr>
            </w:pPr>
            <w:r>
              <w:rPr>
                <w:b w:val="0"/>
                <w:i/>
              </w:rPr>
              <w:t>Estimate</w:t>
            </w:r>
          </w:p>
        </w:tc>
      </w:tr>
      <w:tr w:rsidR="00000000">
        <w:tblPrEx>
          <w:tblCellMar>
            <w:top w:w="0" w:type="dxa"/>
            <w:bottom w:w="0" w:type="dxa"/>
          </w:tblCellMar>
        </w:tblPrEx>
        <w:trPr>
          <w:gridAfter w:val="1"/>
          <w:wAfter w:w="30" w:type="dxa"/>
          <w:cantSplit/>
          <w:trHeight w:hRule="exact" w:val="280"/>
        </w:trPr>
        <w:tc>
          <w:tcPr>
            <w:tcW w:w="4500" w:type="dxa"/>
          </w:tcPr>
          <w:p w:rsidR="00000000" w:rsidRDefault="001F233B">
            <w:pPr>
              <w:pStyle w:val="Tabletext"/>
              <w:keepNext/>
            </w:pPr>
            <w:r>
              <w:t>Expansion of the Keys to Life Program</w:t>
            </w:r>
            <w:r>
              <w:fldChar w:fldCharType="begin"/>
            </w:r>
            <w:r>
              <w:instrText>xe "Department of Education:Keys to Life program"</w:instrText>
            </w:r>
            <w:r>
              <w:fldChar w:fldCharType="end"/>
            </w:r>
          </w:p>
        </w:tc>
        <w:tc>
          <w:tcPr>
            <w:tcW w:w="1170" w:type="dxa"/>
            <w:gridSpan w:val="2"/>
          </w:tcPr>
          <w:p w:rsidR="00000000" w:rsidRDefault="001F233B">
            <w:pPr>
              <w:pStyle w:val="TableofFigures"/>
              <w:keepNext/>
            </w:pPr>
            <w:r>
              <w:t xml:space="preserve"> 26.1 </w:t>
            </w:r>
          </w:p>
        </w:tc>
        <w:tc>
          <w:tcPr>
            <w:tcW w:w="1170" w:type="dxa"/>
            <w:gridSpan w:val="2"/>
          </w:tcPr>
          <w:p w:rsidR="00000000" w:rsidRDefault="001F233B">
            <w:pPr>
              <w:pStyle w:val="TableofFigures"/>
              <w:keepNext/>
            </w:pPr>
            <w:r>
              <w:t xml:space="preserve"> 50.0 </w:t>
            </w:r>
          </w:p>
        </w:tc>
      </w:tr>
      <w:tr w:rsidR="00000000">
        <w:tblPrEx>
          <w:tblCellMar>
            <w:top w:w="0" w:type="dxa"/>
            <w:bottom w:w="0" w:type="dxa"/>
          </w:tblCellMar>
        </w:tblPrEx>
        <w:trPr>
          <w:gridAfter w:val="1"/>
          <w:wAfter w:w="30" w:type="dxa"/>
          <w:cantSplit/>
          <w:trHeight w:hRule="exact" w:val="280"/>
        </w:trPr>
        <w:tc>
          <w:tcPr>
            <w:tcW w:w="4500" w:type="dxa"/>
          </w:tcPr>
          <w:p w:rsidR="00000000" w:rsidRDefault="001F233B">
            <w:pPr>
              <w:pStyle w:val="Tabletext"/>
              <w:keepNext/>
            </w:pPr>
            <w:r>
              <w:t>Implementation of Literacy</w:t>
            </w:r>
            <w:r>
              <w:fldChar w:fldCharType="begin"/>
            </w:r>
            <w:r>
              <w:instrText>xe "Department of Education:Literacy"</w:instrText>
            </w:r>
            <w:r>
              <w:fldChar w:fldCharType="end"/>
            </w:r>
            <w:r>
              <w:t xml:space="preserve"> 2001</w:t>
            </w:r>
            <w:r>
              <w:fldChar w:fldCharType="begin"/>
            </w:r>
            <w:r>
              <w:instrText>xe "Department of Education:Literacy 2001"</w:instrText>
            </w:r>
            <w:r>
              <w:fldChar w:fldCharType="end"/>
            </w:r>
            <w:r>
              <w:t xml:space="preserve"> Action Plan</w:t>
            </w:r>
          </w:p>
        </w:tc>
        <w:tc>
          <w:tcPr>
            <w:tcW w:w="1170" w:type="dxa"/>
            <w:gridSpan w:val="2"/>
          </w:tcPr>
          <w:p w:rsidR="00000000" w:rsidRDefault="001F233B">
            <w:pPr>
              <w:pStyle w:val="TableofFigures"/>
              <w:keepNext/>
            </w:pPr>
            <w:r>
              <w:t xml:space="preserve"> 0.5 </w:t>
            </w:r>
          </w:p>
        </w:tc>
        <w:tc>
          <w:tcPr>
            <w:tcW w:w="1170" w:type="dxa"/>
            <w:gridSpan w:val="2"/>
          </w:tcPr>
          <w:p w:rsidR="00000000" w:rsidRDefault="001F233B">
            <w:pPr>
              <w:pStyle w:val="TableofFigures"/>
              <w:keepNext/>
            </w:pPr>
            <w:r>
              <w:t>..</w:t>
            </w:r>
          </w:p>
        </w:tc>
      </w:tr>
      <w:tr w:rsidR="00000000">
        <w:tblPrEx>
          <w:tblCellMar>
            <w:top w:w="0" w:type="dxa"/>
            <w:bottom w:w="0" w:type="dxa"/>
          </w:tblCellMar>
        </w:tblPrEx>
        <w:trPr>
          <w:gridAfter w:val="1"/>
          <w:wAfter w:w="30" w:type="dxa"/>
          <w:cantSplit/>
          <w:trHeight w:hRule="exact" w:val="280"/>
        </w:trPr>
        <w:tc>
          <w:tcPr>
            <w:tcW w:w="4500" w:type="dxa"/>
          </w:tcPr>
          <w:p w:rsidR="00000000" w:rsidRDefault="001F233B">
            <w:pPr>
              <w:pStyle w:val="Tabletext"/>
              <w:keepNext/>
            </w:pPr>
            <w:r>
              <w:t>Victorian Initiatives to Support Literacy</w:t>
            </w:r>
            <w:r>
              <w:fldChar w:fldCharType="begin"/>
            </w:r>
            <w:r>
              <w:instrText>xe "Department of Education:Literacy"</w:instrText>
            </w:r>
            <w:r>
              <w:fldChar w:fldCharType="end"/>
            </w:r>
            <w:r>
              <w:t xml:space="preserve"> 2001</w:t>
            </w:r>
            <w:r>
              <w:fldChar w:fldCharType="begin"/>
            </w:r>
            <w:r>
              <w:instrText>xe "Department of Education:Literacy 2001"</w:instrText>
            </w:r>
            <w:r>
              <w:fldChar w:fldCharType="end"/>
            </w:r>
          </w:p>
        </w:tc>
        <w:tc>
          <w:tcPr>
            <w:tcW w:w="1170" w:type="dxa"/>
            <w:gridSpan w:val="2"/>
          </w:tcPr>
          <w:p w:rsidR="00000000" w:rsidRDefault="001F233B">
            <w:pPr>
              <w:pStyle w:val="TableofFigures"/>
              <w:keepNext/>
            </w:pPr>
            <w:r>
              <w:t xml:space="preserve"> 0.2 </w:t>
            </w:r>
          </w:p>
        </w:tc>
        <w:tc>
          <w:tcPr>
            <w:tcW w:w="1170" w:type="dxa"/>
            <w:gridSpan w:val="2"/>
          </w:tcPr>
          <w:p w:rsidR="00000000" w:rsidRDefault="001F233B">
            <w:pPr>
              <w:pStyle w:val="TableofFigures"/>
              <w:keepNext/>
            </w:pPr>
            <w:r>
              <w:t>..</w:t>
            </w:r>
          </w:p>
        </w:tc>
      </w:tr>
      <w:tr w:rsidR="00000000">
        <w:tblPrEx>
          <w:tblCellMar>
            <w:top w:w="0" w:type="dxa"/>
            <w:bottom w:w="0" w:type="dxa"/>
          </w:tblCellMar>
        </w:tblPrEx>
        <w:trPr>
          <w:gridAfter w:val="1"/>
          <w:wAfter w:w="30" w:type="dxa"/>
          <w:cantSplit/>
          <w:trHeight w:hRule="exact" w:val="280"/>
        </w:trPr>
        <w:tc>
          <w:tcPr>
            <w:tcW w:w="4500" w:type="dxa"/>
          </w:tcPr>
          <w:p w:rsidR="00000000" w:rsidRDefault="001F233B">
            <w:pPr>
              <w:pStyle w:val="Tabletext"/>
              <w:keepNext/>
            </w:pPr>
            <w:r>
              <w:t>Establishing Schools of 3rd Millennium</w:t>
            </w:r>
          </w:p>
        </w:tc>
        <w:tc>
          <w:tcPr>
            <w:tcW w:w="1170" w:type="dxa"/>
            <w:gridSpan w:val="2"/>
          </w:tcPr>
          <w:p w:rsidR="00000000" w:rsidRDefault="001F233B">
            <w:pPr>
              <w:pStyle w:val="TableofFigures"/>
              <w:keepNext/>
            </w:pPr>
            <w:r>
              <w:t xml:space="preserve"> 3.6 </w:t>
            </w:r>
          </w:p>
        </w:tc>
        <w:tc>
          <w:tcPr>
            <w:tcW w:w="1170" w:type="dxa"/>
            <w:gridSpan w:val="2"/>
          </w:tcPr>
          <w:p w:rsidR="00000000" w:rsidRDefault="001F233B">
            <w:pPr>
              <w:pStyle w:val="TableofFigures"/>
              <w:keepNext/>
            </w:pPr>
            <w:r>
              <w:t xml:space="preserve"> 7.5 </w:t>
            </w:r>
          </w:p>
        </w:tc>
      </w:tr>
      <w:tr w:rsidR="00000000">
        <w:tblPrEx>
          <w:tblCellMar>
            <w:top w:w="0" w:type="dxa"/>
            <w:bottom w:w="0" w:type="dxa"/>
          </w:tblCellMar>
        </w:tblPrEx>
        <w:trPr>
          <w:gridAfter w:val="1"/>
          <w:wAfter w:w="30" w:type="dxa"/>
          <w:cantSplit/>
          <w:trHeight w:hRule="exact" w:val="520"/>
        </w:trPr>
        <w:tc>
          <w:tcPr>
            <w:tcW w:w="4500" w:type="dxa"/>
          </w:tcPr>
          <w:p w:rsidR="00000000" w:rsidRDefault="001F233B">
            <w:pPr>
              <w:pStyle w:val="Tabletext"/>
              <w:keepNext/>
            </w:pPr>
            <w:r>
              <w:t>VicOne/Education</w:t>
            </w:r>
            <w:r>
              <w:fldChar w:fldCharType="begin"/>
            </w:r>
            <w:r>
              <w:instrText>xe "Education"</w:instrText>
            </w:r>
            <w:r>
              <w:fldChar w:fldCharType="end"/>
            </w:r>
            <w:r>
              <w:t xml:space="preserve"> Network Access for 1900 educational sites</w:t>
            </w:r>
          </w:p>
        </w:tc>
        <w:tc>
          <w:tcPr>
            <w:tcW w:w="1170" w:type="dxa"/>
            <w:gridSpan w:val="2"/>
          </w:tcPr>
          <w:p w:rsidR="00000000" w:rsidRDefault="001F233B">
            <w:pPr>
              <w:pStyle w:val="TableofFigures"/>
              <w:keepNext/>
            </w:pPr>
            <w:r>
              <w:t xml:space="preserve"> 7.8 </w:t>
            </w:r>
          </w:p>
        </w:tc>
        <w:tc>
          <w:tcPr>
            <w:tcW w:w="1170" w:type="dxa"/>
            <w:gridSpan w:val="2"/>
          </w:tcPr>
          <w:p w:rsidR="00000000" w:rsidRDefault="001F233B">
            <w:pPr>
              <w:pStyle w:val="TableofFigures"/>
              <w:keepNext/>
            </w:pPr>
            <w:r>
              <w:t xml:space="preserve"> 5.0 </w:t>
            </w:r>
          </w:p>
        </w:tc>
      </w:tr>
      <w:tr w:rsidR="00000000">
        <w:tblPrEx>
          <w:tblCellMar>
            <w:top w:w="0" w:type="dxa"/>
            <w:bottom w:w="0" w:type="dxa"/>
          </w:tblCellMar>
        </w:tblPrEx>
        <w:trPr>
          <w:gridAfter w:val="1"/>
          <w:wAfter w:w="30" w:type="dxa"/>
          <w:cantSplit/>
          <w:trHeight w:hRule="exact" w:val="280"/>
        </w:trPr>
        <w:tc>
          <w:tcPr>
            <w:tcW w:w="4500" w:type="dxa"/>
          </w:tcPr>
          <w:p w:rsidR="00000000" w:rsidRDefault="001F233B">
            <w:pPr>
              <w:pStyle w:val="Tabletext"/>
              <w:keepNext/>
            </w:pPr>
            <w:r>
              <w:t>Notebooks for Teachers initiative</w:t>
            </w:r>
          </w:p>
        </w:tc>
        <w:tc>
          <w:tcPr>
            <w:tcW w:w="1170" w:type="dxa"/>
            <w:gridSpan w:val="2"/>
          </w:tcPr>
          <w:p w:rsidR="00000000" w:rsidRDefault="001F233B">
            <w:pPr>
              <w:pStyle w:val="TableofFigures"/>
              <w:keepNext/>
            </w:pPr>
            <w:r>
              <w:t xml:space="preserve"> 4.9 </w:t>
            </w:r>
          </w:p>
        </w:tc>
        <w:tc>
          <w:tcPr>
            <w:tcW w:w="1170" w:type="dxa"/>
            <w:gridSpan w:val="2"/>
          </w:tcPr>
          <w:p w:rsidR="00000000" w:rsidRDefault="001F233B">
            <w:pPr>
              <w:pStyle w:val="TableofFigures"/>
              <w:keepNext/>
            </w:pPr>
            <w:r>
              <w:t xml:space="preserve"> 9.2 </w:t>
            </w:r>
          </w:p>
        </w:tc>
      </w:tr>
      <w:tr w:rsidR="00000000">
        <w:tblPrEx>
          <w:tblCellMar>
            <w:top w:w="0" w:type="dxa"/>
            <w:bottom w:w="0" w:type="dxa"/>
          </w:tblCellMar>
        </w:tblPrEx>
        <w:trPr>
          <w:gridAfter w:val="1"/>
          <w:wAfter w:w="30" w:type="dxa"/>
          <w:cantSplit/>
          <w:trHeight w:hRule="exact" w:val="280"/>
        </w:trPr>
        <w:tc>
          <w:tcPr>
            <w:tcW w:w="4500" w:type="dxa"/>
          </w:tcPr>
          <w:p w:rsidR="00000000" w:rsidRDefault="001F233B">
            <w:pPr>
              <w:pStyle w:val="Tabletext"/>
              <w:keepNext/>
            </w:pPr>
            <w:r>
              <w:t>Science Education</w:t>
            </w:r>
            <w:r>
              <w:fldChar w:fldCharType="begin"/>
            </w:r>
            <w:r>
              <w:instrText>xe "Education"</w:instrText>
            </w:r>
            <w:r>
              <w:fldChar w:fldCharType="end"/>
            </w:r>
            <w:r>
              <w:t xml:space="preserve"> </w:t>
            </w:r>
            <w:r>
              <w:noBreakHyphen/>
              <w:t xml:space="preserve"> Strategy Development</w:t>
            </w:r>
          </w:p>
        </w:tc>
        <w:tc>
          <w:tcPr>
            <w:tcW w:w="1170" w:type="dxa"/>
            <w:gridSpan w:val="2"/>
          </w:tcPr>
          <w:p w:rsidR="00000000" w:rsidRDefault="001F233B">
            <w:pPr>
              <w:pStyle w:val="TableofFigures"/>
              <w:keepNext/>
            </w:pPr>
            <w:r>
              <w:t xml:space="preserve"> 1.1 </w:t>
            </w:r>
          </w:p>
        </w:tc>
        <w:tc>
          <w:tcPr>
            <w:tcW w:w="1170" w:type="dxa"/>
            <w:gridSpan w:val="2"/>
          </w:tcPr>
          <w:p w:rsidR="00000000" w:rsidRDefault="001F233B">
            <w:pPr>
              <w:pStyle w:val="TableofFigures"/>
              <w:keepNext/>
            </w:pPr>
            <w:r>
              <w:t xml:space="preserve"> 1.1 </w:t>
            </w:r>
          </w:p>
        </w:tc>
      </w:tr>
      <w:tr w:rsidR="00000000">
        <w:tblPrEx>
          <w:tblCellMar>
            <w:top w:w="0" w:type="dxa"/>
            <w:bottom w:w="0" w:type="dxa"/>
          </w:tblCellMar>
        </w:tblPrEx>
        <w:trPr>
          <w:gridAfter w:val="1"/>
          <w:wAfter w:w="30" w:type="dxa"/>
          <w:cantSplit/>
          <w:trHeight w:hRule="exact" w:val="520"/>
        </w:trPr>
        <w:tc>
          <w:tcPr>
            <w:tcW w:w="4500" w:type="dxa"/>
          </w:tcPr>
          <w:p w:rsidR="00000000" w:rsidRDefault="001F233B">
            <w:pPr>
              <w:pStyle w:val="Tabletext"/>
              <w:keepNext/>
            </w:pPr>
            <w:r>
              <w:t>Additional resources for Students with Disabiliti</w:t>
            </w:r>
            <w:r>
              <w:t>es and Impairments</w:t>
            </w:r>
          </w:p>
        </w:tc>
        <w:tc>
          <w:tcPr>
            <w:tcW w:w="1170" w:type="dxa"/>
            <w:gridSpan w:val="2"/>
          </w:tcPr>
          <w:p w:rsidR="00000000" w:rsidRDefault="001F233B">
            <w:pPr>
              <w:pStyle w:val="TableofFigures"/>
              <w:keepNext/>
            </w:pPr>
            <w:r>
              <w:t xml:space="preserve"> 6.3 </w:t>
            </w:r>
          </w:p>
        </w:tc>
        <w:tc>
          <w:tcPr>
            <w:tcW w:w="1170" w:type="dxa"/>
            <w:gridSpan w:val="2"/>
          </w:tcPr>
          <w:p w:rsidR="00000000" w:rsidRDefault="001F233B">
            <w:pPr>
              <w:pStyle w:val="TableofFigures"/>
              <w:keepNext/>
            </w:pPr>
            <w:r>
              <w:t xml:space="preserve"> 6.3 </w:t>
            </w:r>
          </w:p>
        </w:tc>
      </w:tr>
      <w:tr w:rsidR="00000000">
        <w:tblPrEx>
          <w:tblCellMar>
            <w:top w:w="0" w:type="dxa"/>
            <w:bottom w:w="0" w:type="dxa"/>
          </w:tblCellMar>
        </w:tblPrEx>
        <w:trPr>
          <w:gridAfter w:val="1"/>
          <w:wAfter w:w="30" w:type="dxa"/>
          <w:cantSplit/>
          <w:trHeight w:hRule="exact" w:val="520"/>
        </w:trPr>
        <w:tc>
          <w:tcPr>
            <w:tcW w:w="4500" w:type="dxa"/>
          </w:tcPr>
          <w:p w:rsidR="00000000" w:rsidRDefault="001F233B">
            <w:pPr>
              <w:pStyle w:val="Tabletext"/>
              <w:keepNext/>
            </w:pPr>
            <w:r>
              <w:t>Increased education</w:t>
            </w:r>
            <w:r>
              <w:fldChar w:fldCharType="begin"/>
            </w:r>
            <w:r>
              <w:instrText>xe "Education"</w:instrText>
            </w:r>
            <w:r>
              <w:fldChar w:fldCharType="end"/>
            </w:r>
            <w:r>
              <w:t xml:space="preserve"> services due to Commonwealth eligibility changes to youth allowances</w:t>
            </w:r>
            <w:r>
              <w:fldChar w:fldCharType="begin"/>
            </w:r>
            <w:r>
              <w:instrText>xe "Department of Education:Youth allowance"</w:instrText>
            </w:r>
            <w:r>
              <w:fldChar w:fldCharType="end"/>
            </w:r>
          </w:p>
        </w:tc>
        <w:tc>
          <w:tcPr>
            <w:tcW w:w="1170" w:type="dxa"/>
            <w:gridSpan w:val="2"/>
          </w:tcPr>
          <w:p w:rsidR="00000000" w:rsidRDefault="001F233B">
            <w:pPr>
              <w:pStyle w:val="TableofFigures"/>
              <w:keepNext/>
            </w:pPr>
            <w:r>
              <w:t xml:space="preserve"> 12.0 </w:t>
            </w:r>
          </w:p>
        </w:tc>
        <w:tc>
          <w:tcPr>
            <w:tcW w:w="1170" w:type="dxa"/>
            <w:gridSpan w:val="2"/>
          </w:tcPr>
          <w:p w:rsidR="00000000" w:rsidRDefault="001F233B">
            <w:pPr>
              <w:pStyle w:val="TableofFigures"/>
              <w:keepNext/>
            </w:pPr>
            <w:r>
              <w:t xml:space="preserve"> 19.5 </w:t>
            </w:r>
          </w:p>
        </w:tc>
      </w:tr>
      <w:tr w:rsidR="00000000">
        <w:tblPrEx>
          <w:tblCellMar>
            <w:top w:w="0" w:type="dxa"/>
            <w:bottom w:w="0" w:type="dxa"/>
          </w:tblCellMar>
        </w:tblPrEx>
        <w:trPr>
          <w:gridAfter w:val="1"/>
          <w:wAfter w:w="30" w:type="dxa"/>
          <w:cantSplit/>
          <w:trHeight w:hRule="exact" w:val="280"/>
        </w:trPr>
        <w:tc>
          <w:tcPr>
            <w:tcW w:w="4500" w:type="dxa"/>
          </w:tcPr>
          <w:p w:rsidR="00000000" w:rsidRDefault="001F233B">
            <w:pPr>
              <w:pStyle w:val="Tabletext"/>
              <w:keepNext/>
            </w:pPr>
            <w:r>
              <w:t>Establishment of a Digital Resource Centre</w:t>
            </w:r>
          </w:p>
        </w:tc>
        <w:tc>
          <w:tcPr>
            <w:tcW w:w="1170" w:type="dxa"/>
            <w:gridSpan w:val="2"/>
            <w:tcBorders>
              <w:bottom w:val="single" w:sz="6" w:space="0" w:color="auto"/>
            </w:tcBorders>
          </w:tcPr>
          <w:p w:rsidR="00000000" w:rsidRDefault="001F233B">
            <w:pPr>
              <w:pStyle w:val="TableofFigures"/>
              <w:keepNext/>
            </w:pPr>
            <w:r>
              <w:t xml:space="preserve"> 1.0 </w:t>
            </w:r>
          </w:p>
        </w:tc>
        <w:tc>
          <w:tcPr>
            <w:tcW w:w="1170" w:type="dxa"/>
            <w:gridSpan w:val="2"/>
            <w:tcBorders>
              <w:bottom w:val="single" w:sz="6" w:space="0" w:color="auto"/>
            </w:tcBorders>
          </w:tcPr>
          <w:p w:rsidR="00000000" w:rsidRDefault="001F233B">
            <w:pPr>
              <w:pStyle w:val="TableofFigures"/>
              <w:keepNext/>
            </w:pPr>
            <w:r>
              <w:t xml:space="preserve"> 1.5 </w:t>
            </w:r>
          </w:p>
        </w:tc>
      </w:tr>
      <w:tr w:rsidR="00000000">
        <w:tblPrEx>
          <w:tblCellMar>
            <w:top w:w="0" w:type="dxa"/>
            <w:bottom w:w="0" w:type="dxa"/>
          </w:tblCellMar>
        </w:tblPrEx>
        <w:trPr>
          <w:cantSplit/>
          <w:trHeight w:hRule="exact" w:val="280"/>
        </w:trPr>
        <w:tc>
          <w:tcPr>
            <w:tcW w:w="4530" w:type="dxa"/>
            <w:gridSpan w:val="2"/>
            <w:tcBorders>
              <w:top w:val="single" w:sz="6" w:space="0" w:color="auto"/>
              <w:bottom w:val="single" w:sz="6" w:space="0" w:color="auto"/>
            </w:tcBorders>
          </w:tcPr>
          <w:p w:rsidR="00000000" w:rsidRDefault="001F233B">
            <w:pPr>
              <w:pStyle w:val="Tabletext"/>
              <w:keepNext/>
              <w:rPr>
                <w:b/>
              </w:rPr>
            </w:pPr>
            <w:r>
              <w:rPr>
                <w:b/>
              </w:rPr>
              <w:t xml:space="preserve">Total </w:t>
            </w:r>
            <w:r>
              <w:rPr>
                <w:b/>
              </w:rPr>
              <w:noBreakHyphen/>
              <w:t xml:space="preserve"> Education</w:t>
            </w:r>
            <w:r>
              <w:rPr>
                <w:b/>
              </w:rPr>
              <w:fldChar w:fldCharType="begin"/>
            </w:r>
            <w:r>
              <w:rPr>
                <w:b/>
              </w:rPr>
              <w:instrText>xe "Education"</w:instrText>
            </w:r>
            <w:r>
              <w:rPr>
                <w:b/>
              </w:rPr>
              <w:fldChar w:fldCharType="end"/>
            </w:r>
          </w:p>
        </w:tc>
        <w:tc>
          <w:tcPr>
            <w:tcW w:w="1170" w:type="dxa"/>
            <w:gridSpan w:val="2"/>
            <w:tcBorders>
              <w:bottom w:val="single" w:sz="6" w:space="0" w:color="auto"/>
            </w:tcBorders>
          </w:tcPr>
          <w:p w:rsidR="00000000" w:rsidRDefault="001F233B">
            <w:pPr>
              <w:pStyle w:val="TableofFigures"/>
              <w:keepNext/>
              <w:rPr>
                <w:b/>
              </w:rPr>
            </w:pPr>
            <w:r>
              <w:rPr>
                <w:b/>
              </w:rPr>
              <w:t xml:space="preserve"> 63.5 </w:t>
            </w:r>
          </w:p>
        </w:tc>
        <w:tc>
          <w:tcPr>
            <w:tcW w:w="1170" w:type="dxa"/>
            <w:gridSpan w:val="2"/>
            <w:tcBorders>
              <w:bottom w:val="single" w:sz="6" w:space="0" w:color="auto"/>
            </w:tcBorders>
          </w:tcPr>
          <w:p w:rsidR="00000000" w:rsidRDefault="001F233B">
            <w:pPr>
              <w:pStyle w:val="TableofFigures"/>
              <w:keepNext/>
              <w:rPr>
                <w:b/>
              </w:rPr>
            </w:pPr>
            <w:r>
              <w:rPr>
                <w:b/>
              </w:rPr>
              <w:t xml:space="preserve"> 100.1 </w:t>
            </w:r>
          </w:p>
        </w:tc>
      </w:tr>
    </w:tbl>
    <w:p w:rsidR="00000000" w:rsidRDefault="001F233B">
      <w:pPr>
        <w:pStyle w:val="Source"/>
        <w:keepNext/>
      </w:pPr>
      <w:r>
        <w:t>Source: Department of Treasury and Finance.</w:t>
      </w:r>
    </w:p>
    <w:p w:rsidR="00000000" w:rsidRDefault="001F233B">
      <w:r>
        <w:t>The Government has also approved capital projects for Education</w:t>
      </w:r>
      <w:r>
        <w:fldChar w:fldCharType="begin"/>
      </w:r>
      <w:r>
        <w:instrText>xe "Education"</w:instrText>
      </w:r>
      <w:r>
        <w:fldChar w:fldCharType="end"/>
      </w:r>
      <w:r>
        <w:t xml:space="preserve"> of $66.4 million in 1998</w:t>
      </w:r>
      <w:r>
        <w:noBreakHyphen/>
        <w:t>99 (total estimated cost $114.7 million), with approximatel</w:t>
      </w:r>
      <w:r>
        <w:t>y 30 per cent of this investment</w:t>
      </w:r>
      <w:r>
        <w:fldChar w:fldCharType="begin"/>
      </w:r>
      <w:r>
        <w:instrText>xe "Economy:Investment"</w:instrText>
      </w:r>
      <w:r>
        <w:fldChar w:fldCharType="end"/>
      </w:r>
      <w:r>
        <w:t xml:space="preserve"> to be used to relocate or merge schools and for computers or technology related projects. The Government is providing this funding as part of its 1996 commitment to spend $1 000 million of a capital nature in schools by the year 2000.</w:t>
      </w:r>
    </w:p>
    <w:p w:rsidR="00000000" w:rsidRDefault="001F233B">
      <w:pPr>
        <w:pStyle w:val="Heading3"/>
      </w:pPr>
      <w:r>
        <w:t>Human Services</w:t>
      </w:r>
    </w:p>
    <w:p w:rsidR="00000000" w:rsidRDefault="001F233B">
      <w:r>
        <w:t>To maintain its commitment to improving the health</w:t>
      </w:r>
      <w:r>
        <w:fldChar w:fldCharType="begin"/>
      </w:r>
      <w:r>
        <w:instrText>xe "Health"</w:instrText>
      </w:r>
      <w:r>
        <w:fldChar w:fldCharType="end"/>
      </w:r>
      <w:r>
        <w:t xml:space="preserve"> and well</w:t>
      </w:r>
      <w:r>
        <w:noBreakHyphen/>
        <w:t>being of Victorians, the Government is providing increased operating funding</w:t>
      </w:r>
      <w:r>
        <w:fldChar w:fldCharType="begin"/>
      </w:r>
      <w:r>
        <w:instrText>xe "Funding:Operational"</w:instrText>
      </w:r>
      <w:r>
        <w:fldChar w:fldCharType="end"/>
      </w:r>
      <w:r>
        <w:t xml:space="preserve"> of $263 million in 1998</w:t>
      </w:r>
      <w:r>
        <w:noBreakHyphen/>
        <w:t xml:space="preserve">99. </w:t>
      </w:r>
      <w:r>
        <w:t>The major component of this increase is $100 million in 1998</w:t>
      </w:r>
      <w:r>
        <w:noBreakHyphen/>
        <w:t>99 ($118 million in 1999</w:t>
      </w:r>
      <w:r>
        <w:noBreakHyphen/>
        <w:t>00) provided to address demand growth and implement a number of policy initiatives. This will enable hospitals, and other major health and welfare services provided by the Department of Human Services</w:t>
      </w:r>
      <w:r>
        <w:fldChar w:fldCharType="begin"/>
      </w:r>
      <w:r>
        <w:instrText>xe "Department of Human Services"</w:instrText>
      </w:r>
      <w:r>
        <w:fldChar w:fldCharType="end"/>
      </w:r>
      <w:r>
        <w:t>, to meet additional demand and also raise the quality of new and existing services.</w:t>
      </w:r>
    </w:p>
    <w:p w:rsidR="00000000" w:rsidRDefault="001F233B">
      <w:r>
        <w:t>Demand growth funding has been provided for a range of important services including:</w:t>
      </w:r>
    </w:p>
    <w:p w:rsidR="00000000" w:rsidRDefault="001F233B" w:rsidP="001F233B">
      <w:pPr>
        <w:pStyle w:val="BulletText"/>
        <w:numPr>
          <w:ilvl w:val="0"/>
          <w:numId w:val="1"/>
        </w:numPr>
      </w:pPr>
      <w:r>
        <w:t>increased funding for</w:t>
      </w:r>
      <w:r>
        <w:t xml:space="preserve"> public hospital</w:t>
      </w:r>
      <w:r>
        <w:fldChar w:fldCharType="begin"/>
      </w:r>
      <w:r>
        <w:instrText>xe "Department of Human Services:Public hospital"</w:instrText>
      </w:r>
      <w:r>
        <w:fldChar w:fldCharType="end"/>
      </w:r>
      <w:r>
        <w:t>s ($47.8 million) to meet demand in output growth of 1.6 per cent, growth in treatments associated with new technology, and provision for the additional medical costs and loss of private patient revenue associated with the continuing decline in private health</w:t>
      </w:r>
      <w:r>
        <w:fldChar w:fldCharType="begin"/>
      </w:r>
      <w:r>
        <w:instrText>xe "Health"</w:instrText>
      </w:r>
      <w:r>
        <w:fldChar w:fldCharType="end"/>
      </w:r>
      <w:r>
        <w:t xml:space="preserve"> insurance;</w:t>
      </w:r>
    </w:p>
    <w:p w:rsidR="00000000" w:rsidRDefault="001F233B" w:rsidP="001F233B">
      <w:pPr>
        <w:pStyle w:val="BulletText"/>
        <w:numPr>
          <w:ilvl w:val="0"/>
          <w:numId w:val="1"/>
        </w:numPr>
      </w:pPr>
      <w:r>
        <w:t>$10.5 million for growth in the Home and Community Care Program and specialist aged care services</w:t>
      </w:r>
      <w:r>
        <w:fldChar w:fldCharType="begin"/>
      </w:r>
      <w:r>
        <w:instrText>xe "Department of Human Services:Aged care services"</w:instrText>
      </w:r>
      <w:r>
        <w:fldChar w:fldCharType="end"/>
      </w:r>
      <w:r>
        <w:t>; and</w:t>
      </w:r>
    </w:p>
    <w:p w:rsidR="00000000" w:rsidRDefault="001F233B" w:rsidP="001F233B">
      <w:pPr>
        <w:pStyle w:val="BulletText"/>
        <w:numPr>
          <w:ilvl w:val="0"/>
          <w:numId w:val="1"/>
        </w:numPr>
      </w:pPr>
      <w:r>
        <w:t>$6.6</w:t>
      </w:r>
      <w:r>
        <w:t> million for additional disability support services including aids and equipment.</w:t>
      </w:r>
    </w:p>
    <w:p w:rsidR="00000000" w:rsidRDefault="001F233B">
      <w:r>
        <w:t>In addition to demand growth, Budget funding has been provided for a number of new initiatives which will better tailor services to meet individual needs and improve public health</w:t>
      </w:r>
      <w:r>
        <w:fldChar w:fldCharType="begin"/>
      </w:r>
      <w:r>
        <w:instrText>xe "Health"</w:instrText>
      </w:r>
      <w:r>
        <w:fldChar w:fldCharType="end"/>
      </w:r>
      <w:r>
        <w:t xml:space="preserve"> outcomes. These include:</w:t>
      </w:r>
    </w:p>
    <w:p w:rsidR="00000000" w:rsidRDefault="001F233B" w:rsidP="001F233B">
      <w:pPr>
        <w:pStyle w:val="BulletText"/>
        <w:numPr>
          <w:ilvl w:val="0"/>
          <w:numId w:val="1"/>
        </w:numPr>
      </w:pPr>
      <w:r>
        <w:t>$12.9 million to improve the quality of maternity support services for women and their babies prior to, during and following childbirth, including additional services for women with special needs;</w:t>
      </w:r>
    </w:p>
    <w:p w:rsidR="00000000" w:rsidRDefault="001F233B" w:rsidP="001F233B">
      <w:pPr>
        <w:pStyle w:val="BulletText"/>
        <w:numPr>
          <w:ilvl w:val="0"/>
          <w:numId w:val="1"/>
        </w:numPr>
      </w:pPr>
      <w:r>
        <w:t>expansion of Me</w:t>
      </w:r>
      <w:r>
        <w:t>dical and Public Health</w:t>
      </w:r>
      <w:r>
        <w:fldChar w:fldCharType="begin"/>
      </w:r>
      <w:r>
        <w:instrText>xe "Health"</w:instrText>
      </w:r>
      <w:r>
        <w:fldChar w:fldCharType="end"/>
      </w:r>
      <w:r>
        <w:t xml:space="preserve"> Research to enhance Victoria’s leadership in this area ($4 million);</w:t>
      </w:r>
    </w:p>
    <w:p w:rsidR="00000000" w:rsidRDefault="001F233B" w:rsidP="001F233B">
      <w:pPr>
        <w:pStyle w:val="BulletText"/>
        <w:numPr>
          <w:ilvl w:val="0"/>
          <w:numId w:val="1"/>
        </w:numPr>
      </w:pPr>
      <w:r>
        <w:t>establishment of a new food quality agency known as Food Safety Victoria to ensure Victorian food is of the highest quality and meets international safety standards ($2.4 million); and</w:t>
      </w:r>
    </w:p>
    <w:p w:rsidR="00000000" w:rsidRDefault="001F233B" w:rsidP="001F233B">
      <w:pPr>
        <w:pStyle w:val="BulletText"/>
        <w:numPr>
          <w:ilvl w:val="0"/>
          <w:numId w:val="1"/>
        </w:numPr>
      </w:pPr>
      <w:r>
        <w:t>accommodation and support for the most urgent clients on the Disability Service Needs Register ($3.2 million).</w:t>
      </w:r>
    </w:p>
    <w:p w:rsidR="00000000" w:rsidRDefault="001F233B">
      <w:r>
        <w:t>The demand growth and policy initiatives for each output group are summarised in Table 4.5. Further details ar</w:t>
      </w:r>
      <w:r>
        <w:t>e provided in Budget Paper No. 3.</w:t>
      </w:r>
    </w:p>
    <w:p w:rsidR="00000000" w:rsidRDefault="001F233B">
      <w:pPr>
        <w:pStyle w:val="Tableheading"/>
      </w:pPr>
      <w:bookmarkStart w:id="82" w:name="_Toc417482513"/>
      <w:r>
        <w:br w:type="page"/>
      </w:r>
      <w:bookmarkStart w:id="83" w:name="_Toc417552752"/>
      <w:r>
        <w:t>Table 4.5: Output initiative</w:t>
      </w:r>
      <w:r>
        <w:fldChar w:fldCharType="begin"/>
      </w:r>
      <w:r>
        <w:instrText>xe "Output initiative"</w:instrText>
      </w:r>
      <w:r>
        <w:fldChar w:fldCharType="end"/>
      </w:r>
      <w:r>
        <w:t>s – Human Services</w:t>
      </w:r>
      <w:bookmarkEnd w:id="82"/>
      <w:bookmarkEnd w:id="83"/>
    </w:p>
    <w:p w:rsidR="00000000" w:rsidRDefault="001F233B">
      <w:pPr>
        <w:spacing w:after="0"/>
        <w:jc w:val="center"/>
        <w:rPr>
          <w:rFonts w:ascii="Arial" w:hAnsi="Arial"/>
          <w:i/>
          <w:noProof/>
          <w:sz w:val="20"/>
        </w:rPr>
      </w:pPr>
      <w:r>
        <w:rPr>
          <w:rFonts w:ascii="Arial" w:hAnsi="Arial"/>
          <w:i/>
          <w:sz w:val="20"/>
        </w:rPr>
        <w:t>($ million)</w:t>
      </w:r>
    </w:p>
    <w:tbl>
      <w:tblPr>
        <w:tblW w:w="0" w:type="auto"/>
        <w:tblInd w:w="30" w:type="dxa"/>
        <w:tblLayout w:type="fixed"/>
        <w:tblCellMar>
          <w:left w:w="30" w:type="dxa"/>
          <w:right w:w="30" w:type="dxa"/>
        </w:tblCellMar>
        <w:tblLook w:val="0000" w:firstRow="0" w:lastRow="0" w:firstColumn="0" w:lastColumn="0" w:noHBand="0" w:noVBand="0"/>
      </w:tblPr>
      <w:tblGrid>
        <w:gridCol w:w="4860"/>
        <w:gridCol w:w="990"/>
        <w:gridCol w:w="1260"/>
      </w:tblGrid>
      <w:tr w:rsidR="00000000">
        <w:tblPrEx>
          <w:tblCellMar>
            <w:top w:w="0" w:type="dxa"/>
            <w:bottom w:w="0" w:type="dxa"/>
          </w:tblCellMar>
        </w:tblPrEx>
        <w:trPr>
          <w:tblHeader/>
        </w:trPr>
        <w:tc>
          <w:tcPr>
            <w:tcW w:w="4860" w:type="dxa"/>
            <w:tcBorders>
              <w:top w:val="single" w:sz="6" w:space="0" w:color="auto"/>
              <w:bottom w:val="single" w:sz="6" w:space="0" w:color="auto"/>
            </w:tcBorders>
          </w:tcPr>
          <w:p w:rsidR="00000000" w:rsidRDefault="001F233B">
            <w:pPr>
              <w:pStyle w:val="Tabletextheading"/>
              <w:rPr>
                <w:b w:val="0"/>
                <w:i/>
              </w:rPr>
            </w:pPr>
          </w:p>
        </w:tc>
        <w:tc>
          <w:tcPr>
            <w:tcW w:w="990" w:type="dxa"/>
            <w:tcBorders>
              <w:top w:val="single" w:sz="6" w:space="0" w:color="auto"/>
              <w:bottom w:val="single" w:sz="6" w:space="0" w:color="auto"/>
            </w:tcBorders>
          </w:tcPr>
          <w:p w:rsidR="00000000" w:rsidRDefault="001F233B">
            <w:pPr>
              <w:pStyle w:val="Tabletextheading"/>
              <w:rPr>
                <w:b w:val="0"/>
                <w:i/>
              </w:rPr>
            </w:pPr>
            <w:r>
              <w:rPr>
                <w:b w:val="0"/>
                <w:i/>
              </w:rPr>
              <w:t>1998</w:t>
            </w:r>
            <w:r>
              <w:rPr>
                <w:b w:val="0"/>
                <w:i/>
              </w:rPr>
              <w:noBreakHyphen/>
              <w:t>99</w:t>
            </w:r>
          </w:p>
          <w:p w:rsidR="00000000" w:rsidRDefault="001F233B">
            <w:pPr>
              <w:pStyle w:val="Tabletextheading"/>
              <w:rPr>
                <w:b w:val="0"/>
                <w:i/>
              </w:rPr>
            </w:pPr>
            <w:r>
              <w:rPr>
                <w:b w:val="0"/>
                <w:i/>
              </w:rPr>
              <w:t>Budget</w:t>
            </w:r>
          </w:p>
        </w:tc>
        <w:tc>
          <w:tcPr>
            <w:tcW w:w="1260" w:type="dxa"/>
            <w:tcBorders>
              <w:top w:val="single" w:sz="6" w:space="0" w:color="auto"/>
              <w:bottom w:val="single" w:sz="6" w:space="0" w:color="auto"/>
            </w:tcBorders>
          </w:tcPr>
          <w:p w:rsidR="00000000" w:rsidRDefault="001F233B">
            <w:pPr>
              <w:pStyle w:val="Tabletextheading"/>
              <w:rPr>
                <w:b w:val="0"/>
                <w:i/>
              </w:rPr>
            </w:pPr>
            <w:r>
              <w:rPr>
                <w:b w:val="0"/>
                <w:i/>
              </w:rPr>
              <w:t>1999</w:t>
            </w:r>
            <w:r>
              <w:rPr>
                <w:b w:val="0"/>
                <w:i/>
              </w:rPr>
              <w:noBreakHyphen/>
              <w:t>00</w:t>
            </w:r>
          </w:p>
          <w:p w:rsidR="00000000" w:rsidRDefault="001F233B">
            <w:pPr>
              <w:pStyle w:val="Tabletextheading"/>
              <w:rPr>
                <w:b w:val="0"/>
                <w:i/>
              </w:rPr>
            </w:pPr>
            <w:r>
              <w:rPr>
                <w:b w:val="0"/>
                <w:i/>
              </w:rPr>
              <w:t>Estimate</w:t>
            </w:r>
          </w:p>
        </w:tc>
      </w:tr>
      <w:tr w:rsidR="00000000">
        <w:tblPrEx>
          <w:tblCellMar>
            <w:top w:w="0" w:type="dxa"/>
            <w:bottom w:w="0" w:type="dxa"/>
          </w:tblCellMar>
        </w:tblPrEx>
        <w:trPr>
          <w:trHeight w:val="260"/>
        </w:trPr>
        <w:tc>
          <w:tcPr>
            <w:tcW w:w="4860" w:type="dxa"/>
          </w:tcPr>
          <w:p w:rsidR="00000000" w:rsidRDefault="001F233B">
            <w:pPr>
              <w:pStyle w:val="Tabletext"/>
            </w:pPr>
            <w:r>
              <w:t>Acute Health</w:t>
            </w:r>
            <w:r>
              <w:fldChar w:fldCharType="begin"/>
            </w:r>
            <w:r>
              <w:instrText>xe "Health"</w:instrText>
            </w:r>
            <w:r>
              <w:fldChar w:fldCharType="end"/>
            </w:r>
            <w:r>
              <w:t xml:space="preserve"> Services</w:t>
            </w:r>
          </w:p>
        </w:tc>
        <w:tc>
          <w:tcPr>
            <w:tcW w:w="990" w:type="dxa"/>
          </w:tcPr>
          <w:p w:rsidR="00000000" w:rsidRDefault="001F233B">
            <w:pPr>
              <w:pStyle w:val="TableofFigures"/>
            </w:pPr>
            <w:r>
              <w:t>60.7</w:t>
            </w:r>
          </w:p>
        </w:tc>
        <w:tc>
          <w:tcPr>
            <w:tcW w:w="1260" w:type="dxa"/>
          </w:tcPr>
          <w:p w:rsidR="00000000" w:rsidRDefault="001F233B">
            <w:pPr>
              <w:pStyle w:val="TableofFigures"/>
            </w:pPr>
            <w:r>
              <w:t>64.8</w:t>
            </w:r>
          </w:p>
        </w:tc>
      </w:tr>
      <w:tr w:rsidR="00000000">
        <w:tblPrEx>
          <w:tblCellMar>
            <w:top w:w="0" w:type="dxa"/>
            <w:bottom w:w="0" w:type="dxa"/>
          </w:tblCellMar>
        </w:tblPrEx>
        <w:trPr>
          <w:trHeight w:val="260"/>
        </w:trPr>
        <w:tc>
          <w:tcPr>
            <w:tcW w:w="4860" w:type="dxa"/>
          </w:tcPr>
          <w:p w:rsidR="00000000" w:rsidRDefault="001F233B">
            <w:pPr>
              <w:pStyle w:val="Tabletext"/>
            </w:pPr>
            <w:r>
              <w:t>Ambulance Services</w:t>
            </w:r>
          </w:p>
        </w:tc>
        <w:tc>
          <w:tcPr>
            <w:tcW w:w="990" w:type="dxa"/>
          </w:tcPr>
          <w:p w:rsidR="00000000" w:rsidRDefault="001F233B">
            <w:pPr>
              <w:pStyle w:val="TableofFigures"/>
            </w:pPr>
            <w:r>
              <w:t>1.7</w:t>
            </w:r>
          </w:p>
        </w:tc>
        <w:tc>
          <w:tcPr>
            <w:tcW w:w="1260" w:type="dxa"/>
          </w:tcPr>
          <w:p w:rsidR="00000000" w:rsidRDefault="001F233B">
            <w:pPr>
              <w:pStyle w:val="TableofFigures"/>
            </w:pPr>
            <w:r>
              <w:t>1.7</w:t>
            </w:r>
          </w:p>
        </w:tc>
      </w:tr>
      <w:tr w:rsidR="00000000">
        <w:tblPrEx>
          <w:tblCellMar>
            <w:top w:w="0" w:type="dxa"/>
            <w:bottom w:w="0" w:type="dxa"/>
          </w:tblCellMar>
        </w:tblPrEx>
        <w:trPr>
          <w:trHeight w:val="260"/>
        </w:trPr>
        <w:tc>
          <w:tcPr>
            <w:tcW w:w="4860" w:type="dxa"/>
          </w:tcPr>
          <w:p w:rsidR="00000000" w:rsidRDefault="001F233B">
            <w:pPr>
              <w:pStyle w:val="Tabletext"/>
            </w:pPr>
            <w:r>
              <w:t>Aged Care Services</w:t>
            </w:r>
            <w:r>
              <w:fldChar w:fldCharType="begin"/>
            </w:r>
            <w:r>
              <w:instrText>xe "Department of Human Services:Aged care services"</w:instrText>
            </w:r>
            <w:r>
              <w:fldChar w:fldCharType="end"/>
            </w:r>
          </w:p>
        </w:tc>
        <w:tc>
          <w:tcPr>
            <w:tcW w:w="990" w:type="dxa"/>
          </w:tcPr>
          <w:p w:rsidR="00000000" w:rsidRDefault="001F233B">
            <w:pPr>
              <w:pStyle w:val="TableofFigures"/>
            </w:pPr>
            <w:r>
              <w:t>10.5</w:t>
            </w:r>
          </w:p>
        </w:tc>
        <w:tc>
          <w:tcPr>
            <w:tcW w:w="1260" w:type="dxa"/>
          </w:tcPr>
          <w:p w:rsidR="00000000" w:rsidRDefault="001F233B">
            <w:pPr>
              <w:pStyle w:val="TableofFigures"/>
            </w:pPr>
            <w:r>
              <w:t>10.5</w:t>
            </w:r>
          </w:p>
        </w:tc>
      </w:tr>
      <w:tr w:rsidR="00000000">
        <w:tblPrEx>
          <w:tblCellMar>
            <w:top w:w="0" w:type="dxa"/>
            <w:bottom w:w="0" w:type="dxa"/>
          </w:tblCellMar>
        </w:tblPrEx>
        <w:trPr>
          <w:trHeight w:val="260"/>
        </w:trPr>
        <w:tc>
          <w:tcPr>
            <w:tcW w:w="4860" w:type="dxa"/>
          </w:tcPr>
          <w:p w:rsidR="00000000" w:rsidRDefault="001F233B">
            <w:pPr>
              <w:pStyle w:val="Tabletext"/>
            </w:pPr>
            <w:r>
              <w:t>Disability Services</w:t>
            </w:r>
            <w:r>
              <w:fldChar w:fldCharType="begin"/>
            </w:r>
            <w:r>
              <w:instrText>xe "Department of Human Services:Disability services"</w:instrText>
            </w:r>
            <w:r>
              <w:fldChar w:fldCharType="end"/>
            </w:r>
          </w:p>
        </w:tc>
        <w:tc>
          <w:tcPr>
            <w:tcW w:w="990" w:type="dxa"/>
          </w:tcPr>
          <w:p w:rsidR="00000000" w:rsidRDefault="001F233B">
            <w:pPr>
              <w:pStyle w:val="TableofFigures"/>
            </w:pPr>
            <w:r>
              <w:t>9.9</w:t>
            </w:r>
          </w:p>
        </w:tc>
        <w:tc>
          <w:tcPr>
            <w:tcW w:w="1260" w:type="dxa"/>
          </w:tcPr>
          <w:p w:rsidR="00000000" w:rsidRDefault="001F233B">
            <w:pPr>
              <w:pStyle w:val="TableofFigures"/>
            </w:pPr>
            <w:r>
              <w:t>17.4</w:t>
            </w:r>
          </w:p>
        </w:tc>
      </w:tr>
      <w:tr w:rsidR="00000000">
        <w:tblPrEx>
          <w:tblCellMar>
            <w:top w:w="0" w:type="dxa"/>
            <w:bottom w:w="0" w:type="dxa"/>
          </w:tblCellMar>
        </w:tblPrEx>
        <w:trPr>
          <w:trHeight w:val="260"/>
        </w:trPr>
        <w:tc>
          <w:tcPr>
            <w:tcW w:w="4860" w:type="dxa"/>
          </w:tcPr>
          <w:p w:rsidR="00000000" w:rsidRDefault="001F233B">
            <w:pPr>
              <w:pStyle w:val="Tabletext"/>
            </w:pPr>
            <w:r>
              <w:t>Public Health</w:t>
            </w:r>
            <w:r>
              <w:fldChar w:fldCharType="begin"/>
            </w:r>
            <w:r>
              <w:instrText>xe "Health"</w:instrText>
            </w:r>
            <w:r>
              <w:fldChar w:fldCharType="end"/>
            </w:r>
            <w:r>
              <w:t xml:space="preserve"> Services</w:t>
            </w:r>
          </w:p>
        </w:tc>
        <w:tc>
          <w:tcPr>
            <w:tcW w:w="990" w:type="dxa"/>
          </w:tcPr>
          <w:p w:rsidR="00000000" w:rsidRDefault="001F233B">
            <w:pPr>
              <w:pStyle w:val="TableofFigures"/>
            </w:pPr>
            <w:r>
              <w:t>7.2</w:t>
            </w:r>
          </w:p>
        </w:tc>
        <w:tc>
          <w:tcPr>
            <w:tcW w:w="1260" w:type="dxa"/>
          </w:tcPr>
          <w:p w:rsidR="00000000" w:rsidRDefault="001F233B">
            <w:pPr>
              <w:pStyle w:val="TableofFigures"/>
            </w:pPr>
            <w:r>
              <w:t>7.2</w:t>
            </w:r>
          </w:p>
        </w:tc>
      </w:tr>
      <w:tr w:rsidR="00000000">
        <w:tblPrEx>
          <w:tblCellMar>
            <w:top w:w="0" w:type="dxa"/>
            <w:bottom w:w="0" w:type="dxa"/>
          </w:tblCellMar>
        </w:tblPrEx>
        <w:trPr>
          <w:trHeight w:val="260"/>
        </w:trPr>
        <w:tc>
          <w:tcPr>
            <w:tcW w:w="4860" w:type="dxa"/>
          </w:tcPr>
          <w:p w:rsidR="00000000" w:rsidRDefault="001F233B">
            <w:pPr>
              <w:pStyle w:val="Tabletext"/>
            </w:pPr>
            <w:r>
              <w:t>Mental Health</w:t>
            </w:r>
            <w:r>
              <w:fldChar w:fldCharType="begin"/>
            </w:r>
            <w:r>
              <w:instrText>xe "Department of Human Services:Mental health"</w:instrText>
            </w:r>
            <w:r>
              <w:fldChar w:fldCharType="end"/>
            </w:r>
            <w:r>
              <w:fldChar w:fldCharType="begin"/>
            </w:r>
            <w:r>
              <w:instrText>xe "Healt</w:instrText>
            </w:r>
            <w:r>
              <w:instrText>h"</w:instrText>
            </w:r>
            <w:r>
              <w:fldChar w:fldCharType="end"/>
            </w:r>
            <w:r>
              <w:t xml:space="preserve"> Services</w:t>
            </w:r>
          </w:p>
        </w:tc>
        <w:tc>
          <w:tcPr>
            <w:tcW w:w="990" w:type="dxa"/>
          </w:tcPr>
          <w:p w:rsidR="00000000" w:rsidRDefault="001F233B">
            <w:pPr>
              <w:pStyle w:val="TableofFigures"/>
            </w:pPr>
            <w:r>
              <w:t>2.0</w:t>
            </w:r>
          </w:p>
        </w:tc>
        <w:tc>
          <w:tcPr>
            <w:tcW w:w="1260" w:type="dxa"/>
          </w:tcPr>
          <w:p w:rsidR="00000000" w:rsidRDefault="001F233B">
            <w:pPr>
              <w:pStyle w:val="TableofFigures"/>
            </w:pPr>
            <w:r>
              <w:t>7.2</w:t>
            </w:r>
          </w:p>
        </w:tc>
      </w:tr>
      <w:tr w:rsidR="00000000">
        <w:tblPrEx>
          <w:tblCellMar>
            <w:top w:w="0" w:type="dxa"/>
            <w:bottom w:w="0" w:type="dxa"/>
          </w:tblCellMar>
        </w:tblPrEx>
        <w:trPr>
          <w:trHeight w:val="260"/>
        </w:trPr>
        <w:tc>
          <w:tcPr>
            <w:tcW w:w="4860" w:type="dxa"/>
          </w:tcPr>
          <w:p w:rsidR="00000000" w:rsidRDefault="001F233B">
            <w:pPr>
              <w:pStyle w:val="Tabletext"/>
            </w:pPr>
            <w:r>
              <w:t>Youth and Family Services</w:t>
            </w:r>
          </w:p>
        </w:tc>
        <w:tc>
          <w:tcPr>
            <w:tcW w:w="990" w:type="dxa"/>
          </w:tcPr>
          <w:p w:rsidR="00000000" w:rsidRDefault="001F233B">
            <w:pPr>
              <w:pStyle w:val="TableofFigures"/>
            </w:pPr>
            <w:r>
              <w:t>8.1</w:t>
            </w:r>
          </w:p>
        </w:tc>
        <w:tc>
          <w:tcPr>
            <w:tcW w:w="1260" w:type="dxa"/>
          </w:tcPr>
          <w:p w:rsidR="00000000" w:rsidRDefault="001F233B">
            <w:pPr>
              <w:pStyle w:val="TableofFigures"/>
            </w:pPr>
            <w:r>
              <w:t>9.0</w:t>
            </w:r>
          </w:p>
        </w:tc>
      </w:tr>
      <w:tr w:rsidR="00000000">
        <w:tblPrEx>
          <w:tblCellMar>
            <w:top w:w="0" w:type="dxa"/>
            <w:bottom w:w="0" w:type="dxa"/>
          </w:tblCellMar>
        </w:tblPrEx>
        <w:trPr>
          <w:trHeight w:val="260"/>
        </w:trPr>
        <w:tc>
          <w:tcPr>
            <w:tcW w:w="4860" w:type="dxa"/>
            <w:tcBorders>
              <w:top w:val="single" w:sz="6" w:space="0" w:color="auto"/>
              <w:bottom w:val="single" w:sz="6" w:space="0" w:color="auto"/>
            </w:tcBorders>
          </w:tcPr>
          <w:p w:rsidR="00000000" w:rsidRDefault="001F233B">
            <w:pPr>
              <w:pStyle w:val="Tabletext"/>
              <w:rPr>
                <w:b/>
              </w:rPr>
            </w:pPr>
            <w:r>
              <w:rPr>
                <w:b/>
              </w:rPr>
              <w:t>Total – Human Services</w:t>
            </w:r>
          </w:p>
        </w:tc>
        <w:tc>
          <w:tcPr>
            <w:tcW w:w="990" w:type="dxa"/>
            <w:tcBorders>
              <w:top w:val="single" w:sz="6" w:space="0" w:color="auto"/>
              <w:bottom w:val="single" w:sz="6" w:space="0" w:color="auto"/>
            </w:tcBorders>
          </w:tcPr>
          <w:p w:rsidR="00000000" w:rsidRDefault="001F233B">
            <w:pPr>
              <w:pStyle w:val="TableofFigures"/>
              <w:rPr>
                <w:b/>
              </w:rPr>
            </w:pPr>
            <w:r>
              <w:rPr>
                <w:b/>
              </w:rPr>
              <w:t xml:space="preserve"> 100.0 </w:t>
            </w:r>
          </w:p>
        </w:tc>
        <w:tc>
          <w:tcPr>
            <w:tcW w:w="1260" w:type="dxa"/>
            <w:tcBorders>
              <w:top w:val="single" w:sz="6" w:space="0" w:color="auto"/>
              <w:bottom w:val="single" w:sz="6" w:space="0" w:color="auto"/>
            </w:tcBorders>
          </w:tcPr>
          <w:p w:rsidR="00000000" w:rsidRDefault="001F233B">
            <w:pPr>
              <w:pStyle w:val="TableofFigures"/>
              <w:rPr>
                <w:b/>
              </w:rPr>
            </w:pPr>
            <w:r>
              <w:rPr>
                <w:b/>
              </w:rPr>
              <w:t xml:space="preserve"> 117.7 </w:t>
            </w:r>
          </w:p>
        </w:tc>
      </w:tr>
    </w:tbl>
    <w:p w:rsidR="00000000" w:rsidRDefault="001F233B">
      <w:pPr>
        <w:pStyle w:val="Source"/>
      </w:pPr>
      <w:r>
        <w:t>Source: Department of Treasury and Finance.</w:t>
      </w:r>
    </w:p>
    <w:p w:rsidR="00000000" w:rsidRDefault="001F233B">
      <w:r>
        <w:t>These initiatives will complement existing innovative programs which aim to better tailor human services</w:t>
      </w:r>
      <w:r>
        <w:fldChar w:fldCharType="begin"/>
      </w:r>
      <w:r>
        <w:instrText>xe "Department of Human Services:Hospital services"</w:instrText>
      </w:r>
      <w:r>
        <w:fldChar w:fldCharType="end"/>
      </w:r>
      <w:r>
        <w:t xml:space="preserve"> to people’s needs. The Hospital in the Home</w:t>
      </w:r>
      <w:r>
        <w:fldChar w:fldCharType="begin"/>
      </w:r>
      <w:r>
        <w:instrText>xe "Department of Human Services:Hospital in the Home program"</w:instrText>
      </w:r>
      <w:r>
        <w:fldChar w:fldCharType="end"/>
      </w:r>
      <w:r>
        <w:t xml:space="preserve"> program, for example, will provide an increased level of service in 1998</w:t>
      </w:r>
      <w:r>
        <w:noBreakHyphen/>
        <w:t>99 with up to 67 000 bed days be</w:t>
      </w:r>
      <w:r>
        <w:t>ing provided for people whose clinical conditions can be treated in their own homes.</w:t>
      </w:r>
    </w:p>
    <w:p w:rsidR="00000000" w:rsidRDefault="001F233B">
      <w:r>
        <w:t>The Government is also providing funds to the Department to support investments in telemedicine and information technology by health</w:t>
      </w:r>
      <w:r>
        <w:fldChar w:fldCharType="begin"/>
      </w:r>
      <w:r>
        <w:instrText>xe "Health"</w:instrText>
      </w:r>
      <w:r>
        <w:fldChar w:fldCharType="end"/>
      </w:r>
      <w:r>
        <w:t xml:space="preserve"> services providers. The sale of Health Computing Services will allow an additional $17.5 million to be committed in 1998</w:t>
      </w:r>
      <w:r>
        <w:noBreakHyphen/>
        <w:t>99 for information technology projects in acute care, aged care and mental health output groups. These projects will help improve the quality and speed of healt</w:t>
      </w:r>
      <w:r>
        <w:t>h services delivery in metropolitan and rural areas. A further $8.8 million of the increased operating funding in 1998-99 relates to the implementation of the Suicide Preventative Task Force Recommendations. The balance is due to increased operating costs across all service areas.</w:t>
      </w:r>
    </w:p>
    <w:p w:rsidR="00000000" w:rsidRDefault="001F233B">
      <w:r>
        <w:t>To further support the service delivery</w:t>
      </w:r>
      <w:r>
        <w:fldChar w:fldCharType="begin"/>
      </w:r>
      <w:r>
        <w:instrText>xe "Service delivery"</w:instrText>
      </w:r>
      <w:r>
        <w:fldChar w:fldCharType="end"/>
      </w:r>
      <w:r>
        <w:t xml:space="preserve"> initiatives</w:t>
      </w:r>
      <w:r>
        <w:fldChar w:fldCharType="begin"/>
      </w:r>
      <w:r>
        <w:instrText>xe "Service delivery:Service delivery initiatives"</w:instrText>
      </w:r>
      <w:r>
        <w:fldChar w:fldCharType="end"/>
      </w:r>
      <w:r>
        <w:fldChar w:fldCharType="begin"/>
      </w:r>
      <w:r>
        <w:instrText>xe "Service delivery initiatives"</w:instrText>
      </w:r>
      <w:r>
        <w:fldChar w:fldCharType="end"/>
      </w:r>
      <w:r>
        <w:t xml:space="preserve"> and the provision of departmental outputs</w:t>
      </w:r>
      <w:r>
        <w:fldChar w:fldCharType="begin"/>
      </w:r>
      <w:r>
        <w:instrText>xe "Outputs"</w:instrText>
      </w:r>
      <w:r>
        <w:fldChar w:fldCharType="end"/>
      </w:r>
      <w:r>
        <w:t xml:space="preserve"> the Governme</w:t>
      </w:r>
      <w:r>
        <w:t>nt has committed $64 million in 1998</w:t>
      </w:r>
      <w:r>
        <w:noBreakHyphen/>
        <w:t>99 for the funding of capital projects with a total estimated cost of $169 million.</w:t>
      </w:r>
    </w:p>
    <w:p w:rsidR="00000000" w:rsidRDefault="001F233B">
      <w:r>
        <w:t>These will enable the upgrade of community health</w:t>
      </w:r>
      <w:r>
        <w:fldChar w:fldCharType="begin"/>
      </w:r>
      <w:r>
        <w:instrText>xe "Health"</w:instrText>
      </w:r>
      <w:r>
        <w:fldChar w:fldCharType="end"/>
      </w:r>
      <w:r>
        <w:t>, hospital and aged care services</w:t>
      </w:r>
      <w:r>
        <w:fldChar w:fldCharType="begin"/>
      </w:r>
      <w:r>
        <w:instrText>xe "Department of Human Services:Aged care services"</w:instrText>
      </w:r>
      <w:r>
        <w:fldChar w:fldCharType="end"/>
      </w:r>
      <w:r>
        <w:t xml:space="preserve"> in rural and metropolitan areas, including $6.5 million on Geelong hospital improvements and $6 million for Ballarat Health Services redevelopment. The quality of hospital services</w:t>
      </w:r>
      <w:r>
        <w:fldChar w:fldCharType="begin"/>
      </w:r>
      <w:r>
        <w:instrText>xe "Department of Human Services:Hospital services"</w:instrText>
      </w:r>
      <w:r>
        <w:fldChar w:fldCharType="end"/>
      </w:r>
      <w:r>
        <w:t xml:space="preserve"> state</w:t>
      </w:r>
      <w:r>
        <w:noBreakHyphen/>
        <w:t>w</w:t>
      </w:r>
      <w:r>
        <w:t>ide will be enhanced through the provision of $11 million for hospital equipment upgrades. Access to emergency services by rural Victorians will be improved through an increased state</w:t>
      </w:r>
      <w:r>
        <w:noBreakHyphen/>
        <w:t>wide air ambulance capacity.</w:t>
      </w:r>
    </w:p>
    <w:p w:rsidR="00000000" w:rsidRDefault="001F233B">
      <w:pPr>
        <w:pStyle w:val="Heading3"/>
      </w:pPr>
      <w:r>
        <w:t>Justice</w:t>
      </w:r>
    </w:p>
    <w:p w:rsidR="00000000" w:rsidRDefault="001F233B">
      <w:r>
        <w:t>The major initiatives announced for the Department of Justice cover both the Victoria Police</w:t>
      </w:r>
      <w:r>
        <w:fldChar w:fldCharType="begin"/>
      </w:r>
      <w:r>
        <w:instrText>xe "Department of Justice:Police"</w:instrText>
      </w:r>
      <w:r>
        <w:fldChar w:fldCharType="end"/>
      </w:r>
      <w:r>
        <w:t xml:space="preserve"> and other areas of the Department and are aimed at improving the efficiency of the Department’s service delivery</w:t>
      </w:r>
      <w:r>
        <w:fldChar w:fldCharType="begin"/>
      </w:r>
      <w:r>
        <w:instrText>xe "Service delivery"</w:instrText>
      </w:r>
      <w:r>
        <w:fldChar w:fldCharType="end"/>
      </w:r>
      <w:r>
        <w:t>. Total funding for new init</w:t>
      </w:r>
      <w:r>
        <w:t>iatives provided for 1998</w:t>
      </w:r>
      <w:r>
        <w:noBreakHyphen/>
        <w:t>99 for the Department of Justice is $30.5 million.</w:t>
      </w:r>
    </w:p>
    <w:p w:rsidR="00000000" w:rsidRDefault="001F233B">
      <w:r>
        <w:t>Strong support for law and order is also reflected in the provision of additional funding in 1998</w:t>
      </w:r>
      <w:r>
        <w:noBreakHyphen/>
        <w:t>99 for Victoria Police</w:t>
      </w:r>
      <w:r>
        <w:fldChar w:fldCharType="begin"/>
      </w:r>
      <w:r>
        <w:instrText>xe "Department of Justice:Police"</w:instrText>
      </w:r>
      <w:r>
        <w:fldChar w:fldCharType="end"/>
      </w:r>
      <w:r>
        <w:t>.</w:t>
      </w:r>
    </w:p>
    <w:p w:rsidR="00000000" w:rsidRDefault="001F233B">
      <w:r>
        <w:t>Victoria Police</w:t>
      </w:r>
      <w:r>
        <w:fldChar w:fldCharType="begin"/>
      </w:r>
      <w:r>
        <w:instrText>xe "Department of Justice:Police"</w:instrText>
      </w:r>
      <w:r>
        <w:fldChar w:fldCharType="end"/>
      </w:r>
      <w:r>
        <w:t xml:space="preserve"> will receive a major injection of funds for state</w:t>
      </w:r>
      <w:r>
        <w:noBreakHyphen/>
        <w:t>of</w:t>
      </w:r>
      <w:r>
        <w:noBreakHyphen/>
        <w:t>the</w:t>
      </w:r>
      <w:r>
        <w:noBreakHyphen/>
        <w:t>art computer technology, which will provide connections between all Victoria Police locations via a state-wide police computer network. It will support standardised deskt</w:t>
      </w:r>
      <w:r>
        <w:t>op personal computers fitted with a range of software applications critical to the operations of a 21st century police force.</w:t>
      </w:r>
    </w:p>
    <w:p w:rsidR="00000000" w:rsidRDefault="001F233B">
      <w:r>
        <w:t>The upgrade of the police computer system will provide many benefits over the coming years, including:</w:t>
      </w:r>
    </w:p>
    <w:p w:rsidR="00000000" w:rsidRDefault="001F233B" w:rsidP="001F233B">
      <w:pPr>
        <w:pStyle w:val="BulletText"/>
        <w:numPr>
          <w:ilvl w:val="0"/>
          <w:numId w:val="1"/>
        </w:numPr>
      </w:pPr>
      <w:r>
        <w:t>information access from and to all police facilities 24 hours a day, 365 days a year via standardised desktop PC systems linked to both local area networks and the state</w:t>
      </w:r>
      <w:r>
        <w:noBreakHyphen/>
        <w:t>wide area network with the ability to relay audio, visual and digital information;</w:t>
      </w:r>
    </w:p>
    <w:p w:rsidR="00000000" w:rsidRDefault="001F233B" w:rsidP="001F233B">
      <w:pPr>
        <w:pStyle w:val="BulletText"/>
        <w:numPr>
          <w:ilvl w:val="0"/>
          <w:numId w:val="1"/>
        </w:numPr>
      </w:pPr>
      <w:r>
        <w:t>faster police response times a</w:t>
      </w:r>
      <w:r>
        <w:t>nd improved operational responsiveness by seamless access to mainframe data bases and other agencies information including operational and offender data bases;</w:t>
      </w:r>
    </w:p>
    <w:p w:rsidR="00000000" w:rsidRDefault="001F233B" w:rsidP="001F233B">
      <w:pPr>
        <w:pStyle w:val="BulletText"/>
        <w:numPr>
          <w:ilvl w:val="0"/>
          <w:numId w:val="1"/>
        </w:numPr>
      </w:pPr>
      <w:r>
        <w:t>releasing police from the burden of paperwork to engage in more visible and community</w:t>
      </w:r>
      <w:r>
        <w:noBreakHyphen/>
        <w:t>based policing work; and</w:t>
      </w:r>
    </w:p>
    <w:p w:rsidR="00000000" w:rsidRDefault="001F233B" w:rsidP="001F233B">
      <w:pPr>
        <w:pStyle w:val="BulletText"/>
        <w:numPr>
          <w:ilvl w:val="0"/>
          <w:numId w:val="1"/>
        </w:numPr>
      </w:pPr>
      <w:r>
        <w:t>more efficient case management and dispute resolution by providing single point access to information and once</w:t>
      </w:r>
      <w:r>
        <w:noBreakHyphen/>
        <w:t>only data entry for all police and other staff.</w:t>
      </w:r>
    </w:p>
    <w:p w:rsidR="00000000" w:rsidRDefault="001F233B">
      <w:r>
        <w:t>Funding of $4 million in 1998</w:t>
      </w:r>
      <w:r>
        <w:noBreakHyphen/>
        <w:t>99 has also been provided to the Victoria Police</w:t>
      </w:r>
      <w:r>
        <w:fldChar w:fldCharType="begin"/>
      </w:r>
      <w:r>
        <w:instrText xml:space="preserve">xe </w:instrText>
      </w:r>
      <w:r>
        <w:instrText>"Department of Justice:Police"</w:instrText>
      </w:r>
      <w:r>
        <w:fldChar w:fldCharType="end"/>
      </w:r>
      <w:r>
        <w:t xml:space="preserve"> to support implementation of the new framework in the </w:t>
      </w:r>
      <w:r>
        <w:rPr>
          <w:i/>
        </w:rPr>
        <w:t>Firearms Act 1996</w:t>
      </w:r>
      <w:r>
        <w:rPr>
          <w:i/>
        </w:rPr>
        <w:fldChar w:fldCharType="begin"/>
      </w:r>
      <w:r>
        <w:rPr>
          <w:i/>
        </w:rPr>
        <w:instrText>xe "Department of Justice:Firearms Act 1996"</w:instrText>
      </w:r>
      <w:r>
        <w:rPr>
          <w:i/>
        </w:rPr>
        <w:fldChar w:fldCharType="end"/>
      </w:r>
      <w:r>
        <w:t>, which is designed to prevent the misuse of firearms in domestic violence, youth suicide and accidental death and injury.</w:t>
      </w:r>
    </w:p>
    <w:p w:rsidR="00000000" w:rsidRDefault="001F233B">
      <w:r>
        <w:t>Other Justice initiatives to be funded in 1998</w:t>
      </w:r>
      <w:r>
        <w:noBreakHyphen/>
        <w:t>99 include:</w:t>
      </w:r>
    </w:p>
    <w:p w:rsidR="00000000" w:rsidRDefault="001F233B" w:rsidP="001F233B">
      <w:pPr>
        <w:pStyle w:val="BulletText"/>
        <w:numPr>
          <w:ilvl w:val="0"/>
          <w:numId w:val="1"/>
        </w:numPr>
      </w:pPr>
      <w:r>
        <w:t>investment</w:t>
      </w:r>
      <w:r>
        <w:fldChar w:fldCharType="begin"/>
      </w:r>
      <w:r>
        <w:instrText>xe "Economy:Investment"</w:instrText>
      </w:r>
      <w:r>
        <w:fldChar w:fldCharType="end"/>
      </w:r>
      <w:r>
        <w:t xml:space="preserve"> of a further $0.5 million in Community Support Facilitators who assist with the recruitment of Country Fire Authority (CFA) volunteers, support a</w:t>
      </w:r>
      <w:r>
        <w:t>dministrators and otherwise assist local CFA brigades;</w:t>
      </w:r>
    </w:p>
    <w:p w:rsidR="00000000" w:rsidRDefault="001F233B" w:rsidP="001F233B">
      <w:pPr>
        <w:pStyle w:val="BulletText"/>
        <w:numPr>
          <w:ilvl w:val="0"/>
          <w:numId w:val="1"/>
        </w:numPr>
      </w:pPr>
      <w:r>
        <w:t>the Bureau of Emergency Services Telecommunications</w:t>
      </w:r>
      <w:r>
        <w:fldChar w:fldCharType="begin"/>
      </w:r>
      <w:r>
        <w:instrText>xe "Department of Justice:Bureau of Emergency Services Telecommunications"</w:instrText>
      </w:r>
      <w:r>
        <w:fldChar w:fldCharType="end"/>
      </w:r>
      <w:r>
        <w:t xml:space="preserve"> (BEST) undertaking phased initiatives to enhance the emergency response and management capabilities of Victorian emergency service organisations. This will include a feasibility study into extending computer</w:t>
      </w:r>
      <w:r>
        <w:noBreakHyphen/>
        <w:t xml:space="preserve">aided dispatch to country Victoria, further work on the introduction of mobile data functionality into emergency service </w:t>
      </w:r>
      <w:r>
        <w:t>organisation cars and appliances and an upgrade of computer</w:t>
      </w:r>
      <w:r>
        <w:noBreakHyphen/>
        <w:t>based systems;</w:t>
      </w:r>
    </w:p>
    <w:p w:rsidR="00000000" w:rsidRDefault="001F233B" w:rsidP="001F233B">
      <w:pPr>
        <w:pStyle w:val="BulletText"/>
        <w:numPr>
          <w:ilvl w:val="0"/>
          <w:numId w:val="1"/>
        </w:numPr>
      </w:pPr>
      <w:r>
        <w:t>funding of $0.4 million a year for five years to allow Victoria to participate in the National Motor Vehicle Theft Task Force which is aimed at reducing the level of motor vehicle theft by approximately 20 per cent over the first five years and 40 per cent over the next decade;</w:t>
      </w:r>
    </w:p>
    <w:p w:rsidR="00000000" w:rsidRDefault="001F233B" w:rsidP="001F233B">
      <w:pPr>
        <w:pStyle w:val="BulletText"/>
        <w:numPr>
          <w:ilvl w:val="0"/>
          <w:numId w:val="1"/>
        </w:numPr>
      </w:pPr>
      <w:r>
        <w:t>establishment and operating costs associated with the implementation of the Victorian Civil and Administration Tribunal and Business Licensing Authority. This</w:t>
      </w:r>
      <w:r>
        <w:t xml:space="preserve"> initiative rationalises the structure of tribunals and will achieve operational improvements; and </w:t>
      </w:r>
    </w:p>
    <w:p w:rsidR="00000000" w:rsidRDefault="001F233B" w:rsidP="001F233B">
      <w:pPr>
        <w:pStyle w:val="BulletText"/>
        <w:numPr>
          <w:ilvl w:val="0"/>
          <w:numId w:val="1"/>
        </w:numPr>
      </w:pPr>
      <w:r>
        <w:t>funding for the implementation of the transfer of responsibility for administering regulations for Second Hand Dealers and Pawnbrokers</w:t>
      </w:r>
      <w:r>
        <w:fldChar w:fldCharType="begin"/>
      </w:r>
      <w:r>
        <w:instrText>xe "Department of Justice:Second Hand Dealers and Pawnbrokers"</w:instrText>
      </w:r>
      <w:r>
        <w:fldChar w:fldCharType="end"/>
      </w:r>
      <w:r>
        <w:t xml:space="preserve"> from local government</w:t>
      </w:r>
      <w:r>
        <w:fldChar w:fldCharType="begin"/>
      </w:r>
      <w:r>
        <w:instrText>xe "Local Government"</w:instrText>
      </w:r>
      <w:r>
        <w:fldChar w:fldCharType="end"/>
      </w:r>
      <w:r>
        <w:t xml:space="preserve"> to the Department of Justice.</w:t>
      </w:r>
    </w:p>
    <w:p w:rsidR="00000000" w:rsidRDefault="001F233B">
      <w:r>
        <w:t>A number of capital projects valued at $18.7 million (total estimated cost $47.1 million) will also commence in 1998</w:t>
      </w:r>
      <w:r>
        <w:noBreakHyphen/>
        <w:t>99. The major initiat</w:t>
      </w:r>
      <w:r>
        <w:t>ives are discussed below:</w:t>
      </w:r>
    </w:p>
    <w:p w:rsidR="00000000" w:rsidRDefault="001F233B" w:rsidP="001F233B">
      <w:pPr>
        <w:pStyle w:val="BulletText"/>
        <w:numPr>
          <w:ilvl w:val="0"/>
          <w:numId w:val="1"/>
        </w:numPr>
      </w:pPr>
      <w:r>
        <w:t>a new 24</w:t>
      </w:r>
      <w:r>
        <w:noBreakHyphen/>
        <w:t>hour police station</w:t>
      </w:r>
      <w:r>
        <w:fldChar w:fldCharType="begin"/>
      </w:r>
      <w:r>
        <w:instrText>xe "Department of Justice:Police station"</w:instrText>
      </w:r>
      <w:r>
        <w:fldChar w:fldCharType="end"/>
      </w:r>
      <w:r>
        <w:t xml:space="preserve"> and court complex with a total investment</w:t>
      </w:r>
      <w:r>
        <w:fldChar w:fldCharType="begin"/>
      </w:r>
      <w:r>
        <w:instrText>xe "Economy:Investment"</w:instrText>
      </w:r>
      <w:r>
        <w:fldChar w:fldCharType="end"/>
      </w:r>
      <w:r>
        <w:t xml:space="preserve"> of $9.4 million will proceed in Wodonga to replace the current poor facilities;</w:t>
      </w:r>
    </w:p>
    <w:p w:rsidR="00000000" w:rsidRDefault="001F233B" w:rsidP="001F233B">
      <w:pPr>
        <w:pStyle w:val="BulletText"/>
        <w:numPr>
          <w:ilvl w:val="0"/>
          <w:numId w:val="1"/>
        </w:numPr>
      </w:pPr>
      <w:r>
        <w:t>the strategic program of police station</w:t>
      </w:r>
      <w:r>
        <w:fldChar w:fldCharType="begin"/>
      </w:r>
      <w:r>
        <w:instrText>xe "Department of Justice:Police station"</w:instrText>
      </w:r>
      <w:r>
        <w:fldChar w:fldCharType="end"/>
      </w:r>
      <w:r>
        <w:t xml:space="preserve"> rationalisation will continue with redevelopment of the existing stations in the Kew, Hawthorn and Camberwell areas (total investment</w:t>
      </w:r>
      <w:r>
        <w:fldChar w:fldCharType="begin"/>
      </w:r>
      <w:r>
        <w:instrText>xe "Economy:Investment"</w:instrText>
      </w:r>
      <w:r>
        <w:fldChar w:fldCharType="end"/>
      </w:r>
      <w:r>
        <w:t xml:space="preserve"> $7 million). New police s</w:t>
      </w:r>
      <w:r>
        <w:t>tations at Mordialloc (total investment $3 million) and Caulfield (total investment $3.6 million) have also been approved to proceed;</w:t>
      </w:r>
    </w:p>
    <w:p w:rsidR="00000000" w:rsidRDefault="001F233B" w:rsidP="001F233B">
      <w:pPr>
        <w:pStyle w:val="BulletText"/>
        <w:numPr>
          <w:ilvl w:val="0"/>
          <w:numId w:val="1"/>
        </w:numPr>
      </w:pPr>
      <w:r>
        <w:t>further police station</w:t>
      </w:r>
      <w:r>
        <w:fldChar w:fldCharType="begin"/>
      </w:r>
      <w:r>
        <w:instrText>xe "Department of Justice:Police station"</w:instrText>
      </w:r>
      <w:r>
        <w:fldChar w:fldCharType="end"/>
      </w:r>
      <w:r>
        <w:t xml:space="preserve"> upgrades in rural Victoria will occur at Avoca, Birregurra, Briagolong, Cavendish, Charlton, Dunolly, Glenrowan, Katamatite, Lismore, Loch, Lorne, Maffra, Malmsbury, Meredith, Port Campbell, Rupanyup, Terang, Werrimull, and Yarrum over the next two years at a total investment</w:t>
      </w:r>
      <w:r>
        <w:fldChar w:fldCharType="begin"/>
      </w:r>
      <w:r>
        <w:instrText>xe "Economy:Investment"</w:instrText>
      </w:r>
      <w:r>
        <w:fldChar w:fldCharType="end"/>
      </w:r>
      <w:r>
        <w:t xml:space="preserve"> of $5 mill</w:t>
      </w:r>
      <w:r>
        <w:t>ion;</w:t>
      </w:r>
    </w:p>
    <w:p w:rsidR="00000000" w:rsidRDefault="001F233B" w:rsidP="001F233B">
      <w:pPr>
        <w:pStyle w:val="BulletText"/>
        <w:numPr>
          <w:ilvl w:val="0"/>
          <w:numId w:val="1"/>
        </w:numPr>
      </w:pPr>
      <w:r>
        <w:t>funds have been provided to allow Victoria to participate in the National Automated Fingerprint Identification System. This major investment</w:t>
      </w:r>
      <w:r>
        <w:fldChar w:fldCharType="begin"/>
      </w:r>
      <w:r>
        <w:instrText>xe "Economy:Investment"</w:instrText>
      </w:r>
      <w:r>
        <w:fldChar w:fldCharType="end"/>
      </w:r>
      <w:r>
        <w:t xml:space="preserve"> of $7.7 million will enable a national, coordinated approach to the investigation and solving of crimes within optimum timeframes;</w:t>
      </w:r>
    </w:p>
    <w:p w:rsidR="00000000" w:rsidRDefault="001F233B" w:rsidP="001F233B">
      <w:pPr>
        <w:pStyle w:val="BulletText"/>
        <w:numPr>
          <w:ilvl w:val="0"/>
          <w:numId w:val="1"/>
        </w:numPr>
      </w:pPr>
      <w:r>
        <w:t>an upgrade of perimeter security at Ararat prison will proceed (total investment</w:t>
      </w:r>
      <w:r>
        <w:fldChar w:fldCharType="begin"/>
      </w:r>
      <w:r>
        <w:instrText>xe "Economy:Investment"</w:instrText>
      </w:r>
      <w:r>
        <w:fldChar w:fldCharType="end"/>
      </w:r>
      <w:r>
        <w:t xml:space="preserve"> $1.4 million) as well as an accommodation upgrade at Langi Kal Kal Prison (total investment $0.7 million</w:t>
      </w:r>
      <w:r>
        <w:t>); and</w:t>
      </w:r>
    </w:p>
    <w:p w:rsidR="00000000" w:rsidRDefault="001F233B" w:rsidP="001F233B">
      <w:pPr>
        <w:pStyle w:val="BulletText"/>
        <w:numPr>
          <w:ilvl w:val="0"/>
          <w:numId w:val="1"/>
        </w:numPr>
      </w:pPr>
      <w:r>
        <w:t>funds have also been provided for the upgrade of accommodation of the Institute of Forensic Medicine (total investment</w:t>
      </w:r>
      <w:r>
        <w:fldChar w:fldCharType="begin"/>
      </w:r>
      <w:r>
        <w:instrText>xe "Economy:Investment"</w:instrText>
      </w:r>
      <w:r>
        <w:fldChar w:fldCharType="end"/>
      </w:r>
      <w:r>
        <w:t xml:space="preserve"> $2 million).</w:t>
      </w:r>
    </w:p>
    <w:p w:rsidR="00000000" w:rsidRDefault="001F233B">
      <w:pPr>
        <w:pStyle w:val="Heading3"/>
      </w:pPr>
      <w:r>
        <w:t>Infrastructure</w:t>
      </w:r>
      <w:r>
        <w:fldChar w:fldCharType="begin"/>
      </w:r>
      <w:r>
        <w:instrText>xe "Economy:Infrastructure"</w:instrText>
      </w:r>
      <w:r>
        <w:fldChar w:fldCharType="end"/>
      </w:r>
    </w:p>
    <w:p w:rsidR="00000000" w:rsidRDefault="001F233B">
      <w:pPr>
        <w:rPr>
          <w:lang w:val="en-US"/>
        </w:rPr>
      </w:pPr>
      <w:r>
        <w:rPr>
          <w:lang w:val="en-US"/>
        </w:rPr>
        <w:t>The major initiatives for the Department of Infrastructure</w:t>
      </w:r>
      <w:r>
        <w:rPr>
          <w:lang w:val="en-US"/>
        </w:rPr>
        <w:fldChar w:fldCharType="begin"/>
      </w:r>
      <w:r>
        <w:rPr>
          <w:lang w:val="en-US"/>
        </w:rPr>
        <w:instrText>xe "Economy:Infrastructure"</w:instrText>
      </w:r>
      <w:r>
        <w:rPr>
          <w:lang w:val="en-US"/>
        </w:rPr>
        <w:fldChar w:fldCharType="end"/>
      </w:r>
      <w:r>
        <w:rPr>
          <w:lang w:val="en-US"/>
        </w:rPr>
        <w:t xml:space="preserve"> announced as part of this Budget are related to capital expenditure with a total value of $188.0 million. The Government has also announced some changes to output funding providing an additional $5.9 million in 1998</w:t>
      </w:r>
      <w:r>
        <w:rPr>
          <w:lang w:val="en-US"/>
        </w:rPr>
        <w:noBreakHyphen/>
      </w:r>
      <w:r>
        <w:rPr>
          <w:lang w:val="en-US"/>
        </w:rPr>
        <w:t>99.</w:t>
      </w:r>
    </w:p>
    <w:p w:rsidR="00000000" w:rsidRDefault="001F233B">
      <w:r>
        <w:t>The major capital projects to be commenced in 1998</w:t>
      </w:r>
      <w:r>
        <w:noBreakHyphen/>
        <w:t>99 to support more efficient and effective provision of services are:</w:t>
      </w:r>
    </w:p>
    <w:p w:rsidR="00000000" w:rsidRDefault="001F233B" w:rsidP="001F233B">
      <w:pPr>
        <w:pStyle w:val="BulletText"/>
        <w:numPr>
          <w:ilvl w:val="0"/>
          <w:numId w:val="1"/>
        </w:numPr>
      </w:pPr>
      <w:r>
        <w:t>the Sports and Entertainment Precinct Infrastructure</w:t>
      </w:r>
      <w:r>
        <w:fldChar w:fldCharType="begin"/>
      </w:r>
      <w:r>
        <w:instrText>xe "Economy:Infrastructure"</w:instrText>
      </w:r>
      <w:r>
        <w:fldChar w:fldCharType="end"/>
      </w:r>
      <w:r>
        <w:t xml:space="preserve"> Upgrade with an investment</w:t>
      </w:r>
      <w:r>
        <w:fldChar w:fldCharType="begin"/>
      </w:r>
      <w:r>
        <w:instrText>xe "Economy:Investment"</w:instrText>
      </w:r>
      <w:r>
        <w:fldChar w:fldCharType="end"/>
      </w:r>
      <w:r>
        <w:t xml:space="preserve"> of $37.5 million. This project will integrate the transport</w:t>
      </w:r>
      <w:r>
        <w:fldChar w:fldCharType="begin"/>
      </w:r>
      <w:r>
        <w:instrText>xe "Transport"</w:instrText>
      </w:r>
      <w:r>
        <w:fldChar w:fldCharType="end"/>
      </w:r>
      <w:r>
        <w:t xml:space="preserve"> infrastructure of the precinct to support the world</w:t>
      </w:r>
      <w:r>
        <w:noBreakHyphen/>
        <w:t>class facilities securing Melbourne’s premier role in sport and entertainment. It involves relocation of tramlines, improving</w:t>
      </w:r>
      <w:r>
        <w:t xml:space="preserve"> links to rail stations, upgrading pedestrian links, expanded and enhanced taxi and bus parking areas as well as upgraded amenity through landscaping and design. A new terminating facility for the Flinders Street tram will also be constructed to enhance this precinct upgrade (investment $1.6 million);</w:t>
      </w:r>
    </w:p>
    <w:p w:rsidR="00000000" w:rsidRDefault="001F233B" w:rsidP="001F233B">
      <w:pPr>
        <w:pStyle w:val="BulletText"/>
        <w:numPr>
          <w:ilvl w:val="0"/>
          <w:numId w:val="1"/>
        </w:numPr>
      </w:pPr>
      <w:r>
        <w:t>investments focusing on safety and system integrity of public transport</w:t>
      </w:r>
      <w:r>
        <w:fldChar w:fldCharType="begin"/>
      </w:r>
      <w:r>
        <w:instrText>xe "Transport"</w:instrText>
      </w:r>
      <w:r>
        <w:fldChar w:fldCharType="end"/>
      </w:r>
      <w:r>
        <w:t xml:space="preserve"> services</w:t>
      </w:r>
      <w:r>
        <w:fldChar w:fldCharType="begin"/>
      </w:r>
      <w:r>
        <w:instrText>xe "Department of Infrastructure:Public transport services"</w:instrText>
      </w:r>
      <w:r>
        <w:fldChar w:fldCharType="end"/>
      </w:r>
      <w:r>
        <w:t xml:space="preserve"> will be made in a Hitachi train brake safety upgrad</w:t>
      </w:r>
      <w:r>
        <w:t>e ($3.5 million), an upgrade of the Flinders Street Rail Viaduct ($15 million), upgrade of the Warrnambool to Geelong rail track ($10 million), refurbishment of the Melton viaduct constructed in 1886 ($2.5 million) and upgrade of the Caulfield electrical sub</w:t>
      </w:r>
      <w:r>
        <w:noBreakHyphen/>
        <w:t>station which is a critical link in the Dandenong and Frankston rail lines ($2.2 million);</w:t>
      </w:r>
    </w:p>
    <w:p w:rsidR="00000000" w:rsidRDefault="001F233B" w:rsidP="001F233B">
      <w:pPr>
        <w:pStyle w:val="BulletText"/>
        <w:numPr>
          <w:ilvl w:val="0"/>
          <w:numId w:val="1"/>
        </w:numPr>
      </w:pPr>
      <w:r>
        <w:t>enhancing the client focus, flexibility and efficiency of the current driver licensing system and district payments collection system, by developing an integrated</w:t>
      </w:r>
      <w:r>
        <w:t xml:space="preserve"> system, which will have significant benefits for both users and taxpayers (investment</w:t>
      </w:r>
      <w:r>
        <w:fldChar w:fldCharType="begin"/>
      </w:r>
      <w:r>
        <w:instrText>xe "Economy:Investment"</w:instrText>
      </w:r>
      <w:r>
        <w:fldChar w:fldCharType="end"/>
      </w:r>
      <w:r>
        <w:t xml:space="preserve"> $19.2 million);</w:t>
      </w:r>
    </w:p>
    <w:p w:rsidR="00000000" w:rsidRDefault="001F233B" w:rsidP="001F233B">
      <w:pPr>
        <w:pStyle w:val="BulletText"/>
        <w:numPr>
          <w:ilvl w:val="0"/>
          <w:numId w:val="1"/>
        </w:numPr>
      </w:pPr>
      <w:r>
        <w:t>the road network will be enhanced and current congestion levels addressed by decisions to proceed with the following projects:</w:t>
      </w:r>
    </w:p>
    <w:p w:rsidR="00000000" w:rsidRDefault="001F233B" w:rsidP="001F233B">
      <w:pPr>
        <w:numPr>
          <w:ilvl w:val="0"/>
          <w:numId w:val="9"/>
        </w:numPr>
        <w:tabs>
          <w:tab w:val="left" w:pos="720"/>
        </w:tabs>
        <w:ind w:left="720" w:hanging="360"/>
      </w:pPr>
      <w:r>
        <w:t>Westgate Freeway widening from three to four lanes from the Grieve Parade ramp to the West Gate Bridge will relieve the increased traffic congestion and safety risk and help reduce freight transport</w:t>
      </w:r>
      <w:r>
        <w:fldChar w:fldCharType="begin"/>
      </w:r>
      <w:r>
        <w:instrText>xe "Transport"</w:instrText>
      </w:r>
      <w:r>
        <w:fldChar w:fldCharType="end"/>
      </w:r>
      <w:r>
        <w:t xml:space="preserve"> costs for key export industries located in</w:t>
      </w:r>
      <w:r>
        <w:t xml:space="preserve"> this region (investment</w:t>
      </w:r>
      <w:r>
        <w:fldChar w:fldCharType="begin"/>
      </w:r>
      <w:r>
        <w:instrText>xe "Economy:Investment"</w:instrText>
      </w:r>
      <w:r>
        <w:fldChar w:fldCharType="end"/>
      </w:r>
      <w:r>
        <w:t xml:space="preserve"> $13 million);</w:t>
      </w:r>
    </w:p>
    <w:p w:rsidR="00000000" w:rsidRDefault="001F233B" w:rsidP="001F233B">
      <w:pPr>
        <w:numPr>
          <w:ilvl w:val="0"/>
          <w:numId w:val="9"/>
        </w:numPr>
        <w:tabs>
          <w:tab w:val="left" w:pos="720"/>
        </w:tabs>
        <w:ind w:left="720" w:hanging="360"/>
      </w:pPr>
      <w:r>
        <w:t>Western Port Highway upgrade to a four lane divided arterial road from the South Gippsland Freeway to Thompsons Road including a grade separation of the Cranbourne railway line. This will reduce the significant traffic congestion delays and accidents currently being experienced (investment</w:t>
      </w:r>
      <w:r>
        <w:fldChar w:fldCharType="begin"/>
      </w:r>
      <w:r>
        <w:instrText>xe "Economy:Investment"</w:instrText>
      </w:r>
      <w:r>
        <w:fldChar w:fldCharType="end"/>
      </w:r>
      <w:r>
        <w:t xml:space="preserve"> $23 million);</w:t>
      </w:r>
    </w:p>
    <w:p w:rsidR="00000000" w:rsidRDefault="001F233B" w:rsidP="001F233B">
      <w:pPr>
        <w:numPr>
          <w:ilvl w:val="0"/>
          <w:numId w:val="9"/>
        </w:numPr>
        <w:tabs>
          <w:tab w:val="left" w:pos="720"/>
        </w:tabs>
        <w:ind w:left="720" w:hanging="360"/>
      </w:pPr>
      <w:r>
        <w:t>Springvale Road Bypass where a six lane divided arterial road will be constructed on Westall Road together with an ove</w:t>
      </w:r>
      <w:r>
        <w:t>rpass of the railway line. This will complete the arterial road bypass of Springvale relieving high levels of congestion and poor access for commercial and residential properties abutting Westall Road from Heatherton Road to Centre Road (investment</w:t>
      </w:r>
      <w:r>
        <w:fldChar w:fldCharType="begin"/>
      </w:r>
      <w:r>
        <w:instrText>xe "Economy:Investment"</w:instrText>
      </w:r>
      <w:r>
        <w:fldChar w:fldCharType="end"/>
      </w:r>
      <w:r>
        <w:t xml:space="preserve"> $37 million); </w:t>
      </w:r>
    </w:p>
    <w:p w:rsidR="00000000" w:rsidRDefault="001F233B" w:rsidP="001F233B">
      <w:pPr>
        <w:numPr>
          <w:ilvl w:val="0"/>
          <w:numId w:val="9"/>
        </w:numPr>
        <w:tabs>
          <w:tab w:val="left" w:pos="720"/>
        </w:tabs>
        <w:ind w:left="720" w:hanging="360"/>
      </w:pPr>
      <w:r>
        <w:t>Urban Traffic Improvement Program of high priority projects in metropolitan and regional areas to reduce congestion, improve freight efficiency, improve access to industry and restore residential and environmental amenity (</w:t>
      </w:r>
      <w:r>
        <w:t>investment</w:t>
      </w:r>
      <w:r>
        <w:fldChar w:fldCharType="begin"/>
      </w:r>
      <w:r>
        <w:instrText>xe "Economy:Investment"</w:instrText>
      </w:r>
      <w:r>
        <w:fldChar w:fldCharType="end"/>
      </w:r>
      <w:r>
        <w:t xml:space="preserve"> $20 million); and</w:t>
      </w:r>
    </w:p>
    <w:p w:rsidR="00000000" w:rsidRDefault="001F233B" w:rsidP="001F233B">
      <w:pPr>
        <w:numPr>
          <w:ilvl w:val="0"/>
          <w:numId w:val="9"/>
        </w:numPr>
        <w:tabs>
          <w:tab w:val="left" w:pos="720"/>
        </w:tabs>
        <w:ind w:left="720" w:hanging="360"/>
      </w:pPr>
      <w:r>
        <w:t>Road Rehabilitation and Reconstruction Program will be enhanced with major projects to rehabilitate road surfaces in both urban and rural areas (annual investment</w:t>
      </w:r>
      <w:r>
        <w:fldChar w:fldCharType="begin"/>
      </w:r>
      <w:r>
        <w:instrText>xe "Economy:Investment"</w:instrText>
      </w:r>
      <w:r>
        <w:fldChar w:fldCharType="end"/>
      </w:r>
      <w:r>
        <w:t xml:space="preserve"> of $17 million).</w:t>
      </w:r>
    </w:p>
    <w:p w:rsidR="00000000" w:rsidRDefault="001F233B">
      <w:pPr>
        <w:keepNext/>
        <w:rPr>
          <w:lang w:val="en-US"/>
        </w:rPr>
      </w:pPr>
      <w:r>
        <w:rPr>
          <w:lang w:val="en-US"/>
        </w:rPr>
        <w:t>Key policy initiatives for 1998</w:t>
      </w:r>
      <w:r>
        <w:rPr>
          <w:lang w:val="en-US"/>
        </w:rPr>
        <w:noBreakHyphen/>
        <w:t>99 include:</w:t>
      </w:r>
    </w:p>
    <w:p w:rsidR="00000000" w:rsidRDefault="001F233B" w:rsidP="001F233B">
      <w:pPr>
        <w:pStyle w:val="BulletText"/>
        <w:keepNext/>
        <w:numPr>
          <w:ilvl w:val="0"/>
          <w:numId w:val="1"/>
        </w:numPr>
        <w:rPr>
          <w:lang w:val="en-US"/>
        </w:rPr>
      </w:pPr>
      <w:r>
        <w:rPr>
          <w:lang w:val="en-US"/>
        </w:rPr>
        <w:t>the development of the Government’s long</w:t>
      </w:r>
      <w:r>
        <w:rPr>
          <w:lang w:val="en-US"/>
        </w:rPr>
        <w:noBreakHyphen/>
        <w:t>term Rural Policy</w:t>
      </w:r>
      <w:r>
        <w:rPr>
          <w:lang w:val="en-US"/>
        </w:rPr>
        <w:fldChar w:fldCharType="begin"/>
      </w:r>
      <w:r>
        <w:rPr>
          <w:lang w:val="en-US"/>
        </w:rPr>
        <w:instrText>xe "Department of Infrastructure:Rural Policy"</w:instrText>
      </w:r>
      <w:r>
        <w:rPr>
          <w:lang w:val="en-US"/>
        </w:rPr>
        <w:fldChar w:fldCharType="end"/>
      </w:r>
      <w:r>
        <w:rPr>
          <w:lang w:val="en-US"/>
        </w:rPr>
        <w:t>, coordinated by the Department of Premier and Cabinet. The Department of Infrastructure</w:t>
      </w:r>
      <w:r>
        <w:rPr>
          <w:lang w:val="en-US"/>
        </w:rPr>
        <w:fldChar w:fldCharType="begin"/>
      </w:r>
      <w:r>
        <w:rPr>
          <w:lang w:val="en-US"/>
        </w:rPr>
        <w:instrText>xe "Economy:In</w:instrText>
      </w:r>
      <w:r>
        <w:rPr>
          <w:lang w:val="en-US"/>
        </w:rPr>
        <w:instrText>frastructure"</w:instrText>
      </w:r>
      <w:r>
        <w:rPr>
          <w:lang w:val="en-US"/>
        </w:rPr>
        <w:fldChar w:fldCharType="end"/>
      </w:r>
      <w:r>
        <w:rPr>
          <w:lang w:val="en-US"/>
        </w:rPr>
        <w:t xml:space="preserve"> is managing a consultation process with other agencies across government and with community leaders;</w:t>
      </w:r>
    </w:p>
    <w:p w:rsidR="00000000" w:rsidRDefault="001F233B" w:rsidP="001F233B">
      <w:pPr>
        <w:pStyle w:val="BulletText"/>
        <w:numPr>
          <w:ilvl w:val="0"/>
          <w:numId w:val="1"/>
        </w:numPr>
        <w:rPr>
          <w:lang w:val="en-US"/>
        </w:rPr>
      </w:pPr>
      <w:r>
        <w:rPr>
          <w:lang w:val="en-US"/>
        </w:rPr>
        <w:t>the introduction of a comprehensive and effective local government</w:t>
      </w:r>
      <w:r>
        <w:rPr>
          <w:lang w:val="en-US"/>
        </w:rPr>
        <w:fldChar w:fldCharType="begin"/>
      </w:r>
      <w:r>
        <w:rPr>
          <w:lang w:val="en-US"/>
        </w:rPr>
        <w:instrText>xe "Local Government"</w:instrText>
      </w:r>
      <w:r>
        <w:rPr>
          <w:lang w:val="en-US"/>
        </w:rPr>
        <w:fldChar w:fldCharType="end"/>
      </w:r>
      <w:r>
        <w:rPr>
          <w:lang w:val="en-US"/>
        </w:rPr>
        <w:t xml:space="preserve"> performance management regime integrated with planning reforms to ensure improved overall outcomes, with the preparation of municipal strategic statements being a key element; and</w:t>
      </w:r>
    </w:p>
    <w:p w:rsidR="00000000" w:rsidRDefault="001F233B" w:rsidP="001F233B">
      <w:pPr>
        <w:pStyle w:val="BulletText"/>
        <w:numPr>
          <w:ilvl w:val="0"/>
          <w:numId w:val="1"/>
        </w:numPr>
      </w:pPr>
      <w:r>
        <w:t>completion of the co</w:t>
      </w:r>
      <w:r>
        <w:noBreakHyphen/>
        <w:t>location of local government</w:t>
      </w:r>
      <w:r>
        <w:fldChar w:fldCharType="begin"/>
      </w:r>
      <w:r>
        <w:instrText>xe "Local Government"</w:instrText>
      </w:r>
      <w:r>
        <w:fldChar w:fldCharType="end"/>
      </w:r>
      <w:r>
        <w:t xml:space="preserve">, planning and road expertise in regional areas which </w:t>
      </w:r>
      <w:r>
        <w:t>will enhance service provision to the Victorian community.</w:t>
      </w:r>
    </w:p>
    <w:p w:rsidR="00000000" w:rsidRDefault="001F233B">
      <w:r>
        <w:t>The Government has frozen public transport</w:t>
      </w:r>
      <w:r>
        <w:fldChar w:fldCharType="begin"/>
      </w:r>
      <w:r>
        <w:instrText>xe "Transport"</w:instrText>
      </w:r>
      <w:r>
        <w:fldChar w:fldCharType="end"/>
      </w:r>
      <w:r>
        <w:t xml:space="preserve"> fares twice in the past three years. The current freeze is due to expire on 31 December 1998. From 1 January 1999, public transport fares will increase by an average of 3 per cent.</w:t>
      </w:r>
    </w:p>
    <w:p w:rsidR="00000000" w:rsidRDefault="001F233B">
      <w:r>
        <w:t>During the period 1 January 1996 to 31 December 1999 public transport</w:t>
      </w:r>
      <w:r>
        <w:fldChar w:fldCharType="begin"/>
      </w:r>
      <w:r>
        <w:instrText>xe "Transport"</w:instrText>
      </w:r>
      <w:r>
        <w:fldChar w:fldCharType="end"/>
      </w:r>
      <w:r>
        <w:t xml:space="preserve"> fares will have increased by 6.4 per cent, while over the same period it is expected that the CPI will increase by 7.1 per cent</w:t>
      </w:r>
      <w:r>
        <w:t>. Accordingly, public transport passengers will have experienced an increase in fares over this four</w:t>
      </w:r>
      <w:r>
        <w:noBreakHyphen/>
        <w:t>year period 0.7 per cent below the rate of inflation</w:t>
      </w:r>
      <w:r>
        <w:fldChar w:fldCharType="begin"/>
      </w:r>
      <w:r>
        <w:instrText>xe "Economy:Inflation"</w:instrText>
      </w:r>
      <w:r>
        <w:fldChar w:fldCharType="end"/>
      </w:r>
      <w:r>
        <w:t>.</w:t>
      </w:r>
    </w:p>
    <w:p w:rsidR="00000000" w:rsidRDefault="001F233B">
      <w:r>
        <w:t>The Government has committed that as public transport</w:t>
      </w:r>
      <w:r>
        <w:fldChar w:fldCharType="begin"/>
      </w:r>
      <w:r>
        <w:instrText>xe "Transport"</w:instrText>
      </w:r>
      <w:r>
        <w:fldChar w:fldCharType="end"/>
      </w:r>
      <w:r>
        <w:t xml:space="preserve"> services</w:t>
      </w:r>
      <w:r>
        <w:fldChar w:fldCharType="begin"/>
      </w:r>
      <w:r>
        <w:instrText>xe "Department of Infrastructure:Public transport services"</w:instrText>
      </w:r>
      <w:r>
        <w:fldChar w:fldCharType="end"/>
      </w:r>
      <w:r>
        <w:t xml:space="preserve"> are privatised fares will not rise beyond the rate of inflation</w:t>
      </w:r>
      <w:r>
        <w:fldChar w:fldCharType="begin"/>
      </w:r>
      <w:r>
        <w:instrText>xe "Economy:Inflation"</w:instrText>
      </w:r>
      <w:r>
        <w:fldChar w:fldCharType="end"/>
      </w:r>
      <w:r>
        <w:t>.</w:t>
      </w:r>
    </w:p>
    <w:p w:rsidR="00000000" w:rsidRDefault="001F233B">
      <w:pPr>
        <w:pStyle w:val="Heading3"/>
      </w:pPr>
      <w:r>
        <w:t>Natural Resources and Environment</w:t>
      </w:r>
      <w:r>
        <w:fldChar w:fldCharType="begin"/>
      </w:r>
      <w:r>
        <w:instrText>xe "Department of Natural Resources and Environment"</w:instrText>
      </w:r>
      <w:r>
        <w:fldChar w:fldCharType="end"/>
      </w:r>
    </w:p>
    <w:p w:rsidR="00000000" w:rsidRDefault="001F233B">
      <w:r>
        <w:t>The major new pr</w:t>
      </w:r>
      <w:r>
        <w:t>ojects for the Department in 1988</w:t>
      </w:r>
      <w:r>
        <w:noBreakHyphen/>
        <w:t xml:space="preserve">99 will be the implementation of the Government’s Port Phillip Bay Initiative. This will include the development of a new research facility for the Marine and Freshwater Resources Institute, the consolidation of two freshwater research facilities at Snob Creek and the </w:t>
      </w:r>
      <w:r>
        <w:fldChar w:fldCharType="begin"/>
      </w:r>
      <w:r>
        <w:instrText>xe "Economy:Infrastructure"</w:instrText>
      </w:r>
      <w:r>
        <w:fldChar w:fldCharType="end"/>
      </w:r>
      <w:r>
        <w:t xml:space="preserve"> improvement of infrastructure around Port Phillip Bay to provide world</w:t>
      </w:r>
      <w:r>
        <w:noBreakHyphen/>
        <w:t>class facilities for the 1999 World Sailing Championship as well as enhanced recreational facilities for com</w:t>
      </w:r>
      <w:r>
        <w:t>munity use (total investment</w:t>
      </w:r>
      <w:r>
        <w:fldChar w:fldCharType="begin"/>
      </w:r>
      <w:r>
        <w:instrText>xe "Economy:Investment"</w:instrText>
      </w:r>
      <w:r>
        <w:fldChar w:fldCharType="end"/>
      </w:r>
      <w:r>
        <w:t xml:space="preserve"> $19.5 million).</w:t>
      </w:r>
    </w:p>
    <w:p w:rsidR="00000000" w:rsidRDefault="001F233B">
      <w:r>
        <w:t>Victoria’s primary industry production will be further stimulated through initiatives to facilitate development of the Victorian aquaculture industry</w:t>
      </w:r>
      <w:r>
        <w:fldChar w:fldCharType="begin"/>
      </w:r>
      <w:r>
        <w:instrText>xe "Department of Natural Resources and Environment:Aquaculture industry"</w:instrText>
      </w:r>
      <w:r>
        <w:fldChar w:fldCharType="end"/>
      </w:r>
      <w:r>
        <w:t xml:space="preserve"> ($1.5 million in 1998</w:t>
      </w:r>
      <w:r>
        <w:noBreakHyphen/>
        <w:t>99); to improve returns to wool growers through electronic marketing arrangements ($1.1 million in 1998</w:t>
      </w:r>
      <w:r>
        <w:noBreakHyphen/>
        <w:t>99), to promote increased participation of rural women in business and decision making ($0.</w:t>
      </w:r>
      <w:r>
        <w:t>5 million in 1998</w:t>
      </w:r>
      <w:r>
        <w:noBreakHyphen/>
        <w:t>99) and an initiative to improve irrigation efficiency and promote opportunities to develop new high value irrigation projects throughout Victoria ($1.0 million in 1998</w:t>
      </w:r>
      <w:r>
        <w:noBreakHyphen/>
        <w:t>99).</w:t>
      </w:r>
    </w:p>
    <w:p w:rsidR="00000000" w:rsidRDefault="001F233B">
      <w:r>
        <w:t>To provide a more effective radio communications system for emergency services, particularly fire suppression services, funding of $1.0 million in 1998</w:t>
      </w:r>
      <w:r>
        <w:noBreakHyphen/>
        <w:t>99 (and for the next four years) is to be provided for a VHF Incident Channel Repeater Network.</w:t>
      </w:r>
    </w:p>
    <w:p w:rsidR="00000000" w:rsidRDefault="001F233B">
      <w:r>
        <w:t>Other projects to be commenced in 1998</w:t>
      </w:r>
      <w:r>
        <w:noBreakHyphen/>
        <w:t>99 include:</w:t>
      </w:r>
    </w:p>
    <w:p w:rsidR="00000000" w:rsidRDefault="001F233B" w:rsidP="001F233B">
      <w:pPr>
        <w:pStyle w:val="BulletText"/>
        <w:numPr>
          <w:ilvl w:val="0"/>
          <w:numId w:val="1"/>
        </w:numPr>
      </w:pPr>
      <w:r>
        <w:t>the development of th</w:t>
      </w:r>
      <w:r>
        <w:t>e groundwater resources of Victoria for sustainable, higher value uses (total investment</w:t>
      </w:r>
      <w:r>
        <w:fldChar w:fldCharType="begin"/>
      </w:r>
      <w:r>
        <w:instrText>xe "Economy:Investment"</w:instrText>
      </w:r>
      <w:r>
        <w:fldChar w:fldCharType="end"/>
      </w:r>
      <w:r>
        <w:t xml:space="preserve"> $2.0 million);</w:t>
      </w:r>
    </w:p>
    <w:p w:rsidR="00000000" w:rsidRDefault="001F233B" w:rsidP="001F233B">
      <w:pPr>
        <w:pStyle w:val="BulletText"/>
        <w:numPr>
          <w:ilvl w:val="0"/>
          <w:numId w:val="1"/>
        </w:numPr>
      </w:pPr>
      <w:r>
        <w:t>the further development of the Victorian Initiative for Minerals and Petroleum (VIMP) 2001 which will stimulate investment</w:t>
      </w:r>
      <w:r>
        <w:fldChar w:fldCharType="begin"/>
      </w:r>
      <w:r>
        <w:instrText>xe "Economy:Investment"</w:instrText>
      </w:r>
      <w:r>
        <w:fldChar w:fldCharType="end"/>
      </w:r>
      <w:r>
        <w:t xml:space="preserve"> in exploration by providing geological data, marketing and project facilitation, particularly for natural gas</w:t>
      </w:r>
      <w:r>
        <w:fldChar w:fldCharType="begin"/>
      </w:r>
      <w:r>
        <w:instrText>xe "Gas"</w:instrText>
      </w:r>
      <w:r>
        <w:fldChar w:fldCharType="end"/>
      </w:r>
      <w:r>
        <w:t xml:space="preserve"> (total investment $7.0 million);</w:t>
      </w:r>
    </w:p>
    <w:p w:rsidR="00000000" w:rsidRDefault="001F233B" w:rsidP="001F233B">
      <w:pPr>
        <w:pStyle w:val="BulletText"/>
        <w:numPr>
          <w:ilvl w:val="0"/>
          <w:numId w:val="1"/>
        </w:numPr>
      </w:pPr>
      <w:r>
        <w:t>the upgrading of ageing infrastructure</w:t>
      </w:r>
      <w:r>
        <w:fldChar w:fldCharType="begin"/>
      </w:r>
      <w:r>
        <w:instrText>xe "Economy:Infrastructure"</w:instrText>
      </w:r>
      <w:r>
        <w:fldChar w:fldCharType="end"/>
      </w:r>
      <w:r>
        <w:t xml:space="preserve"> at Wilson’s Pr</w:t>
      </w:r>
      <w:r>
        <w:t>omontory, to meet environmental standards and to improve visitor facilities (total investment</w:t>
      </w:r>
      <w:r>
        <w:fldChar w:fldCharType="begin"/>
      </w:r>
      <w:r>
        <w:instrText>xe "Economy:Investment"</w:instrText>
      </w:r>
      <w:r>
        <w:fldChar w:fldCharType="end"/>
      </w:r>
      <w:r>
        <w:t xml:space="preserve"> $3.5 million); and</w:t>
      </w:r>
    </w:p>
    <w:p w:rsidR="00000000" w:rsidRDefault="001F233B" w:rsidP="001F233B">
      <w:pPr>
        <w:pStyle w:val="BulletText"/>
        <w:numPr>
          <w:ilvl w:val="0"/>
          <w:numId w:val="1"/>
        </w:numPr>
      </w:pPr>
      <w:r>
        <w:t>significant enhancements to Victoria’s land information services including the commencement of the automation of land titles data, the development of the electronic service delivery</w:t>
      </w:r>
      <w:r>
        <w:fldChar w:fldCharType="begin"/>
      </w:r>
      <w:r>
        <w:instrText>xe "Service delivery"</w:instrText>
      </w:r>
      <w:r>
        <w:fldChar w:fldCharType="end"/>
      </w:r>
      <w:r>
        <w:t xml:space="preserve"> based Land Channel (total investment</w:t>
      </w:r>
      <w:r>
        <w:fldChar w:fldCharType="begin"/>
      </w:r>
      <w:r>
        <w:instrText>xe "Economy:Investment"</w:instrText>
      </w:r>
      <w:r>
        <w:fldChar w:fldCharType="end"/>
      </w:r>
      <w:r>
        <w:t xml:space="preserve"> $6.5 million) which will provide a wide range of land information data and the extension of the State Digit</w:t>
      </w:r>
      <w:r>
        <w:t>al Road Network which will improve state</w:t>
      </w:r>
      <w:r>
        <w:noBreakHyphen/>
        <w:t>wide computer aided dispatch systems for emergency services (total investment of $2.9 million).</w:t>
      </w:r>
    </w:p>
    <w:p w:rsidR="00000000" w:rsidRDefault="001F233B">
      <w:pPr>
        <w:pStyle w:val="Heading3"/>
      </w:pPr>
      <w:r>
        <w:t>Premier and Cabinet</w:t>
      </w:r>
    </w:p>
    <w:p w:rsidR="00000000" w:rsidRDefault="001F233B">
      <w:r>
        <w:t>The Department of Premier and Cabinet will again focus on coordinating the implementation of government policy and managing the Government’s commitment to providing world</w:t>
      </w:r>
      <w:r>
        <w:noBreakHyphen/>
        <w:t>class arts programming, events and facilities.</w:t>
      </w:r>
    </w:p>
    <w:p w:rsidR="00000000" w:rsidRDefault="001F233B">
      <w:r>
        <w:t>The Department will coordinate the celebrations of the millennium and the centenary of federation for Government via the Millennium and C</w:t>
      </w:r>
      <w:r>
        <w:t>entenary of Federation Committee. The Committee, launched in December 1997 by the Premier and headed by Sir Gustav Nossal, will coordinate planning for the celebrations in Melbourne and regional and rural Victoria in 1998</w:t>
      </w:r>
      <w:r>
        <w:noBreakHyphen/>
        <w:t>99.</w:t>
      </w:r>
    </w:p>
    <w:p w:rsidR="00000000" w:rsidRDefault="001F233B">
      <w:r>
        <w:t>Delivery of cultural services will be enhanced with $2.8 million being provided to the State Library of Victoria to expand acquisition and exhibition programs and improve access to collections in targeted areas. Ongoing operating funding ($1.4 million in 1998</w:t>
      </w:r>
      <w:r>
        <w:noBreakHyphen/>
        <w:t xml:space="preserve">99) has been committed to </w:t>
      </w:r>
      <w:r>
        <w:t>the Immigration Museum and Hellenic Archaeological Museum as well as funding ($0.8 million in 1998</w:t>
      </w:r>
      <w:r>
        <w:noBreakHyphen/>
        <w:t>99) to establish a leading contemporary dance company in Melbourne.</w:t>
      </w:r>
    </w:p>
    <w:p w:rsidR="00000000" w:rsidRDefault="001F233B">
      <w:pPr>
        <w:rPr>
          <w:color w:val="000000"/>
        </w:rPr>
      </w:pPr>
      <w:r>
        <w:rPr>
          <w:color w:val="000000"/>
        </w:rPr>
        <w:t>The program under the Government’s Agenda 21</w:t>
      </w:r>
      <w:r>
        <w:rPr>
          <w:color w:val="000000"/>
        </w:rPr>
        <w:fldChar w:fldCharType="begin"/>
      </w:r>
      <w:r>
        <w:rPr>
          <w:color w:val="000000"/>
        </w:rPr>
        <w:instrText>xe "Agenda 21"</w:instrText>
      </w:r>
      <w:r>
        <w:rPr>
          <w:color w:val="000000"/>
        </w:rPr>
        <w:fldChar w:fldCharType="end"/>
      </w:r>
      <w:r>
        <w:rPr>
          <w:color w:val="000000"/>
        </w:rPr>
        <w:t xml:space="preserve"> strategy to redevelop key cultural facilities continues with additional capital funding</w:t>
      </w:r>
      <w:r>
        <w:rPr>
          <w:color w:val="000000"/>
        </w:rPr>
        <w:fldChar w:fldCharType="begin"/>
      </w:r>
      <w:r>
        <w:rPr>
          <w:color w:val="000000"/>
        </w:rPr>
        <w:instrText>xe "Funding:Capital"</w:instrText>
      </w:r>
      <w:r>
        <w:rPr>
          <w:color w:val="000000"/>
        </w:rPr>
        <w:fldChar w:fldCharType="end"/>
      </w:r>
      <w:r>
        <w:rPr>
          <w:color w:val="000000"/>
        </w:rPr>
        <w:t xml:space="preserve"> being provided for:</w:t>
      </w:r>
    </w:p>
    <w:p w:rsidR="00000000" w:rsidRDefault="001F233B" w:rsidP="001F233B">
      <w:pPr>
        <w:pStyle w:val="BulletText"/>
        <w:numPr>
          <w:ilvl w:val="0"/>
          <w:numId w:val="1"/>
        </w:numPr>
      </w:pPr>
      <w:r>
        <w:t>upgrade and refurbishment of cultural icons including the Sydney Myer Music Bowl ($14.5 million) and the Royal Exhibition Building ($4.5 million);</w:t>
      </w:r>
    </w:p>
    <w:p w:rsidR="00000000" w:rsidRDefault="001F233B" w:rsidP="001F233B">
      <w:pPr>
        <w:pStyle w:val="BulletText"/>
        <w:numPr>
          <w:ilvl w:val="0"/>
          <w:numId w:val="1"/>
        </w:numPr>
      </w:pPr>
      <w:r>
        <w:t>a $17 m</w:t>
      </w:r>
      <w:r>
        <w:t>illion program over four years to upgrade performing arts centres in regional Victoria (including Colac, Traralgon and Albury/Wodonga); and</w:t>
      </w:r>
    </w:p>
    <w:p w:rsidR="00000000" w:rsidRDefault="001F233B" w:rsidP="001F233B">
      <w:pPr>
        <w:pStyle w:val="BulletText"/>
        <w:numPr>
          <w:ilvl w:val="0"/>
          <w:numId w:val="1"/>
        </w:numPr>
      </w:pPr>
      <w:r>
        <w:t>construction of a temporary exhibition facility for the National Gallery of Victoria</w:t>
      </w:r>
      <w:r>
        <w:fldChar w:fldCharType="begin"/>
      </w:r>
      <w:r>
        <w:instrText>xe "Department of Premier and Cabinet:National Gallery of Victoria"</w:instrText>
      </w:r>
      <w:r>
        <w:fldChar w:fldCharType="end"/>
      </w:r>
      <w:r>
        <w:t xml:space="preserve"> ($8.5 million), at the State Library of Victoria site to ensure continued access to the Gallery’s collections during the redevelopment of the Gallery.</w:t>
      </w:r>
    </w:p>
    <w:p w:rsidR="00000000" w:rsidRDefault="001F233B">
      <w:pPr>
        <w:pStyle w:val="Heading3"/>
      </w:pPr>
      <w:r>
        <w:t>State Development</w:t>
      </w:r>
    </w:p>
    <w:p w:rsidR="00000000" w:rsidRDefault="001F233B">
      <w:r>
        <w:t>The Department of State Development will commit a</w:t>
      </w:r>
      <w:r>
        <w:t xml:space="preserve"> total of $15.2 million in 1998</w:t>
      </w:r>
      <w:r>
        <w:noBreakHyphen/>
        <w:t>99 for new initiatives and $5.7 million in capital primarily for new and upgraded sporting facilities.</w:t>
      </w:r>
    </w:p>
    <w:p w:rsidR="00000000" w:rsidRDefault="001F233B">
      <w:pPr>
        <w:pStyle w:val="Heading4"/>
      </w:pPr>
      <w:r>
        <w:t>Business development</w:t>
      </w:r>
      <w:r>
        <w:fldChar w:fldCharType="begin"/>
      </w:r>
      <w:r>
        <w:instrText>xe "Department of State Development:Business development"</w:instrText>
      </w:r>
      <w:r>
        <w:fldChar w:fldCharType="end"/>
      </w:r>
    </w:p>
    <w:p w:rsidR="00000000" w:rsidRDefault="001F233B">
      <w:r>
        <w:t>Developments in Asia</w:t>
      </w:r>
      <w:r>
        <w:fldChar w:fldCharType="begin"/>
      </w:r>
      <w:r>
        <w:instrText>xe "Asia"</w:instrText>
      </w:r>
      <w:r>
        <w:fldChar w:fldCharType="end"/>
      </w:r>
      <w:r>
        <w:t xml:space="preserve"> present the Victorian Government with a twofold leadership opportunity: to work with existing exporters to maximise opportunities for diversification, and to work with new and potential exporters to take advantage of current opportunities and prepare to compete in </w:t>
      </w:r>
      <w:r>
        <w:t xml:space="preserve">Asian markets once the recovery begins. </w:t>
      </w:r>
    </w:p>
    <w:p w:rsidR="00000000" w:rsidRDefault="001F233B">
      <w:r>
        <w:t>The Department is consequently focusing its industry assistance strategy to fully integrate export assistance with its range of business improvement programs, in particular for small to medium size enterprises.</w:t>
      </w:r>
    </w:p>
    <w:p w:rsidR="00000000" w:rsidRDefault="001F233B">
      <w:r>
        <w:t>Reflecting the expectation that trading and investment</w:t>
      </w:r>
      <w:r>
        <w:fldChar w:fldCharType="begin"/>
      </w:r>
      <w:r>
        <w:instrText>xe "Economy:Investment"</w:instrText>
      </w:r>
      <w:r>
        <w:fldChar w:fldCharType="end"/>
      </w:r>
      <w:r>
        <w:t xml:space="preserve"> attraction will become more difficult globally, and the fact that North America remains the largest source of foreign direct investment into Australia, Business Victoria and Multim</w:t>
      </w:r>
      <w:r>
        <w:t>edia Victoria</w:t>
      </w:r>
      <w:r>
        <w:fldChar w:fldCharType="begin"/>
      </w:r>
      <w:r>
        <w:instrText>xe "Multimedia Victoria"</w:instrText>
      </w:r>
      <w:r>
        <w:fldChar w:fldCharType="end"/>
      </w:r>
      <w:r>
        <w:t xml:space="preserve"> will jointly work to establish strong networks in North America during 1998</w:t>
      </w:r>
      <w:r>
        <w:noBreakHyphen/>
        <w:t>99.</w:t>
      </w:r>
    </w:p>
    <w:p w:rsidR="00000000" w:rsidRDefault="001F233B">
      <w:r>
        <w:t>A client communication strategy is also being developed for implementation in 1998</w:t>
      </w:r>
      <w:r>
        <w:noBreakHyphen/>
        <w:t xml:space="preserve">99 which aims to offer a single integrated communication channel and a single point of entry to all divisions of the Department for businesses of all sizes and from all industry sectors. Two key components </w:t>
      </w:r>
      <w:r>
        <w:noBreakHyphen/>
        <w:t xml:space="preserve"> Victorian Business Centres and the Business Channel </w:t>
      </w:r>
      <w:r>
        <w:noBreakHyphen/>
        <w:t xml:space="preserve"> will be fully implemented during 1998</w:t>
      </w:r>
      <w:r>
        <w:noBreakHyphen/>
        <w:t xml:space="preserve">99. </w:t>
      </w:r>
    </w:p>
    <w:p w:rsidR="00000000" w:rsidRDefault="001F233B">
      <w:pPr>
        <w:pStyle w:val="Heading4"/>
      </w:pPr>
      <w:r>
        <w:t>Tour</w:t>
      </w:r>
      <w:r>
        <w:t>ism</w:t>
      </w:r>
      <w:r>
        <w:fldChar w:fldCharType="begin"/>
      </w:r>
      <w:r>
        <w:instrText>xe "Tourism"</w:instrText>
      </w:r>
      <w:r>
        <w:fldChar w:fldCharType="end"/>
      </w:r>
    </w:p>
    <w:p w:rsidR="00000000" w:rsidRDefault="001F233B">
      <w:r>
        <w:t>During this period of economic adjustment in Asia</w:t>
      </w:r>
      <w:r>
        <w:fldChar w:fldCharType="begin"/>
      </w:r>
      <w:r>
        <w:instrText>xe "Asia"</w:instrText>
      </w:r>
      <w:r>
        <w:fldChar w:fldCharType="end"/>
      </w:r>
      <w:r>
        <w:t>, Tourism</w:t>
      </w:r>
      <w:r>
        <w:fldChar w:fldCharType="begin"/>
      </w:r>
      <w:r>
        <w:instrText>xe "Tourism"</w:instrText>
      </w:r>
      <w:r>
        <w:fldChar w:fldCharType="end"/>
      </w:r>
      <w:r>
        <w:t xml:space="preserve"> Victoria will continue to maintain a strong marketing presence in various Asian markets in order to maximise opportunities to secure continuing visitation to Victoria. This program will be complemented by increased marketing activities in the high yield markets of the United Kingdom, Europe and North America, designed to exploit favourable currency exchange rates for the Australian dollar.</w:t>
      </w:r>
    </w:p>
    <w:p w:rsidR="00000000" w:rsidRDefault="001F233B">
      <w:r>
        <w:t>Building on Victo</w:t>
      </w:r>
      <w:r>
        <w:t>ria’s excellent facilities and reputation as a high quality venue for conferences and exhibitions, a Business Events Strategy</w:t>
      </w:r>
      <w:r>
        <w:fldChar w:fldCharType="begin"/>
      </w:r>
      <w:r>
        <w:instrText>xe "Department of State Development:Business Events Strategy"</w:instrText>
      </w:r>
      <w:r>
        <w:fldChar w:fldCharType="end"/>
      </w:r>
      <w:r>
        <w:t xml:space="preserve"> has been developed to attract and facilitate industry and economic events which can significantly contribute to the development and profile of Victoria’s industry sectors.</w:t>
      </w:r>
    </w:p>
    <w:p w:rsidR="00000000" w:rsidRDefault="001F233B">
      <w:pPr>
        <w:pStyle w:val="Heading4"/>
      </w:pPr>
      <w:r>
        <w:t>Multimedia</w:t>
      </w:r>
    </w:p>
    <w:p w:rsidR="00000000" w:rsidRDefault="001F233B">
      <w:r>
        <w:t>In response to the accelerating change in the information economy, the Department continues to play a key leadership role, in partnership wi</w:t>
      </w:r>
      <w:r>
        <w:t>th the private sector and the community, to encourage sophisticated and widespread use of on</w:t>
      </w:r>
      <w:r>
        <w:noBreakHyphen/>
        <w:t>line services. Through the Victoria 21</w:t>
      </w:r>
      <w:r>
        <w:fldChar w:fldCharType="begin"/>
      </w:r>
      <w:r>
        <w:instrText>xe "Department of State Development:Victoria 21"</w:instrText>
      </w:r>
      <w:r>
        <w:fldChar w:fldCharType="end"/>
      </w:r>
      <w:r>
        <w:t xml:space="preserve"> Strategy, the Government is committed to ensuring all appropriate Government services are on line by the year 2001.</w:t>
      </w:r>
    </w:p>
    <w:p w:rsidR="00000000" w:rsidRDefault="001F233B">
      <w:r>
        <w:t>Following the establishment of the Victoria 21</w:t>
      </w:r>
      <w:r>
        <w:fldChar w:fldCharType="begin"/>
      </w:r>
      <w:r>
        <w:instrText>xe "Department of State Development:Victoria 21"</w:instrText>
      </w:r>
      <w:r>
        <w:fldChar w:fldCharType="end"/>
      </w:r>
      <w:r>
        <w:t xml:space="preserve"> Strategy, in particular the VicOne Government network and Electronic Service Delivery</w:t>
      </w:r>
      <w:r>
        <w:fldChar w:fldCharType="begin"/>
      </w:r>
      <w:r>
        <w:instrText>xe "Service delivery"</w:instrText>
      </w:r>
      <w:r>
        <w:fldChar w:fldCharType="end"/>
      </w:r>
      <w:r>
        <w:t xml:space="preserve"> (known a</w:t>
      </w:r>
      <w:r>
        <w:t xml:space="preserve">s </w:t>
      </w:r>
      <w:r>
        <w:rPr>
          <w:i/>
        </w:rPr>
        <w:t>maxi</w:t>
      </w:r>
      <w:r>
        <w:t>), this year funding of $27.2 million in total will be provided to implement the Government’s multimedia strategy.</w:t>
      </w:r>
    </w:p>
    <w:p w:rsidR="00000000" w:rsidRDefault="001F233B">
      <w:pPr>
        <w:pStyle w:val="Heading4"/>
      </w:pPr>
      <w:r>
        <w:t>Sport and recreation</w:t>
      </w:r>
    </w:p>
    <w:p w:rsidR="00000000" w:rsidRDefault="001F233B">
      <w:r>
        <w:t>Reflecting Victoria’s international sporting profile, the Victorian Government has successfully negotiated the staging of two new key sporting events. Resources will be devoted to supporting Victoria’s hosting of the 2002 World Masters Games and the 2000 Olympic Football (Soccer) Tournament.</w:t>
      </w:r>
    </w:p>
    <w:p w:rsidR="00000000" w:rsidRDefault="001F233B">
      <w:r>
        <w:t>In order to support Melbourne’s bid for the 2006 Commonwealth Games and ensur</w:t>
      </w:r>
      <w:r>
        <w:t>e that the State maintains its profile as a venue for major international sporting events and training camps in the lead up to the Sydney 2000 Olympic Games, the following major new projects will be undertaken by the Department in 1998</w:t>
      </w:r>
      <w:r>
        <w:noBreakHyphen/>
        <w:t xml:space="preserve">99: </w:t>
      </w:r>
    </w:p>
    <w:p w:rsidR="00000000" w:rsidRDefault="001F233B" w:rsidP="001F233B">
      <w:pPr>
        <w:pStyle w:val="BulletText"/>
        <w:numPr>
          <w:ilvl w:val="0"/>
          <w:numId w:val="1"/>
        </w:numPr>
      </w:pPr>
      <w:r>
        <w:t>establishment of an integrated State Gymnastics Training Centre ($3.0 million);</w:t>
      </w:r>
    </w:p>
    <w:p w:rsidR="00000000" w:rsidRDefault="001F233B" w:rsidP="001F233B">
      <w:pPr>
        <w:pStyle w:val="BulletText"/>
        <w:numPr>
          <w:ilvl w:val="0"/>
          <w:numId w:val="1"/>
        </w:numPr>
      </w:pPr>
      <w:r>
        <w:t>establishment of a State Weightlifting Centre ($1.0 million);</w:t>
      </w:r>
    </w:p>
    <w:p w:rsidR="00000000" w:rsidRDefault="001F233B" w:rsidP="001F233B">
      <w:pPr>
        <w:pStyle w:val="BulletText"/>
        <w:numPr>
          <w:ilvl w:val="0"/>
          <w:numId w:val="1"/>
        </w:numPr>
      </w:pPr>
      <w:r>
        <w:t xml:space="preserve">upgrading of the Werribee Park Equestrian Centre ($0.7 million); and </w:t>
      </w:r>
    </w:p>
    <w:p w:rsidR="00000000" w:rsidRDefault="001F233B" w:rsidP="001F233B">
      <w:pPr>
        <w:pStyle w:val="BulletText"/>
        <w:numPr>
          <w:ilvl w:val="0"/>
          <w:numId w:val="1"/>
        </w:numPr>
      </w:pPr>
      <w:r>
        <w:t>upgrading of Wellsford Forest Park, Bendigo ($0.7 million).</w:t>
      </w:r>
    </w:p>
    <w:p w:rsidR="00000000" w:rsidRDefault="001F233B">
      <w:pPr>
        <w:pStyle w:val="Heading4"/>
      </w:pPr>
      <w:r>
        <w:t>Science, engineering and technology</w:t>
      </w:r>
    </w:p>
    <w:p w:rsidR="00000000" w:rsidRDefault="001F233B">
      <w:r>
        <w:t>Following the release of the Government’s science, engineering and technology</w:t>
      </w:r>
      <w:r>
        <w:fldChar w:fldCharType="begin"/>
      </w:r>
      <w:r>
        <w:instrText>xe "Department of State Development:Science, engineering and technology"</w:instrText>
      </w:r>
      <w:r>
        <w:fldChar w:fldCharType="end"/>
      </w:r>
      <w:r>
        <w:t xml:space="preserve"> policy statement </w:t>
      </w:r>
      <w:r>
        <w:rPr>
          <w:i/>
        </w:rPr>
        <w:t>Creating Our Future</w:t>
      </w:r>
      <w:r>
        <w:t xml:space="preserve"> in July 1997, a key task of the Department is to support the Premier’s Science, Engineering and Technology Taskforce to complete, by the end of 1998, a review of public sector expenditure in this area, and prepare advice on priorities and policy directions.</w:t>
      </w:r>
    </w:p>
    <w:p w:rsidR="00000000" w:rsidRDefault="001F233B">
      <w:pPr>
        <w:pStyle w:val="Heading3"/>
      </w:pPr>
      <w:r>
        <w:t>Treasury and Finance</w:t>
      </w:r>
    </w:p>
    <w:p w:rsidR="00000000" w:rsidRDefault="001F233B">
      <w:r>
        <w:t>The Dep</w:t>
      </w:r>
      <w:r>
        <w:t>artment’s strategic policy initiatives are aimed at creating an environment where the benefits of past reforms are locked in and made self</w:t>
      </w:r>
      <w:r>
        <w:noBreakHyphen/>
        <w:t>sustaining, and at recommending and implementing major Government policy decisions to stimulate economic reform to deliver tangible community benefits. Specific initiatives are:</w:t>
      </w:r>
    </w:p>
    <w:p w:rsidR="00000000" w:rsidRDefault="001F233B">
      <w:pPr>
        <w:pStyle w:val="Heading4"/>
      </w:pPr>
      <w:r>
        <w:t>Locking-in past benefits</w:t>
      </w:r>
    </w:p>
    <w:p w:rsidR="00000000" w:rsidRDefault="001F233B" w:rsidP="001F233B">
      <w:pPr>
        <w:pStyle w:val="BulletText"/>
        <w:numPr>
          <w:ilvl w:val="0"/>
          <w:numId w:val="1"/>
        </w:numPr>
      </w:pPr>
      <w:r>
        <w:t>implement accrual output based management;</w:t>
      </w:r>
    </w:p>
    <w:p w:rsidR="00000000" w:rsidRDefault="001F233B" w:rsidP="001F233B">
      <w:pPr>
        <w:pStyle w:val="BulletText"/>
        <w:numPr>
          <w:ilvl w:val="0"/>
          <w:numId w:val="1"/>
        </w:numPr>
      </w:pPr>
      <w:r>
        <w:t>define contestability principles and promote their use;</w:t>
      </w:r>
    </w:p>
    <w:p w:rsidR="00000000" w:rsidRDefault="001F233B" w:rsidP="001F233B">
      <w:pPr>
        <w:pStyle w:val="BulletText"/>
        <w:numPr>
          <w:ilvl w:val="0"/>
          <w:numId w:val="1"/>
        </w:numPr>
      </w:pPr>
      <w:r>
        <w:t>develop a fiscal responsibility mechanism.</w:t>
      </w:r>
    </w:p>
    <w:p w:rsidR="00000000" w:rsidRDefault="001F233B">
      <w:pPr>
        <w:pStyle w:val="Heading4"/>
      </w:pPr>
      <w:r>
        <w:t>Economic reform</w:t>
      </w:r>
    </w:p>
    <w:p w:rsidR="00000000" w:rsidRDefault="001F233B" w:rsidP="001F233B">
      <w:pPr>
        <w:pStyle w:val="BulletText"/>
        <w:numPr>
          <w:ilvl w:val="0"/>
          <w:numId w:val="1"/>
        </w:numPr>
      </w:pPr>
      <w:r>
        <w:t xml:space="preserve">develop tax </w:t>
      </w:r>
      <w:r>
        <w:t>reform alternatives;</w:t>
      </w:r>
    </w:p>
    <w:p w:rsidR="00000000" w:rsidRDefault="001F233B" w:rsidP="001F233B">
      <w:pPr>
        <w:pStyle w:val="BulletText"/>
        <w:numPr>
          <w:ilvl w:val="0"/>
          <w:numId w:val="1"/>
        </w:numPr>
      </w:pPr>
      <w:r>
        <w:t>reform and privatise public transport</w:t>
      </w:r>
      <w:r>
        <w:fldChar w:fldCharType="begin"/>
      </w:r>
      <w:r>
        <w:instrText>xe "Transport"</w:instrText>
      </w:r>
      <w:r>
        <w:fldChar w:fldCharType="end"/>
      </w:r>
      <w:r>
        <w:t>, Aluvic</w:t>
      </w:r>
      <w:r>
        <w:fldChar w:fldCharType="begin"/>
      </w:r>
      <w:r>
        <w:instrText>xe "Public authority income:Aluvic"</w:instrText>
      </w:r>
      <w:r>
        <w:fldChar w:fldCharType="end"/>
      </w:r>
      <w:r>
        <w:t>, gas</w:t>
      </w:r>
      <w:r>
        <w:fldChar w:fldCharType="begin"/>
      </w:r>
      <w:r>
        <w:instrText>xe "Gas"</w:instrText>
      </w:r>
      <w:r>
        <w:fldChar w:fldCharType="end"/>
      </w:r>
      <w:r>
        <w:t xml:space="preserve"> businesses and the Victorian Plantations Corporation</w:t>
      </w:r>
      <w:r>
        <w:fldChar w:fldCharType="begin"/>
      </w:r>
      <w:r>
        <w:instrText>xe "Victorian Plantations Corporation"</w:instrText>
      </w:r>
      <w:r>
        <w:fldChar w:fldCharType="end"/>
      </w:r>
      <w:r>
        <w:t>;</w:t>
      </w:r>
    </w:p>
    <w:p w:rsidR="00000000" w:rsidRDefault="001F233B" w:rsidP="001F233B">
      <w:pPr>
        <w:pStyle w:val="BulletText"/>
        <w:numPr>
          <w:ilvl w:val="0"/>
          <w:numId w:val="1"/>
        </w:numPr>
      </w:pPr>
      <w:r>
        <w:t>develop a menu of options to create a competitive economy.</w:t>
      </w:r>
    </w:p>
    <w:p w:rsidR="00000000" w:rsidRDefault="001F233B">
      <w:r>
        <w:t>Core activities of financial, risk and resource management and regulatory and taxation management services make up a little over half the department’s total output costs. The department’s objective is to achieve excellence i</w:t>
      </w:r>
      <w:r>
        <w:t>n these activities. Ongoing management efficiencies, together with a smaller and less risky State balance sheet, have enabled cost savings to be made in these areas.</w:t>
      </w:r>
    </w:p>
    <w:p w:rsidR="00000000" w:rsidRDefault="001F233B">
      <w:pPr>
        <w:pStyle w:val="Heading2"/>
      </w:pPr>
      <w:bookmarkStart w:id="84" w:name="_Toc417482320"/>
      <w:bookmarkStart w:id="85" w:name="_Toc417552084"/>
      <w:r>
        <w:t>Service delivery</w:t>
      </w:r>
      <w:r>
        <w:fldChar w:fldCharType="begin"/>
      </w:r>
      <w:r>
        <w:instrText>xe "Service delivery"</w:instrText>
      </w:r>
      <w:r>
        <w:fldChar w:fldCharType="end"/>
      </w:r>
      <w:r>
        <w:t xml:space="preserve"> performance and benchmarks</w:t>
      </w:r>
      <w:bookmarkEnd w:id="84"/>
      <w:bookmarkEnd w:id="85"/>
      <w:r>
        <w:fldChar w:fldCharType="begin"/>
      </w:r>
      <w:r>
        <w:instrText>xe "Service delivery:Performance and benchmarks"</w:instrText>
      </w:r>
      <w:r>
        <w:fldChar w:fldCharType="end"/>
      </w:r>
    </w:p>
    <w:p w:rsidR="00000000" w:rsidRDefault="001F233B">
      <w:r>
        <w:t>In recent years, Victoria has been at the forefront of service delivery</w:t>
      </w:r>
      <w:r>
        <w:fldChar w:fldCharType="begin"/>
      </w:r>
      <w:r>
        <w:instrText>xe "Service delivery"</w:instrText>
      </w:r>
      <w:r>
        <w:fldChar w:fldCharType="end"/>
      </w:r>
      <w:r>
        <w:t xml:space="preserve"> reform. Productivity</w:t>
      </w:r>
      <w:r>
        <w:fldChar w:fldCharType="begin"/>
      </w:r>
      <w:r>
        <w:instrText>xe "Economy:Productivity"</w:instrText>
      </w:r>
      <w:r>
        <w:fldChar w:fldCharType="end"/>
      </w:r>
      <w:r>
        <w:t xml:space="preserve"> improvements have been achieved in all service delivery areas in Victoria through meas</w:t>
      </w:r>
      <w:r>
        <w:t>ures such as rationalisation of corporate support functions, elimination of unproductive work practices, targeted application of output</w:t>
      </w:r>
      <w:r>
        <w:noBreakHyphen/>
        <w:t>based funding, contracting out of non</w:t>
      </w:r>
      <w:r>
        <w:noBreakHyphen/>
        <w:t>core activities, and introduction of new labour saving technologies.</w:t>
      </w:r>
    </w:p>
    <w:p w:rsidR="00000000" w:rsidRDefault="001F233B">
      <w:r>
        <w:t>The performance of Victorian service delivery</w:t>
      </w:r>
      <w:r>
        <w:fldChar w:fldCharType="begin"/>
      </w:r>
      <w:r>
        <w:instrText>xe "Service delivery"</w:instrText>
      </w:r>
      <w:r>
        <w:fldChar w:fldCharType="end"/>
      </w:r>
      <w:r>
        <w:t xml:space="preserve"> has been compared to other States using Commonwealth Grants Commission</w:t>
      </w:r>
      <w:r>
        <w:fldChar w:fldCharType="begin"/>
      </w:r>
      <w:r>
        <w:instrText>xe "Commonwealth Grants Commission (CGC)"</w:instrText>
      </w:r>
      <w:r>
        <w:fldChar w:fldCharType="end"/>
      </w:r>
      <w:r>
        <w:t xml:space="preserve"> (CGC) estimates, and more recently, the Report on Government Service Provision</w:t>
      </w:r>
      <w:r>
        <w:fldChar w:fldCharType="begin"/>
      </w:r>
      <w:r>
        <w:instrText>xe "Ser</w:instrText>
      </w:r>
      <w:r>
        <w:instrText>vice delivery:Report on Government Service Provision"</w:instrText>
      </w:r>
      <w:r>
        <w:fldChar w:fldCharType="end"/>
      </w:r>
      <w:r>
        <w:t xml:space="preserve"> (RGSP) published in early 1998, as well as from other relevant authorities.</w:t>
      </w:r>
    </w:p>
    <w:p w:rsidR="00000000" w:rsidRDefault="001F233B">
      <w:r>
        <w:t>Victoria’s performance in delivering its major services is discussed in brief below using national averages and State estimates as benchmarks. Service delivery</w:t>
      </w:r>
      <w:r>
        <w:fldChar w:fldCharType="begin"/>
      </w:r>
      <w:r>
        <w:instrText>xe "Service delivery"</w:instrText>
      </w:r>
      <w:r>
        <w:fldChar w:fldCharType="end"/>
      </w:r>
      <w:r>
        <w:t xml:space="preserve"> performance must be assessed both in terms of efficiency (costs relative to inputs) and effectiveness (i.e. how services are impacting on outcomes for the community).</w:t>
      </w:r>
    </w:p>
    <w:p w:rsidR="00000000" w:rsidRDefault="001F233B">
      <w:pPr>
        <w:pStyle w:val="Heading3"/>
      </w:pPr>
      <w:r>
        <w:t>Education</w:t>
      </w:r>
      <w:r>
        <w:fldChar w:fldCharType="begin"/>
      </w:r>
      <w:r>
        <w:instrText>xe "Education"</w:instrText>
      </w:r>
      <w:r>
        <w:fldChar w:fldCharType="end"/>
      </w:r>
    </w:p>
    <w:p w:rsidR="00000000" w:rsidRDefault="001F233B">
      <w:pPr>
        <w:rPr>
          <w:b/>
          <w:i/>
        </w:rPr>
      </w:pPr>
      <w:r>
        <w:t>Victo</w:t>
      </w:r>
      <w:r>
        <w:t>ria has achieved significant reform in the delivery of educational services. The discussion below indicates how various benchmarks compare to national data and to other States according to data collected from a range of sources including from the National Schools Statistical Collection (NSSC).</w:t>
      </w:r>
    </w:p>
    <w:p w:rsidR="00000000" w:rsidRDefault="001F233B">
      <w:pPr>
        <w:pStyle w:val="Heading4"/>
      </w:pPr>
      <w:r>
        <w:t>School services</w:t>
      </w:r>
      <w:r>
        <w:fldChar w:fldCharType="begin"/>
      </w:r>
      <w:r>
        <w:instrText>xe "Department of Education:School services"</w:instrText>
      </w:r>
      <w:r>
        <w:fldChar w:fldCharType="end"/>
      </w:r>
    </w:p>
    <w:p w:rsidR="00000000" w:rsidRDefault="001F233B">
      <w:pPr>
        <w:pStyle w:val="Heading4"/>
        <w:spacing w:before="0"/>
        <w:rPr>
          <w:rFonts w:ascii="Times New Roman" w:hAnsi="Times New Roman"/>
          <w:kern w:val="0"/>
          <w:lang w:val="en-AU"/>
        </w:rPr>
      </w:pPr>
      <w:r>
        <w:rPr>
          <w:rFonts w:ascii="Times New Roman" w:hAnsi="Times New Roman"/>
          <w:kern w:val="0"/>
          <w:lang w:val="en-AU"/>
        </w:rPr>
        <w:t>Literacy</w:t>
      </w:r>
      <w:r>
        <w:rPr>
          <w:rFonts w:ascii="Times New Roman" w:hAnsi="Times New Roman"/>
          <w:kern w:val="0"/>
          <w:lang w:val="en-AU"/>
        </w:rPr>
        <w:fldChar w:fldCharType="begin"/>
      </w:r>
      <w:r>
        <w:rPr>
          <w:rFonts w:ascii="Times New Roman" w:hAnsi="Times New Roman"/>
          <w:kern w:val="0"/>
          <w:lang w:val="en-AU"/>
        </w:rPr>
        <w:instrText>xe "Department of Education:Literacy"</w:instrText>
      </w:r>
      <w:r>
        <w:rPr>
          <w:rFonts w:ascii="Times New Roman" w:hAnsi="Times New Roman"/>
          <w:kern w:val="0"/>
          <w:lang w:val="en-AU"/>
        </w:rPr>
        <w:fldChar w:fldCharType="end"/>
      </w:r>
    </w:p>
    <w:p w:rsidR="00000000" w:rsidRDefault="001F233B">
      <w:r>
        <w:t>Data collected by the Australian Council for Educational Research over the past 20 years indicates that unt</w:t>
      </w:r>
      <w:r>
        <w:t>il 1980 Victorian literacy</w:t>
      </w:r>
      <w:r>
        <w:fldChar w:fldCharType="begin"/>
      </w:r>
      <w:r>
        <w:instrText>xe "Department of Education:Literacy"</w:instrText>
      </w:r>
      <w:r>
        <w:fldChar w:fldCharType="end"/>
      </w:r>
      <w:r>
        <w:t xml:space="preserve"> levels were above the national average. Surveys undertaken from 1989 to 1992 showed Victoria had fallen behind the national average. The 1995 survey again showed that Victorian students had achieved better than the national average. Learning Assessment Project data, (1995 to 1997) also clearly shows a consistent pattern of achievement in literacy and numeracy and progress in reducing the number of students falling behind between years three a</w:t>
      </w:r>
      <w:r>
        <w:t>nd five.</w:t>
      </w:r>
    </w:p>
    <w:p w:rsidR="00000000" w:rsidRDefault="001F233B">
      <w:pPr>
        <w:pStyle w:val="Heading4"/>
        <w:spacing w:before="0"/>
        <w:rPr>
          <w:rFonts w:ascii="Times New Roman" w:hAnsi="Times New Roman"/>
          <w:kern w:val="0"/>
          <w:lang w:val="en-AU"/>
        </w:rPr>
      </w:pPr>
      <w:r>
        <w:rPr>
          <w:rFonts w:ascii="Times New Roman" w:hAnsi="Times New Roman"/>
          <w:kern w:val="0"/>
          <w:lang w:val="en-AU"/>
        </w:rPr>
        <w:t>Achievement in Years 11 and 12</w:t>
      </w:r>
      <w:r>
        <w:rPr>
          <w:rFonts w:ascii="Times New Roman" w:hAnsi="Times New Roman"/>
          <w:kern w:val="0"/>
          <w:lang w:val="en-AU"/>
        </w:rPr>
        <w:fldChar w:fldCharType="begin"/>
      </w:r>
      <w:r>
        <w:rPr>
          <w:rFonts w:ascii="Times New Roman" w:hAnsi="Times New Roman"/>
          <w:kern w:val="0"/>
          <w:lang w:val="en-AU"/>
        </w:rPr>
        <w:instrText>xe "Department of Education:Achievement in year 11 and 12"</w:instrText>
      </w:r>
      <w:r>
        <w:rPr>
          <w:rFonts w:ascii="Times New Roman" w:hAnsi="Times New Roman"/>
          <w:kern w:val="0"/>
          <w:lang w:val="en-AU"/>
        </w:rPr>
        <w:fldChar w:fldCharType="end"/>
      </w:r>
    </w:p>
    <w:p w:rsidR="00000000" w:rsidRDefault="001F233B">
      <w:r>
        <w:t>At the upper secondary level, during the previous decade, the performance of government schools in the very highest levels of tertiary entrance achievement was poor. The number of very high performing government school students has risen significantly between 1992 and 1997. The percentage of Government school students receiving the Premier’s Victorian Certificate of Education</w:t>
      </w:r>
      <w:r>
        <w:fldChar w:fldCharType="begin"/>
      </w:r>
      <w:r>
        <w:instrText>xe "Education"</w:instrText>
      </w:r>
      <w:r>
        <w:fldChar w:fldCharType="end"/>
      </w:r>
      <w:r>
        <w:t xml:space="preserve"> (VCE) Award has i</w:t>
      </w:r>
      <w:r>
        <w:t>ncreased over the last five years, markedly from 20 per cent in 1992 to 34 per cent in 1997.</w:t>
      </w:r>
    </w:p>
    <w:p w:rsidR="00000000" w:rsidRDefault="001F233B">
      <w:r>
        <w:t>Similarly, government schools across the State have performed strongly in the top ten per cent of students in VCE subjects. Applying value added criteria, which take into account ability and socio</w:t>
      </w:r>
      <w:r>
        <w:noBreakHyphen/>
        <w:t>economic factors, the effectiveness of the efforts of government schools is even more apparent, e.g. with government schools serving rural areas and disadvantaged urban areas getting recognition for performing among the be</w:t>
      </w:r>
      <w:r>
        <w:t>st in the State.</w:t>
      </w:r>
    </w:p>
    <w:p w:rsidR="00000000" w:rsidRDefault="001F233B">
      <w:pPr>
        <w:pStyle w:val="Heading4"/>
        <w:spacing w:before="0"/>
        <w:rPr>
          <w:rFonts w:ascii="Times New Roman" w:hAnsi="Times New Roman"/>
          <w:kern w:val="0"/>
          <w:lang w:val="en-AU"/>
        </w:rPr>
      </w:pPr>
      <w:r>
        <w:rPr>
          <w:rFonts w:ascii="Times New Roman" w:hAnsi="Times New Roman"/>
          <w:kern w:val="0"/>
          <w:lang w:val="en-AU"/>
        </w:rPr>
        <w:t>Retention rates</w:t>
      </w:r>
      <w:r>
        <w:rPr>
          <w:rFonts w:ascii="Times New Roman" w:hAnsi="Times New Roman"/>
          <w:kern w:val="0"/>
          <w:lang w:val="en-AU"/>
        </w:rPr>
        <w:fldChar w:fldCharType="begin"/>
      </w:r>
      <w:r>
        <w:rPr>
          <w:rFonts w:ascii="Times New Roman" w:hAnsi="Times New Roman"/>
          <w:kern w:val="0"/>
          <w:lang w:val="en-AU"/>
        </w:rPr>
        <w:instrText>xe "Department of Education:Retention rates"</w:instrText>
      </w:r>
      <w:r>
        <w:rPr>
          <w:rFonts w:ascii="Times New Roman" w:hAnsi="Times New Roman"/>
          <w:kern w:val="0"/>
          <w:lang w:val="en-AU"/>
        </w:rPr>
        <w:fldChar w:fldCharType="end"/>
      </w:r>
    </w:p>
    <w:p w:rsidR="00000000" w:rsidRDefault="001F233B">
      <w:r>
        <w:t>Victoria has the second highest apparent retention rate from Year 7 to Year 12 in Government schools. Australia Bureau of Statistics 1996 data shows that Victoria with a rate of 69.4 per cent was only marginally behind Queensland, and 3.6 per cent above the national average.</w:t>
      </w:r>
    </w:p>
    <w:p w:rsidR="00000000" w:rsidRDefault="001F233B">
      <w:pPr>
        <w:pStyle w:val="Heading4"/>
        <w:spacing w:before="0"/>
        <w:rPr>
          <w:rFonts w:ascii="Times New Roman" w:hAnsi="Times New Roman"/>
          <w:kern w:val="0"/>
          <w:lang w:val="en-AU"/>
        </w:rPr>
      </w:pPr>
      <w:r>
        <w:rPr>
          <w:rFonts w:ascii="Times New Roman" w:hAnsi="Times New Roman"/>
          <w:kern w:val="0"/>
          <w:lang w:val="en-AU"/>
        </w:rPr>
        <w:t>Student–teacher levels</w:t>
      </w:r>
    </w:p>
    <w:p w:rsidR="00000000" w:rsidRDefault="001F233B">
      <w:r>
        <w:t>The 1996 Student</w:t>
      </w:r>
      <w:r>
        <w:noBreakHyphen/>
        <w:t xml:space="preserve">Teacher ratio for Victoria of 18.2 students to one teacher compares favourably with all other States and is 0.4 of a </w:t>
      </w:r>
      <w:r>
        <w:t xml:space="preserve">student above the Australian average of 17.8 students. </w:t>
      </w:r>
    </w:p>
    <w:p w:rsidR="00000000" w:rsidRDefault="001F233B">
      <w:r>
        <w:t>It is expected that a number of the new initiatives, funded as part of the 1998</w:t>
      </w:r>
      <w:r>
        <w:noBreakHyphen/>
        <w:t>99 Budget, such as the literacy</w:t>
      </w:r>
      <w:r>
        <w:fldChar w:fldCharType="begin"/>
      </w:r>
      <w:r>
        <w:instrText>xe "Department of Education:Literacy"</w:instrText>
      </w:r>
      <w:r>
        <w:fldChar w:fldCharType="end"/>
      </w:r>
      <w:r>
        <w:t xml:space="preserve"> and numeracy projects, will reduce this ratio in the next year.</w:t>
      </w:r>
    </w:p>
    <w:p w:rsidR="00000000" w:rsidRDefault="001F233B">
      <w:pPr>
        <w:pStyle w:val="Heading4"/>
        <w:spacing w:before="0"/>
        <w:rPr>
          <w:rFonts w:ascii="Times New Roman" w:hAnsi="Times New Roman"/>
          <w:kern w:val="0"/>
          <w:lang w:val="en-AU"/>
        </w:rPr>
      </w:pPr>
      <w:r>
        <w:rPr>
          <w:rFonts w:ascii="Times New Roman" w:hAnsi="Times New Roman"/>
          <w:kern w:val="0"/>
          <w:lang w:val="en-AU"/>
        </w:rPr>
        <w:t>Average school size</w:t>
      </w:r>
      <w:r>
        <w:rPr>
          <w:rFonts w:ascii="Times New Roman" w:hAnsi="Times New Roman"/>
          <w:kern w:val="0"/>
          <w:lang w:val="en-AU"/>
        </w:rPr>
        <w:fldChar w:fldCharType="begin"/>
      </w:r>
      <w:r>
        <w:rPr>
          <w:rFonts w:ascii="Times New Roman" w:hAnsi="Times New Roman"/>
          <w:kern w:val="0"/>
          <w:lang w:val="en-AU"/>
        </w:rPr>
        <w:instrText>xe "Department of Education:Average school size"</w:instrText>
      </w:r>
      <w:r>
        <w:rPr>
          <w:rFonts w:ascii="Times New Roman" w:hAnsi="Times New Roman"/>
          <w:kern w:val="0"/>
          <w:lang w:val="en-AU"/>
        </w:rPr>
        <w:fldChar w:fldCharType="end"/>
      </w:r>
    </w:p>
    <w:p w:rsidR="00000000" w:rsidRDefault="001F233B">
      <w:r>
        <w:t>The average size of a Victorian Government primary school</w:t>
      </w:r>
      <w:r>
        <w:fldChar w:fldCharType="begin"/>
      </w:r>
      <w:r>
        <w:instrText>xe "Department of Education:Primary school"</w:instrText>
      </w:r>
      <w:r>
        <w:fldChar w:fldCharType="end"/>
      </w:r>
      <w:r>
        <w:t xml:space="preserve"> has increased from 195 students per school in 1992 to 226 students i</w:t>
      </w:r>
      <w:r>
        <w:t>n 1996. This remains below that of four other States, including New South Wales and the Australian average, 268 and 248 students respectively.</w:t>
      </w:r>
    </w:p>
    <w:p w:rsidR="00000000" w:rsidRDefault="001F233B">
      <w:r>
        <w:t>Similarly, in secondary school</w:t>
      </w:r>
      <w:r>
        <w:fldChar w:fldCharType="begin"/>
      </w:r>
      <w:r>
        <w:instrText>xe "Department of Education:Secondary school"</w:instrText>
      </w:r>
      <w:r>
        <w:fldChar w:fldCharType="end"/>
      </w:r>
      <w:r>
        <w:t>s, Victoria has seen an increase from 630 students per school to 716 students. This average also remains below that of New South Wales and the Australia average.</w:t>
      </w:r>
    </w:p>
    <w:p w:rsidR="00000000" w:rsidRDefault="001F233B">
      <w:pPr>
        <w:pStyle w:val="Heading4"/>
        <w:spacing w:before="0"/>
        <w:rPr>
          <w:rFonts w:ascii="Times New Roman" w:hAnsi="Times New Roman"/>
          <w:kern w:val="0"/>
          <w:lang w:val="en-AU"/>
        </w:rPr>
      </w:pPr>
      <w:r>
        <w:rPr>
          <w:rFonts w:ascii="Times New Roman" w:hAnsi="Times New Roman"/>
          <w:kern w:val="0"/>
          <w:lang w:val="en-AU"/>
        </w:rPr>
        <w:t>Students per computer</w:t>
      </w:r>
      <w:r>
        <w:rPr>
          <w:rFonts w:ascii="Times New Roman" w:hAnsi="Times New Roman"/>
          <w:kern w:val="0"/>
          <w:lang w:val="en-AU"/>
        </w:rPr>
        <w:fldChar w:fldCharType="begin"/>
      </w:r>
      <w:r>
        <w:rPr>
          <w:rFonts w:ascii="Times New Roman" w:hAnsi="Times New Roman"/>
          <w:kern w:val="0"/>
          <w:lang w:val="en-AU"/>
        </w:rPr>
        <w:instrText>xe "Department of Education:Students per computer"</w:instrText>
      </w:r>
      <w:r>
        <w:rPr>
          <w:rFonts w:ascii="Times New Roman" w:hAnsi="Times New Roman"/>
          <w:kern w:val="0"/>
          <w:lang w:val="en-AU"/>
        </w:rPr>
        <w:fldChar w:fldCharType="end"/>
      </w:r>
    </w:p>
    <w:p w:rsidR="00000000" w:rsidRDefault="001F233B">
      <w:r>
        <w:t>The average computer to student ratio was 1:7.7 as at Fe</w:t>
      </w:r>
      <w:r>
        <w:t>bruary 1997. Victoria’s ratio is lower than all other States and is expected to fall further to 1:5 by 2000. This trend is in line with world</w:t>
      </w:r>
      <w:r>
        <w:noBreakHyphen/>
        <w:t>best practice and will ensure that Victorian students have appropriate access to multimedia technology and gain essential skills for a successful and fulfilling life.</w:t>
      </w:r>
    </w:p>
    <w:p w:rsidR="00000000" w:rsidRDefault="001F233B">
      <w:pPr>
        <w:pStyle w:val="Heading4"/>
      </w:pPr>
      <w:r>
        <w:t xml:space="preserve">Vocational and Educational Training </w:t>
      </w:r>
    </w:p>
    <w:p w:rsidR="00000000" w:rsidRDefault="001F233B">
      <w:r>
        <w:t>Victoria now has the most efficient, widely used vocational education</w:t>
      </w:r>
      <w:r>
        <w:fldChar w:fldCharType="begin"/>
      </w:r>
      <w:r>
        <w:instrText>xe "Education"</w:instrText>
      </w:r>
      <w:r>
        <w:fldChar w:fldCharType="end"/>
      </w:r>
      <w:r>
        <w:t xml:space="preserve"> training system in Australia. The effectiveness of Victorian training is also ra</w:t>
      </w:r>
      <w:r>
        <w:t>ted highly by Victorian employers, with 93 per cent saying that training was at least mostly relevant to the industry. These results are 4 per cent above the national average.</w:t>
      </w:r>
    </w:p>
    <w:p w:rsidR="00000000" w:rsidRDefault="001F233B">
      <w:r>
        <w:t>Victoria has the lowest costs per adjusted annual curriculum hour (ACH), compared to all other States. In 1995, Victoria costs were $9.20 per hour (16.5 per cent less than New South Wales) and in 1996, $9.64 per hour (16.0 per cent less than New South Wales).</w:t>
      </w:r>
    </w:p>
    <w:p w:rsidR="00000000" w:rsidRDefault="001F233B">
      <w:r>
        <w:t>The Victorian ACH price is the result of Victoria’s long-term reform program</w:t>
      </w:r>
      <w:r>
        <w:t xml:space="preserve"> in the Vocational and Educational Training (VET</w:t>
      </w:r>
      <w:r>
        <w:fldChar w:fldCharType="begin"/>
      </w:r>
      <w:r>
        <w:instrText>xe "Department of Education:Vocational and educational training"</w:instrText>
      </w:r>
      <w:r>
        <w:fldChar w:fldCharType="end"/>
      </w:r>
      <w:r>
        <w:t>) sector which has seen the development of autonomous TAFE</w:t>
      </w:r>
      <w:r>
        <w:fldChar w:fldCharType="begin"/>
      </w:r>
      <w:r>
        <w:instrText>xe "Department of Education:TAFE"</w:instrText>
      </w:r>
      <w:r>
        <w:fldChar w:fldCharType="end"/>
      </w:r>
      <w:r>
        <w:t xml:space="preserve"> institutes, the significant growth and development of a private provider VET market, and the tendering out of government funded training places. The implementation of the recently announced reforms contained in the Ministerial Review of the Provision of TAFE in the Melbourne Metropolitan Area will also </w:t>
      </w:r>
      <w:r>
        <w:t>deliver further improvements in efficiency and effectiveness.</w:t>
      </w:r>
    </w:p>
    <w:p w:rsidR="00000000" w:rsidRDefault="001F233B">
      <w:r>
        <w:t>Victoria’s percentage of the population</w:t>
      </w:r>
      <w:r>
        <w:fldChar w:fldCharType="begin"/>
      </w:r>
      <w:r>
        <w:instrText>xe "Economy:Population"</w:instrText>
      </w:r>
      <w:r>
        <w:fldChar w:fldCharType="end"/>
      </w:r>
      <w:r>
        <w:t xml:space="preserve"> sector aged 15 to 64 years who participate in VET</w:t>
      </w:r>
      <w:r>
        <w:fldChar w:fldCharType="begin"/>
      </w:r>
      <w:r>
        <w:instrText>xe "Department of Education:Vocational and educational training"</w:instrText>
      </w:r>
      <w:r>
        <w:fldChar w:fldCharType="end"/>
      </w:r>
      <w:r>
        <w:t>, is 10.6 per cent in 1995 and 12.1 per cent in 1996. This the highest participation rate in Australia (only equalled by the Northern Territory in 1996). These figures are above the national average in both 1995 and 1996.</w:t>
      </w:r>
    </w:p>
    <w:p w:rsidR="00000000" w:rsidRDefault="001F233B">
      <w:pPr>
        <w:pStyle w:val="Heading3"/>
      </w:pPr>
      <w:r>
        <w:t>Human Services</w:t>
      </w:r>
    </w:p>
    <w:p w:rsidR="00000000" w:rsidRDefault="001F233B">
      <w:pPr>
        <w:pStyle w:val="Heading4"/>
      </w:pPr>
      <w:r>
        <w:t>Acute care services</w:t>
      </w:r>
      <w:r>
        <w:fldChar w:fldCharType="begin"/>
      </w:r>
      <w:r>
        <w:instrText>xe "Departmen</w:instrText>
      </w:r>
      <w:r>
        <w:instrText>t of Human Services:Acute care services"</w:instrText>
      </w:r>
      <w:r>
        <w:fldChar w:fldCharType="end"/>
      </w:r>
    </w:p>
    <w:p w:rsidR="00000000" w:rsidRDefault="001F233B">
      <w:r>
        <w:t>Victorian hospitals have increased throughput (number of separations) by 45 per cent since 1990</w:t>
      </w:r>
      <w:r>
        <w:noBreakHyphen/>
        <w:t>91. The State has no patients with urgent needs (Category 1) waiting longer than 30 days for public hospital</w:t>
      </w:r>
      <w:r>
        <w:fldChar w:fldCharType="begin"/>
      </w:r>
      <w:r>
        <w:instrText>xe "Department of Human Services:Public hospital"</w:instrText>
      </w:r>
      <w:r>
        <w:fldChar w:fldCharType="end"/>
      </w:r>
      <w:r>
        <w:t xml:space="preserve"> admission. According to RGSP</w:t>
      </w:r>
      <w:r>
        <w:fldChar w:fldCharType="begin"/>
      </w:r>
      <w:r>
        <w:instrText>xe "Service delivery:Report on Government Service Provision"</w:instrText>
      </w:r>
      <w:r>
        <w:fldChar w:fldCharType="end"/>
      </w:r>
      <w:r>
        <w:t>, Victoria had the lowest cost per casemix</w:t>
      </w:r>
      <w:r>
        <w:fldChar w:fldCharType="begin"/>
      </w:r>
      <w:r>
        <w:instrText>xe "Casemix"</w:instrText>
      </w:r>
      <w:r>
        <w:fldChar w:fldCharType="end"/>
      </w:r>
      <w:r>
        <w:t xml:space="preserve"> adjusted separation of all States. This makes Victorian hospitals t</w:t>
      </w:r>
      <w:r>
        <w:t>he most cost</w:t>
      </w:r>
      <w:r>
        <w:noBreakHyphen/>
        <w:t>efficient in Australia.</w:t>
      </w:r>
    </w:p>
    <w:p w:rsidR="00000000" w:rsidRDefault="001F233B">
      <w:r>
        <w:t>A recent survey (1997) by Total Quality Assurance Research, an independent research/survey company, shows that patients’ satisfaction with the care they receive in public hospital</w:t>
      </w:r>
      <w:r>
        <w:fldChar w:fldCharType="begin"/>
      </w:r>
      <w:r>
        <w:instrText>xe "Department of Human Services:Public hospital"</w:instrText>
      </w:r>
      <w:r>
        <w:fldChar w:fldCharType="end"/>
      </w:r>
      <w:r>
        <w:t>s, is the second highest in Australia.</w:t>
      </w:r>
    </w:p>
    <w:p w:rsidR="00000000" w:rsidRDefault="001F233B">
      <w:pPr>
        <w:pStyle w:val="Heading4"/>
      </w:pPr>
      <w:r>
        <w:t>Aged care services</w:t>
      </w:r>
      <w:r>
        <w:fldChar w:fldCharType="begin"/>
      </w:r>
      <w:r>
        <w:instrText>xe "Department of Human Services:Aged care services"</w:instrText>
      </w:r>
      <w:r>
        <w:fldChar w:fldCharType="end"/>
      </w:r>
    </w:p>
    <w:p w:rsidR="00000000" w:rsidRDefault="001F233B">
      <w:r>
        <w:t>Victoria continues to lead Australia in helping aged people receive the care and support they need to remain in their own homes. Vict</w:t>
      </w:r>
      <w:r>
        <w:t>oria has the highest level of Home and Community Care (HACC</w:t>
      </w:r>
      <w:r>
        <w:fldChar w:fldCharType="begin"/>
      </w:r>
      <w:r>
        <w:instrText>xe "Home and Community Care (HACC) Agreement"</w:instrText>
      </w:r>
      <w:r>
        <w:fldChar w:fldCharType="end"/>
      </w:r>
      <w:r>
        <w:t>) service provision of any State, and the continued expansion of HACC services is crucial to preventing inappropriate admissions to high cost residential care. The government is providing for a further 6 per cent growth this year in response to demand for this program.</w:t>
      </w:r>
    </w:p>
    <w:p w:rsidR="00000000" w:rsidRDefault="001F233B">
      <w:r>
        <w:t>As the population</w:t>
      </w:r>
      <w:r>
        <w:fldChar w:fldCharType="begin"/>
      </w:r>
      <w:r>
        <w:instrText>xe "Economy:Population"</w:instrText>
      </w:r>
      <w:r>
        <w:fldChar w:fldCharType="end"/>
      </w:r>
      <w:r>
        <w:t xml:space="preserve"> ages, the number of people with specialist support needs is increasing. Additional funding is</w:t>
      </w:r>
      <w:r>
        <w:t xml:space="preserve"> being provided in 1998</w:t>
      </w:r>
      <w:r>
        <w:noBreakHyphen/>
        <w:t>99 for additional specialist rehabilitation and palliative care services to improve the quality of life for this group.</w:t>
      </w:r>
    </w:p>
    <w:p w:rsidR="00000000" w:rsidRDefault="001F233B">
      <w:r>
        <w:t>Victoria has a high proportion of nursing home beds managed by the State government relative to other States. The transfer of non</w:t>
      </w:r>
      <w:r>
        <w:noBreakHyphen/>
        <w:t>core services to the private and voluntary sectors is part of a strategy to improve the quality of stock and provide local, accessible and high quality services to older Victorians with high care needs. Approximately one-third of the exis</w:t>
      </w:r>
      <w:r>
        <w:t>ting beds (1500) will be transferred to private and community sector organisations by 2000</w:t>
      </w:r>
      <w:r>
        <w:noBreakHyphen/>
        <w:t>01.</w:t>
      </w:r>
    </w:p>
    <w:p w:rsidR="00000000" w:rsidRDefault="001F233B">
      <w:pPr>
        <w:pStyle w:val="Heading4"/>
      </w:pPr>
      <w:r>
        <w:t>Disability services</w:t>
      </w:r>
      <w:r>
        <w:fldChar w:fldCharType="begin"/>
      </w:r>
      <w:r>
        <w:instrText>xe "Department of Human Services:Disability services"</w:instrText>
      </w:r>
      <w:r>
        <w:fldChar w:fldCharType="end"/>
      </w:r>
    </w:p>
    <w:p w:rsidR="00000000" w:rsidRDefault="001F233B">
      <w:r>
        <w:t>The 1998 RGSP</w:t>
      </w:r>
      <w:r>
        <w:fldChar w:fldCharType="begin"/>
      </w:r>
      <w:r>
        <w:instrText>xe "Service delivery:Report on Government Service Provision"</w:instrText>
      </w:r>
      <w:r>
        <w:fldChar w:fldCharType="end"/>
      </w:r>
      <w:r>
        <w:t xml:space="preserve"> shows that Victoria’s expenditure under the Commonwealth State Disability Agreement on services for people with disabilities is greater than any other State. The range of services provided is large and includes accommodation and/or support to people in group homes o</w:t>
      </w:r>
      <w:r>
        <w:t>r their own homes, respite for carers, day programs, flexible brokerage packages and other specialist services.</w:t>
      </w:r>
    </w:p>
    <w:p w:rsidR="00000000" w:rsidRDefault="001F233B">
      <w:r>
        <w:t>Victoria meets a higher proportion of the estimated potential population</w:t>
      </w:r>
      <w:r>
        <w:fldChar w:fldCharType="begin"/>
      </w:r>
      <w:r>
        <w:instrText>xe "Economy:Population"</w:instrText>
      </w:r>
      <w:r>
        <w:fldChar w:fldCharType="end"/>
      </w:r>
      <w:r>
        <w:t xml:space="preserve"> for accommodation and support services than any other State except South Australia. A high proportion of services are targeted to people with severe or profound disabilities, and the unit cost of community accommodation and care places is lower than New South Wales.</w:t>
      </w:r>
    </w:p>
    <w:p w:rsidR="00000000" w:rsidRDefault="001F233B">
      <w:pPr>
        <w:pStyle w:val="Heading4"/>
      </w:pPr>
      <w:r>
        <w:t>Housing</w:t>
      </w:r>
    </w:p>
    <w:p w:rsidR="00000000" w:rsidRDefault="001F233B">
      <w:r>
        <w:t>Housing has been developing</w:t>
      </w:r>
      <w:r>
        <w:t xml:space="preserve"> reforms aimed at better customer service, enhanced accountability and improved mechanisms for linking housing with other government and support services. The report on Government Service Provision (RGSP</w:t>
      </w:r>
      <w:r>
        <w:fldChar w:fldCharType="begin"/>
      </w:r>
      <w:r>
        <w:instrText>xe "Service delivery:Report on Government Service Provision"</w:instrText>
      </w:r>
      <w:r>
        <w:fldChar w:fldCharType="end"/>
      </w:r>
      <w:r>
        <w:t>) indicates that Victoria has the third lowest administration costs of any State ($780 per dwelling). The report also indicates Victoria had a higher than average number of satisfied clients in 1997. In addition Victorian stock was rated higher th</w:t>
      </w:r>
      <w:r>
        <w:t>an the national average by tenants in assessing the condition of their home.</w:t>
      </w:r>
    </w:p>
    <w:p w:rsidR="00000000" w:rsidRDefault="001F233B">
      <w:r>
        <w:t>The number of priority assistance allocations, aimed at assisting those most in need, has risen from 26 per cent of allocations in 1995</w:t>
      </w:r>
      <w:r>
        <w:noBreakHyphen/>
        <w:t>96 to 33 per cent in 1996</w:t>
      </w:r>
      <w:r>
        <w:noBreakHyphen/>
        <w:t>97, whilst average waiting time for priority assistance has dropped from 3.3 months to 2.5 months.</w:t>
      </w:r>
    </w:p>
    <w:p w:rsidR="00000000" w:rsidRDefault="001F233B">
      <w:r>
        <w:t>Assistance to the homeless and those in crisis has been growing significantly. The number of households assisted with short and medium term housing has more that doubled over</w:t>
      </w:r>
      <w:r>
        <w:t xml:space="preserve"> the past five years to reach almost 8 000 households in 1996</w:t>
      </w:r>
      <w:r>
        <w:noBreakHyphen/>
        <w:t>97.</w:t>
      </w:r>
    </w:p>
    <w:p w:rsidR="00000000" w:rsidRDefault="001F233B">
      <w:r>
        <w:t>Assistance to those with supported housing needs has also been a priority. The number of households receiving long term housing assistance linked with support services in the Supported Housing program has been increased from 320 at June 1996 to 570 at June 1997.</w:t>
      </w:r>
    </w:p>
    <w:p w:rsidR="00000000" w:rsidRDefault="001F233B">
      <w:pPr>
        <w:pStyle w:val="Heading4"/>
      </w:pPr>
      <w:r>
        <w:br w:type="page"/>
        <w:t>Mental health</w:t>
      </w:r>
      <w:r>
        <w:fldChar w:fldCharType="begin"/>
      </w:r>
      <w:r>
        <w:instrText>xe "Department of Human Services:Mental health"</w:instrText>
      </w:r>
      <w:r>
        <w:fldChar w:fldCharType="end"/>
      </w:r>
      <w:r>
        <w:fldChar w:fldCharType="begin"/>
      </w:r>
      <w:r>
        <w:instrText>xe "Health"</w:instrText>
      </w:r>
      <w:r>
        <w:fldChar w:fldCharType="end"/>
      </w:r>
    </w:p>
    <w:p w:rsidR="00000000" w:rsidRDefault="001F233B">
      <w:r>
        <w:t>Victoria is continuing to provide a high level of support to enable Victorians with a mental illness to li</w:t>
      </w:r>
      <w:r>
        <w:t>ve in the community. On average, each mental health</w:t>
      </w:r>
      <w:r>
        <w:fldChar w:fldCharType="begin"/>
      </w:r>
      <w:r>
        <w:instrText>xe "Health"</w:instrText>
      </w:r>
      <w:r>
        <w:fldChar w:fldCharType="end"/>
      </w:r>
      <w:r>
        <w:t xml:space="preserve"> patient received more community support in 1997 (almost 36 contacts per client) than in 1994 (30 contacts). In 1998</w:t>
      </w:r>
      <w:r>
        <w:noBreakHyphen/>
        <w:t>99, this trend will continue and particular focus will be placed on developing service models particularly suited to young people (such as transitional rehabilitation in</w:t>
      </w:r>
      <w:r>
        <w:noBreakHyphen/>
        <w:t>group housing settings).</w:t>
      </w:r>
    </w:p>
    <w:p w:rsidR="00000000" w:rsidRDefault="001F233B">
      <w:r>
        <w:t>The establishment of the Forensic Health</w:t>
      </w:r>
      <w:r>
        <w:fldChar w:fldCharType="begin"/>
      </w:r>
      <w:r>
        <w:instrText>xe "Health"</w:instrText>
      </w:r>
      <w:r>
        <w:fldChar w:fldCharType="end"/>
      </w:r>
      <w:r>
        <w:t xml:space="preserve"> Institute in 1998</w:t>
      </w:r>
      <w:r>
        <w:noBreakHyphen/>
        <w:t>99 will address the lack of a secure forensic facility for the t</w:t>
      </w:r>
      <w:r>
        <w:t>reatment and monitoring of seriously mentally ill offenders and ensure they are not placed inappropriately in prisons</w:t>
      </w:r>
      <w:r>
        <w:fldChar w:fldCharType="begin"/>
      </w:r>
      <w:r>
        <w:instrText>xe "Prisons"</w:instrText>
      </w:r>
      <w:r>
        <w:fldChar w:fldCharType="end"/>
      </w:r>
      <w:r>
        <w:fldChar w:fldCharType="begin"/>
      </w:r>
      <w:r>
        <w:instrText>xe "Department of Justice:Prisons"</w:instrText>
      </w:r>
      <w:r>
        <w:fldChar w:fldCharType="end"/>
      </w:r>
      <w:r>
        <w:t>. The first stage of commissionary of this new facility will allow the closure and replacement of existing facilities at Rosanna (56 beds) and the opening of an additional service specifically designed to meet the needs of women.</w:t>
      </w:r>
    </w:p>
    <w:p w:rsidR="00000000" w:rsidRDefault="001F233B">
      <w:pPr>
        <w:pStyle w:val="Heading3"/>
      </w:pPr>
      <w:r>
        <w:t>Justice</w:t>
      </w:r>
    </w:p>
    <w:p w:rsidR="00000000" w:rsidRDefault="001F233B">
      <w:pPr>
        <w:pStyle w:val="Heading4"/>
      </w:pPr>
      <w:r>
        <w:t>Police</w:t>
      </w:r>
    </w:p>
    <w:p w:rsidR="00000000" w:rsidRDefault="001F233B">
      <w:r>
        <w:rPr>
          <w:lang w:val="en-US"/>
        </w:rPr>
        <w:t>Victoria’s 1996 major offences crime rate</w:t>
      </w:r>
      <w:r>
        <w:rPr>
          <w:lang w:val="en-US"/>
        </w:rPr>
        <w:fldChar w:fldCharType="begin"/>
      </w:r>
      <w:r>
        <w:rPr>
          <w:lang w:val="en-US"/>
        </w:rPr>
        <w:instrText>xe "Department of Justice:Crime rate"</w:instrText>
      </w:r>
      <w:r>
        <w:rPr>
          <w:lang w:val="en-US"/>
        </w:rPr>
        <w:fldChar w:fldCharType="end"/>
      </w:r>
      <w:r>
        <w:rPr>
          <w:lang w:val="en-US"/>
        </w:rPr>
        <w:t xml:space="preserve"> of 5 259 reported v</w:t>
      </w:r>
      <w:r>
        <w:rPr>
          <w:lang w:val="en-US"/>
        </w:rPr>
        <w:t>ictims per 100 000 population</w:t>
      </w:r>
      <w:r>
        <w:rPr>
          <w:lang w:val="en-US"/>
        </w:rPr>
        <w:fldChar w:fldCharType="begin"/>
      </w:r>
      <w:r>
        <w:rPr>
          <w:lang w:val="en-US"/>
        </w:rPr>
        <w:instrText>xe "Economy:Population"</w:instrText>
      </w:r>
      <w:r>
        <w:rPr>
          <w:lang w:val="en-US"/>
        </w:rPr>
        <w:fldChar w:fldCharType="end"/>
      </w:r>
      <w:r>
        <w:rPr>
          <w:lang w:val="en-US"/>
        </w:rPr>
        <w:t xml:space="preserve"> was the lowest of all Australian States. Victoria’s crime rate, at 6 497 reported victims per 100 000 population, was also 19 per cent below the national average rate in 1996. The rate has not increased significantly since then.</w:t>
      </w:r>
    </w:p>
    <w:p w:rsidR="00000000" w:rsidRDefault="001F233B">
      <w:pPr>
        <w:pStyle w:val="Header"/>
        <w:tabs>
          <w:tab w:val="clear" w:pos="4320"/>
          <w:tab w:val="clear" w:pos="8640"/>
        </w:tabs>
      </w:pPr>
      <w:r>
        <w:rPr>
          <w:lang w:val="en-US"/>
        </w:rPr>
        <w:t>In addition Victorian Police enjoy the highest rate of public satisfaction in Australia with 74 per cent of the Victorian public being satisfied with police effectiveness.</w:t>
      </w:r>
    </w:p>
    <w:p w:rsidR="00000000" w:rsidRDefault="001F233B">
      <w:pPr>
        <w:pStyle w:val="Heading4"/>
      </w:pPr>
      <w:r>
        <w:t>Courts</w:t>
      </w:r>
      <w:r>
        <w:fldChar w:fldCharType="begin"/>
      </w:r>
      <w:r>
        <w:instrText>xe "Department of Justice:Courts"</w:instrText>
      </w:r>
      <w:r>
        <w:fldChar w:fldCharType="end"/>
      </w:r>
    </w:p>
    <w:p w:rsidR="00000000" w:rsidRDefault="001F233B">
      <w:pPr>
        <w:pStyle w:val="Header"/>
        <w:tabs>
          <w:tab w:val="clear" w:pos="4320"/>
          <w:tab w:val="clear" w:pos="8640"/>
        </w:tabs>
      </w:pPr>
      <w:r>
        <w:rPr>
          <w:lang w:val="en-US"/>
        </w:rPr>
        <w:t>Victoria was t</w:t>
      </w:r>
      <w:r>
        <w:rPr>
          <w:lang w:val="en-US"/>
        </w:rPr>
        <w:t>he second highest in Australia in terms of the volume of activity coming into the court system with 737 400 new matters coming into the court system in 1996</w:t>
      </w:r>
      <w:r>
        <w:rPr>
          <w:lang w:val="en-US"/>
        </w:rPr>
        <w:noBreakHyphen/>
        <w:t>97.</w:t>
      </w:r>
    </w:p>
    <w:p w:rsidR="00000000" w:rsidRDefault="001F233B">
      <w:r>
        <w:rPr>
          <w:lang w:val="en-US"/>
        </w:rPr>
        <w:t>The Victorian Magistrates Court had the highest rate of finalisation of civil matters within six months in Australia in 1996</w:t>
      </w:r>
      <w:r>
        <w:rPr>
          <w:lang w:val="en-US"/>
        </w:rPr>
        <w:noBreakHyphen/>
        <w:t>97. At the same time the Supreme and County Courts</w:t>
      </w:r>
      <w:r>
        <w:rPr>
          <w:lang w:val="en-US"/>
        </w:rPr>
        <w:fldChar w:fldCharType="begin"/>
      </w:r>
      <w:r>
        <w:rPr>
          <w:lang w:val="en-US"/>
        </w:rPr>
        <w:instrText>xe "Department of Justice:Courts"</w:instrText>
      </w:r>
      <w:r>
        <w:rPr>
          <w:lang w:val="en-US"/>
        </w:rPr>
        <w:fldChar w:fldCharType="end"/>
      </w:r>
      <w:r>
        <w:rPr>
          <w:lang w:val="en-US"/>
        </w:rPr>
        <w:t xml:space="preserve"> were above the national average for civil cases.</w:t>
      </w:r>
    </w:p>
    <w:p w:rsidR="00000000" w:rsidRDefault="001F233B">
      <w:pPr>
        <w:pStyle w:val="Heading4"/>
      </w:pPr>
      <w:r>
        <w:t>Prisons</w:t>
      </w:r>
      <w:r>
        <w:fldChar w:fldCharType="begin"/>
      </w:r>
      <w:r>
        <w:instrText>xe "Prisons"</w:instrText>
      </w:r>
      <w:r>
        <w:fldChar w:fldCharType="end"/>
      </w:r>
      <w:r>
        <w:fldChar w:fldCharType="begin"/>
      </w:r>
      <w:r>
        <w:instrText>xe "Department of Justice:Prisons"</w:instrText>
      </w:r>
      <w:r>
        <w:fldChar w:fldCharType="end"/>
      </w:r>
    </w:p>
    <w:p w:rsidR="00000000" w:rsidRDefault="001F233B">
      <w:r>
        <w:rPr>
          <w:lang w:val="en-US"/>
        </w:rPr>
        <w:t>In 1996</w:t>
      </w:r>
      <w:r>
        <w:rPr>
          <w:lang w:val="en-US"/>
        </w:rPr>
        <w:noBreakHyphen/>
        <w:t>97, Victoria had approxim</w:t>
      </w:r>
      <w:r>
        <w:rPr>
          <w:lang w:val="en-US"/>
        </w:rPr>
        <w:t>ately 70 per cent of its prisoners employed in some kind of commercial business activity or internal prison service, which compared well with other jurisdictions. This has since risen to around 80 per cent. Victoria also has a commendable record in minimising escapes with only 0.5 per 100 prisoner years in 1996</w:t>
      </w:r>
      <w:r>
        <w:rPr>
          <w:lang w:val="en-US"/>
        </w:rPr>
        <w:noBreakHyphen/>
        <w:t>97 being the lowest of all Australian States. In relation to the key effectiveness indicator of re</w:t>
      </w:r>
      <w:r>
        <w:rPr>
          <w:lang w:val="en-US"/>
        </w:rPr>
        <w:noBreakHyphen/>
        <w:t>offending or recidivism, Victoria is broadly in line with other States at 35 per cent of prisoners r</w:t>
      </w:r>
      <w:r>
        <w:rPr>
          <w:lang w:val="en-US"/>
        </w:rPr>
        <w:t>e</w:t>
      </w:r>
      <w:r>
        <w:rPr>
          <w:lang w:val="en-US"/>
        </w:rPr>
        <w:noBreakHyphen/>
        <w:t>offending.</w:t>
      </w:r>
    </w:p>
    <w:p w:rsidR="00000000" w:rsidRDefault="001F233B">
      <w:pPr>
        <w:pStyle w:val="Heading3"/>
      </w:pPr>
      <w:r>
        <w:t>Infrastructure</w:t>
      </w:r>
      <w:r>
        <w:fldChar w:fldCharType="begin"/>
      </w:r>
      <w:r>
        <w:instrText>xe "Economy:Infrastructure"</w:instrText>
      </w:r>
      <w:r>
        <w:fldChar w:fldCharType="end"/>
      </w:r>
    </w:p>
    <w:p w:rsidR="00000000" w:rsidRDefault="001F233B">
      <w:pPr>
        <w:pStyle w:val="Heading4"/>
      </w:pPr>
      <w:r>
        <w:t>Transport</w:t>
      </w:r>
      <w:r>
        <w:fldChar w:fldCharType="begin"/>
      </w:r>
      <w:r>
        <w:instrText>xe "Transport"</w:instrText>
      </w:r>
      <w:r>
        <w:fldChar w:fldCharType="end"/>
      </w:r>
    </w:p>
    <w:p w:rsidR="00000000" w:rsidRDefault="001F233B">
      <w:r>
        <w:rPr>
          <w:lang w:val="en-US"/>
        </w:rPr>
        <w:t>Public transport</w:t>
      </w:r>
      <w:r>
        <w:rPr>
          <w:lang w:val="en-US"/>
        </w:rPr>
        <w:fldChar w:fldCharType="begin"/>
      </w:r>
      <w:r>
        <w:rPr>
          <w:lang w:val="en-US"/>
        </w:rPr>
        <w:instrText>xe "Transport"</w:instrText>
      </w:r>
      <w:r>
        <w:rPr>
          <w:lang w:val="en-US"/>
        </w:rPr>
        <w:fldChar w:fldCharType="end"/>
      </w:r>
      <w:r>
        <w:rPr>
          <w:lang w:val="en-US"/>
        </w:rPr>
        <w:t xml:space="preserve"> patronage in Melbourne has grown by 8.5 per cent since 1993</w:t>
      </w:r>
      <w:r>
        <w:rPr>
          <w:lang w:val="en-US"/>
        </w:rPr>
        <w:noBreakHyphen/>
        <w:t>94, returning to its historically high levels. Reliability of train services has also increased steadily over the past five years with 95 per cent of train services arriving/departing within five minutes of scheduled time during 1996</w:t>
      </w:r>
      <w:r>
        <w:rPr>
          <w:lang w:val="en-US"/>
        </w:rPr>
        <w:noBreakHyphen/>
        <w:t>97. At the same time, public transport costs</w:t>
      </w:r>
      <w:r>
        <w:rPr>
          <w:lang w:val="en-US"/>
        </w:rPr>
        <w:fldChar w:fldCharType="begin"/>
      </w:r>
      <w:r>
        <w:rPr>
          <w:lang w:val="en-US"/>
        </w:rPr>
        <w:instrText>xe "Department of Infrastructure:Public transport costs"</w:instrText>
      </w:r>
      <w:r>
        <w:rPr>
          <w:lang w:val="en-US"/>
        </w:rPr>
        <w:fldChar w:fldCharType="end"/>
      </w:r>
      <w:r>
        <w:rPr>
          <w:lang w:val="en-US"/>
        </w:rPr>
        <w:t xml:space="preserve"> have fallen by some $245 million since 1991</w:t>
      </w:r>
      <w:r>
        <w:rPr>
          <w:lang w:val="en-US"/>
        </w:rPr>
        <w:noBreakHyphen/>
        <w:t xml:space="preserve">92. However, despite progress in these areas there is great potential to deliver a higher quality, lower cost public transport service to the community. (For further details of public transport reform measures see Chapter 8, </w:t>
      </w:r>
      <w:r>
        <w:rPr>
          <w:i/>
          <w:lang w:val="en-US"/>
        </w:rPr>
        <w:t>Competitive Victoria</w:t>
      </w:r>
      <w:r>
        <w:rPr>
          <w:lang w:val="en-US"/>
        </w:rPr>
        <w:t>.)</w:t>
      </w:r>
    </w:p>
    <w:p w:rsidR="00000000" w:rsidRDefault="001F233B">
      <w:pPr>
        <w:pStyle w:val="Heading4"/>
      </w:pPr>
      <w:r>
        <w:t>Roads</w:t>
      </w:r>
      <w:r>
        <w:fldChar w:fldCharType="begin"/>
      </w:r>
      <w:r>
        <w:instrText>xe "Roads"</w:instrText>
      </w:r>
      <w:r>
        <w:fldChar w:fldCharType="end"/>
      </w:r>
    </w:p>
    <w:p w:rsidR="00000000" w:rsidRDefault="001F233B">
      <w:r>
        <w:rPr>
          <w:lang w:val="en-US"/>
        </w:rPr>
        <w:t>Victoria’s road construction projects in recent years compare favourably with other States in terms of achieving the costs and benefits targeted in project proposals with Victoria generating some of th</w:t>
      </w:r>
      <w:r>
        <w:rPr>
          <w:lang w:val="en-US"/>
        </w:rPr>
        <w:t>e highest benefits in road projects of all States. Victoria also compares favourably with New South Wales in both efficiency and effectiveness of road maintenance expenditure.</w:t>
      </w:r>
    </w:p>
    <w:p w:rsidR="00000000" w:rsidRDefault="001F233B">
      <w:pPr>
        <w:pStyle w:val="Header"/>
        <w:tabs>
          <w:tab w:val="clear" w:pos="4320"/>
          <w:tab w:val="clear" w:pos="8640"/>
        </w:tabs>
        <w:rPr>
          <w:lang w:val="en-US"/>
        </w:rPr>
      </w:pPr>
      <w:r>
        <w:rPr>
          <w:lang w:val="en-US"/>
        </w:rPr>
        <w:t>In terms of road safety Victoria is also commendable on a national level with the lowest road fatalities per 100 million vehicle kilometres of all States. The success of the Victorian partnership between VicRoads</w:t>
      </w:r>
      <w:r>
        <w:rPr>
          <w:lang w:val="en-US"/>
        </w:rPr>
        <w:fldChar w:fldCharType="begin"/>
      </w:r>
      <w:r>
        <w:rPr>
          <w:lang w:val="en-US"/>
        </w:rPr>
        <w:instrText>xe "VicRoads"</w:instrText>
      </w:r>
      <w:r>
        <w:rPr>
          <w:lang w:val="en-US"/>
        </w:rPr>
        <w:fldChar w:fldCharType="end"/>
      </w:r>
      <w:r>
        <w:rPr>
          <w:lang w:val="en-US"/>
        </w:rPr>
        <w:t>, the Transport</w:t>
      </w:r>
      <w:r>
        <w:rPr>
          <w:lang w:val="en-US"/>
        </w:rPr>
        <w:fldChar w:fldCharType="begin"/>
      </w:r>
      <w:r>
        <w:rPr>
          <w:lang w:val="en-US"/>
        </w:rPr>
        <w:instrText>xe "Transport"</w:instrText>
      </w:r>
      <w:r>
        <w:rPr>
          <w:lang w:val="en-US"/>
        </w:rPr>
        <w:fldChar w:fldCharType="end"/>
      </w:r>
      <w:r>
        <w:rPr>
          <w:lang w:val="en-US"/>
        </w:rPr>
        <w:t xml:space="preserve"> Accident Commission</w:t>
      </w:r>
      <w:r>
        <w:rPr>
          <w:lang w:val="en-US"/>
        </w:rPr>
        <w:fldChar w:fldCharType="begin"/>
      </w:r>
      <w:r>
        <w:rPr>
          <w:lang w:val="en-US"/>
        </w:rPr>
        <w:instrText>xe "Public authority income:Transport Accident Commission</w:instrText>
      </w:r>
      <w:r>
        <w:rPr>
          <w:lang w:val="en-US"/>
        </w:rPr>
        <w:instrText>"</w:instrText>
      </w:r>
      <w:r>
        <w:rPr>
          <w:lang w:val="en-US"/>
        </w:rPr>
        <w:fldChar w:fldCharType="end"/>
      </w:r>
      <w:r>
        <w:rPr>
          <w:lang w:val="en-US"/>
        </w:rPr>
        <w:t xml:space="preserve"> and Victoria Police</w:t>
      </w:r>
      <w:r>
        <w:rPr>
          <w:lang w:val="en-US"/>
        </w:rPr>
        <w:fldChar w:fldCharType="begin"/>
      </w:r>
      <w:r>
        <w:rPr>
          <w:lang w:val="en-US"/>
        </w:rPr>
        <w:instrText>xe "Department of Justice:Police"</w:instrText>
      </w:r>
      <w:r>
        <w:rPr>
          <w:lang w:val="en-US"/>
        </w:rPr>
        <w:fldChar w:fldCharType="end"/>
      </w:r>
      <w:r>
        <w:rPr>
          <w:lang w:val="en-US"/>
        </w:rPr>
        <w:t xml:space="preserve"> in implementing the State’s road safety strategy was recognised by a Prime Minister’s Award for innovation in 1997.</w:t>
      </w:r>
    </w:p>
    <w:p w:rsidR="00000000" w:rsidRDefault="001F233B">
      <w:pPr>
        <w:pStyle w:val="Heading4"/>
      </w:pPr>
      <w:r>
        <w:t>Local Government</w:t>
      </w:r>
      <w:r>
        <w:fldChar w:fldCharType="begin"/>
      </w:r>
      <w:r>
        <w:instrText>xe "Local Government"</w:instrText>
      </w:r>
      <w:r>
        <w:fldChar w:fldCharType="end"/>
      </w:r>
    </w:p>
    <w:p w:rsidR="00000000" w:rsidRDefault="001F233B">
      <w:r>
        <w:rPr>
          <w:lang w:val="en-US"/>
        </w:rPr>
        <w:t>At the end of the 1996</w:t>
      </w:r>
      <w:r>
        <w:rPr>
          <w:lang w:val="en-US"/>
        </w:rPr>
        <w:noBreakHyphen/>
        <w:t>97 financial year $1 450 million of local government</w:t>
      </w:r>
      <w:r>
        <w:rPr>
          <w:lang w:val="en-US"/>
        </w:rPr>
        <w:fldChar w:fldCharType="begin"/>
      </w:r>
      <w:r>
        <w:rPr>
          <w:lang w:val="en-US"/>
        </w:rPr>
        <w:instrText>xe "Local Government"</w:instrText>
      </w:r>
      <w:r>
        <w:rPr>
          <w:lang w:val="en-US"/>
        </w:rPr>
        <w:fldChar w:fldCharType="end"/>
      </w:r>
      <w:r>
        <w:rPr>
          <w:lang w:val="en-US"/>
        </w:rPr>
        <w:t xml:space="preserve"> work had been market tested. This represents about 56 per cent of the aggregate operating expenditure of all Victorian councils.</w:t>
      </w:r>
    </w:p>
    <w:p w:rsidR="00000000" w:rsidRDefault="001F233B">
      <w:pPr>
        <w:pStyle w:val="Heading3"/>
      </w:pPr>
      <w:r>
        <w:t>Natural Resources and Environment</w:t>
      </w:r>
      <w:r>
        <w:fldChar w:fldCharType="begin"/>
      </w:r>
      <w:r>
        <w:instrText xml:space="preserve">xe "Department of Natural Resources </w:instrText>
      </w:r>
      <w:r>
        <w:instrText>and Environment"</w:instrText>
      </w:r>
      <w:r>
        <w:fldChar w:fldCharType="end"/>
      </w:r>
    </w:p>
    <w:p w:rsidR="00000000" w:rsidRDefault="001F233B">
      <w:pPr>
        <w:pStyle w:val="Heading4"/>
      </w:pPr>
      <w:r>
        <w:t>Parks</w:t>
      </w:r>
    </w:p>
    <w:p w:rsidR="00000000" w:rsidRDefault="001F233B">
      <w:pPr>
        <w:pStyle w:val="Header"/>
        <w:tabs>
          <w:tab w:val="clear" w:pos="4320"/>
          <w:tab w:val="clear" w:pos="8640"/>
        </w:tabs>
      </w:pPr>
      <w:r>
        <w:t>Victoria’s parks contain eight of the State’s top 15 tourist attractions. They contribute significantly to regional employment</w:t>
      </w:r>
      <w:r>
        <w:fldChar w:fldCharType="begin"/>
      </w:r>
      <w:r>
        <w:instrText>xe "Economy:Employment"</w:instrText>
      </w:r>
      <w:r>
        <w:fldChar w:fldCharType="end"/>
      </w:r>
      <w:r>
        <w:t xml:space="preserve"> and generate around $1 billion a year in tourism</w:t>
      </w:r>
      <w:r>
        <w:fldChar w:fldCharType="begin"/>
      </w:r>
      <w:r>
        <w:instrText>xe "Tourism"</w:instrText>
      </w:r>
      <w:r>
        <w:fldChar w:fldCharType="end"/>
      </w:r>
      <w:r>
        <w:t xml:space="preserve"> over the last 12 months. In excess of 80 per cent of Victorians visited our National, State or Metropolitan parks or one of the piers on Port Phillip or Westernport Bays.</w:t>
      </w:r>
    </w:p>
    <w:p w:rsidR="00000000" w:rsidRDefault="001F233B">
      <w:pPr>
        <w:pStyle w:val="Heading4"/>
      </w:pPr>
      <w:r>
        <w:t>Water</w:t>
      </w:r>
    </w:p>
    <w:p w:rsidR="00000000" w:rsidRDefault="001F233B">
      <w:r>
        <w:t>Non metropolitan urban water authorities</w:t>
      </w:r>
      <w:r>
        <w:fldChar w:fldCharType="begin"/>
      </w:r>
      <w:r>
        <w:instrText>xe "Department of Natural Resources and Environment:Urb</w:instrText>
      </w:r>
      <w:r>
        <w:instrText>an water authorities"</w:instrText>
      </w:r>
      <w:r>
        <w:fldChar w:fldCharType="end"/>
      </w:r>
      <w:r>
        <w:t xml:space="preserve"> have been reduced to 15 in 1997. Accompanying these reforms has been a rise in the number of country water supplies meeting World Health</w:t>
      </w:r>
      <w:r>
        <w:fldChar w:fldCharType="begin"/>
      </w:r>
      <w:r>
        <w:instrText>xe "Health"</w:instrText>
      </w:r>
      <w:r>
        <w:fldChar w:fldCharType="end"/>
      </w:r>
      <w:r>
        <w:t xml:space="preserve"> Organisation quality standards from 27 per cent to 60 per cent, and the near elimination of untreated sewage discharge to ocean outfalls. Water authorities have improved their efficiency by more than 20 per cent or $100 million per year since 1992. </w:t>
      </w:r>
    </w:p>
    <w:p w:rsidR="00000000" w:rsidRDefault="001F233B">
      <w:pPr>
        <w:pStyle w:val="Heading3"/>
      </w:pPr>
      <w:r>
        <w:t>State Development</w:t>
      </w:r>
    </w:p>
    <w:p w:rsidR="00000000" w:rsidRDefault="001F233B">
      <w:pPr>
        <w:pStyle w:val="Heading4"/>
      </w:pPr>
      <w:r>
        <w:t>Business development</w:t>
      </w:r>
      <w:r>
        <w:fldChar w:fldCharType="begin"/>
      </w:r>
      <w:r>
        <w:instrText>xe "Department of State Development:Business devel</w:instrText>
      </w:r>
      <w:r>
        <w:instrText>opment"</w:instrText>
      </w:r>
      <w:r>
        <w:fldChar w:fldCharType="end"/>
      </w:r>
    </w:p>
    <w:p w:rsidR="00000000" w:rsidRDefault="001F233B">
      <w:r>
        <w:t>In 1996</w:t>
      </w:r>
      <w:r>
        <w:noBreakHyphen/>
        <w:t>97 Business Victoria and Multimedia Victoria</w:t>
      </w:r>
      <w:r>
        <w:fldChar w:fldCharType="begin"/>
      </w:r>
      <w:r>
        <w:instrText>xe "Multimedia Victoria"</w:instrText>
      </w:r>
      <w:r>
        <w:fldChar w:fldCharType="end"/>
      </w:r>
      <w:r>
        <w:t xml:space="preserve"> assisted 57 significant projects and a range of smaller investment</w:t>
      </w:r>
      <w:r>
        <w:fldChar w:fldCharType="begin"/>
      </w:r>
      <w:r>
        <w:instrText>xe "Economy:Investment"</w:instrText>
      </w:r>
      <w:r>
        <w:fldChar w:fldCharType="end"/>
      </w:r>
      <w:r>
        <w:t xml:space="preserve"> projects for projected new investments totalling $1 457 million. </w:t>
      </w:r>
      <w:r>
        <w:fldChar w:fldCharType="begin"/>
      </w:r>
      <w:r>
        <w:instrText>xe "Economy:Exports"</w:instrText>
      </w:r>
      <w:r>
        <w:fldChar w:fldCharType="end"/>
      </w:r>
      <w:r>
        <w:t>Of these projects, 34 per cent were in rural Victoria.</w:t>
      </w:r>
    </w:p>
    <w:p w:rsidR="00000000" w:rsidRDefault="001F233B">
      <w:pPr>
        <w:pStyle w:val="Heading4"/>
      </w:pPr>
      <w:r>
        <w:t>Regulation</w:t>
      </w:r>
      <w:r>
        <w:fldChar w:fldCharType="begin"/>
      </w:r>
      <w:r>
        <w:instrText>xe "Regulation"</w:instrText>
      </w:r>
      <w:r>
        <w:fldChar w:fldCharType="end"/>
      </w:r>
      <w:r>
        <w:t xml:space="preserve"> reform</w:t>
      </w:r>
      <w:r>
        <w:fldChar w:fldCharType="begin"/>
      </w:r>
      <w:r>
        <w:instrText>xe "Department of State Development:Regulation reform"</w:instrText>
      </w:r>
      <w:r>
        <w:fldChar w:fldCharType="end"/>
      </w:r>
    </w:p>
    <w:p w:rsidR="00000000" w:rsidRDefault="001F233B">
      <w:r>
        <w:t>Significant reduction in regulation</w:t>
      </w:r>
      <w:r>
        <w:fldChar w:fldCharType="begin"/>
      </w:r>
      <w:r>
        <w:instrText>xe "Regulation"</w:instrText>
      </w:r>
      <w:r>
        <w:fldChar w:fldCharType="end"/>
      </w:r>
      <w:r>
        <w:t xml:space="preserve"> has been achieved over the past few years in t</w:t>
      </w:r>
      <w:r>
        <w:t>he number of existing regulations and new regulations introduced. The number of regulations have fallen 60.2 per cent from 1 241 in 1987 to 494 in 1996. At the same time, the number of new regulations introduced each year has fallen by 40.3 per cent from 278 in 1993 to 166 in 1996. The total of 869 regulations introduced between 1993 and 1996 was 43.8 per cent lower than 1 546 introduced between 1989 to 1992. Additionally, during 1996, a regulation reform</w:t>
      </w:r>
      <w:r>
        <w:fldChar w:fldCharType="begin"/>
      </w:r>
      <w:r>
        <w:instrText>xe "Department of State Development:Regulation refor</w:instrText>
      </w:r>
      <w:r>
        <w:instrText>m"</w:instrText>
      </w:r>
      <w:r>
        <w:fldChar w:fldCharType="end"/>
      </w:r>
      <w:r>
        <w:t xml:space="preserve"> strategy based on sectoral reviews was developed followed by a regulatory review of the tourism</w:t>
      </w:r>
      <w:r>
        <w:fldChar w:fldCharType="begin"/>
      </w:r>
      <w:r>
        <w:instrText>xe "Tourism"</w:instrText>
      </w:r>
      <w:r>
        <w:fldChar w:fldCharType="end"/>
      </w:r>
      <w:r>
        <w:t xml:space="preserve"> industry which was completed at the end of 1997.</w:t>
      </w:r>
    </w:p>
    <w:p w:rsidR="00000000" w:rsidRDefault="001F233B">
      <w:pPr>
        <w:pStyle w:val="Heading4"/>
      </w:pPr>
      <w:r>
        <w:t>Tourism</w:t>
      </w:r>
      <w:r>
        <w:fldChar w:fldCharType="begin"/>
      </w:r>
      <w:r>
        <w:instrText>xe "Tourism"</w:instrText>
      </w:r>
      <w:r>
        <w:fldChar w:fldCharType="end"/>
      </w:r>
    </w:p>
    <w:p w:rsidR="00000000" w:rsidRDefault="001F233B">
      <w:r>
        <w:t>Tourism</w:t>
      </w:r>
      <w:r>
        <w:fldChar w:fldCharType="begin"/>
      </w:r>
      <w:r>
        <w:instrText>xe "Tourism"</w:instrText>
      </w:r>
      <w:r>
        <w:fldChar w:fldCharType="end"/>
      </w:r>
      <w:r>
        <w:t xml:space="preserve"> Victoria has been successful in marketing Victoria both domestically and overseas. Following a significant decline in 1994, the number of international visitor nights to Victoria has grown at an average annual rate of 22.0 per cent over the period 1994 to 1997. This compares with average annual growth ra</w:t>
      </w:r>
      <w:r>
        <w:t>tes of 11.9 per cent in New South Wales and 7.8 per cent in Queensland during the same period. Over the same four</w:t>
      </w:r>
      <w:r>
        <w:noBreakHyphen/>
        <w:t>year period, Victoria’s market share has increased at the expense of the more popular northern States, in particular Queensland.</w:t>
      </w:r>
    </w:p>
    <w:p w:rsidR="00000000" w:rsidRDefault="001F233B">
      <w:pPr>
        <w:pStyle w:val="Heading4"/>
      </w:pPr>
      <w:r>
        <w:t>Sport and recreation</w:t>
      </w:r>
    </w:p>
    <w:p w:rsidR="00000000" w:rsidRDefault="001F233B">
      <w:r>
        <w:t>Victoria’s sport and recreation industry has recorded a decade of pace setting employment</w:t>
      </w:r>
      <w:r>
        <w:fldChar w:fldCharType="begin"/>
      </w:r>
      <w:r>
        <w:instrText>xe "Economy:Employment"</w:instrText>
      </w:r>
      <w:r>
        <w:fldChar w:fldCharType="end"/>
      </w:r>
      <w:r>
        <w:t xml:space="preserve"> growth, growing at around five times the growth rate averaged by all Victorian industry. Increased physical activity generates substa</w:t>
      </w:r>
      <w:r>
        <w:t>ntial benefits for the community by improving health</w:t>
      </w:r>
      <w:r>
        <w:fldChar w:fldCharType="begin"/>
      </w:r>
      <w:r>
        <w:instrText>xe "Health"</w:instrText>
      </w:r>
      <w:r>
        <w:fldChar w:fldCharType="end"/>
      </w:r>
      <w:r>
        <w:t xml:space="preserve"> and reducing medical and associated health costs.</w:t>
      </w:r>
    </w:p>
    <w:p w:rsidR="00000000" w:rsidRDefault="001F233B">
      <w:pPr>
        <w:pStyle w:val="Header"/>
        <w:tabs>
          <w:tab w:val="clear" w:pos="4320"/>
          <w:tab w:val="clear" w:pos="8640"/>
        </w:tabs>
      </w:pPr>
      <w:r>
        <w:t xml:space="preserve">Major sporting events staged in Victoria in 1997 are estimated to have directly stimulated the economy by in excess of $500 million, with events held in Victoria accounting for four of the ‘top 5’ national sporting events. </w:t>
      </w:r>
    </w:p>
    <w:p w:rsidR="00000000" w:rsidRDefault="001F233B">
      <w:pPr>
        <w:pStyle w:val="Header"/>
        <w:tabs>
          <w:tab w:val="clear" w:pos="4320"/>
          <w:tab w:val="clear" w:pos="8640"/>
        </w:tabs>
        <w:sectPr w:rsidR="00000000">
          <w:headerReference w:type="even" r:id="rId43"/>
          <w:footerReference w:type="even" r:id="rId44"/>
          <w:footerReference w:type="default" r:id="rId45"/>
          <w:type w:val="oddPage"/>
          <w:pgSz w:w="11907" w:h="16840" w:code="9"/>
          <w:pgMar w:top="1440" w:right="3402" w:bottom="4082" w:left="1418" w:header="720" w:footer="4253" w:gutter="0"/>
          <w:cols w:space="720"/>
        </w:sectPr>
      </w:pPr>
    </w:p>
    <w:p w:rsidR="00000000" w:rsidRDefault="001F233B">
      <w:pPr>
        <w:sectPr w:rsidR="00000000">
          <w:headerReference w:type="even" r:id="rId46"/>
          <w:footerReference w:type="even" r:id="rId47"/>
          <w:footerReference w:type="default" r:id="rId48"/>
          <w:type w:val="continuous"/>
          <w:pgSz w:w="11907" w:h="16840" w:code="9"/>
          <w:pgMar w:top="1440" w:right="3402" w:bottom="4082" w:left="1418" w:header="720" w:footer="4253" w:gutter="0"/>
          <w:cols w:space="720"/>
        </w:sectPr>
      </w:pPr>
    </w:p>
    <w:p w:rsidR="00000000" w:rsidRDefault="001F233B">
      <w:pPr>
        <w:pStyle w:val="Heading1"/>
      </w:pPr>
      <w:bookmarkStart w:id="86" w:name="_Toc417119845"/>
      <w:bookmarkStart w:id="87" w:name="_Toc417552085"/>
      <w:r>
        <w:t>Chapter 5: Revenue</w:t>
      </w:r>
      <w:bookmarkEnd w:id="86"/>
      <w:bookmarkEnd w:id="87"/>
    </w:p>
    <w:p w:rsidR="00000000" w:rsidRDefault="001F233B">
      <w:pPr>
        <w:pStyle w:val="Heading2"/>
      </w:pPr>
      <w:bookmarkStart w:id="88" w:name="_Toc417119846"/>
      <w:bookmarkStart w:id="89" w:name="_Toc417552086"/>
      <w:r>
        <w:t>Introduction</w:t>
      </w:r>
      <w:bookmarkEnd w:id="88"/>
      <w:bookmarkEnd w:id="89"/>
    </w:p>
    <w:p w:rsidR="00000000" w:rsidRDefault="001F233B">
      <w:r>
        <w:t>The $209 million reduction in payroll and fuel tax</w:t>
      </w:r>
      <w:r>
        <w:fldChar w:fldCharType="begin"/>
      </w:r>
      <w:r>
        <w:instrText>xe "Tax:Fuel tax"</w:instrText>
      </w:r>
      <w:r>
        <w:fldChar w:fldCharType="end"/>
      </w:r>
      <w:r>
        <w:t>es announced in the 1997</w:t>
      </w:r>
      <w:r>
        <w:noBreakHyphen/>
        <w:t>98 Budget, and the major reforms to land tax</w:t>
      </w:r>
      <w:r>
        <w:t xml:space="preserve"> subsequently announced in Spring 1997, took Victoria a significant way towards bringing its overall revenue</w:t>
      </w:r>
      <w:r>
        <w:noBreakHyphen/>
        <w:t>raising effort into alignment with the average of the Australian States. Tax increases in New South Wales and some other States meant that Victoria’s tax burden fell well below that of New South Wales and within $350 million of the State/Territory average.</w:t>
      </w:r>
    </w:p>
    <w:p w:rsidR="00000000" w:rsidRDefault="001F233B">
      <w:r>
        <w:t>The 1998</w:t>
      </w:r>
      <w:r>
        <w:noBreakHyphen/>
        <w:t>99 Budget provides for a further $132 million in tax cuts which will further improve the competitiveness</w:t>
      </w:r>
      <w:r>
        <w:fldChar w:fldCharType="begin"/>
      </w:r>
      <w:r>
        <w:instrText>xe "Competitiveness"</w:instrText>
      </w:r>
      <w:r>
        <w:fldChar w:fldCharType="end"/>
      </w:r>
      <w:r>
        <w:t xml:space="preserve"> of Victori</w:t>
      </w:r>
      <w:r>
        <w:t>an firms and will bring relief to home</w:t>
      </w:r>
      <w:r>
        <w:noBreakHyphen/>
        <w:t>buyers. This will reduce Victoria’s revenue</w:t>
      </w:r>
      <w:r>
        <w:noBreakHyphen/>
        <w:t xml:space="preserve">raising effort to an estimated $350 million below that of New South Wales and reduce the gap between Victoria and the average of the States to an estimated $220 million </w:t>
      </w:r>
      <w:r>
        <w:noBreakHyphen/>
        <w:t xml:space="preserve"> down from $900 million just three years ago. </w:t>
      </w:r>
    </w:p>
    <w:p w:rsidR="00000000" w:rsidRDefault="001F233B">
      <w:r>
        <w:t>Revenue safety net arrangements negotiated between the States and the Commonwealth averted major revenue losses during 1997</w:t>
      </w:r>
      <w:r>
        <w:noBreakHyphen/>
        <w:t>98 following a High Court ruling which led to the loss of State and Territory business f</w:t>
      </w:r>
      <w:r>
        <w:t>ranchise fees</w:t>
      </w:r>
      <w:r>
        <w:fldChar w:fldCharType="begin"/>
      </w:r>
      <w:r>
        <w:instrText>xe "Franchise fees:Business"</w:instrText>
      </w:r>
      <w:r>
        <w:fldChar w:fldCharType="end"/>
      </w:r>
      <w:r>
        <w:t xml:space="preserve"> on tobacco, fuel and alcohol. Since 6 August 1997, the Commonwealth has collected equivalent revenues on these products on behalf of the States and Territories. </w:t>
      </w:r>
    </w:p>
    <w:p w:rsidR="00000000" w:rsidRDefault="001F233B">
      <w:r>
        <w:t>Although the loss of franchise fees will result in some one</w:t>
      </w:r>
      <w:r>
        <w:noBreakHyphen/>
        <w:t>off revenue losses in 1997</w:t>
      </w:r>
      <w:r>
        <w:noBreakHyphen/>
        <w:t>98, this will be more than offset by gains from other sources. A strong recovery in Victorian property markets has contributed to stronger than expected revenue gains this year and in 1998</w:t>
      </w:r>
      <w:r>
        <w:noBreakHyphen/>
        <w:t>99.</w:t>
      </w:r>
    </w:p>
    <w:p w:rsidR="00000000" w:rsidRDefault="001F233B">
      <w:r>
        <w:t>Importantly, these cyclica</w:t>
      </w:r>
      <w:r>
        <w:t>l revenue gains will not be relied upon to finance this year’s tax cuts, which have been made possible by the improvement in the underlying budget position</w:t>
      </w:r>
      <w:r>
        <w:fldChar w:fldCharType="begin"/>
      </w:r>
      <w:r>
        <w:instrText>xe "Budget:Position"</w:instrText>
      </w:r>
      <w:r>
        <w:fldChar w:fldCharType="end"/>
      </w:r>
      <w:r>
        <w:t xml:space="preserve"> achieved through debt reduction and service delivery</w:t>
      </w:r>
      <w:r>
        <w:fldChar w:fldCharType="begin"/>
      </w:r>
      <w:r>
        <w:instrText>xe "Service delivery"</w:instrText>
      </w:r>
      <w:r>
        <w:fldChar w:fldCharType="end"/>
      </w:r>
      <w:r>
        <w:t xml:space="preserve"> reforms</w:t>
      </w:r>
      <w:r>
        <w:fldChar w:fldCharType="begin"/>
      </w:r>
      <w:r>
        <w:instrText>xe "Service delivery:Service delivery reforms"</w:instrText>
      </w:r>
      <w:r>
        <w:fldChar w:fldCharType="end"/>
      </w:r>
      <w:r>
        <w:t>.</w:t>
      </w:r>
    </w:p>
    <w:p w:rsidR="00000000" w:rsidRDefault="001F233B">
      <w:r>
        <w:t>Relative to the original Budget estimate of $11 292.3 million, State own</w:t>
      </w:r>
      <w:r>
        <w:noBreakHyphen/>
        <w:t>source revenues, excluding privatisation</w:t>
      </w:r>
      <w:r>
        <w:fldChar w:fldCharType="begin"/>
      </w:r>
      <w:r>
        <w:instrText>xe "Privatisation"</w:instrText>
      </w:r>
      <w:r>
        <w:fldChar w:fldCharType="end"/>
      </w:r>
      <w:r>
        <w:t xml:space="preserve"> receipts, are now expected to be $11 475.3 million, an upward revis</w:t>
      </w:r>
      <w:r>
        <w:t xml:space="preserve">ion of $183 million or 1.6 per cent. </w:t>
      </w:r>
    </w:p>
    <w:p w:rsidR="00000000" w:rsidRDefault="001F233B">
      <w:r>
        <w:t>Privatisations during the year to date have yielded additional one</w:t>
      </w:r>
      <w:r>
        <w:noBreakHyphen/>
        <w:t>off receipts totalling $199.7 million, comprised of $15.1 million in stamp duties, $178.7 million in additional tax equivalent payments, and $6 million in earned land rent.</w:t>
      </w:r>
    </w:p>
    <w:p w:rsidR="00000000" w:rsidRDefault="001F233B">
      <w:r>
        <w:t>After allowing for the tax cuts announced in this Budget, revenue from all State sources (including sales of goods and services) is projected to increase to $11 641.4 million in 1998</w:t>
      </w:r>
      <w:r>
        <w:noBreakHyphen/>
        <w:t>99, an increase of $166.1 million or 1.4 per cent o</w:t>
      </w:r>
      <w:r>
        <w:t>n the revised 1997</w:t>
      </w:r>
      <w:r>
        <w:noBreakHyphen/>
        <w:t>98 estimate. Thereafter, revenues are projected to grow at an annual average rate of 0.9 per cent to June 2002 (Table 5.1)</w:t>
      </w:r>
    </w:p>
    <w:p w:rsidR="00000000" w:rsidRDefault="001F233B">
      <w:pPr>
        <w:pStyle w:val="Tableheading"/>
        <w:keepNext/>
        <w:jc w:val="both"/>
      </w:pPr>
      <w:bookmarkStart w:id="90" w:name="_Toc417119995"/>
      <w:bookmarkStart w:id="91" w:name="_Toc417552753"/>
      <w:r>
        <w:t>Table 5.1: Revenue Estimates 1997</w:t>
      </w:r>
      <w:r>
        <w:noBreakHyphen/>
        <w:t>98 (revised), 1998</w:t>
      </w:r>
      <w:r>
        <w:noBreakHyphen/>
        <w:t>99 Budget and Forward Estimates to 2001</w:t>
      </w:r>
      <w:r>
        <w:noBreakHyphen/>
        <w:t>02</w:t>
      </w:r>
      <w:bookmarkEnd w:id="90"/>
      <w:bookmarkEnd w:id="91"/>
    </w:p>
    <w:p w:rsidR="00000000" w:rsidRDefault="001F233B">
      <w:pPr>
        <w:keepNext/>
        <w:spacing w:after="0"/>
        <w:jc w:val="center"/>
        <w:rPr>
          <w:rFonts w:ascii="Arial" w:hAnsi="Arial"/>
          <w:i/>
          <w:noProof/>
          <w:sz w:val="18"/>
        </w:rPr>
      </w:pPr>
      <w:r>
        <w:rPr>
          <w:rFonts w:ascii="Arial" w:hAnsi="Arial"/>
          <w:i/>
          <w:sz w:val="18"/>
        </w:rPr>
        <w:t>($ million)</w:t>
      </w:r>
    </w:p>
    <w:tbl>
      <w:tblPr>
        <w:tblW w:w="0" w:type="auto"/>
        <w:tblLayout w:type="fixed"/>
        <w:tblCellMar>
          <w:left w:w="30" w:type="dxa"/>
          <w:right w:w="30" w:type="dxa"/>
        </w:tblCellMar>
        <w:tblLook w:val="0000" w:firstRow="0" w:lastRow="0" w:firstColumn="0" w:lastColumn="0" w:noHBand="0" w:noVBand="0"/>
      </w:tblPr>
      <w:tblGrid>
        <w:gridCol w:w="2665"/>
        <w:gridCol w:w="1021"/>
        <w:gridCol w:w="907"/>
        <w:gridCol w:w="851"/>
        <w:gridCol w:w="851"/>
        <w:gridCol w:w="851"/>
      </w:tblGrid>
      <w:tr w:rsidR="00000000">
        <w:tblPrEx>
          <w:tblCellMar>
            <w:top w:w="0" w:type="dxa"/>
            <w:bottom w:w="0" w:type="dxa"/>
          </w:tblCellMar>
        </w:tblPrEx>
        <w:trPr>
          <w:trHeight w:hRule="exact" w:val="240"/>
        </w:trPr>
        <w:tc>
          <w:tcPr>
            <w:tcW w:w="2665" w:type="dxa"/>
            <w:tcBorders>
              <w:top w:val="single" w:sz="6" w:space="0" w:color="auto"/>
            </w:tcBorders>
          </w:tcPr>
          <w:p w:rsidR="00000000" w:rsidRDefault="001F233B">
            <w:pPr>
              <w:keepNext/>
              <w:jc w:val="right"/>
              <w:rPr>
                <w:rFonts w:ascii="Arial" w:hAnsi="Arial"/>
                <w:i/>
                <w:color w:val="000000"/>
                <w:sz w:val="18"/>
              </w:rPr>
            </w:pPr>
          </w:p>
        </w:tc>
        <w:tc>
          <w:tcPr>
            <w:tcW w:w="1021"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1997-98</w:t>
            </w:r>
          </w:p>
        </w:tc>
        <w:tc>
          <w:tcPr>
            <w:tcW w:w="907"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1998-99</w:t>
            </w:r>
          </w:p>
        </w:tc>
        <w:tc>
          <w:tcPr>
            <w:tcW w:w="851"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1999-00</w:t>
            </w:r>
          </w:p>
        </w:tc>
        <w:tc>
          <w:tcPr>
            <w:tcW w:w="851"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2000-01</w:t>
            </w:r>
          </w:p>
        </w:tc>
        <w:tc>
          <w:tcPr>
            <w:tcW w:w="851"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2001-02</w:t>
            </w:r>
          </w:p>
        </w:tc>
      </w:tr>
      <w:tr w:rsidR="00000000">
        <w:tblPrEx>
          <w:tblCellMar>
            <w:top w:w="0" w:type="dxa"/>
            <w:bottom w:w="0" w:type="dxa"/>
          </w:tblCellMar>
        </w:tblPrEx>
        <w:trPr>
          <w:trHeight w:val="480"/>
        </w:trPr>
        <w:tc>
          <w:tcPr>
            <w:tcW w:w="2665" w:type="dxa"/>
            <w:tcBorders>
              <w:bottom w:val="single" w:sz="6" w:space="0" w:color="auto"/>
            </w:tcBorders>
          </w:tcPr>
          <w:p w:rsidR="00000000" w:rsidRDefault="001F233B">
            <w:pPr>
              <w:keepNext/>
              <w:spacing w:after="0"/>
              <w:jc w:val="right"/>
              <w:rPr>
                <w:rFonts w:ascii="Arial" w:hAnsi="Arial"/>
                <w:i/>
                <w:color w:val="000000"/>
                <w:sz w:val="18"/>
              </w:rPr>
            </w:pPr>
          </w:p>
        </w:tc>
        <w:tc>
          <w:tcPr>
            <w:tcW w:w="1021" w:type="dxa"/>
            <w:tcBorders>
              <w:bottom w:val="single" w:sz="6" w:space="0" w:color="auto"/>
            </w:tcBorders>
          </w:tcPr>
          <w:p w:rsidR="00000000" w:rsidRDefault="001F233B">
            <w:pPr>
              <w:keepNext/>
              <w:spacing w:after="0"/>
              <w:jc w:val="right"/>
              <w:rPr>
                <w:rFonts w:ascii="Arial" w:hAnsi="Arial"/>
                <w:i/>
                <w:color w:val="000000"/>
                <w:sz w:val="18"/>
              </w:rPr>
            </w:pPr>
            <w:r>
              <w:rPr>
                <w:rFonts w:ascii="Arial" w:hAnsi="Arial"/>
                <w:i/>
                <w:color w:val="000000"/>
                <w:sz w:val="18"/>
              </w:rPr>
              <w:t>Revised</w:t>
            </w:r>
          </w:p>
          <w:p w:rsidR="00000000" w:rsidRDefault="001F233B">
            <w:pPr>
              <w:keepNext/>
              <w:spacing w:after="0"/>
              <w:jc w:val="right"/>
              <w:rPr>
                <w:rFonts w:ascii="Arial" w:hAnsi="Arial"/>
                <w:i/>
                <w:color w:val="000000"/>
                <w:sz w:val="18"/>
              </w:rPr>
            </w:pPr>
            <w:r>
              <w:rPr>
                <w:rFonts w:ascii="Arial" w:hAnsi="Arial"/>
                <w:i/>
                <w:color w:val="000000"/>
                <w:sz w:val="18"/>
              </w:rPr>
              <w:t>Estimate</w:t>
            </w:r>
            <w:r>
              <w:rPr>
                <w:rFonts w:ascii="Arial" w:hAnsi="Arial"/>
                <w:i/>
                <w:color w:val="000000"/>
                <w:sz w:val="16"/>
                <w:vertAlign w:val="superscript"/>
              </w:rPr>
              <w:t>(a)</w:t>
            </w:r>
          </w:p>
        </w:tc>
        <w:tc>
          <w:tcPr>
            <w:tcW w:w="907" w:type="dxa"/>
            <w:tcBorders>
              <w:bottom w:val="single" w:sz="6" w:space="0" w:color="auto"/>
            </w:tcBorders>
          </w:tcPr>
          <w:p w:rsidR="00000000" w:rsidRDefault="001F233B">
            <w:pPr>
              <w:keepNext/>
              <w:spacing w:after="0"/>
              <w:jc w:val="right"/>
              <w:rPr>
                <w:rFonts w:ascii="Arial" w:hAnsi="Arial"/>
                <w:i/>
                <w:color w:val="000000"/>
                <w:sz w:val="18"/>
              </w:rPr>
            </w:pPr>
            <w:r>
              <w:rPr>
                <w:rFonts w:ascii="Arial" w:hAnsi="Arial"/>
                <w:i/>
                <w:color w:val="000000"/>
                <w:sz w:val="18"/>
              </w:rPr>
              <w:t xml:space="preserve">Budget </w:t>
            </w:r>
          </w:p>
          <w:p w:rsidR="00000000" w:rsidRDefault="001F233B">
            <w:pPr>
              <w:keepNext/>
              <w:spacing w:after="0"/>
              <w:jc w:val="right"/>
              <w:rPr>
                <w:rFonts w:ascii="Arial" w:hAnsi="Arial"/>
                <w:i/>
                <w:color w:val="000000"/>
                <w:sz w:val="18"/>
              </w:rPr>
            </w:pPr>
            <w:r>
              <w:rPr>
                <w:rFonts w:ascii="Arial" w:hAnsi="Arial"/>
                <w:i/>
                <w:color w:val="000000"/>
                <w:sz w:val="18"/>
              </w:rPr>
              <w:t>Estimate</w:t>
            </w:r>
          </w:p>
        </w:tc>
        <w:tc>
          <w:tcPr>
            <w:tcW w:w="851" w:type="dxa"/>
            <w:tcBorders>
              <w:bottom w:val="single" w:sz="6" w:space="0" w:color="auto"/>
            </w:tcBorders>
          </w:tcPr>
          <w:p w:rsidR="00000000" w:rsidRDefault="001F233B">
            <w:pPr>
              <w:keepNext/>
              <w:spacing w:after="0"/>
              <w:jc w:val="right"/>
              <w:rPr>
                <w:rFonts w:ascii="Arial" w:hAnsi="Arial"/>
                <w:i/>
                <w:color w:val="000000"/>
                <w:sz w:val="18"/>
              </w:rPr>
            </w:pPr>
            <w:r>
              <w:rPr>
                <w:rFonts w:ascii="Arial" w:hAnsi="Arial"/>
                <w:i/>
                <w:color w:val="000000"/>
                <w:sz w:val="18"/>
              </w:rPr>
              <w:t>Estimate</w:t>
            </w:r>
          </w:p>
        </w:tc>
        <w:tc>
          <w:tcPr>
            <w:tcW w:w="851" w:type="dxa"/>
            <w:tcBorders>
              <w:bottom w:val="single" w:sz="6" w:space="0" w:color="auto"/>
            </w:tcBorders>
          </w:tcPr>
          <w:p w:rsidR="00000000" w:rsidRDefault="001F233B">
            <w:pPr>
              <w:keepNext/>
              <w:spacing w:after="0"/>
              <w:jc w:val="right"/>
              <w:rPr>
                <w:rFonts w:ascii="Arial" w:hAnsi="Arial"/>
                <w:i/>
                <w:color w:val="000000"/>
                <w:sz w:val="18"/>
              </w:rPr>
            </w:pPr>
            <w:r>
              <w:rPr>
                <w:rFonts w:ascii="Arial" w:hAnsi="Arial"/>
                <w:i/>
                <w:color w:val="000000"/>
                <w:sz w:val="18"/>
              </w:rPr>
              <w:t>Estimate</w:t>
            </w:r>
          </w:p>
        </w:tc>
        <w:tc>
          <w:tcPr>
            <w:tcW w:w="851" w:type="dxa"/>
            <w:tcBorders>
              <w:bottom w:val="single" w:sz="6" w:space="0" w:color="auto"/>
            </w:tcBorders>
          </w:tcPr>
          <w:p w:rsidR="00000000" w:rsidRDefault="001F233B">
            <w:pPr>
              <w:keepNext/>
              <w:spacing w:after="0"/>
              <w:jc w:val="right"/>
              <w:rPr>
                <w:rFonts w:ascii="Arial" w:hAnsi="Arial"/>
                <w:i/>
                <w:color w:val="000000"/>
                <w:sz w:val="18"/>
              </w:rPr>
            </w:pPr>
            <w:r>
              <w:rPr>
                <w:rFonts w:ascii="Arial" w:hAnsi="Arial"/>
                <w:i/>
                <w:color w:val="000000"/>
                <w:sz w:val="18"/>
              </w:rPr>
              <w:t>Estimate</w:t>
            </w:r>
          </w:p>
        </w:tc>
      </w:tr>
      <w:tr w:rsidR="00000000">
        <w:tblPrEx>
          <w:tblCellMar>
            <w:top w:w="0" w:type="dxa"/>
            <w:bottom w:w="0" w:type="dxa"/>
          </w:tblCellMar>
        </w:tblPrEx>
        <w:trPr>
          <w:trHeight w:hRule="exact" w:val="240"/>
        </w:trPr>
        <w:tc>
          <w:tcPr>
            <w:tcW w:w="2665" w:type="dxa"/>
          </w:tcPr>
          <w:p w:rsidR="00000000" w:rsidRDefault="001F233B">
            <w:pPr>
              <w:keepNext/>
              <w:jc w:val="right"/>
              <w:rPr>
                <w:rFonts w:ascii="Arial" w:hAnsi="Arial"/>
                <w:color w:val="000000"/>
                <w:sz w:val="20"/>
              </w:rPr>
            </w:pPr>
          </w:p>
        </w:tc>
        <w:tc>
          <w:tcPr>
            <w:tcW w:w="1021" w:type="dxa"/>
          </w:tcPr>
          <w:p w:rsidR="00000000" w:rsidRDefault="001F233B">
            <w:pPr>
              <w:keepNext/>
              <w:jc w:val="right"/>
              <w:rPr>
                <w:rFonts w:ascii="Arial" w:hAnsi="Arial"/>
                <w:color w:val="000000"/>
                <w:sz w:val="20"/>
              </w:rPr>
            </w:pPr>
          </w:p>
        </w:tc>
        <w:tc>
          <w:tcPr>
            <w:tcW w:w="907" w:type="dxa"/>
          </w:tcPr>
          <w:p w:rsidR="00000000" w:rsidRDefault="001F233B">
            <w:pPr>
              <w:keepNext/>
              <w:jc w:val="right"/>
              <w:rPr>
                <w:rFonts w:ascii="Arial" w:hAnsi="Arial"/>
                <w:color w:val="000000"/>
                <w:sz w:val="20"/>
              </w:rPr>
            </w:pPr>
          </w:p>
        </w:tc>
        <w:tc>
          <w:tcPr>
            <w:tcW w:w="851" w:type="dxa"/>
          </w:tcPr>
          <w:p w:rsidR="00000000" w:rsidRDefault="001F233B">
            <w:pPr>
              <w:keepNext/>
              <w:jc w:val="right"/>
              <w:rPr>
                <w:rFonts w:ascii="Arial" w:hAnsi="Arial"/>
                <w:color w:val="000000"/>
                <w:sz w:val="20"/>
              </w:rPr>
            </w:pPr>
          </w:p>
        </w:tc>
        <w:tc>
          <w:tcPr>
            <w:tcW w:w="851" w:type="dxa"/>
          </w:tcPr>
          <w:p w:rsidR="00000000" w:rsidRDefault="001F233B">
            <w:pPr>
              <w:keepNext/>
              <w:jc w:val="right"/>
              <w:rPr>
                <w:rFonts w:ascii="Arial" w:hAnsi="Arial"/>
                <w:color w:val="000000"/>
                <w:sz w:val="20"/>
              </w:rPr>
            </w:pPr>
          </w:p>
        </w:tc>
        <w:tc>
          <w:tcPr>
            <w:tcW w:w="851" w:type="dxa"/>
          </w:tcPr>
          <w:p w:rsidR="00000000" w:rsidRDefault="001F233B">
            <w:pPr>
              <w:keepNext/>
              <w:jc w:val="right"/>
              <w:rPr>
                <w:rFonts w:ascii="Arial" w:hAnsi="Arial"/>
                <w:color w:val="000000"/>
                <w:sz w:val="20"/>
              </w:rPr>
            </w:pPr>
          </w:p>
        </w:tc>
      </w:tr>
      <w:tr w:rsidR="00000000">
        <w:tblPrEx>
          <w:tblCellMar>
            <w:top w:w="0" w:type="dxa"/>
            <w:bottom w:w="0" w:type="dxa"/>
          </w:tblCellMar>
        </w:tblPrEx>
        <w:trPr>
          <w:trHeight w:hRule="exact" w:val="240"/>
        </w:trPr>
        <w:tc>
          <w:tcPr>
            <w:tcW w:w="2665" w:type="dxa"/>
          </w:tcPr>
          <w:p w:rsidR="00000000" w:rsidRDefault="001F233B">
            <w:pPr>
              <w:keepNext/>
              <w:rPr>
                <w:rFonts w:ascii="Arial" w:hAnsi="Arial"/>
                <w:color w:val="000000"/>
                <w:sz w:val="18"/>
              </w:rPr>
            </w:pPr>
            <w:r>
              <w:rPr>
                <w:rFonts w:ascii="Arial" w:hAnsi="Arial"/>
                <w:color w:val="000000"/>
                <w:sz w:val="18"/>
              </w:rPr>
              <w:t>Taxes, fees &amp; fines</w:t>
            </w:r>
          </w:p>
        </w:tc>
        <w:tc>
          <w:tcPr>
            <w:tcW w:w="1021" w:type="dxa"/>
          </w:tcPr>
          <w:p w:rsidR="00000000" w:rsidRDefault="001F233B">
            <w:pPr>
              <w:keepNext/>
              <w:jc w:val="right"/>
              <w:rPr>
                <w:rFonts w:ascii="Arial" w:hAnsi="Arial"/>
                <w:color w:val="000000"/>
                <w:sz w:val="18"/>
              </w:rPr>
            </w:pPr>
            <w:r>
              <w:rPr>
                <w:rFonts w:ascii="Arial" w:hAnsi="Arial"/>
                <w:color w:val="000000"/>
                <w:sz w:val="18"/>
              </w:rPr>
              <w:t>8 549.5</w:t>
            </w:r>
          </w:p>
        </w:tc>
        <w:tc>
          <w:tcPr>
            <w:tcW w:w="907" w:type="dxa"/>
          </w:tcPr>
          <w:p w:rsidR="00000000" w:rsidRDefault="001F233B">
            <w:pPr>
              <w:keepNext/>
              <w:jc w:val="right"/>
              <w:rPr>
                <w:rFonts w:ascii="Arial" w:hAnsi="Arial"/>
                <w:color w:val="000000"/>
                <w:sz w:val="18"/>
              </w:rPr>
            </w:pPr>
            <w:r>
              <w:rPr>
                <w:rFonts w:ascii="Arial" w:hAnsi="Arial"/>
                <w:color w:val="000000"/>
                <w:sz w:val="18"/>
              </w:rPr>
              <w:t>8 734.1</w:t>
            </w:r>
          </w:p>
        </w:tc>
        <w:tc>
          <w:tcPr>
            <w:tcW w:w="851" w:type="dxa"/>
          </w:tcPr>
          <w:p w:rsidR="00000000" w:rsidRDefault="001F233B">
            <w:pPr>
              <w:keepNext/>
              <w:jc w:val="right"/>
              <w:rPr>
                <w:rFonts w:ascii="Arial" w:hAnsi="Arial"/>
                <w:color w:val="000000"/>
                <w:sz w:val="18"/>
              </w:rPr>
            </w:pPr>
            <w:r>
              <w:rPr>
                <w:rFonts w:ascii="Arial" w:hAnsi="Arial"/>
                <w:color w:val="000000"/>
                <w:sz w:val="18"/>
              </w:rPr>
              <w:t>8 931.4</w:t>
            </w:r>
          </w:p>
        </w:tc>
        <w:tc>
          <w:tcPr>
            <w:tcW w:w="851" w:type="dxa"/>
          </w:tcPr>
          <w:p w:rsidR="00000000" w:rsidRDefault="001F233B">
            <w:pPr>
              <w:keepNext/>
              <w:jc w:val="right"/>
              <w:rPr>
                <w:rFonts w:ascii="Arial" w:hAnsi="Arial"/>
                <w:color w:val="000000"/>
                <w:sz w:val="18"/>
              </w:rPr>
            </w:pPr>
            <w:r>
              <w:rPr>
                <w:rFonts w:ascii="Arial" w:hAnsi="Arial"/>
                <w:color w:val="000000"/>
                <w:sz w:val="18"/>
              </w:rPr>
              <w:t>9 118.4</w:t>
            </w:r>
          </w:p>
        </w:tc>
        <w:tc>
          <w:tcPr>
            <w:tcW w:w="851" w:type="dxa"/>
          </w:tcPr>
          <w:p w:rsidR="00000000" w:rsidRDefault="001F233B">
            <w:pPr>
              <w:keepNext/>
              <w:jc w:val="right"/>
              <w:rPr>
                <w:rFonts w:ascii="Arial" w:hAnsi="Arial"/>
                <w:color w:val="000000"/>
                <w:sz w:val="18"/>
              </w:rPr>
            </w:pPr>
            <w:r>
              <w:rPr>
                <w:rFonts w:ascii="Arial" w:hAnsi="Arial"/>
                <w:color w:val="000000"/>
                <w:sz w:val="18"/>
              </w:rPr>
              <w:t>9 340.5</w:t>
            </w:r>
          </w:p>
        </w:tc>
      </w:tr>
      <w:tr w:rsidR="00000000">
        <w:tblPrEx>
          <w:tblCellMar>
            <w:top w:w="0" w:type="dxa"/>
            <w:bottom w:w="0" w:type="dxa"/>
          </w:tblCellMar>
        </w:tblPrEx>
        <w:trPr>
          <w:trHeight w:hRule="exact" w:val="240"/>
        </w:trPr>
        <w:tc>
          <w:tcPr>
            <w:tcW w:w="2665" w:type="dxa"/>
          </w:tcPr>
          <w:p w:rsidR="00000000" w:rsidRDefault="001F233B">
            <w:pPr>
              <w:keepNext/>
              <w:rPr>
                <w:rFonts w:ascii="Arial" w:hAnsi="Arial"/>
                <w:color w:val="000000"/>
                <w:sz w:val="18"/>
              </w:rPr>
            </w:pPr>
            <w:r>
              <w:rPr>
                <w:rFonts w:ascii="Arial" w:hAnsi="Arial"/>
                <w:color w:val="000000"/>
                <w:sz w:val="18"/>
              </w:rPr>
              <w:t>Public Authority Income</w:t>
            </w:r>
          </w:p>
        </w:tc>
        <w:tc>
          <w:tcPr>
            <w:tcW w:w="1021" w:type="dxa"/>
          </w:tcPr>
          <w:p w:rsidR="00000000" w:rsidRDefault="001F233B">
            <w:pPr>
              <w:keepNext/>
              <w:jc w:val="right"/>
              <w:rPr>
                <w:rFonts w:ascii="Arial" w:hAnsi="Arial"/>
                <w:color w:val="000000"/>
                <w:sz w:val="18"/>
              </w:rPr>
            </w:pPr>
            <w:r>
              <w:rPr>
                <w:rFonts w:ascii="Arial" w:hAnsi="Arial"/>
                <w:color w:val="000000"/>
                <w:sz w:val="18"/>
              </w:rPr>
              <w:t xml:space="preserve"> 944.8</w:t>
            </w:r>
          </w:p>
        </w:tc>
        <w:tc>
          <w:tcPr>
            <w:tcW w:w="907" w:type="dxa"/>
          </w:tcPr>
          <w:p w:rsidR="00000000" w:rsidRDefault="001F233B">
            <w:pPr>
              <w:keepNext/>
              <w:jc w:val="right"/>
              <w:rPr>
                <w:rFonts w:ascii="Arial" w:hAnsi="Arial"/>
                <w:color w:val="000000"/>
                <w:sz w:val="18"/>
              </w:rPr>
            </w:pPr>
            <w:r>
              <w:rPr>
                <w:rFonts w:ascii="Arial" w:hAnsi="Arial"/>
                <w:color w:val="000000"/>
                <w:sz w:val="18"/>
              </w:rPr>
              <w:t xml:space="preserve"> 940.5</w:t>
            </w:r>
          </w:p>
        </w:tc>
        <w:tc>
          <w:tcPr>
            <w:tcW w:w="851" w:type="dxa"/>
          </w:tcPr>
          <w:p w:rsidR="00000000" w:rsidRDefault="001F233B">
            <w:pPr>
              <w:keepNext/>
              <w:jc w:val="right"/>
              <w:rPr>
                <w:rFonts w:ascii="Arial" w:hAnsi="Arial"/>
                <w:color w:val="000000"/>
                <w:sz w:val="18"/>
              </w:rPr>
            </w:pPr>
            <w:r>
              <w:rPr>
                <w:rFonts w:ascii="Arial" w:hAnsi="Arial"/>
                <w:color w:val="000000"/>
                <w:sz w:val="18"/>
              </w:rPr>
              <w:t xml:space="preserve"> 862.9</w:t>
            </w:r>
          </w:p>
        </w:tc>
        <w:tc>
          <w:tcPr>
            <w:tcW w:w="851" w:type="dxa"/>
          </w:tcPr>
          <w:p w:rsidR="00000000" w:rsidRDefault="001F233B">
            <w:pPr>
              <w:keepNext/>
              <w:jc w:val="right"/>
              <w:rPr>
                <w:rFonts w:ascii="Arial" w:hAnsi="Arial"/>
                <w:color w:val="000000"/>
                <w:sz w:val="18"/>
              </w:rPr>
            </w:pPr>
            <w:r>
              <w:rPr>
                <w:rFonts w:ascii="Arial" w:hAnsi="Arial"/>
                <w:color w:val="000000"/>
                <w:sz w:val="18"/>
              </w:rPr>
              <w:t xml:space="preserve"> 863.6</w:t>
            </w:r>
          </w:p>
        </w:tc>
        <w:tc>
          <w:tcPr>
            <w:tcW w:w="851" w:type="dxa"/>
          </w:tcPr>
          <w:p w:rsidR="00000000" w:rsidRDefault="001F233B">
            <w:pPr>
              <w:keepNext/>
              <w:jc w:val="right"/>
              <w:rPr>
                <w:rFonts w:ascii="Arial" w:hAnsi="Arial"/>
                <w:color w:val="000000"/>
                <w:sz w:val="18"/>
              </w:rPr>
            </w:pPr>
            <w:r>
              <w:rPr>
                <w:rFonts w:ascii="Arial" w:hAnsi="Arial"/>
                <w:color w:val="000000"/>
                <w:sz w:val="18"/>
              </w:rPr>
              <w:t xml:space="preserve"> 665.2</w:t>
            </w:r>
          </w:p>
        </w:tc>
      </w:tr>
      <w:tr w:rsidR="00000000">
        <w:tblPrEx>
          <w:tblCellMar>
            <w:top w:w="0" w:type="dxa"/>
            <w:bottom w:w="0" w:type="dxa"/>
          </w:tblCellMar>
        </w:tblPrEx>
        <w:trPr>
          <w:trHeight w:hRule="exact" w:val="240"/>
        </w:trPr>
        <w:tc>
          <w:tcPr>
            <w:tcW w:w="2665" w:type="dxa"/>
          </w:tcPr>
          <w:p w:rsidR="00000000" w:rsidRDefault="001F233B">
            <w:pPr>
              <w:keepNext/>
              <w:rPr>
                <w:rFonts w:ascii="Arial" w:hAnsi="Arial"/>
                <w:color w:val="000000"/>
                <w:sz w:val="18"/>
              </w:rPr>
            </w:pPr>
            <w:r>
              <w:rPr>
                <w:rFonts w:ascii="Arial" w:hAnsi="Arial"/>
                <w:color w:val="000000"/>
                <w:sz w:val="18"/>
              </w:rPr>
              <w:t>Sales of Goods and Service</w:t>
            </w:r>
            <w:r>
              <w:rPr>
                <w:rFonts w:ascii="Arial" w:hAnsi="Arial"/>
                <w:color w:val="000000"/>
                <w:sz w:val="18"/>
              </w:rPr>
              <w:t>s</w:t>
            </w:r>
          </w:p>
        </w:tc>
        <w:tc>
          <w:tcPr>
            <w:tcW w:w="1021" w:type="dxa"/>
          </w:tcPr>
          <w:p w:rsidR="00000000" w:rsidRDefault="001F233B">
            <w:pPr>
              <w:keepNext/>
              <w:jc w:val="right"/>
              <w:rPr>
                <w:rFonts w:ascii="Arial" w:hAnsi="Arial"/>
                <w:color w:val="000000"/>
                <w:sz w:val="18"/>
              </w:rPr>
            </w:pPr>
            <w:r>
              <w:rPr>
                <w:rFonts w:ascii="Arial" w:hAnsi="Arial"/>
                <w:color w:val="000000"/>
                <w:sz w:val="18"/>
              </w:rPr>
              <w:t>1 703.3</w:t>
            </w:r>
          </w:p>
        </w:tc>
        <w:tc>
          <w:tcPr>
            <w:tcW w:w="907" w:type="dxa"/>
          </w:tcPr>
          <w:p w:rsidR="00000000" w:rsidRDefault="001F233B">
            <w:pPr>
              <w:keepNext/>
              <w:jc w:val="right"/>
              <w:rPr>
                <w:rFonts w:ascii="Arial" w:hAnsi="Arial"/>
                <w:color w:val="000000"/>
                <w:sz w:val="18"/>
              </w:rPr>
            </w:pPr>
            <w:r>
              <w:rPr>
                <w:rFonts w:ascii="Arial" w:hAnsi="Arial"/>
                <w:color w:val="000000"/>
                <w:sz w:val="18"/>
              </w:rPr>
              <w:t>1 744.8</w:t>
            </w:r>
          </w:p>
        </w:tc>
        <w:tc>
          <w:tcPr>
            <w:tcW w:w="851" w:type="dxa"/>
          </w:tcPr>
          <w:p w:rsidR="00000000" w:rsidRDefault="001F233B">
            <w:pPr>
              <w:keepNext/>
              <w:jc w:val="right"/>
              <w:rPr>
                <w:rFonts w:ascii="Arial" w:hAnsi="Arial"/>
                <w:color w:val="000000"/>
                <w:sz w:val="18"/>
              </w:rPr>
            </w:pPr>
            <w:r>
              <w:rPr>
                <w:rFonts w:ascii="Arial" w:hAnsi="Arial"/>
                <w:color w:val="000000"/>
                <w:sz w:val="18"/>
              </w:rPr>
              <w:t>1 749.6</w:t>
            </w:r>
          </w:p>
        </w:tc>
        <w:tc>
          <w:tcPr>
            <w:tcW w:w="851" w:type="dxa"/>
          </w:tcPr>
          <w:p w:rsidR="00000000" w:rsidRDefault="001F233B">
            <w:pPr>
              <w:keepNext/>
              <w:jc w:val="right"/>
              <w:rPr>
                <w:rFonts w:ascii="Arial" w:hAnsi="Arial"/>
                <w:color w:val="000000"/>
                <w:sz w:val="18"/>
              </w:rPr>
            </w:pPr>
            <w:r>
              <w:rPr>
                <w:rFonts w:ascii="Arial" w:hAnsi="Arial"/>
                <w:color w:val="000000"/>
                <w:sz w:val="18"/>
              </w:rPr>
              <w:t>1 743.5</w:t>
            </w:r>
          </w:p>
        </w:tc>
        <w:tc>
          <w:tcPr>
            <w:tcW w:w="851" w:type="dxa"/>
          </w:tcPr>
          <w:p w:rsidR="00000000" w:rsidRDefault="001F233B">
            <w:pPr>
              <w:keepNext/>
              <w:jc w:val="right"/>
              <w:rPr>
                <w:rFonts w:ascii="Arial" w:hAnsi="Arial"/>
                <w:color w:val="000000"/>
                <w:sz w:val="18"/>
              </w:rPr>
            </w:pPr>
            <w:r>
              <w:rPr>
                <w:rFonts w:ascii="Arial" w:hAnsi="Arial"/>
                <w:color w:val="000000"/>
                <w:sz w:val="18"/>
              </w:rPr>
              <w:t>1 758.4</w:t>
            </w:r>
          </w:p>
        </w:tc>
      </w:tr>
      <w:tr w:rsidR="00000000">
        <w:tblPrEx>
          <w:tblCellMar>
            <w:top w:w="0" w:type="dxa"/>
            <w:bottom w:w="0" w:type="dxa"/>
          </w:tblCellMar>
        </w:tblPrEx>
        <w:trPr>
          <w:trHeight w:hRule="exact" w:val="240"/>
        </w:trPr>
        <w:tc>
          <w:tcPr>
            <w:tcW w:w="2665" w:type="dxa"/>
          </w:tcPr>
          <w:p w:rsidR="00000000" w:rsidRDefault="001F233B">
            <w:pPr>
              <w:keepNext/>
              <w:rPr>
                <w:rFonts w:ascii="Arial" w:hAnsi="Arial"/>
                <w:color w:val="000000"/>
                <w:sz w:val="18"/>
              </w:rPr>
            </w:pPr>
            <w:r>
              <w:rPr>
                <w:rFonts w:ascii="Arial" w:hAnsi="Arial"/>
                <w:color w:val="000000"/>
                <w:sz w:val="18"/>
              </w:rPr>
              <w:t>Other Revenue</w:t>
            </w:r>
          </w:p>
        </w:tc>
        <w:tc>
          <w:tcPr>
            <w:tcW w:w="1021" w:type="dxa"/>
          </w:tcPr>
          <w:p w:rsidR="00000000" w:rsidRDefault="001F233B">
            <w:pPr>
              <w:keepNext/>
              <w:jc w:val="right"/>
              <w:rPr>
                <w:rFonts w:ascii="Arial" w:hAnsi="Arial"/>
                <w:color w:val="000000"/>
                <w:sz w:val="18"/>
              </w:rPr>
            </w:pPr>
            <w:r>
              <w:rPr>
                <w:rFonts w:ascii="Arial" w:hAnsi="Arial"/>
                <w:color w:val="000000"/>
                <w:sz w:val="18"/>
              </w:rPr>
              <w:t xml:space="preserve"> 277.7</w:t>
            </w:r>
          </w:p>
        </w:tc>
        <w:tc>
          <w:tcPr>
            <w:tcW w:w="907" w:type="dxa"/>
          </w:tcPr>
          <w:p w:rsidR="00000000" w:rsidRDefault="001F233B">
            <w:pPr>
              <w:keepNext/>
              <w:jc w:val="right"/>
              <w:rPr>
                <w:rFonts w:ascii="Arial" w:hAnsi="Arial"/>
                <w:color w:val="000000"/>
                <w:sz w:val="18"/>
              </w:rPr>
            </w:pPr>
            <w:r>
              <w:rPr>
                <w:rFonts w:ascii="Arial" w:hAnsi="Arial"/>
                <w:color w:val="000000"/>
                <w:sz w:val="18"/>
              </w:rPr>
              <w:t xml:space="preserve"> 222.0</w:t>
            </w:r>
          </w:p>
        </w:tc>
        <w:tc>
          <w:tcPr>
            <w:tcW w:w="851" w:type="dxa"/>
          </w:tcPr>
          <w:p w:rsidR="00000000" w:rsidRDefault="001F233B">
            <w:pPr>
              <w:keepNext/>
              <w:jc w:val="right"/>
              <w:rPr>
                <w:rFonts w:ascii="Arial" w:hAnsi="Arial"/>
                <w:color w:val="000000"/>
                <w:sz w:val="18"/>
              </w:rPr>
            </w:pPr>
            <w:r>
              <w:rPr>
                <w:rFonts w:ascii="Arial" w:hAnsi="Arial"/>
                <w:color w:val="000000"/>
                <w:sz w:val="18"/>
              </w:rPr>
              <w:t xml:space="preserve"> 203.0</w:t>
            </w:r>
          </w:p>
        </w:tc>
        <w:tc>
          <w:tcPr>
            <w:tcW w:w="851" w:type="dxa"/>
          </w:tcPr>
          <w:p w:rsidR="00000000" w:rsidRDefault="001F233B">
            <w:pPr>
              <w:keepNext/>
              <w:jc w:val="right"/>
              <w:rPr>
                <w:rFonts w:ascii="Arial" w:hAnsi="Arial"/>
                <w:color w:val="000000"/>
                <w:sz w:val="18"/>
              </w:rPr>
            </w:pPr>
            <w:r>
              <w:rPr>
                <w:rFonts w:ascii="Arial" w:hAnsi="Arial"/>
                <w:color w:val="000000"/>
                <w:sz w:val="18"/>
              </w:rPr>
              <w:t xml:space="preserve"> 204.7</w:t>
            </w:r>
          </w:p>
        </w:tc>
        <w:tc>
          <w:tcPr>
            <w:tcW w:w="851" w:type="dxa"/>
          </w:tcPr>
          <w:p w:rsidR="00000000" w:rsidRDefault="001F233B">
            <w:pPr>
              <w:keepNext/>
              <w:jc w:val="right"/>
              <w:rPr>
                <w:rFonts w:ascii="Arial" w:hAnsi="Arial"/>
                <w:color w:val="000000"/>
                <w:sz w:val="18"/>
              </w:rPr>
            </w:pPr>
            <w:r>
              <w:rPr>
                <w:rFonts w:ascii="Arial" w:hAnsi="Arial"/>
                <w:color w:val="000000"/>
                <w:sz w:val="18"/>
              </w:rPr>
              <w:t xml:space="preserve"> 202.2</w:t>
            </w:r>
          </w:p>
        </w:tc>
      </w:tr>
      <w:tr w:rsidR="00000000">
        <w:tblPrEx>
          <w:tblCellMar>
            <w:top w:w="0" w:type="dxa"/>
            <w:bottom w:w="0" w:type="dxa"/>
          </w:tblCellMar>
        </w:tblPrEx>
        <w:trPr>
          <w:trHeight w:hRule="exact" w:val="240"/>
        </w:trPr>
        <w:tc>
          <w:tcPr>
            <w:tcW w:w="2665" w:type="dxa"/>
          </w:tcPr>
          <w:p w:rsidR="00000000" w:rsidRDefault="001F233B">
            <w:pPr>
              <w:keepNext/>
              <w:jc w:val="right"/>
              <w:rPr>
                <w:rFonts w:ascii="Arial" w:hAnsi="Arial"/>
                <w:color w:val="000000"/>
                <w:sz w:val="20"/>
              </w:rPr>
            </w:pPr>
          </w:p>
        </w:tc>
        <w:tc>
          <w:tcPr>
            <w:tcW w:w="1021" w:type="dxa"/>
          </w:tcPr>
          <w:p w:rsidR="00000000" w:rsidRDefault="001F233B">
            <w:pPr>
              <w:keepNext/>
              <w:jc w:val="right"/>
              <w:rPr>
                <w:rFonts w:ascii="Arial" w:hAnsi="Arial"/>
                <w:color w:val="000000"/>
                <w:sz w:val="20"/>
              </w:rPr>
            </w:pPr>
          </w:p>
        </w:tc>
        <w:tc>
          <w:tcPr>
            <w:tcW w:w="907" w:type="dxa"/>
          </w:tcPr>
          <w:p w:rsidR="00000000" w:rsidRDefault="001F233B">
            <w:pPr>
              <w:keepNext/>
              <w:jc w:val="right"/>
              <w:rPr>
                <w:rFonts w:ascii="Arial" w:hAnsi="Arial"/>
                <w:color w:val="000000"/>
                <w:sz w:val="20"/>
              </w:rPr>
            </w:pPr>
          </w:p>
        </w:tc>
        <w:tc>
          <w:tcPr>
            <w:tcW w:w="851" w:type="dxa"/>
          </w:tcPr>
          <w:p w:rsidR="00000000" w:rsidRDefault="001F233B">
            <w:pPr>
              <w:keepNext/>
              <w:jc w:val="right"/>
              <w:rPr>
                <w:rFonts w:ascii="Arial" w:hAnsi="Arial"/>
                <w:color w:val="000000"/>
                <w:sz w:val="20"/>
              </w:rPr>
            </w:pPr>
          </w:p>
        </w:tc>
        <w:tc>
          <w:tcPr>
            <w:tcW w:w="851" w:type="dxa"/>
          </w:tcPr>
          <w:p w:rsidR="00000000" w:rsidRDefault="001F233B">
            <w:pPr>
              <w:keepNext/>
              <w:jc w:val="right"/>
              <w:rPr>
                <w:rFonts w:ascii="Arial" w:hAnsi="Arial"/>
                <w:color w:val="000000"/>
                <w:sz w:val="20"/>
              </w:rPr>
            </w:pPr>
          </w:p>
        </w:tc>
        <w:tc>
          <w:tcPr>
            <w:tcW w:w="851" w:type="dxa"/>
          </w:tcPr>
          <w:p w:rsidR="00000000" w:rsidRDefault="001F233B">
            <w:pPr>
              <w:keepNext/>
              <w:jc w:val="right"/>
              <w:rPr>
                <w:rFonts w:ascii="Arial" w:hAnsi="Arial"/>
                <w:color w:val="000000"/>
                <w:sz w:val="20"/>
              </w:rPr>
            </w:pPr>
          </w:p>
        </w:tc>
      </w:tr>
      <w:tr w:rsidR="00000000">
        <w:tblPrEx>
          <w:tblCellMar>
            <w:top w:w="0" w:type="dxa"/>
            <w:bottom w:w="0" w:type="dxa"/>
          </w:tblCellMar>
        </w:tblPrEx>
        <w:trPr>
          <w:trHeight w:hRule="exact" w:val="240"/>
        </w:trPr>
        <w:tc>
          <w:tcPr>
            <w:tcW w:w="2665" w:type="dxa"/>
            <w:tcBorders>
              <w:top w:val="single" w:sz="6" w:space="0" w:color="auto"/>
              <w:bottom w:val="single" w:sz="12" w:space="0" w:color="auto"/>
            </w:tcBorders>
          </w:tcPr>
          <w:p w:rsidR="00000000" w:rsidRDefault="001F233B">
            <w:pPr>
              <w:keepNext/>
              <w:rPr>
                <w:rFonts w:ascii="Arial" w:hAnsi="Arial"/>
                <w:b/>
                <w:color w:val="000000"/>
                <w:sz w:val="18"/>
              </w:rPr>
            </w:pPr>
            <w:r>
              <w:rPr>
                <w:rFonts w:ascii="Arial" w:hAnsi="Arial"/>
                <w:b/>
                <w:color w:val="000000"/>
                <w:sz w:val="18"/>
              </w:rPr>
              <w:t>Total State Sourced Revenue</w:t>
            </w:r>
          </w:p>
        </w:tc>
        <w:tc>
          <w:tcPr>
            <w:tcW w:w="1021" w:type="dxa"/>
            <w:tcBorders>
              <w:top w:val="single" w:sz="6" w:space="0" w:color="auto"/>
              <w:bottom w:val="single" w:sz="12" w:space="0" w:color="auto"/>
            </w:tcBorders>
          </w:tcPr>
          <w:p w:rsidR="00000000" w:rsidRDefault="001F233B">
            <w:pPr>
              <w:keepNext/>
              <w:jc w:val="right"/>
              <w:rPr>
                <w:rFonts w:ascii="Arial" w:hAnsi="Arial"/>
                <w:b/>
                <w:color w:val="000000"/>
                <w:sz w:val="18"/>
              </w:rPr>
            </w:pPr>
            <w:r>
              <w:rPr>
                <w:rFonts w:ascii="Arial" w:hAnsi="Arial"/>
                <w:b/>
                <w:color w:val="000000"/>
                <w:sz w:val="18"/>
              </w:rPr>
              <w:t>11 475.3</w:t>
            </w:r>
          </w:p>
        </w:tc>
        <w:tc>
          <w:tcPr>
            <w:tcW w:w="907" w:type="dxa"/>
            <w:tcBorders>
              <w:top w:val="single" w:sz="6" w:space="0" w:color="auto"/>
              <w:bottom w:val="single" w:sz="12" w:space="0" w:color="auto"/>
            </w:tcBorders>
          </w:tcPr>
          <w:p w:rsidR="00000000" w:rsidRDefault="001F233B">
            <w:pPr>
              <w:keepNext/>
              <w:jc w:val="right"/>
              <w:rPr>
                <w:rFonts w:ascii="Arial" w:hAnsi="Arial"/>
                <w:b/>
                <w:color w:val="000000"/>
                <w:sz w:val="18"/>
              </w:rPr>
            </w:pPr>
            <w:r>
              <w:rPr>
                <w:rFonts w:ascii="Arial" w:hAnsi="Arial"/>
                <w:b/>
                <w:color w:val="000000"/>
                <w:sz w:val="18"/>
              </w:rPr>
              <w:t>11 641.4</w:t>
            </w:r>
          </w:p>
        </w:tc>
        <w:tc>
          <w:tcPr>
            <w:tcW w:w="851" w:type="dxa"/>
            <w:tcBorders>
              <w:top w:val="single" w:sz="6" w:space="0" w:color="auto"/>
              <w:bottom w:val="single" w:sz="12" w:space="0" w:color="auto"/>
            </w:tcBorders>
          </w:tcPr>
          <w:p w:rsidR="00000000" w:rsidRDefault="001F233B">
            <w:pPr>
              <w:keepNext/>
              <w:jc w:val="right"/>
              <w:rPr>
                <w:rFonts w:ascii="Arial" w:hAnsi="Arial"/>
                <w:b/>
                <w:color w:val="000000"/>
                <w:sz w:val="18"/>
              </w:rPr>
            </w:pPr>
            <w:r>
              <w:rPr>
                <w:rFonts w:ascii="Arial" w:hAnsi="Arial"/>
                <w:b/>
                <w:color w:val="000000"/>
                <w:sz w:val="18"/>
              </w:rPr>
              <w:t>11 747.0</w:t>
            </w:r>
          </w:p>
        </w:tc>
        <w:tc>
          <w:tcPr>
            <w:tcW w:w="851" w:type="dxa"/>
            <w:tcBorders>
              <w:top w:val="single" w:sz="6" w:space="0" w:color="auto"/>
              <w:bottom w:val="single" w:sz="12" w:space="0" w:color="auto"/>
            </w:tcBorders>
          </w:tcPr>
          <w:p w:rsidR="00000000" w:rsidRDefault="001F233B">
            <w:pPr>
              <w:keepNext/>
              <w:jc w:val="right"/>
              <w:rPr>
                <w:rFonts w:ascii="Arial" w:hAnsi="Arial"/>
                <w:b/>
                <w:color w:val="000000"/>
                <w:sz w:val="18"/>
              </w:rPr>
            </w:pPr>
            <w:r>
              <w:rPr>
                <w:rFonts w:ascii="Arial" w:hAnsi="Arial"/>
                <w:b/>
                <w:color w:val="000000"/>
                <w:sz w:val="18"/>
              </w:rPr>
              <w:t>11 930.2</w:t>
            </w:r>
          </w:p>
        </w:tc>
        <w:tc>
          <w:tcPr>
            <w:tcW w:w="851" w:type="dxa"/>
            <w:tcBorders>
              <w:top w:val="single" w:sz="6" w:space="0" w:color="auto"/>
              <w:bottom w:val="single" w:sz="12" w:space="0" w:color="auto"/>
            </w:tcBorders>
          </w:tcPr>
          <w:p w:rsidR="00000000" w:rsidRDefault="001F233B">
            <w:pPr>
              <w:keepNext/>
              <w:jc w:val="right"/>
              <w:rPr>
                <w:rFonts w:ascii="Arial" w:hAnsi="Arial"/>
                <w:b/>
                <w:color w:val="000000"/>
                <w:sz w:val="18"/>
              </w:rPr>
            </w:pPr>
            <w:r>
              <w:rPr>
                <w:rFonts w:ascii="Arial" w:hAnsi="Arial"/>
                <w:b/>
                <w:color w:val="000000"/>
                <w:sz w:val="18"/>
              </w:rPr>
              <w:t>11 966.2</w:t>
            </w:r>
          </w:p>
        </w:tc>
      </w:tr>
    </w:tbl>
    <w:p w:rsidR="00000000" w:rsidRDefault="001F233B">
      <w:pPr>
        <w:pStyle w:val="Source"/>
        <w:keepNext/>
      </w:pPr>
      <w:r>
        <w:t>Source: Department of Treasury and Finance.</w:t>
      </w:r>
    </w:p>
    <w:p w:rsidR="00000000" w:rsidRDefault="001F233B">
      <w:pPr>
        <w:pStyle w:val="Notes"/>
        <w:keepNext/>
        <w:jc w:val="both"/>
      </w:pPr>
      <w:r>
        <w:t>Note:</w:t>
      </w:r>
    </w:p>
    <w:p w:rsidR="00000000" w:rsidRDefault="001F233B">
      <w:pPr>
        <w:pStyle w:val="Notes"/>
        <w:keepNext/>
        <w:jc w:val="both"/>
      </w:pPr>
      <w:r>
        <w:t>(a)</w:t>
      </w:r>
      <w:r>
        <w:tab/>
        <w:t>Excludes privatisation</w:t>
      </w:r>
      <w:r>
        <w:fldChar w:fldCharType="begin"/>
      </w:r>
      <w:r>
        <w:instrText>xe "Privatisation"</w:instrText>
      </w:r>
      <w:r>
        <w:fldChar w:fldCharType="end"/>
      </w:r>
      <w:r>
        <w:t xml:space="preserve"> receipts.</w:t>
      </w:r>
    </w:p>
    <w:p w:rsidR="00000000" w:rsidRDefault="001F233B">
      <w:pPr>
        <w:pStyle w:val="Heading2"/>
      </w:pPr>
      <w:bookmarkStart w:id="92" w:name="_Toc417552087"/>
      <w:r>
        <w:t>Tax relief</w:t>
      </w:r>
      <w:bookmarkEnd w:id="92"/>
    </w:p>
    <w:p w:rsidR="00000000" w:rsidRDefault="001F233B">
      <w:pPr>
        <w:pStyle w:val="Heading4"/>
      </w:pPr>
      <w:r>
        <w:t>1998</w:t>
      </w:r>
      <w:r>
        <w:noBreakHyphen/>
        <w:t>99 Tax initiatives</w:t>
      </w:r>
      <w:r>
        <w:fldChar w:fldCharType="begin"/>
      </w:r>
      <w:r>
        <w:instrText>xe "Tax:Initiatives"</w:instrText>
      </w:r>
      <w:r>
        <w:fldChar w:fldCharType="end"/>
      </w:r>
    </w:p>
    <w:p w:rsidR="00000000" w:rsidRDefault="001F233B">
      <w:r>
        <w:t>This Budget provides a further $132 million in tax relief for Victorian firms and households. Building on the $209 million in payroll and fuel tax</w:t>
      </w:r>
      <w:r>
        <w:fldChar w:fldCharType="begin"/>
      </w:r>
      <w:r>
        <w:instrText>xe "Tax:Fuel tax"</w:instrText>
      </w:r>
      <w:r>
        <w:fldChar w:fldCharType="end"/>
      </w:r>
      <w:r>
        <w:t xml:space="preserve"> cuts and</w:t>
      </w:r>
      <w:r>
        <w:t xml:space="preserve"> $2 million in stamp duty relief announced in 1997</w:t>
      </w:r>
      <w:r>
        <w:noBreakHyphen/>
        <w:t>98, the Budget provides for an additional $90 million cut in payroll tax</w:t>
      </w:r>
      <w:r>
        <w:fldChar w:fldCharType="begin"/>
      </w:r>
      <w:r>
        <w:instrText>xe "Tax:Payroll tax"</w:instrText>
      </w:r>
      <w:r>
        <w:fldChar w:fldCharType="end"/>
      </w:r>
      <w:r>
        <w:fldChar w:fldCharType="begin"/>
      </w:r>
      <w:r>
        <w:instrText>xe "Payroll tax"</w:instrText>
      </w:r>
      <w:r>
        <w:fldChar w:fldCharType="end"/>
      </w:r>
      <w:r>
        <w:t xml:space="preserve"> together with a $42 million reduction in stamp duty on conveyancing</w:t>
      </w:r>
      <w:r>
        <w:fldChar w:fldCharType="begin"/>
      </w:r>
      <w:r>
        <w:instrText>xe "Stamp duty:Conveyancing"</w:instrText>
      </w:r>
      <w:r>
        <w:fldChar w:fldCharType="end"/>
      </w:r>
      <w:r>
        <w:t>. This will benefit first home</w:t>
      </w:r>
      <w:r>
        <w:noBreakHyphen/>
        <w:t>buyers, pensioner home</w:t>
      </w:r>
      <w:r>
        <w:noBreakHyphen/>
        <w:t>buyers and purchasers of median</w:t>
      </w:r>
      <w:r>
        <w:noBreakHyphen/>
        <w:t>priced homes. In addition, a full exemption from financial institutions duty</w:t>
      </w:r>
      <w:r>
        <w:fldChar w:fldCharType="begin"/>
      </w:r>
      <w:r>
        <w:instrText>xe "Tax:Financial institutions duty"</w:instrText>
      </w:r>
      <w:r>
        <w:fldChar w:fldCharType="end"/>
      </w:r>
      <w:r>
        <w:t xml:space="preserve"> and debits tax is to be provided whenever closure </w:t>
      </w:r>
      <w:r>
        <w:t>of a local bank branch forces customers to move their accounts.</w:t>
      </w:r>
    </w:p>
    <w:p w:rsidR="00000000" w:rsidRDefault="001F233B">
      <w:pPr>
        <w:pStyle w:val="Tableheading"/>
        <w:keepNext/>
        <w:jc w:val="both"/>
        <w:rPr>
          <w:noProof/>
        </w:rPr>
      </w:pPr>
      <w:bookmarkStart w:id="93" w:name="_Toc417552754"/>
      <w:r>
        <w:t>Table 5.2: Summary of 1998</w:t>
      </w:r>
      <w:r>
        <w:noBreakHyphen/>
        <w:t>99 Tax Relief Measures</w:t>
      </w:r>
      <w:bookmarkEnd w:id="93"/>
      <w:r>
        <w:t xml:space="preserve"> </w:t>
      </w:r>
    </w:p>
    <w:tbl>
      <w:tblPr>
        <w:tblW w:w="0" w:type="auto"/>
        <w:tblLayout w:type="fixed"/>
        <w:tblCellMar>
          <w:left w:w="14" w:type="dxa"/>
          <w:right w:w="14" w:type="dxa"/>
        </w:tblCellMar>
        <w:tblLook w:val="0000" w:firstRow="0" w:lastRow="0" w:firstColumn="0" w:lastColumn="0" w:noHBand="0" w:noVBand="0"/>
      </w:tblPr>
      <w:tblGrid>
        <w:gridCol w:w="4423"/>
        <w:gridCol w:w="1361"/>
        <w:gridCol w:w="1361"/>
      </w:tblGrid>
      <w:tr w:rsidR="00000000">
        <w:tblPrEx>
          <w:tblCellMar>
            <w:top w:w="0" w:type="dxa"/>
            <w:bottom w:w="0" w:type="dxa"/>
          </w:tblCellMar>
        </w:tblPrEx>
        <w:trPr>
          <w:trHeight w:hRule="exact" w:val="280"/>
        </w:trPr>
        <w:tc>
          <w:tcPr>
            <w:tcW w:w="4423" w:type="dxa"/>
            <w:tcBorders>
              <w:top w:val="single" w:sz="6" w:space="0" w:color="000000"/>
            </w:tcBorders>
          </w:tcPr>
          <w:p w:rsidR="00000000" w:rsidRDefault="001F233B">
            <w:pPr>
              <w:pStyle w:val="Tabletextheading"/>
              <w:keepNext/>
              <w:jc w:val="left"/>
              <w:rPr>
                <w:b w:val="0"/>
                <w:i/>
                <w:lang w:val="en-US"/>
              </w:rPr>
            </w:pPr>
            <w:r>
              <w:rPr>
                <w:b w:val="0"/>
                <w:i/>
                <w:lang w:val="en-US"/>
              </w:rPr>
              <w:t>Description of measure</w:t>
            </w:r>
          </w:p>
        </w:tc>
        <w:tc>
          <w:tcPr>
            <w:tcW w:w="2722" w:type="dxa"/>
            <w:gridSpan w:val="2"/>
            <w:tcBorders>
              <w:top w:val="single" w:sz="6" w:space="0" w:color="000000"/>
              <w:bottom w:val="single" w:sz="6" w:space="0" w:color="000000"/>
            </w:tcBorders>
          </w:tcPr>
          <w:p w:rsidR="00000000" w:rsidRDefault="001F233B">
            <w:pPr>
              <w:pStyle w:val="Tabletextheading"/>
              <w:keepNext/>
              <w:jc w:val="center"/>
              <w:rPr>
                <w:b w:val="0"/>
                <w:i/>
                <w:lang w:val="en-US"/>
              </w:rPr>
            </w:pPr>
            <w:r>
              <w:rPr>
                <w:b w:val="0"/>
                <w:i/>
                <w:lang w:val="en-US"/>
              </w:rPr>
              <w:t>Estimated Revenue Cost</w:t>
            </w:r>
          </w:p>
        </w:tc>
      </w:tr>
      <w:tr w:rsidR="00000000">
        <w:tblPrEx>
          <w:tblCellMar>
            <w:top w:w="0" w:type="dxa"/>
            <w:bottom w:w="0" w:type="dxa"/>
          </w:tblCellMar>
        </w:tblPrEx>
        <w:trPr>
          <w:trHeight w:val="262"/>
        </w:trPr>
        <w:tc>
          <w:tcPr>
            <w:tcW w:w="4423" w:type="dxa"/>
            <w:tcBorders>
              <w:bottom w:val="single" w:sz="6" w:space="0" w:color="000000"/>
            </w:tcBorders>
          </w:tcPr>
          <w:p w:rsidR="00000000" w:rsidRDefault="001F233B">
            <w:pPr>
              <w:pStyle w:val="Tabletextheading"/>
              <w:keepNext/>
              <w:rPr>
                <w:b w:val="0"/>
                <w:i/>
                <w:lang w:val="en-US"/>
              </w:rPr>
            </w:pPr>
          </w:p>
        </w:tc>
        <w:tc>
          <w:tcPr>
            <w:tcW w:w="1361" w:type="dxa"/>
            <w:tcBorders>
              <w:bottom w:val="single" w:sz="6" w:space="0" w:color="000000"/>
            </w:tcBorders>
          </w:tcPr>
          <w:p w:rsidR="00000000" w:rsidRDefault="001F233B">
            <w:pPr>
              <w:pStyle w:val="Tabletextheading"/>
              <w:keepNext/>
              <w:rPr>
                <w:b w:val="0"/>
                <w:i/>
                <w:lang w:val="en-US"/>
              </w:rPr>
            </w:pPr>
            <w:r>
              <w:rPr>
                <w:b w:val="0"/>
                <w:i/>
                <w:lang w:val="en-US"/>
              </w:rPr>
              <w:t>1998</w:t>
            </w:r>
            <w:r>
              <w:rPr>
                <w:b w:val="0"/>
                <w:i/>
                <w:lang w:val="en-US"/>
              </w:rPr>
              <w:noBreakHyphen/>
              <w:t>99</w:t>
            </w:r>
          </w:p>
          <w:p w:rsidR="00000000" w:rsidRDefault="001F233B">
            <w:pPr>
              <w:pStyle w:val="Tabletextheading"/>
              <w:keepNext/>
              <w:rPr>
                <w:b w:val="0"/>
                <w:i/>
                <w:lang w:val="en-US"/>
              </w:rPr>
            </w:pPr>
            <w:r>
              <w:rPr>
                <w:b w:val="0"/>
                <w:i/>
                <w:lang w:val="en-US"/>
              </w:rPr>
              <w:t>$ 000</w:t>
            </w:r>
          </w:p>
        </w:tc>
        <w:tc>
          <w:tcPr>
            <w:tcW w:w="1361" w:type="dxa"/>
            <w:tcBorders>
              <w:bottom w:val="single" w:sz="6" w:space="0" w:color="000000"/>
            </w:tcBorders>
          </w:tcPr>
          <w:p w:rsidR="00000000" w:rsidRDefault="001F233B">
            <w:pPr>
              <w:pStyle w:val="Tabletextheading"/>
              <w:keepNext/>
              <w:rPr>
                <w:b w:val="0"/>
                <w:i/>
                <w:lang w:val="en-US"/>
              </w:rPr>
            </w:pPr>
            <w:r>
              <w:rPr>
                <w:b w:val="0"/>
                <w:i/>
                <w:lang w:val="en-US"/>
              </w:rPr>
              <w:t>Full year</w:t>
            </w:r>
          </w:p>
          <w:p w:rsidR="00000000" w:rsidRDefault="001F233B">
            <w:pPr>
              <w:pStyle w:val="Tabletextheading"/>
              <w:keepNext/>
              <w:rPr>
                <w:b w:val="0"/>
                <w:i/>
                <w:lang w:val="en-US"/>
              </w:rPr>
            </w:pPr>
            <w:r>
              <w:rPr>
                <w:b w:val="0"/>
                <w:i/>
                <w:lang w:val="en-US"/>
              </w:rPr>
              <w:t>$ 000</w:t>
            </w:r>
          </w:p>
        </w:tc>
      </w:tr>
      <w:tr w:rsidR="00000000">
        <w:tblPrEx>
          <w:tblCellMar>
            <w:top w:w="0" w:type="dxa"/>
            <w:bottom w:w="0" w:type="dxa"/>
          </w:tblCellMar>
        </w:tblPrEx>
        <w:trPr>
          <w:trHeight w:val="240"/>
        </w:trPr>
        <w:tc>
          <w:tcPr>
            <w:tcW w:w="4423" w:type="dxa"/>
          </w:tcPr>
          <w:p w:rsidR="00000000" w:rsidRDefault="001F233B" w:rsidP="001F233B">
            <w:pPr>
              <w:pStyle w:val="Tabletext"/>
              <w:keepNext/>
              <w:numPr>
                <w:ilvl w:val="0"/>
                <w:numId w:val="1"/>
              </w:numPr>
              <w:tabs>
                <w:tab w:val="left" w:pos="360"/>
              </w:tabs>
              <w:spacing w:after="120"/>
              <w:rPr>
                <w:lang w:val="en-US"/>
              </w:rPr>
            </w:pPr>
            <w:r>
              <w:rPr>
                <w:lang w:val="en-US"/>
              </w:rPr>
              <w:t>Reduce payroll tax</w:t>
            </w:r>
            <w:r>
              <w:rPr>
                <w:lang w:val="en-US"/>
              </w:rPr>
              <w:fldChar w:fldCharType="begin"/>
            </w:r>
            <w:r>
              <w:rPr>
                <w:lang w:val="en-US"/>
              </w:rPr>
              <w:instrText>xe "Tax:Payroll tax"</w:instrText>
            </w:r>
            <w:r>
              <w:rPr>
                <w:lang w:val="en-US"/>
              </w:rPr>
              <w:fldChar w:fldCharType="end"/>
            </w:r>
            <w:r>
              <w:rPr>
                <w:lang w:val="en-US"/>
              </w:rPr>
              <w:fldChar w:fldCharType="begin"/>
            </w:r>
            <w:r>
              <w:rPr>
                <w:lang w:val="en-US"/>
              </w:rPr>
              <w:instrText>xe "Payroll tax"</w:instrText>
            </w:r>
            <w:r>
              <w:rPr>
                <w:lang w:val="en-US"/>
              </w:rPr>
              <w:fldChar w:fldCharType="end"/>
            </w:r>
            <w:r>
              <w:rPr>
                <w:lang w:val="en-US"/>
              </w:rPr>
              <w:t xml:space="preserve"> rate from 6.25% to 6%</w:t>
            </w:r>
          </w:p>
        </w:tc>
        <w:tc>
          <w:tcPr>
            <w:tcW w:w="1361" w:type="dxa"/>
          </w:tcPr>
          <w:p w:rsidR="00000000" w:rsidRDefault="001F233B" w:rsidP="001F233B">
            <w:pPr>
              <w:pStyle w:val="TableofFigures"/>
              <w:keepNext/>
              <w:numPr>
                <w:ilvl w:val="12"/>
                <w:numId w:val="0"/>
              </w:numPr>
              <w:spacing w:after="120"/>
              <w:rPr>
                <w:lang w:val="en-US"/>
              </w:rPr>
            </w:pPr>
            <w:r>
              <w:rPr>
                <w:lang w:val="en-US"/>
              </w:rPr>
              <w:t>83 000</w:t>
            </w:r>
          </w:p>
        </w:tc>
        <w:tc>
          <w:tcPr>
            <w:tcW w:w="1361" w:type="dxa"/>
          </w:tcPr>
          <w:p w:rsidR="00000000" w:rsidRDefault="001F233B" w:rsidP="001F233B">
            <w:pPr>
              <w:pStyle w:val="TableofFigures"/>
              <w:keepNext/>
              <w:numPr>
                <w:ilvl w:val="12"/>
                <w:numId w:val="0"/>
              </w:numPr>
              <w:spacing w:after="120"/>
              <w:rPr>
                <w:lang w:val="en-US"/>
              </w:rPr>
            </w:pPr>
            <w:r>
              <w:rPr>
                <w:lang w:val="en-US"/>
              </w:rPr>
              <w:t>90 000</w:t>
            </w:r>
          </w:p>
        </w:tc>
      </w:tr>
      <w:tr w:rsidR="00000000">
        <w:tblPrEx>
          <w:tblCellMar>
            <w:top w:w="0" w:type="dxa"/>
            <w:bottom w:w="0" w:type="dxa"/>
          </w:tblCellMar>
        </w:tblPrEx>
        <w:trPr>
          <w:trHeight w:val="240"/>
        </w:trPr>
        <w:tc>
          <w:tcPr>
            <w:tcW w:w="4423" w:type="dxa"/>
          </w:tcPr>
          <w:p w:rsidR="00000000" w:rsidRDefault="001F233B" w:rsidP="001F233B">
            <w:pPr>
              <w:pStyle w:val="Tabletext"/>
              <w:keepNext/>
              <w:numPr>
                <w:ilvl w:val="0"/>
                <w:numId w:val="1"/>
              </w:numPr>
              <w:tabs>
                <w:tab w:val="left" w:pos="360"/>
              </w:tabs>
              <w:spacing w:after="120"/>
              <w:rPr>
                <w:lang w:val="en-US"/>
              </w:rPr>
            </w:pPr>
            <w:r>
              <w:rPr>
                <w:lang w:val="en-US"/>
              </w:rPr>
              <w:t>Extend range over which 2.4% conveyance duty rate applies by raising threshold from $100 000 to $115 000</w:t>
            </w:r>
          </w:p>
        </w:tc>
        <w:tc>
          <w:tcPr>
            <w:tcW w:w="1361" w:type="dxa"/>
          </w:tcPr>
          <w:p w:rsidR="00000000" w:rsidRDefault="001F233B" w:rsidP="001F233B">
            <w:pPr>
              <w:pStyle w:val="TableofFigures"/>
              <w:keepNext/>
              <w:numPr>
                <w:ilvl w:val="12"/>
                <w:numId w:val="0"/>
              </w:numPr>
              <w:spacing w:after="120"/>
              <w:rPr>
                <w:lang w:val="en-US"/>
              </w:rPr>
            </w:pPr>
            <w:r>
              <w:rPr>
                <w:lang w:val="en-US"/>
              </w:rPr>
              <w:t>39 000</w:t>
            </w:r>
          </w:p>
        </w:tc>
        <w:tc>
          <w:tcPr>
            <w:tcW w:w="1361" w:type="dxa"/>
          </w:tcPr>
          <w:p w:rsidR="00000000" w:rsidRDefault="001F233B" w:rsidP="001F233B">
            <w:pPr>
              <w:pStyle w:val="TableofFigures"/>
              <w:keepNext/>
              <w:numPr>
                <w:ilvl w:val="12"/>
                <w:numId w:val="0"/>
              </w:numPr>
              <w:spacing w:after="120"/>
              <w:rPr>
                <w:lang w:val="en-US"/>
              </w:rPr>
            </w:pPr>
            <w:r>
              <w:rPr>
                <w:lang w:val="en-US"/>
              </w:rPr>
              <w:t>39 000</w:t>
            </w:r>
          </w:p>
        </w:tc>
      </w:tr>
      <w:tr w:rsidR="00000000">
        <w:tblPrEx>
          <w:tblCellMar>
            <w:top w:w="0" w:type="dxa"/>
            <w:bottom w:w="0" w:type="dxa"/>
          </w:tblCellMar>
        </w:tblPrEx>
        <w:trPr>
          <w:trHeight w:val="240"/>
        </w:trPr>
        <w:tc>
          <w:tcPr>
            <w:tcW w:w="4423" w:type="dxa"/>
          </w:tcPr>
          <w:p w:rsidR="00000000" w:rsidRDefault="001F233B" w:rsidP="001F233B">
            <w:pPr>
              <w:pStyle w:val="Tabletext"/>
              <w:keepNext/>
              <w:numPr>
                <w:ilvl w:val="0"/>
                <w:numId w:val="1"/>
              </w:numPr>
              <w:tabs>
                <w:tab w:val="left" w:pos="360"/>
              </w:tabs>
              <w:spacing w:after="120"/>
              <w:rPr>
                <w:lang w:val="en-US"/>
              </w:rPr>
            </w:pPr>
            <w:r>
              <w:rPr>
                <w:lang w:val="en-US"/>
              </w:rPr>
              <w:t>Raise threshold for maximum conveyance duty concession for first home buyers</w:t>
            </w:r>
            <w:r>
              <w:rPr>
                <w:lang w:val="en-US"/>
              </w:rPr>
              <w:fldChar w:fldCharType="begin"/>
            </w:r>
            <w:r>
              <w:rPr>
                <w:lang w:val="en-US"/>
              </w:rPr>
              <w:instrText>xe "Stamp duty:First home</w:instrText>
            </w:r>
            <w:r>
              <w:rPr>
                <w:lang w:val="en-US"/>
              </w:rPr>
              <w:instrText xml:space="preserve"> buyers"</w:instrText>
            </w:r>
            <w:r>
              <w:rPr>
                <w:lang w:val="en-US"/>
              </w:rPr>
              <w:fldChar w:fldCharType="end"/>
            </w:r>
            <w:r>
              <w:rPr>
                <w:lang w:val="en-US"/>
              </w:rPr>
              <w:t xml:space="preserve"> from $100 000 to $115 000, and for partial concession from $150 000 to $165 000</w:t>
            </w:r>
          </w:p>
        </w:tc>
        <w:tc>
          <w:tcPr>
            <w:tcW w:w="1361" w:type="dxa"/>
          </w:tcPr>
          <w:p w:rsidR="00000000" w:rsidRDefault="001F233B" w:rsidP="001F233B">
            <w:pPr>
              <w:pStyle w:val="TableofFigures"/>
              <w:keepNext/>
              <w:numPr>
                <w:ilvl w:val="12"/>
                <w:numId w:val="0"/>
              </w:numPr>
              <w:spacing w:after="120"/>
              <w:rPr>
                <w:lang w:val="en-US"/>
              </w:rPr>
            </w:pPr>
            <w:r>
              <w:rPr>
                <w:lang w:val="en-US"/>
              </w:rPr>
              <w:t>800</w:t>
            </w:r>
          </w:p>
        </w:tc>
        <w:tc>
          <w:tcPr>
            <w:tcW w:w="1361" w:type="dxa"/>
          </w:tcPr>
          <w:p w:rsidR="00000000" w:rsidRDefault="001F233B" w:rsidP="001F233B">
            <w:pPr>
              <w:pStyle w:val="TableofFigures"/>
              <w:keepNext/>
              <w:numPr>
                <w:ilvl w:val="12"/>
                <w:numId w:val="0"/>
              </w:numPr>
              <w:spacing w:after="120"/>
              <w:rPr>
                <w:lang w:val="en-US"/>
              </w:rPr>
            </w:pPr>
            <w:r>
              <w:rPr>
                <w:lang w:val="en-US"/>
              </w:rPr>
              <w:t>800</w:t>
            </w:r>
          </w:p>
        </w:tc>
      </w:tr>
      <w:tr w:rsidR="00000000">
        <w:tblPrEx>
          <w:tblCellMar>
            <w:top w:w="0" w:type="dxa"/>
            <w:bottom w:w="0" w:type="dxa"/>
          </w:tblCellMar>
        </w:tblPrEx>
        <w:trPr>
          <w:trHeight w:val="240"/>
        </w:trPr>
        <w:tc>
          <w:tcPr>
            <w:tcW w:w="4423" w:type="dxa"/>
          </w:tcPr>
          <w:p w:rsidR="00000000" w:rsidRDefault="001F233B" w:rsidP="001F233B">
            <w:pPr>
              <w:pStyle w:val="Tabletext"/>
              <w:keepNext/>
              <w:numPr>
                <w:ilvl w:val="0"/>
                <w:numId w:val="1"/>
              </w:numPr>
              <w:tabs>
                <w:tab w:val="left" w:pos="360"/>
              </w:tabs>
              <w:spacing w:after="120"/>
              <w:rPr>
                <w:lang w:val="en-US"/>
              </w:rPr>
            </w:pPr>
            <w:r>
              <w:rPr>
                <w:lang w:val="en-US"/>
              </w:rPr>
              <w:t>Raise threshold for maximum conveyance duty concession for pensioners from $70 000 to $100 000, and for partial concession from $100 000 to $130 000</w:t>
            </w:r>
          </w:p>
        </w:tc>
        <w:tc>
          <w:tcPr>
            <w:tcW w:w="1361" w:type="dxa"/>
          </w:tcPr>
          <w:p w:rsidR="00000000" w:rsidRDefault="001F233B" w:rsidP="001F233B">
            <w:pPr>
              <w:pStyle w:val="TableofFigures"/>
              <w:keepNext/>
              <w:numPr>
                <w:ilvl w:val="12"/>
                <w:numId w:val="0"/>
              </w:numPr>
              <w:spacing w:after="120"/>
              <w:rPr>
                <w:lang w:val="en-US"/>
              </w:rPr>
            </w:pPr>
            <w:r>
              <w:rPr>
                <w:lang w:val="en-US"/>
              </w:rPr>
              <w:t>2 300</w:t>
            </w:r>
          </w:p>
        </w:tc>
        <w:tc>
          <w:tcPr>
            <w:tcW w:w="1361" w:type="dxa"/>
          </w:tcPr>
          <w:p w:rsidR="00000000" w:rsidRDefault="001F233B" w:rsidP="001F233B">
            <w:pPr>
              <w:pStyle w:val="TableofFigures"/>
              <w:keepNext/>
              <w:numPr>
                <w:ilvl w:val="12"/>
                <w:numId w:val="0"/>
              </w:numPr>
              <w:spacing w:after="120"/>
              <w:rPr>
                <w:lang w:val="en-US"/>
              </w:rPr>
            </w:pPr>
            <w:r>
              <w:rPr>
                <w:lang w:val="en-US"/>
              </w:rPr>
              <w:t>2 300</w:t>
            </w:r>
          </w:p>
        </w:tc>
      </w:tr>
      <w:tr w:rsidR="00000000">
        <w:tblPrEx>
          <w:tblCellMar>
            <w:top w:w="0" w:type="dxa"/>
            <w:bottom w:w="0" w:type="dxa"/>
          </w:tblCellMar>
        </w:tblPrEx>
        <w:trPr>
          <w:trHeight w:val="240"/>
        </w:trPr>
        <w:tc>
          <w:tcPr>
            <w:tcW w:w="4423" w:type="dxa"/>
          </w:tcPr>
          <w:p w:rsidR="00000000" w:rsidRDefault="001F233B" w:rsidP="001F233B">
            <w:pPr>
              <w:pStyle w:val="Tabletext"/>
              <w:keepNext/>
              <w:numPr>
                <w:ilvl w:val="0"/>
                <w:numId w:val="1"/>
              </w:numPr>
              <w:tabs>
                <w:tab w:val="left" w:pos="360"/>
              </w:tabs>
              <w:spacing w:after="120"/>
              <w:rPr>
                <w:lang w:val="en-US"/>
              </w:rPr>
            </w:pPr>
            <w:r>
              <w:rPr>
                <w:lang w:val="en-US"/>
              </w:rPr>
              <w:t>Exempt from financial institutions duty</w:t>
            </w:r>
            <w:r>
              <w:rPr>
                <w:lang w:val="en-US"/>
              </w:rPr>
              <w:fldChar w:fldCharType="begin"/>
            </w:r>
            <w:r>
              <w:rPr>
                <w:lang w:val="en-US"/>
              </w:rPr>
              <w:instrText>xe "Tax:Financial institutions duty"</w:instrText>
            </w:r>
            <w:r>
              <w:rPr>
                <w:lang w:val="en-US"/>
              </w:rPr>
              <w:fldChar w:fldCharType="end"/>
            </w:r>
            <w:r>
              <w:rPr>
                <w:lang w:val="en-US"/>
              </w:rPr>
              <w:t xml:space="preserve"> and debits tax bank account transfers forced by branch closures</w:t>
            </w:r>
          </w:p>
        </w:tc>
        <w:tc>
          <w:tcPr>
            <w:tcW w:w="1361" w:type="dxa"/>
          </w:tcPr>
          <w:p w:rsidR="00000000" w:rsidRDefault="001F233B" w:rsidP="001F233B">
            <w:pPr>
              <w:pStyle w:val="TableofFigures"/>
              <w:keepNext/>
              <w:numPr>
                <w:ilvl w:val="12"/>
                <w:numId w:val="0"/>
              </w:numPr>
              <w:spacing w:after="120"/>
              <w:rPr>
                <w:lang w:val="en-US"/>
              </w:rPr>
            </w:pPr>
            <w:r>
              <w:rPr>
                <w:lang w:val="en-US"/>
              </w:rPr>
              <w:t>na</w:t>
            </w:r>
          </w:p>
        </w:tc>
        <w:tc>
          <w:tcPr>
            <w:tcW w:w="1361" w:type="dxa"/>
          </w:tcPr>
          <w:p w:rsidR="00000000" w:rsidRDefault="001F233B" w:rsidP="001F233B">
            <w:pPr>
              <w:pStyle w:val="TableofFigures"/>
              <w:keepNext/>
              <w:numPr>
                <w:ilvl w:val="12"/>
                <w:numId w:val="0"/>
              </w:numPr>
              <w:spacing w:after="120"/>
              <w:rPr>
                <w:lang w:val="en-US"/>
              </w:rPr>
            </w:pPr>
            <w:r>
              <w:rPr>
                <w:lang w:val="en-US"/>
              </w:rPr>
              <w:t>na</w:t>
            </w:r>
          </w:p>
        </w:tc>
      </w:tr>
      <w:tr w:rsidR="00000000">
        <w:tblPrEx>
          <w:tblCellMar>
            <w:top w:w="0" w:type="dxa"/>
            <w:bottom w:w="0" w:type="dxa"/>
          </w:tblCellMar>
        </w:tblPrEx>
        <w:trPr>
          <w:trHeight w:val="240"/>
        </w:trPr>
        <w:tc>
          <w:tcPr>
            <w:tcW w:w="4423" w:type="dxa"/>
            <w:tcBorders>
              <w:top w:val="single" w:sz="6" w:space="0" w:color="auto"/>
              <w:bottom w:val="single" w:sz="12" w:space="0" w:color="auto"/>
            </w:tcBorders>
          </w:tcPr>
          <w:p w:rsidR="00000000" w:rsidRDefault="001F233B" w:rsidP="001F233B">
            <w:pPr>
              <w:pStyle w:val="Tabletext"/>
              <w:keepNext/>
              <w:numPr>
                <w:ilvl w:val="12"/>
                <w:numId w:val="0"/>
              </w:numPr>
              <w:rPr>
                <w:b/>
                <w:lang w:val="en-US"/>
              </w:rPr>
            </w:pPr>
            <w:r>
              <w:rPr>
                <w:b/>
                <w:lang w:val="en-US"/>
              </w:rPr>
              <w:t>Total</w:t>
            </w:r>
          </w:p>
        </w:tc>
        <w:tc>
          <w:tcPr>
            <w:tcW w:w="1361" w:type="dxa"/>
            <w:tcBorders>
              <w:top w:val="single" w:sz="6" w:space="0" w:color="auto"/>
              <w:bottom w:val="single" w:sz="12" w:space="0" w:color="auto"/>
            </w:tcBorders>
          </w:tcPr>
          <w:p w:rsidR="00000000" w:rsidRDefault="001F233B" w:rsidP="001F233B">
            <w:pPr>
              <w:pStyle w:val="TableofFigures"/>
              <w:keepNext/>
              <w:numPr>
                <w:ilvl w:val="12"/>
                <w:numId w:val="0"/>
              </w:numPr>
              <w:rPr>
                <w:b/>
                <w:lang w:val="en-US"/>
              </w:rPr>
            </w:pPr>
            <w:r>
              <w:rPr>
                <w:b/>
                <w:lang w:val="en-US"/>
              </w:rPr>
              <w:t>125 100</w:t>
            </w:r>
          </w:p>
        </w:tc>
        <w:tc>
          <w:tcPr>
            <w:tcW w:w="1361" w:type="dxa"/>
            <w:tcBorders>
              <w:top w:val="single" w:sz="6" w:space="0" w:color="auto"/>
              <w:bottom w:val="single" w:sz="12" w:space="0" w:color="auto"/>
            </w:tcBorders>
          </w:tcPr>
          <w:p w:rsidR="00000000" w:rsidRDefault="001F233B" w:rsidP="001F233B">
            <w:pPr>
              <w:pStyle w:val="TableofFigures"/>
              <w:keepNext/>
              <w:numPr>
                <w:ilvl w:val="12"/>
                <w:numId w:val="0"/>
              </w:numPr>
              <w:rPr>
                <w:b/>
                <w:lang w:val="en-US"/>
              </w:rPr>
            </w:pPr>
            <w:r>
              <w:rPr>
                <w:b/>
                <w:lang w:val="en-US"/>
              </w:rPr>
              <w:t>132 100</w:t>
            </w:r>
          </w:p>
        </w:tc>
      </w:tr>
    </w:tbl>
    <w:p w:rsidR="00000000" w:rsidRDefault="001F233B" w:rsidP="001F233B">
      <w:pPr>
        <w:pStyle w:val="Source"/>
        <w:numPr>
          <w:ilvl w:val="12"/>
          <w:numId w:val="0"/>
        </w:numPr>
      </w:pPr>
      <w:r>
        <w:t>Source: Department of Treasury and Finance.</w:t>
      </w:r>
    </w:p>
    <w:p w:rsidR="00000000" w:rsidRDefault="001F233B" w:rsidP="001F233B">
      <w:pPr>
        <w:pStyle w:val="Heading4"/>
        <w:numPr>
          <w:ilvl w:val="12"/>
          <w:numId w:val="0"/>
        </w:numPr>
      </w:pPr>
      <w:r>
        <w:t>Payroll tax</w:t>
      </w:r>
      <w:r>
        <w:fldChar w:fldCharType="begin"/>
      </w:r>
      <w:r>
        <w:instrText>xe "Tax:Payroll tax"</w:instrText>
      </w:r>
      <w:r>
        <w:fldChar w:fldCharType="end"/>
      </w:r>
      <w:r>
        <w:fldChar w:fldCharType="begin"/>
      </w:r>
      <w:r>
        <w:instrText>x</w:instrText>
      </w:r>
      <w:r>
        <w:instrText>e "Payroll tax"</w:instrText>
      </w:r>
      <w:r>
        <w:fldChar w:fldCharType="end"/>
      </w:r>
      <w:r>
        <w:t xml:space="preserve"> cut</w:t>
      </w:r>
    </w:p>
    <w:p w:rsidR="00000000" w:rsidRDefault="001F233B" w:rsidP="001F233B">
      <w:pPr>
        <w:numPr>
          <w:ilvl w:val="12"/>
          <w:numId w:val="0"/>
        </w:numPr>
      </w:pPr>
      <w:r>
        <w:t>From 1 July 1998, Victoria’s payroll tax</w:t>
      </w:r>
      <w:r>
        <w:fldChar w:fldCharType="begin"/>
      </w:r>
      <w:r>
        <w:instrText>xe "Tax:Payroll tax"</w:instrText>
      </w:r>
      <w:r>
        <w:fldChar w:fldCharType="end"/>
      </w:r>
      <w:r>
        <w:fldChar w:fldCharType="begin"/>
      </w:r>
      <w:r>
        <w:instrText>xe "Payroll tax"</w:instrText>
      </w:r>
      <w:r>
        <w:fldChar w:fldCharType="end"/>
      </w:r>
      <w:r>
        <w:t xml:space="preserve"> rate will fall to 6 per cent. This follows last year’s rate reduction from 7 per cent to 6¼ per cent. It will mean a further 4.0 per cent reduction in tax liability for all Victorian businesses currently paying payroll tax and will affect some 15 200 employers.</w:t>
      </w:r>
    </w:p>
    <w:p w:rsidR="00000000" w:rsidRDefault="001F233B" w:rsidP="001F233B">
      <w:pPr>
        <w:numPr>
          <w:ilvl w:val="12"/>
          <w:numId w:val="0"/>
        </w:numPr>
      </w:pPr>
      <w:r>
        <w:t>At an estimated cost to revenue of $90 million in a full year, this further rate cut brings the value of payroll tax</w:t>
      </w:r>
      <w:r>
        <w:fldChar w:fldCharType="begin"/>
      </w:r>
      <w:r>
        <w:instrText>xe "Tax:Payroll tax"</w:instrText>
      </w:r>
      <w:r>
        <w:fldChar w:fldCharType="end"/>
      </w:r>
      <w:r>
        <w:fldChar w:fldCharType="begin"/>
      </w:r>
      <w:r>
        <w:instrText>xe "Payro</w:instrText>
      </w:r>
      <w:r>
        <w:instrText>ll tax"</w:instrText>
      </w:r>
      <w:r>
        <w:fldChar w:fldCharType="end"/>
      </w:r>
      <w:r>
        <w:t xml:space="preserve"> relief to Victorian firms over the two years to a total of $193 million. Prior to July 1997 Victoria’s payroll tax rate was among the highest in Australia for medium</w:t>
      </w:r>
      <w:r>
        <w:noBreakHyphen/>
        <w:t>to</w:t>
      </w:r>
      <w:r>
        <w:noBreakHyphen/>
        <w:t>large sized firms. From 1 July 1998, Victoria will have the third lowest rate on payrolls of $5 million and over. These successive reductions will make Victoria more attractive to new investments and improve the cost competitiveness</w:t>
      </w:r>
      <w:r>
        <w:fldChar w:fldCharType="begin"/>
      </w:r>
      <w:r>
        <w:instrText>xe "Competitiveness"</w:instrText>
      </w:r>
      <w:r>
        <w:fldChar w:fldCharType="end"/>
      </w:r>
      <w:r>
        <w:t xml:space="preserve"> of existing local firms and industries. Because Victoria has a strong manufactu</w:t>
      </w:r>
      <w:r>
        <w:t>ring</w:t>
      </w:r>
      <w:r>
        <w:fldChar w:fldCharType="begin"/>
      </w:r>
      <w:r>
        <w:instrText>xe "Economy:Manufacturing"</w:instrText>
      </w:r>
      <w:r>
        <w:fldChar w:fldCharType="end"/>
      </w:r>
      <w:r>
        <w:t xml:space="preserve"> export base and is also a net exporter of goods and services to other States, increased business flowing from improved competitiveness will translate into stronger growth in the Victorian economy. In time, this boost to growth should also flow through to increased employment</w:t>
      </w:r>
      <w:r>
        <w:fldChar w:fldCharType="begin"/>
      </w:r>
      <w:r>
        <w:instrText>xe "Economy:Employment"</w:instrText>
      </w:r>
      <w:r>
        <w:fldChar w:fldCharType="end"/>
      </w:r>
      <w:r>
        <w:t>, to the benefit of all Victorians.</w:t>
      </w:r>
    </w:p>
    <w:p w:rsidR="00000000" w:rsidRDefault="001F233B" w:rsidP="001F233B">
      <w:pPr>
        <w:numPr>
          <w:ilvl w:val="12"/>
          <w:numId w:val="0"/>
        </w:numPr>
      </w:pPr>
      <w:r>
        <w:t>This measure is to take effect with respect to wages</w:t>
      </w:r>
      <w:r>
        <w:fldChar w:fldCharType="begin"/>
      </w:r>
      <w:r>
        <w:instrText>xe "Economy:Wages"</w:instrText>
      </w:r>
      <w:r>
        <w:fldChar w:fldCharType="end"/>
      </w:r>
      <w:r>
        <w:t xml:space="preserve"> paid or payable from 1 July 1998 at an estimated cost to revenue of $8</w:t>
      </w:r>
      <w:r>
        <w:t>3 million in 1998</w:t>
      </w:r>
      <w:r>
        <w:noBreakHyphen/>
        <w:t>99 and $90 million in a full year.</w:t>
      </w:r>
    </w:p>
    <w:p w:rsidR="00000000" w:rsidRDefault="001F233B" w:rsidP="001F233B">
      <w:pPr>
        <w:pStyle w:val="Heading4"/>
        <w:numPr>
          <w:ilvl w:val="12"/>
          <w:numId w:val="0"/>
        </w:numPr>
      </w:pPr>
      <w:r>
        <w:t>Stamp duty on conveyancing</w:t>
      </w:r>
      <w:r>
        <w:fldChar w:fldCharType="begin"/>
      </w:r>
      <w:r>
        <w:instrText>xe "Stamp duty:Conveyancing"</w:instrText>
      </w:r>
      <w:r>
        <w:fldChar w:fldCharType="end"/>
      </w:r>
    </w:p>
    <w:p w:rsidR="00000000" w:rsidRDefault="001F233B" w:rsidP="001F233B">
      <w:pPr>
        <w:numPr>
          <w:ilvl w:val="12"/>
          <w:numId w:val="0"/>
        </w:numPr>
      </w:pPr>
      <w:r>
        <w:t>This Budget contains significant conveyance duty relief for median price home</w:t>
      </w:r>
      <w:r>
        <w:noBreakHyphen/>
        <w:t>buyers by extending the range over which the lower marginal rate of 2.4 per cent applies from the current $100 000 threshold to $115 000. This will reduce conveyance duty payable on properties with values in the range $100 000 to $870 000, and offer savings of $540 on all properties in the value range $115 000 to $760 000.</w:t>
      </w:r>
      <w:r>
        <w:t xml:space="preserve"> </w:t>
      </w:r>
    </w:p>
    <w:p w:rsidR="00000000" w:rsidRDefault="001F233B" w:rsidP="001F233B">
      <w:pPr>
        <w:numPr>
          <w:ilvl w:val="12"/>
          <w:numId w:val="0"/>
        </w:numPr>
      </w:pPr>
      <w:r>
        <w:t>The greatest proportional gains will go to those purchasing properties in the median house price range (approximately 50 per cent of all property sales). Information from the Valuer</w:t>
      </w:r>
      <w:r>
        <w:noBreakHyphen/>
        <w:t>General indicates that in Melbourne in 1997 the median price of a house was $135 000 and that of an own</w:t>
      </w:r>
      <w:r>
        <w:noBreakHyphen/>
        <w:t>your</w:t>
      </w:r>
      <w:r>
        <w:noBreakHyphen/>
        <w:t xml:space="preserve">own flat was $120 000. Some 72 000 property purchasers are expected to benefit each year from this measure. </w:t>
      </w:r>
    </w:p>
    <w:p w:rsidR="00000000" w:rsidRDefault="001F233B" w:rsidP="001F233B">
      <w:pPr>
        <w:numPr>
          <w:ilvl w:val="12"/>
          <w:numId w:val="0"/>
        </w:numPr>
      </w:pPr>
      <w:r>
        <w:t xml:space="preserve">Smaller businesses purchasing properties within this value range will also benefit. This will further enhance </w:t>
      </w:r>
      <w:r>
        <w:t>the already very competitive regime of stamp duties on business conveyances in Victoria which, unlike other States, does not include the value of either goodwill or stock</w:t>
      </w:r>
      <w:r>
        <w:noBreakHyphen/>
        <w:t>in</w:t>
      </w:r>
      <w:r>
        <w:noBreakHyphen/>
        <w:t>trade. As a result, stamp duty payable on business property transfers is typically much lower in Victoria, despite higher marginal rates.</w:t>
      </w:r>
    </w:p>
    <w:p w:rsidR="00000000" w:rsidRDefault="001F233B" w:rsidP="001F233B">
      <w:pPr>
        <w:numPr>
          <w:ilvl w:val="12"/>
          <w:numId w:val="0"/>
        </w:numPr>
      </w:pPr>
      <w:r>
        <w:t>The reduction in conveyance duty will facilitate greater mobility of labour by reducing the cost to individuals and households of moving to areas of greater employment</w:t>
      </w:r>
      <w:r>
        <w:fldChar w:fldCharType="begin"/>
      </w:r>
      <w:r>
        <w:instrText>xe "Economy:Employment"</w:instrText>
      </w:r>
      <w:r>
        <w:fldChar w:fldCharType="end"/>
      </w:r>
      <w:r>
        <w:t xml:space="preserve"> opportu</w:t>
      </w:r>
      <w:r>
        <w:t>nity. By reducing the transactions costs associated with moving house as accommodation needs change, it will also assist in promoting more efficient use of existing housing stock.</w:t>
      </w:r>
    </w:p>
    <w:p w:rsidR="00000000" w:rsidRDefault="001F233B" w:rsidP="001F233B">
      <w:pPr>
        <w:numPr>
          <w:ilvl w:val="12"/>
          <w:numId w:val="0"/>
        </w:numPr>
      </w:pPr>
      <w:r>
        <w:t>This measure will have an estimated cost to revenue of $39 million in 1998</w:t>
      </w:r>
      <w:r>
        <w:noBreakHyphen/>
        <w:t>99 and will have effect for contracts entered into on or after 21 April 1998. The new rate scale which takes effect from that date is set out in Table 5.3.</w:t>
      </w:r>
    </w:p>
    <w:p w:rsidR="00000000" w:rsidRDefault="001F233B" w:rsidP="001F233B">
      <w:pPr>
        <w:pStyle w:val="Tableheading"/>
        <w:keepNext/>
        <w:numPr>
          <w:ilvl w:val="12"/>
          <w:numId w:val="0"/>
        </w:numPr>
        <w:jc w:val="both"/>
        <w:rPr>
          <w:noProof/>
        </w:rPr>
      </w:pPr>
      <w:r>
        <w:br w:type="page"/>
      </w:r>
      <w:bookmarkStart w:id="94" w:name="_Toc417119997"/>
      <w:bookmarkStart w:id="95" w:name="_Toc417552755"/>
      <w:r>
        <w:t>Table 5.3: Conveyance Duty Rates and Thresholds</w:t>
      </w:r>
      <w:bookmarkEnd w:id="94"/>
      <w:bookmarkEnd w:id="95"/>
      <w:r>
        <w:t xml:space="preserve"> </w:t>
      </w:r>
    </w:p>
    <w:tbl>
      <w:tblPr>
        <w:tblW w:w="0" w:type="auto"/>
        <w:tblLayout w:type="fixed"/>
        <w:tblCellMar>
          <w:left w:w="14" w:type="dxa"/>
          <w:right w:w="14" w:type="dxa"/>
        </w:tblCellMar>
        <w:tblLook w:val="0000" w:firstRow="0" w:lastRow="0" w:firstColumn="0" w:lastColumn="0" w:noHBand="0" w:noVBand="0"/>
      </w:tblPr>
      <w:tblGrid>
        <w:gridCol w:w="3289"/>
        <w:gridCol w:w="3856"/>
      </w:tblGrid>
      <w:tr w:rsidR="00000000">
        <w:tblPrEx>
          <w:tblCellMar>
            <w:top w:w="0" w:type="dxa"/>
            <w:bottom w:w="0" w:type="dxa"/>
          </w:tblCellMar>
        </w:tblPrEx>
        <w:trPr>
          <w:trHeight w:hRule="exact" w:val="280"/>
        </w:trPr>
        <w:tc>
          <w:tcPr>
            <w:tcW w:w="3289" w:type="dxa"/>
            <w:tcBorders>
              <w:top w:val="single" w:sz="6" w:space="0" w:color="000000"/>
              <w:bottom w:val="single" w:sz="6" w:space="0" w:color="auto"/>
            </w:tcBorders>
          </w:tcPr>
          <w:p w:rsidR="00000000" w:rsidRDefault="001F233B" w:rsidP="001F233B">
            <w:pPr>
              <w:pStyle w:val="Tabletextheading"/>
              <w:keepNext/>
              <w:numPr>
                <w:ilvl w:val="12"/>
                <w:numId w:val="0"/>
              </w:numPr>
              <w:jc w:val="left"/>
              <w:rPr>
                <w:b w:val="0"/>
                <w:i/>
                <w:lang w:val="en-US"/>
              </w:rPr>
            </w:pPr>
            <w:r>
              <w:rPr>
                <w:b w:val="0"/>
                <w:i/>
                <w:lang w:val="en-US"/>
              </w:rPr>
              <w:t>Value of Property Transferred ($)</w:t>
            </w:r>
          </w:p>
        </w:tc>
        <w:tc>
          <w:tcPr>
            <w:tcW w:w="3856" w:type="dxa"/>
            <w:tcBorders>
              <w:top w:val="single" w:sz="6" w:space="0" w:color="000000"/>
              <w:bottom w:val="single" w:sz="6" w:space="0" w:color="auto"/>
            </w:tcBorders>
          </w:tcPr>
          <w:p w:rsidR="00000000" w:rsidRDefault="001F233B" w:rsidP="001F233B">
            <w:pPr>
              <w:pStyle w:val="Tabletextheading"/>
              <w:keepNext/>
              <w:numPr>
                <w:ilvl w:val="12"/>
                <w:numId w:val="0"/>
              </w:numPr>
              <w:jc w:val="left"/>
              <w:rPr>
                <w:b w:val="0"/>
                <w:i/>
                <w:lang w:val="en-US"/>
              </w:rPr>
            </w:pPr>
            <w:r>
              <w:rPr>
                <w:b w:val="0"/>
                <w:i/>
                <w:lang w:val="en-US"/>
              </w:rPr>
              <w:t>Stamp Duty Payabl</w:t>
            </w:r>
            <w:r>
              <w:rPr>
                <w:b w:val="0"/>
                <w:i/>
                <w:lang w:val="en-US"/>
              </w:rPr>
              <w:t>e</w:t>
            </w:r>
          </w:p>
        </w:tc>
      </w:tr>
      <w:tr w:rsidR="00000000">
        <w:tblPrEx>
          <w:tblCellMar>
            <w:top w:w="0" w:type="dxa"/>
            <w:bottom w:w="0" w:type="dxa"/>
          </w:tblCellMar>
        </w:tblPrEx>
        <w:trPr>
          <w:trHeight w:hRule="exact" w:val="320"/>
        </w:trPr>
        <w:tc>
          <w:tcPr>
            <w:tcW w:w="3289" w:type="dxa"/>
          </w:tcPr>
          <w:p w:rsidR="00000000" w:rsidRDefault="001F233B" w:rsidP="001F233B">
            <w:pPr>
              <w:pStyle w:val="Tabletext"/>
              <w:keepNext/>
              <w:numPr>
                <w:ilvl w:val="12"/>
                <w:numId w:val="0"/>
              </w:numPr>
              <w:rPr>
                <w:lang w:val="en-US"/>
              </w:rPr>
            </w:pPr>
            <w:r>
              <w:rPr>
                <w:lang w:val="en-US"/>
              </w:rPr>
              <w:t xml:space="preserve">0 </w:t>
            </w:r>
            <w:r>
              <w:rPr>
                <w:lang w:val="en-US"/>
              </w:rPr>
              <w:noBreakHyphen/>
              <w:t xml:space="preserve"> 20 000</w:t>
            </w:r>
          </w:p>
        </w:tc>
        <w:tc>
          <w:tcPr>
            <w:tcW w:w="3856" w:type="dxa"/>
          </w:tcPr>
          <w:p w:rsidR="00000000" w:rsidRDefault="001F233B" w:rsidP="001F233B">
            <w:pPr>
              <w:pStyle w:val="Tabletext"/>
              <w:keepNext/>
              <w:numPr>
                <w:ilvl w:val="12"/>
                <w:numId w:val="0"/>
              </w:numPr>
              <w:rPr>
                <w:lang w:val="en-US"/>
              </w:rPr>
            </w:pPr>
            <w:r>
              <w:rPr>
                <w:lang w:val="en-US"/>
              </w:rPr>
              <w:t>1.4% of the value of the property</w:t>
            </w:r>
          </w:p>
        </w:tc>
      </w:tr>
      <w:tr w:rsidR="00000000">
        <w:tblPrEx>
          <w:tblCellMar>
            <w:top w:w="0" w:type="dxa"/>
            <w:bottom w:w="0" w:type="dxa"/>
          </w:tblCellMar>
        </w:tblPrEx>
        <w:trPr>
          <w:trHeight w:hRule="exact" w:val="320"/>
        </w:trPr>
        <w:tc>
          <w:tcPr>
            <w:tcW w:w="3289" w:type="dxa"/>
          </w:tcPr>
          <w:p w:rsidR="00000000" w:rsidRDefault="001F233B" w:rsidP="001F233B">
            <w:pPr>
              <w:pStyle w:val="Tabletext"/>
              <w:keepNext/>
              <w:numPr>
                <w:ilvl w:val="12"/>
                <w:numId w:val="0"/>
              </w:numPr>
              <w:rPr>
                <w:lang w:val="en-US"/>
              </w:rPr>
            </w:pPr>
            <w:r>
              <w:rPr>
                <w:lang w:val="en-US"/>
              </w:rPr>
              <w:t xml:space="preserve">20 001 </w:t>
            </w:r>
            <w:r>
              <w:rPr>
                <w:lang w:val="en-US"/>
              </w:rPr>
              <w:noBreakHyphen/>
              <w:t xml:space="preserve"> 115 000</w:t>
            </w:r>
          </w:p>
        </w:tc>
        <w:tc>
          <w:tcPr>
            <w:tcW w:w="3856" w:type="dxa"/>
          </w:tcPr>
          <w:p w:rsidR="00000000" w:rsidRDefault="001F233B" w:rsidP="001F233B">
            <w:pPr>
              <w:pStyle w:val="Tabletext"/>
              <w:keepNext/>
              <w:numPr>
                <w:ilvl w:val="12"/>
                <w:numId w:val="0"/>
              </w:numPr>
              <w:rPr>
                <w:lang w:val="en-US"/>
              </w:rPr>
            </w:pPr>
            <w:r>
              <w:rPr>
                <w:lang w:val="en-US"/>
              </w:rPr>
              <w:t>$280 plus 2.4% of the excess over $20 000</w:t>
            </w:r>
          </w:p>
        </w:tc>
      </w:tr>
      <w:tr w:rsidR="00000000">
        <w:tblPrEx>
          <w:tblCellMar>
            <w:top w:w="0" w:type="dxa"/>
            <w:bottom w:w="0" w:type="dxa"/>
          </w:tblCellMar>
        </w:tblPrEx>
        <w:trPr>
          <w:trHeight w:hRule="exact" w:val="320"/>
        </w:trPr>
        <w:tc>
          <w:tcPr>
            <w:tcW w:w="3289" w:type="dxa"/>
          </w:tcPr>
          <w:p w:rsidR="00000000" w:rsidRDefault="001F233B" w:rsidP="001F233B">
            <w:pPr>
              <w:pStyle w:val="Tabletext"/>
              <w:keepNext/>
              <w:numPr>
                <w:ilvl w:val="12"/>
                <w:numId w:val="0"/>
              </w:numPr>
              <w:rPr>
                <w:lang w:val="en-US"/>
              </w:rPr>
            </w:pPr>
            <w:r>
              <w:rPr>
                <w:lang w:val="en-US"/>
              </w:rPr>
              <w:t xml:space="preserve">115 001 </w:t>
            </w:r>
            <w:r>
              <w:rPr>
                <w:lang w:val="en-US"/>
              </w:rPr>
              <w:noBreakHyphen/>
              <w:t xml:space="preserve"> 870 000</w:t>
            </w:r>
          </w:p>
        </w:tc>
        <w:tc>
          <w:tcPr>
            <w:tcW w:w="3856" w:type="dxa"/>
          </w:tcPr>
          <w:p w:rsidR="00000000" w:rsidRDefault="001F233B" w:rsidP="001F233B">
            <w:pPr>
              <w:pStyle w:val="Tabletext"/>
              <w:keepNext/>
              <w:numPr>
                <w:ilvl w:val="12"/>
                <w:numId w:val="0"/>
              </w:numPr>
              <w:rPr>
                <w:lang w:val="en-US"/>
              </w:rPr>
            </w:pPr>
            <w:r>
              <w:rPr>
                <w:lang w:val="en-US"/>
              </w:rPr>
              <w:t>$2 560 plus 6% of the excess over $115 000</w:t>
            </w:r>
          </w:p>
        </w:tc>
      </w:tr>
      <w:tr w:rsidR="00000000">
        <w:tblPrEx>
          <w:tblCellMar>
            <w:top w:w="0" w:type="dxa"/>
            <w:bottom w:w="0" w:type="dxa"/>
          </w:tblCellMar>
        </w:tblPrEx>
        <w:trPr>
          <w:trHeight w:hRule="exact" w:val="320"/>
        </w:trPr>
        <w:tc>
          <w:tcPr>
            <w:tcW w:w="3289" w:type="dxa"/>
            <w:tcBorders>
              <w:bottom w:val="single" w:sz="12" w:space="0" w:color="auto"/>
            </w:tcBorders>
          </w:tcPr>
          <w:p w:rsidR="00000000" w:rsidRDefault="001F233B" w:rsidP="001F233B">
            <w:pPr>
              <w:pStyle w:val="Tabletext"/>
              <w:keepNext/>
              <w:numPr>
                <w:ilvl w:val="12"/>
                <w:numId w:val="0"/>
              </w:numPr>
              <w:rPr>
                <w:lang w:val="en-US"/>
              </w:rPr>
            </w:pPr>
            <w:r>
              <w:rPr>
                <w:lang w:val="en-US"/>
              </w:rPr>
              <w:t>Above 870 000</w:t>
            </w:r>
          </w:p>
        </w:tc>
        <w:tc>
          <w:tcPr>
            <w:tcW w:w="3856" w:type="dxa"/>
            <w:tcBorders>
              <w:bottom w:val="single" w:sz="12" w:space="0" w:color="auto"/>
            </w:tcBorders>
          </w:tcPr>
          <w:p w:rsidR="00000000" w:rsidRDefault="001F233B" w:rsidP="001F233B">
            <w:pPr>
              <w:pStyle w:val="Tabletext"/>
              <w:keepNext/>
              <w:numPr>
                <w:ilvl w:val="12"/>
                <w:numId w:val="0"/>
              </w:numPr>
              <w:rPr>
                <w:lang w:val="en-US"/>
              </w:rPr>
            </w:pPr>
            <w:r>
              <w:rPr>
                <w:lang w:val="en-US"/>
              </w:rPr>
              <w:t>5.5% of the value of the property</w:t>
            </w:r>
          </w:p>
        </w:tc>
      </w:tr>
    </w:tbl>
    <w:p w:rsidR="00000000" w:rsidRDefault="001F233B" w:rsidP="001F233B">
      <w:pPr>
        <w:pStyle w:val="Source"/>
        <w:keepNext/>
        <w:numPr>
          <w:ilvl w:val="12"/>
          <w:numId w:val="0"/>
        </w:numPr>
      </w:pPr>
      <w:r>
        <w:t>Source: Department of Treasury and Finance.</w:t>
      </w:r>
    </w:p>
    <w:p w:rsidR="00000000" w:rsidRDefault="001F233B" w:rsidP="001F233B">
      <w:pPr>
        <w:pStyle w:val="Heading4"/>
        <w:numPr>
          <w:ilvl w:val="12"/>
          <w:numId w:val="0"/>
        </w:numPr>
      </w:pPr>
      <w:r>
        <w:t>First home</w:t>
      </w:r>
      <w:r>
        <w:noBreakHyphen/>
        <w:t>buyers stamp duty concession</w:t>
      </w:r>
    </w:p>
    <w:p w:rsidR="00000000" w:rsidRDefault="001F233B" w:rsidP="001F233B">
      <w:pPr>
        <w:numPr>
          <w:ilvl w:val="12"/>
          <w:numId w:val="0"/>
        </w:numPr>
      </w:pPr>
      <w:r>
        <w:t>The threshold at which the maximum concession on stamp duties for first home</w:t>
      </w:r>
      <w:r>
        <w:noBreakHyphen/>
        <w:t>buyers tapers out is also to be raised. Since 9 August 1988, certain low income families with dependent children have been eligible</w:t>
      </w:r>
      <w:r>
        <w:t xml:space="preserve"> for a stamp duty concession on the purchase of their first home. A full exemption (with a benefit of $2 200) applies to homes valued up to $100 000 and the concession tapers out to zero for purchases of homes valued at $150 000. These thresholds were last adjusted in April 1996.</w:t>
      </w:r>
    </w:p>
    <w:p w:rsidR="00000000" w:rsidRDefault="001F233B" w:rsidP="001F233B">
      <w:pPr>
        <w:numPr>
          <w:ilvl w:val="12"/>
          <w:numId w:val="0"/>
        </w:numPr>
      </w:pPr>
      <w:r>
        <w:t xml:space="preserve">To protect the value of the first home buyer concession from rising property prices, the threshold for a maximum concession will increase from $100 000 to $115 000, while the upper threshold for a partial concession will rise from </w:t>
      </w:r>
      <w:r>
        <w:t>$150 000 to $165 000. As a consequence, the value of the maximum concession will increase from $2 200 to $2 560. These adjustments will take effect for contracts entered into on or after 1 July 1998 by eligible first home buyers</w:t>
      </w:r>
      <w:r>
        <w:fldChar w:fldCharType="begin"/>
      </w:r>
      <w:r>
        <w:instrText>xe "Stamp duty:First home buyers"</w:instrText>
      </w:r>
      <w:r>
        <w:fldChar w:fldCharType="end"/>
      </w:r>
      <w:r>
        <w:t>.</w:t>
      </w:r>
    </w:p>
    <w:p w:rsidR="00000000" w:rsidRDefault="001F233B" w:rsidP="001F233B">
      <w:pPr>
        <w:numPr>
          <w:ilvl w:val="12"/>
          <w:numId w:val="0"/>
        </w:numPr>
      </w:pPr>
      <w:r>
        <w:t>As a result, an estimated 300 additional families are expected to qualify for the full concession and an additional 110 for a partial concession. All home buyers eligible for the concession also receive a full refund of mortgage duty associated wi</w:t>
      </w:r>
      <w:r>
        <w:t>th the home purchase. The cost to revenue is estimated at $800 000 in 1998</w:t>
      </w:r>
      <w:r>
        <w:noBreakHyphen/>
        <w:t>99.</w:t>
      </w:r>
    </w:p>
    <w:p w:rsidR="00000000" w:rsidRDefault="001F233B" w:rsidP="001F233B">
      <w:pPr>
        <w:pStyle w:val="Heading4"/>
        <w:numPr>
          <w:ilvl w:val="12"/>
          <w:numId w:val="0"/>
        </w:numPr>
      </w:pPr>
      <w:r>
        <w:t>Pensioner home</w:t>
      </w:r>
      <w:r>
        <w:noBreakHyphen/>
        <w:t>buyers stamp duty concession</w:t>
      </w:r>
    </w:p>
    <w:p w:rsidR="00000000" w:rsidRDefault="001F233B" w:rsidP="001F233B">
      <w:pPr>
        <w:numPr>
          <w:ilvl w:val="12"/>
          <w:numId w:val="0"/>
        </w:numPr>
      </w:pPr>
      <w:r>
        <w:t>Since 24 September 1985, a stamp duty exemption or refund has been available for holders of a pensioner concession card or health</w:t>
      </w:r>
      <w:r>
        <w:fldChar w:fldCharType="begin"/>
      </w:r>
      <w:r>
        <w:instrText>xe "Health"</w:instrText>
      </w:r>
      <w:r>
        <w:fldChar w:fldCharType="end"/>
      </w:r>
      <w:r>
        <w:t xml:space="preserve"> care card who purchase properties up to $100 000 in value. A full exemption or refund of $1 480 was payable for homes up to $70 000 in value and a reducing benefit was available for homes between $70 000 and $100 000. All eligible purchasers also</w:t>
      </w:r>
      <w:r>
        <w:t xml:space="preserve"> receive a full refund of any mortgage duty associated with the purchase. These thresholds were last adjusted in 1996.</w:t>
      </w:r>
    </w:p>
    <w:p w:rsidR="00000000" w:rsidRDefault="001F233B" w:rsidP="001F233B">
      <w:pPr>
        <w:numPr>
          <w:ilvl w:val="12"/>
          <w:numId w:val="0"/>
        </w:numPr>
      </w:pPr>
      <w:r>
        <w:t>The threshold at which the maximum pensioner concession on conveyance duty applies will be lifted from $70 000 to $100 000 and the upper threshold for a partial concession from $100 000 to $130 000. This will significantly increase the value of the maximum concession from $1 480 to $2 200.</w:t>
      </w:r>
    </w:p>
    <w:p w:rsidR="00000000" w:rsidRDefault="001F233B" w:rsidP="001F233B">
      <w:pPr>
        <w:numPr>
          <w:ilvl w:val="12"/>
          <w:numId w:val="0"/>
        </w:numPr>
      </w:pPr>
      <w:r>
        <w:t>An estimated additional 1 050 pensioners are expected to qualify for a full concession and an addition</w:t>
      </w:r>
      <w:r>
        <w:t>al 740 for a partial concession. The new thresholds will come into effect for contracts entered into on or after 1 July 1998 at an estimated cost of $2.3 million in 1998</w:t>
      </w:r>
      <w:r>
        <w:noBreakHyphen/>
        <w:t xml:space="preserve">99. </w:t>
      </w:r>
    </w:p>
    <w:p w:rsidR="00000000" w:rsidRDefault="001F233B" w:rsidP="001F233B">
      <w:pPr>
        <w:pStyle w:val="Heading4"/>
        <w:numPr>
          <w:ilvl w:val="12"/>
          <w:numId w:val="0"/>
        </w:numPr>
      </w:pPr>
      <w:r>
        <w:t>FID and debits tax exemptions on forced bank transfers</w:t>
      </w:r>
    </w:p>
    <w:p w:rsidR="00000000" w:rsidRDefault="001F233B" w:rsidP="001F233B">
      <w:pPr>
        <w:numPr>
          <w:ilvl w:val="12"/>
          <w:numId w:val="0"/>
        </w:numPr>
      </w:pPr>
      <w:r>
        <w:t>Financial institutions duty</w:t>
      </w:r>
      <w:r>
        <w:fldChar w:fldCharType="begin"/>
      </w:r>
      <w:r>
        <w:instrText>xe "Tax:Financial institutions duty"</w:instrText>
      </w:r>
      <w:r>
        <w:fldChar w:fldCharType="end"/>
      </w:r>
      <w:r>
        <w:t xml:space="preserve"> (FID) is levied on most deposits made to financial institutions while debits tax applies to withdrawals from cheque accounts or bank accounts with cheque facilities.</w:t>
      </w:r>
    </w:p>
    <w:p w:rsidR="00000000" w:rsidRDefault="001F233B" w:rsidP="001F233B">
      <w:pPr>
        <w:numPr>
          <w:ilvl w:val="12"/>
          <w:numId w:val="0"/>
        </w:numPr>
      </w:pPr>
      <w:r>
        <w:t>With the rationalisation currently occurring in th</w:t>
      </w:r>
      <w:r>
        <w:t>e financial institutions sector, the Government has become concerned that some households and small businesses are having to pay FID and debits tax when the closure of the local branch of their regular bank forces them to transfer their accounts. In particular, when bank branches close in rural and provincial towns, depositors may feel they have little option but to transfer their accounts to another bank in order to continue to conduct their banking business locally.</w:t>
      </w:r>
    </w:p>
    <w:p w:rsidR="00000000" w:rsidRDefault="001F233B" w:rsidP="001F233B">
      <w:pPr>
        <w:numPr>
          <w:ilvl w:val="12"/>
          <w:numId w:val="0"/>
        </w:numPr>
      </w:pPr>
      <w:r>
        <w:t>To alleviate this problem, the Governme</w:t>
      </w:r>
      <w:r>
        <w:t>nt has decided to provide a full exemption from FID and debits tax on inter</w:t>
      </w:r>
      <w:r>
        <w:noBreakHyphen/>
        <w:t>bank transfers by bank customers forced to close their account due to the closure of a bank branch. This will reduce the cost for individuals and businesses wishing to transfer to another bank. The exemption will also apply to cross</w:t>
      </w:r>
      <w:r>
        <w:noBreakHyphen/>
        <w:t>border transactions into Victoria when, for example, a branch is closed in Albury and the depositor transfers funds to a branch of another bank in Wodonga. This measure will be implemented as soon as pra</w:t>
      </w:r>
      <w:r>
        <w:t>cticable following consultation with financial institutions.</w:t>
      </w:r>
    </w:p>
    <w:p w:rsidR="00000000" w:rsidRDefault="001F233B" w:rsidP="001F233B">
      <w:pPr>
        <w:numPr>
          <w:ilvl w:val="12"/>
          <w:numId w:val="0"/>
        </w:numPr>
      </w:pPr>
      <w:r>
        <w:t xml:space="preserve">In addition, from 1 July 1998, a specific exemption from FID is to be allowed when an amount is credited to an account held with one bank that has been deposited via another Victorian bank. This will eliminate the possibility of double taxation and enable depositors to continue to conduct transactions through another bank in the local area following the closure of their own branch. </w:t>
      </w:r>
    </w:p>
    <w:p w:rsidR="00000000" w:rsidRDefault="001F233B" w:rsidP="001F233B">
      <w:pPr>
        <w:pStyle w:val="Heading4"/>
        <w:numPr>
          <w:ilvl w:val="12"/>
          <w:numId w:val="0"/>
        </w:numPr>
      </w:pPr>
      <w:r>
        <w:br w:type="page"/>
        <w:t>1998 Land tax reforms</w:t>
      </w:r>
      <w:r>
        <w:fldChar w:fldCharType="begin"/>
      </w:r>
      <w:r>
        <w:instrText>xe "Land tax:Reforms"</w:instrText>
      </w:r>
      <w:r>
        <w:fldChar w:fldCharType="end"/>
      </w:r>
    </w:p>
    <w:p w:rsidR="00000000" w:rsidRDefault="001F233B" w:rsidP="001F233B">
      <w:pPr>
        <w:numPr>
          <w:ilvl w:val="12"/>
          <w:numId w:val="0"/>
        </w:numPr>
      </w:pPr>
      <w:r>
        <w:t>While 1997 land tax</w:t>
      </w:r>
      <w:r>
        <w:t xml:space="preserve"> assessments for metropolitan land were based on 1990 land valuations equalised to June 1995, assessments in 1998 will be based on 1994 valuations equalised to June 1996. The 1997</w:t>
      </w:r>
      <w:r>
        <w:noBreakHyphen/>
        <w:t>98 Budget stated that the 1998 land tax structure would be determined following an analysis of the impact of the 1994 revaluations on land tax assessments. That analysis highlighted several major deficiencies in Victoria’s land tax system.</w:t>
      </w:r>
    </w:p>
    <w:p w:rsidR="00000000" w:rsidRDefault="001F233B" w:rsidP="001F233B">
      <w:pPr>
        <w:numPr>
          <w:ilvl w:val="12"/>
          <w:numId w:val="0"/>
        </w:numPr>
      </w:pPr>
      <w:r>
        <w:t>Following valuation increases, a large number of taxpayers would have faced increases of 50 </w:t>
      </w:r>
      <w:r>
        <w:t>per cent or more in their land tax liability as a result of the 15</w:t>
      </w:r>
      <w:r>
        <w:noBreakHyphen/>
        <w:t>fold rise in the marginal tax rate, from 0.2 per cent to 3.0 per cent, for properties with a site value of $540 000 or above.</w:t>
      </w:r>
    </w:p>
    <w:p w:rsidR="00000000" w:rsidRDefault="001F233B" w:rsidP="001F233B">
      <w:pPr>
        <w:numPr>
          <w:ilvl w:val="12"/>
          <w:numId w:val="0"/>
        </w:numPr>
      </w:pPr>
      <w:r>
        <w:t>Capping arrangements</w:t>
      </w:r>
      <w:r>
        <w:fldChar w:fldCharType="begin"/>
      </w:r>
      <w:r>
        <w:instrText>xe "Land tax:Capping arrangements"</w:instrText>
      </w:r>
      <w:r>
        <w:fldChar w:fldCharType="end"/>
      </w:r>
      <w:r>
        <w:t xml:space="preserve"> were no longer effective in protecting taxpayers from such large increases, and were leading to growing inequities between taxpayers. Capping of individuals’ land tax liabilities was introduced in 1994 as a temporary measure to protect them from large increases </w:t>
      </w:r>
      <w:r>
        <w:t>when the Government was forced to raise land tax rates to maintain revenues against a general fall in property values. These arrangements linked existing taxpayers’ liability to 1993 land values and to the lower tax rates applying in that year. Properties which had values below the tax</w:t>
      </w:r>
      <w:r>
        <w:noBreakHyphen/>
        <w:t>free threshold in 1993, but which had since increased in value and become liable for land tax did not benefit from capping. By 1998, this had led to a highly inequitable situation where, for quite arbitrary reasons, landowner</w:t>
      </w:r>
      <w:r>
        <w:t>s with properties of equivalent value would have been liable for vastly different amounts of land tax.</w:t>
      </w:r>
    </w:p>
    <w:p w:rsidR="00000000" w:rsidRDefault="001F233B" w:rsidP="001F233B">
      <w:pPr>
        <w:numPr>
          <w:ilvl w:val="12"/>
          <w:numId w:val="0"/>
        </w:numPr>
      </w:pPr>
      <w:r>
        <w:t>Up to 1998, most principal places of residence had been protected by Victoria’s relatively high tax</w:t>
      </w:r>
      <w:r>
        <w:noBreakHyphen/>
        <w:t>free threshold. (Unlike other States, Victoria did not allow a land tax exemption for the principal place of residence</w:t>
      </w:r>
      <w:r>
        <w:fldChar w:fldCharType="begin"/>
      </w:r>
      <w:r>
        <w:instrText>xe "Land tax:Principal place of residence"</w:instrText>
      </w:r>
      <w:r>
        <w:fldChar w:fldCharType="end"/>
      </w:r>
      <w:r>
        <w:t>.) By 1998, however, the general appreciation in land values reflected in the 1994 re</w:t>
      </w:r>
      <w:r>
        <w:noBreakHyphen/>
        <w:t>valuations would have made a growing number of principal plac</w:t>
      </w:r>
      <w:r>
        <w:t>es of residence liable to land tax, even though no income was being earned on those properties.</w:t>
      </w:r>
    </w:p>
    <w:p w:rsidR="00000000" w:rsidRDefault="001F233B" w:rsidP="001F233B">
      <w:pPr>
        <w:numPr>
          <w:ilvl w:val="12"/>
          <w:numId w:val="0"/>
        </w:numPr>
        <w:tabs>
          <w:tab w:val="left" w:pos="426"/>
          <w:tab w:val="left" w:pos="851"/>
        </w:tabs>
      </w:pPr>
      <w:r>
        <w:t xml:space="preserve">To remedy these deficiencies the Government announced in November 1997 a major package of reforms to the land tax structure for introduction in the 1998 land tax year. The major elements of the package are: </w:t>
      </w:r>
    </w:p>
    <w:p w:rsidR="00000000" w:rsidRDefault="001F233B" w:rsidP="001F233B">
      <w:pPr>
        <w:pStyle w:val="BulletText"/>
        <w:numPr>
          <w:ilvl w:val="0"/>
          <w:numId w:val="1"/>
        </w:numPr>
      </w:pPr>
      <w:r>
        <w:t>the introduction of a smoother rate scale to overcome the steep jump in marginal rates at the $540 000 threshold;</w:t>
      </w:r>
    </w:p>
    <w:p w:rsidR="00000000" w:rsidRDefault="001F233B" w:rsidP="001F233B">
      <w:pPr>
        <w:pStyle w:val="BulletText"/>
        <w:numPr>
          <w:ilvl w:val="0"/>
          <w:numId w:val="1"/>
        </w:numPr>
      </w:pPr>
      <w:r>
        <w:t>the removal of capping to restore equity to the system;  and</w:t>
      </w:r>
    </w:p>
    <w:p w:rsidR="00000000" w:rsidRDefault="001F233B" w:rsidP="001F233B">
      <w:pPr>
        <w:pStyle w:val="BulletText"/>
        <w:numPr>
          <w:ilvl w:val="0"/>
          <w:numId w:val="1"/>
        </w:numPr>
      </w:pPr>
      <w:r>
        <w:t>the introduction of a full exempt</w:t>
      </w:r>
      <w:r>
        <w:t>ion for the principal place of residence</w:t>
      </w:r>
      <w:r>
        <w:fldChar w:fldCharType="begin"/>
      </w:r>
      <w:r>
        <w:instrText>xe "Land tax:Principal place of residence"</w:instrText>
      </w:r>
      <w:r>
        <w:fldChar w:fldCharType="end"/>
      </w:r>
      <w:r>
        <w:t>, in tandem with a reduction in the tax</w:t>
      </w:r>
      <w:r>
        <w:noBreakHyphen/>
        <w:t>free threshold from $200 000 to $85 000 for land used for other purposes.</w:t>
      </w:r>
    </w:p>
    <w:p w:rsidR="00000000" w:rsidRDefault="001F233B">
      <w:r>
        <w:t>Land used for primary production continues to be exempt from land tax.</w:t>
      </w:r>
    </w:p>
    <w:p w:rsidR="00000000" w:rsidRDefault="001F233B">
      <w:r>
        <w:t>Legislation to give effect to the changes in the tax rate, the tax</w:t>
      </w:r>
      <w:r>
        <w:noBreakHyphen/>
        <w:t>free threshold and the minimum tax payable was passed in Spring 1997. A comparison between the new and the old rate scale is provided in Table 5.4.</w:t>
      </w:r>
    </w:p>
    <w:p w:rsidR="00000000" w:rsidRDefault="001F233B">
      <w:pPr>
        <w:pStyle w:val="Tableheading"/>
        <w:keepNext/>
        <w:jc w:val="both"/>
        <w:rPr>
          <w:noProof/>
        </w:rPr>
      </w:pPr>
      <w:bookmarkStart w:id="96" w:name="_Toc417119998"/>
      <w:bookmarkStart w:id="97" w:name="_Toc417552756"/>
      <w:r>
        <w:t>Table 5.4: Comparison of New</w:t>
      </w:r>
      <w:r>
        <w:t xml:space="preserve"> and Old Land Tax Rates</w:t>
      </w:r>
      <w:bookmarkEnd w:id="96"/>
      <w:bookmarkEnd w:id="97"/>
      <w:r>
        <w:t xml:space="preserve"> </w:t>
      </w:r>
    </w:p>
    <w:tbl>
      <w:tblPr>
        <w:tblW w:w="0" w:type="auto"/>
        <w:tblLayout w:type="fixed"/>
        <w:tblCellMar>
          <w:left w:w="14" w:type="dxa"/>
          <w:right w:w="14" w:type="dxa"/>
        </w:tblCellMar>
        <w:tblLook w:val="0000" w:firstRow="0" w:lastRow="0" w:firstColumn="0" w:lastColumn="0" w:noHBand="0" w:noVBand="0"/>
      </w:tblPr>
      <w:tblGrid>
        <w:gridCol w:w="3289"/>
        <w:gridCol w:w="1928"/>
        <w:gridCol w:w="1928"/>
      </w:tblGrid>
      <w:tr w:rsidR="00000000">
        <w:tblPrEx>
          <w:tblCellMar>
            <w:top w:w="0" w:type="dxa"/>
            <w:bottom w:w="0" w:type="dxa"/>
          </w:tblCellMar>
        </w:tblPrEx>
        <w:trPr>
          <w:trHeight w:val="20"/>
        </w:trPr>
        <w:tc>
          <w:tcPr>
            <w:tcW w:w="3289" w:type="dxa"/>
            <w:tcBorders>
              <w:top w:val="single" w:sz="6" w:space="0" w:color="000000"/>
            </w:tcBorders>
          </w:tcPr>
          <w:p w:rsidR="00000000" w:rsidRDefault="001F233B">
            <w:pPr>
              <w:pStyle w:val="Tabletextheading"/>
              <w:keepNext/>
              <w:jc w:val="left"/>
              <w:rPr>
                <w:b w:val="0"/>
                <w:i/>
                <w:lang w:val="en-US"/>
              </w:rPr>
            </w:pPr>
            <w:r>
              <w:rPr>
                <w:b w:val="0"/>
                <w:i/>
                <w:lang w:val="en-US"/>
              </w:rPr>
              <w:t>Site Value ($)</w:t>
            </w:r>
          </w:p>
        </w:tc>
        <w:tc>
          <w:tcPr>
            <w:tcW w:w="1928" w:type="dxa"/>
            <w:tcBorders>
              <w:top w:val="single" w:sz="6" w:space="0" w:color="000000"/>
            </w:tcBorders>
          </w:tcPr>
          <w:p w:rsidR="00000000" w:rsidRDefault="001F233B">
            <w:pPr>
              <w:pStyle w:val="Tabletextheading"/>
              <w:keepNext/>
              <w:rPr>
                <w:b w:val="0"/>
                <w:i/>
                <w:lang w:val="en-US"/>
              </w:rPr>
            </w:pPr>
            <w:r>
              <w:rPr>
                <w:b w:val="0"/>
                <w:i/>
                <w:lang w:val="en-US"/>
              </w:rPr>
              <w:t>Old marginal</w:t>
            </w:r>
          </w:p>
        </w:tc>
        <w:tc>
          <w:tcPr>
            <w:tcW w:w="1928" w:type="dxa"/>
            <w:tcBorders>
              <w:top w:val="single" w:sz="6" w:space="0" w:color="000000"/>
            </w:tcBorders>
          </w:tcPr>
          <w:p w:rsidR="00000000" w:rsidRDefault="001F233B">
            <w:pPr>
              <w:pStyle w:val="Tabletextheading"/>
              <w:keepNext/>
              <w:rPr>
                <w:b w:val="0"/>
                <w:i/>
                <w:lang w:val="en-US"/>
              </w:rPr>
            </w:pPr>
            <w:r>
              <w:rPr>
                <w:b w:val="0"/>
                <w:i/>
                <w:lang w:val="en-US"/>
              </w:rPr>
              <w:t>New marginal</w:t>
            </w:r>
          </w:p>
        </w:tc>
      </w:tr>
      <w:tr w:rsidR="00000000">
        <w:tblPrEx>
          <w:tblCellMar>
            <w:top w:w="0" w:type="dxa"/>
            <w:bottom w:w="0" w:type="dxa"/>
          </w:tblCellMar>
        </w:tblPrEx>
        <w:trPr>
          <w:trHeight w:val="20"/>
        </w:trPr>
        <w:tc>
          <w:tcPr>
            <w:tcW w:w="3289" w:type="dxa"/>
            <w:tcBorders>
              <w:bottom w:val="single" w:sz="6" w:space="0" w:color="000000"/>
            </w:tcBorders>
          </w:tcPr>
          <w:p w:rsidR="00000000" w:rsidRDefault="001F233B">
            <w:pPr>
              <w:pStyle w:val="Tabletextheading"/>
              <w:keepNext/>
              <w:rPr>
                <w:b w:val="0"/>
                <w:i/>
                <w:lang w:val="en-US"/>
              </w:rPr>
            </w:pPr>
          </w:p>
        </w:tc>
        <w:tc>
          <w:tcPr>
            <w:tcW w:w="1928" w:type="dxa"/>
            <w:tcBorders>
              <w:bottom w:val="single" w:sz="6" w:space="0" w:color="000000"/>
            </w:tcBorders>
          </w:tcPr>
          <w:p w:rsidR="00000000" w:rsidRDefault="001F233B">
            <w:pPr>
              <w:pStyle w:val="Tabletextheading"/>
              <w:keepNext/>
              <w:rPr>
                <w:b w:val="0"/>
                <w:i/>
                <w:lang w:val="en-US"/>
              </w:rPr>
            </w:pPr>
            <w:r>
              <w:rPr>
                <w:b w:val="0"/>
                <w:i/>
                <w:lang w:val="en-US"/>
              </w:rPr>
              <w:t>tax rates (%)</w:t>
            </w:r>
          </w:p>
        </w:tc>
        <w:tc>
          <w:tcPr>
            <w:tcW w:w="1928" w:type="dxa"/>
            <w:tcBorders>
              <w:bottom w:val="single" w:sz="6" w:space="0" w:color="000000"/>
            </w:tcBorders>
          </w:tcPr>
          <w:p w:rsidR="00000000" w:rsidRDefault="001F233B">
            <w:pPr>
              <w:pStyle w:val="Tabletextheading"/>
              <w:keepNext/>
              <w:rPr>
                <w:b w:val="0"/>
                <w:i/>
                <w:lang w:val="en-US"/>
              </w:rPr>
            </w:pPr>
            <w:r>
              <w:rPr>
                <w:b w:val="0"/>
                <w:i/>
                <w:lang w:val="en-US"/>
              </w:rPr>
              <w:t>tax rates (%)</w:t>
            </w:r>
          </w:p>
        </w:tc>
      </w:tr>
      <w:tr w:rsidR="00000000">
        <w:tblPrEx>
          <w:tblCellMar>
            <w:top w:w="0" w:type="dxa"/>
            <w:bottom w:w="0" w:type="dxa"/>
          </w:tblCellMar>
        </w:tblPrEx>
        <w:trPr>
          <w:trHeight w:hRule="exact" w:val="280"/>
        </w:trPr>
        <w:tc>
          <w:tcPr>
            <w:tcW w:w="3289" w:type="dxa"/>
          </w:tcPr>
          <w:p w:rsidR="00000000" w:rsidRDefault="001F233B">
            <w:pPr>
              <w:pStyle w:val="Tabletext"/>
              <w:keepNext/>
              <w:rPr>
                <w:lang w:val="en-US"/>
              </w:rPr>
            </w:pPr>
            <w:r>
              <w:rPr>
                <w:lang w:val="en-US"/>
              </w:rPr>
              <w:t>less than 85 000</w:t>
            </w:r>
          </w:p>
        </w:tc>
        <w:tc>
          <w:tcPr>
            <w:tcW w:w="1928" w:type="dxa"/>
          </w:tcPr>
          <w:p w:rsidR="00000000" w:rsidRDefault="001F233B">
            <w:pPr>
              <w:pStyle w:val="Tabletext"/>
              <w:keepNext/>
              <w:jc w:val="right"/>
              <w:rPr>
                <w:lang w:val="en-US"/>
              </w:rPr>
            </w:pPr>
            <w:r>
              <w:rPr>
                <w:lang w:val="en-US"/>
              </w:rPr>
              <w:t>0.0</w:t>
            </w:r>
          </w:p>
        </w:tc>
        <w:tc>
          <w:tcPr>
            <w:tcW w:w="1928" w:type="dxa"/>
          </w:tcPr>
          <w:p w:rsidR="00000000" w:rsidRDefault="001F233B">
            <w:pPr>
              <w:pStyle w:val="Tabletext"/>
              <w:keepNext/>
              <w:jc w:val="right"/>
              <w:rPr>
                <w:lang w:val="en-US"/>
              </w:rPr>
            </w:pPr>
            <w:r>
              <w:rPr>
                <w:lang w:val="en-US"/>
              </w:rPr>
              <w:t>0.0</w:t>
            </w:r>
          </w:p>
        </w:tc>
      </w:tr>
      <w:tr w:rsidR="00000000">
        <w:tblPrEx>
          <w:tblCellMar>
            <w:top w:w="0" w:type="dxa"/>
            <w:bottom w:w="0" w:type="dxa"/>
          </w:tblCellMar>
        </w:tblPrEx>
        <w:trPr>
          <w:trHeight w:hRule="exact" w:val="280"/>
        </w:trPr>
        <w:tc>
          <w:tcPr>
            <w:tcW w:w="3289" w:type="dxa"/>
          </w:tcPr>
          <w:p w:rsidR="00000000" w:rsidRDefault="001F233B">
            <w:pPr>
              <w:pStyle w:val="Tabletext"/>
              <w:keepNext/>
              <w:rPr>
                <w:lang w:val="en-US"/>
              </w:rPr>
            </w:pPr>
            <w:r>
              <w:rPr>
                <w:lang w:val="en-US"/>
              </w:rPr>
              <w:t xml:space="preserve">85 000 </w:t>
            </w:r>
            <w:r>
              <w:rPr>
                <w:lang w:val="en-US"/>
              </w:rPr>
              <w:noBreakHyphen/>
              <w:t xml:space="preserve"> 200 000</w:t>
            </w:r>
          </w:p>
        </w:tc>
        <w:tc>
          <w:tcPr>
            <w:tcW w:w="1928" w:type="dxa"/>
          </w:tcPr>
          <w:p w:rsidR="00000000" w:rsidRDefault="001F233B">
            <w:pPr>
              <w:pStyle w:val="Tabletext"/>
              <w:keepNext/>
              <w:jc w:val="right"/>
              <w:rPr>
                <w:lang w:val="en-US"/>
              </w:rPr>
            </w:pPr>
            <w:r>
              <w:rPr>
                <w:lang w:val="en-US"/>
              </w:rPr>
              <w:t>0.0</w:t>
            </w:r>
          </w:p>
        </w:tc>
        <w:tc>
          <w:tcPr>
            <w:tcW w:w="1928" w:type="dxa"/>
          </w:tcPr>
          <w:p w:rsidR="00000000" w:rsidRDefault="001F233B">
            <w:pPr>
              <w:pStyle w:val="Tabletext"/>
              <w:keepNext/>
              <w:jc w:val="right"/>
              <w:rPr>
                <w:lang w:val="en-US"/>
              </w:rPr>
            </w:pPr>
            <w:r>
              <w:rPr>
                <w:lang w:val="en-US"/>
              </w:rPr>
              <w:t>0.1</w:t>
            </w:r>
          </w:p>
        </w:tc>
      </w:tr>
      <w:tr w:rsidR="00000000">
        <w:tblPrEx>
          <w:tblCellMar>
            <w:top w:w="0" w:type="dxa"/>
            <w:bottom w:w="0" w:type="dxa"/>
          </w:tblCellMar>
        </w:tblPrEx>
        <w:trPr>
          <w:trHeight w:val="262"/>
        </w:trPr>
        <w:tc>
          <w:tcPr>
            <w:tcW w:w="3289" w:type="dxa"/>
          </w:tcPr>
          <w:p w:rsidR="00000000" w:rsidRDefault="001F233B">
            <w:pPr>
              <w:pStyle w:val="Tabletext"/>
              <w:keepNext/>
              <w:rPr>
                <w:lang w:val="en-US"/>
              </w:rPr>
            </w:pPr>
            <w:r>
              <w:rPr>
                <w:lang w:val="en-US"/>
              </w:rPr>
              <w:t xml:space="preserve">200 000 </w:t>
            </w:r>
            <w:r>
              <w:rPr>
                <w:lang w:val="en-US"/>
              </w:rPr>
              <w:noBreakHyphen/>
              <w:t xml:space="preserve"> 540 000</w:t>
            </w:r>
          </w:p>
        </w:tc>
        <w:tc>
          <w:tcPr>
            <w:tcW w:w="1928" w:type="dxa"/>
          </w:tcPr>
          <w:p w:rsidR="00000000" w:rsidRDefault="001F233B">
            <w:pPr>
              <w:pStyle w:val="Tabletext"/>
              <w:keepNext/>
              <w:jc w:val="right"/>
              <w:rPr>
                <w:b/>
                <w:lang w:val="en-US"/>
              </w:rPr>
            </w:pPr>
            <w:r>
              <w:rPr>
                <w:b/>
                <w:lang w:val="en-US"/>
              </w:rPr>
              <w:t>0.2</w:t>
            </w:r>
          </w:p>
        </w:tc>
        <w:tc>
          <w:tcPr>
            <w:tcW w:w="1928" w:type="dxa"/>
          </w:tcPr>
          <w:p w:rsidR="00000000" w:rsidRDefault="001F233B">
            <w:pPr>
              <w:pStyle w:val="Tabletext"/>
              <w:keepNext/>
              <w:jc w:val="right"/>
              <w:rPr>
                <w:lang w:val="en-US"/>
              </w:rPr>
            </w:pPr>
            <w:r>
              <w:rPr>
                <w:lang w:val="en-US"/>
              </w:rPr>
              <w:t>0.2</w:t>
            </w:r>
          </w:p>
        </w:tc>
      </w:tr>
      <w:tr w:rsidR="00000000">
        <w:tblPrEx>
          <w:tblCellMar>
            <w:top w:w="0" w:type="dxa"/>
            <w:bottom w:w="0" w:type="dxa"/>
          </w:tblCellMar>
        </w:tblPrEx>
        <w:trPr>
          <w:trHeight w:val="262"/>
        </w:trPr>
        <w:tc>
          <w:tcPr>
            <w:tcW w:w="3289" w:type="dxa"/>
          </w:tcPr>
          <w:p w:rsidR="00000000" w:rsidRDefault="001F233B">
            <w:pPr>
              <w:pStyle w:val="Tabletext"/>
              <w:keepNext/>
              <w:rPr>
                <w:lang w:val="en-US"/>
              </w:rPr>
            </w:pPr>
            <w:r>
              <w:rPr>
                <w:lang w:val="en-US"/>
              </w:rPr>
              <w:t xml:space="preserve">540 000 </w:t>
            </w:r>
            <w:r>
              <w:rPr>
                <w:lang w:val="en-US"/>
              </w:rPr>
              <w:noBreakHyphen/>
              <w:t xml:space="preserve"> 675 000</w:t>
            </w:r>
          </w:p>
        </w:tc>
        <w:tc>
          <w:tcPr>
            <w:tcW w:w="1928" w:type="dxa"/>
          </w:tcPr>
          <w:p w:rsidR="00000000" w:rsidRDefault="001F233B">
            <w:pPr>
              <w:pStyle w:val="Tabletext"/>
              <w:keepNext/>
              <w:jc w:val="right"/>
              <w:rPr>
                <w:lang w:val="en-US"/>
              </w:rPr>
            </w:pPr>
            <w:r>
              <w:rPr>
                <w:b/>
                <w:lang w:val="en-US"/>
              </w:rPr>
              <w:t>3.0</w:t>
            </w:r>
          </w:p>
        </w:tc>
        <w:tc>
          <w:tcPr>
            <w:tcW w:w="1928" w:type="dxa"/>
          </w:tcPr>
          <w:p w:rsidR="00000000" w:rsidRDefault="001F233B">
            <w:pPr>
              <w:pStyle w:val="Tabletext"/>
              <w:keepNext/>
              <w:jc w:val="right"/>
              <w:rPr>
                <w:lang w:val="en-US"/>
              </w:rPr>
            </w:pPr>
            <w:r>
              <w:rPr>
                <w:lang w:val="en-US"/>
              </w:rPr>
              <w:t>0.5</w:t>
            </w:r>
          </w:p>
        </w:tc>
      </w:tr>
      <w:tr w:rsidR="00000000">
        <w:tblPrEx>
          <w:tblCellMar>
            <w:top w:w="0" w:type="dxa"/>
            <w:bottom w:w="0" w:type="dxa"/>
          </w:tblCellMar>
        </w:tblPrEx>
        <w:trPr>
          <w:trHeight w:val="262"/>
        </w:trPr>
        <w:tc>
          <w:tcPr>
            <w:tcW w:w="3289" w:type="dxa"/>
          </w:tcPr>
          <w:p w:rsidR="00000000" w:rsidRDefault="001F233B">
            <w:pPr>
              <w:pStyle w:val="Tabletext"/>
              <w:keepNext/>
              <w:rPr>
                <w:lang w:val="en-US"/>
              </w:rPr>
            </w:pPr>
            <w:r>
              <w:rPr>
                <w:lang w:val="en-US"/>
              </w:rPr>
              <w:t xml:space="preserve">675 000 </w:t>
            </w:r>
            <w:r>
              <w:rPr>
                <w:lang w:val="en-US"/>
              </w:rPr>
              <w:noBreakHyphen/>
              <w:t xml:space="preserve"> 810 000</w:t>
            </w:r>
          </w:p>
        </w:tc>
        <w:tc>
          <w:tcPr>
            <w:tcW w:w="1928" w:type="dxa"/>
          </w:tcPr>
          <w:p w:rsidR="00000000" w:rsidRDefault="001F233B">
            <w:pPr>
              <w:pStyle w:val="Tabletext"/>
              <w:keepNext/>
              <w:jc w:val="right"/>
              <w:rPr>
                <w:lang w:val="en-US"/>
              </w:rPr>
            </w:pPr>
            <w:r>
              <w:rPr>
                <w:lang w:val="en-US"/>
              </w:rPr>
              <w:t>3.0</w:t>
            </w:r>
          </w:p>
        </w:tc>
        <w:tc>
          <w:tcPr>
            <w:tcW w:w="1928" w:type="dxa"/>
          </w:tcPr>
          <w:p w:rsidR="00000000" w:rsidRDefault="001F233B">
            <w:pPr>
              <w:pStyle w:val="Tabletext"/>
              <w:keepNext/>
              <w:jc w:val="right"/>
              <w:rPr>
                <w:lang w:val="en-US"/>
              </w:rPr>
            </w:pPr>
            <w:r>
              <w:rPr>
                <w:lang w:val="en-US"/>
              </w:rPr>
              <w:t>1.0</w:t>
            </w:r>
          </w:p>
        </w:tc>
      </w:tr>
      <w:tr w:rsidR="00000000">
        <w:tblPrEx>
          <w:tblCellMar>
            <w:top w:w="0" w:type="dxa"/>
            <w:bottom w:w="0" w:type="dxa"/>
          </w:tblCellMar>
        </w:tblPrEx>
        <w:trPr>
          <w:trHeight w:val="262"/>
        </w:trPr>
        <w:tc>
          <w:tcPr>
            <w:tcW w:w="3289" w:type="dxa"/>
          </w:tcPr>
          <w:p w:rsidR="00000000" w:rsidRDefault="001F233B">
            <w:pPr>
              <w:pStyle w:val="Tabletext"/>
              <w:keepNext/>
              <w:rPr>
                <w:lang w:val="en-US"/>
              </w:rPr>
            </w:pPr>
            <w:r>
              <w:rPr>
                <w:lang w:val="en-US"/>
              </w:rPr>
              <w:t xml:space="preserve">810 000 </w:t>
            </w:r>
            <w:r>
              <w:rPr>
                <w:lang w:val="en-US"/>
              </w:rPr>
              <w:noBreakHyphen/>
              <w:t xml:space="preserve"> 1 080 000</w:t>
            </w:r>
          </w:p>
        </w:tc>
        <w:tc>
          <w:tcPr>
            <w:tcW w:w="1928" w:type="dxa"/>
          </w:tcPr>
          <w:p w:rsidR="00000000" w:rsidRDefault="001F233B">
            <w:pPr>
              <w:pStyle w:val="Tabletext"/>
              <w:keepNext/>
              <w:jc w:val="right"/>
              <w:rPr>
                <w:lang w:val="en-US"/>
              </w:rPr>
            </w:pPr>
            <w:r>
              <w:rPr>
                <w:lang w:val="en-US"/>
              </w:rPr>
              <w:t>3.0</w:t>
            </w:r>
          </w:p>
        </w:tc>
        <w:tc>
          <w:tcPr>
            <w:tcW w:w="1928" w:type="dxa"/>
          </w:tcPr>
          <w:p w:rsidR="00000000" w:rsidRDefault="001F233B">
            <w:pPr>
              <w:pStyle w:val="Tabletext"/>
              <w:keepNext/>
              <w:jc w:val="right"/>
              <w:rPr>
                <w:lang w:val="en-US"/>
              </w:rPr>
            </w:pPr>
            <w:r>
              <w:rPr>
                <w:lang w:val="en-US"/>
              </w:rPr>
              <w:t>1.75</w:t>
            </w:r>
          </w:p>
        </w:tc>
      </w:tr>
      <w:tr w:rsidR="00000000">
        <w:tblPrEx>
          <w:tblCellMar>
            <w:top w:w="0" w:type="dxa"/>
            <w:bottom w:w="0" w:type="dxa"/>
          </w:tblCellMar>
        </w:tblPrEx>
        <w:trPr>
          <w:trHeight w:val="262"/>
        </w:trPr>
        <w:tc>
          <w:tcPr>
            <w:tcW w:w="3289" w:type="dxa"/>
          </w:tcPr>
          <w:p w:rsidR="00000000" w:rsidRDefault="001F233B">
            <w:pPr>
              <w:pStyle w:val="Tabletext"/>
              <w:keepNext/>
              <w:rPr>
                <w:lang w:val="en-US"/>
              </w:rPr>
            </w:pPr>
            <w:r>
              <w:rPr>
                <w:lang w:val="en-US"/>
              </w:rPr>
              <w:t xml:space="preserve">1 080 000 </w:t>
            </w:r>
            <w:r>
              <w:rPr>
                <w:lang w:val="en-US"/>
              </w:rPr>
              <w:noBreakHyphen/>
              <w:t xml:space="preserve"> 1 620 000</w:t>
            </w:r>
          </w:p>
        </w:tc>
        <w:tc>
          <w:tcPr>
            <w:tcW w:w="1928" w:type="dxa"/>
          </w:tcPr>
          <w:p w:rsidR="00000000" w:rsidRDefault="001F233B">
            <w:pPr>
              <w:pStyle w:val="Tabletext"/>
              <w:keepNext/>
              <w:jc w:val="right"/>
              <w:rPr>
                <w:lang w:val="en-US"/>
              </w:rPr>
            </w:pPr>
            <w:r>
              <w:rPr>
                <w:lang w:val="en-US"/>
              </w:rPr>
              <w:t>3.0</w:t>
            </w:r>
          </w:p>
        </w:tc>
        <w:tc>
          <w:tcPr>
            <w:tcW w:w="1928" w:type="dxa"/>
          </w:tcPr>
          <w:p w:rsidR="00000000" w:rsidRDefault="001F233B">
            <w:pPr>
              <w:pStyle w:val="Tabletext"/>
              <w:keepNext/>
              <w:jc w:val="right"/>
              <w:rPr>
                <w:lang w:val="en-US"/>
              </w:rPr>
            </w:pPr>
            <w:r>
              <w:rPr>
                <w:lang w:val="en-US"/>
              </w:rPr>
              <w:t>2.75</w:t>
            </w:r>
          </w:p>
        </w:tc>
      </w:tr>
      <w:tr w:rsidR="00000000">
        <w:tblPrEx>
          <w:tblCellMar>
            <w:top w:w="0" w:type="dxa"/>
            <w:bottom w:w="0" w:type="dxa"/>
          </w:tblCellMar>
        </w:tblPrEx>
        <w:trPr>
          <w:trHeight w:val="262"/>
        </w:trPr>
        <w:tc>
          <w:tcPr>
            <w:tcW w:w="3289" w:type="dxa"/>
          </w:tcPr>
          <w:p w:rsidR="00000000" w:rsidRDefault="001F233B">
            <w:pPr>
              <w:pStyle w:val="Tabletext"/>
              <w:keepNext/>
              <w:rPr>
                <w:lang w:val="en-US"/>
              </w:rPr>
            </w:pPr>
            <w:r>
              <w:rPr>
                <w:lang w:val="en-US"/>
              </w:rPr>
              <w:t xml:space="preserve">1 620 000 </w:t>
            </w:r>
            <w:r>
              <w:rPr>
                <w:lang w:val="en-US"/>
              </w:rPr>
              <w:noBreakHyphen/>
              <w:t xml:space="preserve"> 2 700 000</w:t>
            </w:r>
          </w:p>
        </w:tc>
        <w:tc>
          <w:tcPr>
            <w:tcW w:w="1928" w:type="dxa"/>
          </w:tcPr>
          <w:p w:rsidR="00000000" w:rsidRDefault="001F233B">
            <w:pPr>
              <w:pStyle w:val="Tabletext"/>
              <w:keepNext/>
              <w:jc w:val="right"/>
              <w:rPr>
                <w:lang w:val="en-US"/>
              </w:rPr>
            </w:pPr>
            <w:r>
              <w:rPr>
                <w:lang w:val="en-US"/>
              </w:rPr>
              <w:t>3.0</w:t>
            </w:r>
          </w:p>
        </w:tc>
        <w:tc>
          <w:tcPr>
            <w:tcW w:w="1928" w:type="dxa"/>
          </w:tcPr>
          <w:p w:rsidR="00000000" w:rsidRDefault="001F233B">
            <w:pPr>
              <w:pStyle w:val="Tabletext"/>
              <w:keepNext/>
              <w:jc w:val="right"/>
              <w:rPr>
                <w:lang w:val="en-US"/>
              </w:rPr>
            </w:pPr>
            <w:r>
              <w:rPr>
                <w:lang w:val="en-US"/>
              </w:rPr>
              <w:t>3.0</w:t>
            </w:r>
          </w:p>
        </w:tc>
      </w:tr>
      <w:tr w:rsidR="00000000">
        <w:tblPrEx>
          <w:tblCellMar>
            <w:top w:w="0" w:type="dxa"/>
            <w:bottom w:w="0" w:type="dxa"/>
          </w:tblCellMar>
        </w:tblPrEx>
        <w:trPr>
          <w:trHeight w:val="262"/>
        </w:trPr>
        <w:tc>
          <w:tcPr>
            <w:tcW w:w="3289" w:type="dxa"/>
            <w:tcBorders>
              <w:bottom w:val="single" w:sz="12" w:space="0" w:color="auto"/>
            </w:tcBorders>
          </w:tcPr>
          <w:p w:rsidR="00000000" w:rsidRDefault="001F233B">
            <w:pPr>
              <w:pStyle w:val="Tabletext"/>
              <w:keepNext/>
              <w:rPr>
                <w:lang w:val="en-US"/>
              </w:rPr>
            </w:pPr>
            <w:r>
              <w:rPr>
                <w:lang w:val="en-US"/>
              </w:rPr>
              <w:t>over 2 700 000</w:t>
            </w:r>
          </w:p>
        </w:tc>
        <w:tc>
          <w:tcPr>
            <w:tcW w:w="1928" w:type="dxa"/>
            <w:tcBorders>
              <w:bottom w:val="single" w:sz="12" w:space="0" w:color="auto"/>
            </w:tcBorders>
          </w:tcPr>
          <w:p w:rsidR="00000000" w:rsidRDefault="001F233B">
            <w:pPr>
              <w:pStyle w:val="Tabletext"/>
              <w:keepNext/>
              <w:jc w:val="right"/>
              <w:rPr>
                <w:lang w:val="en-US"/>
              </w:rPr>
            </w:pPr>
            <w:r>
              <w:rPr>
                <w:b/>
                <w:lang w:val="en-US"/>
              </w:rPr>
              <w:t>5.0</w:t>
            </w:r>
          </w:p>
        </w:tc>
        <w:tc>
          <w:tcPr>
            <w:tcW w:w="1928" w:type="dxa"/>
            <w:tcBorders>
              <w:bottom w:val="single" w:sz="12" w:space="0" w:color="auto"/>
            </w:tcBorders>
          </w:tcPr>
          <w:p w:rsidR="00000000" w:rsidRDefault="001F233B">
            <w:pPr>
              <w:pStyle w:val="Tabletext"/>
              <w:keepNext/>
              <w:jc w:val="right"/>
              <w:rPr>
                <w:lang w:val="en-US"/>
              </w:rPr>
            </w:pPr>
            <w:r>
              <w:rPr>
                <w:lang w:val="en-US"/>
              </w:rPr>
              <w:t>5.0</w:t>
            </w:r>
          </w:p>
        </w:tc>
      </w:tr>
    </w:tbl>
    <w:p w:rsidR="00000000" w:rsidRDefault="001F233B">
      <w:pPr>
        <w:pStyle w:val="Source"/>
        <w:keepNext/>
      </w:pPr>
      <w:r>
        <w:t>Source: Department of Treasury and Finance.</w:t>
      </w:r>
    </w:p>
    <w:p w:rsidR="00000000" w:rsidRDefault="001F233B"/>
    <w:p w:rsidR="00000000" w:rsidRDefault="001F233B">
      <w:r>
        <w:t>While the exemption for the principal place of residence</w:t>
      </w:r>
      <w:r>
        <w:fldChar w:fldCharType="begin"/>
      </w:r>
      <w:r>
        <w:instrText>xe "Land tax:Principal place of residence"</w:instrText>
      </w:r>
      <w:r>
        <w:fldChar w:fldCharType="end"/>
      </w:r>
      <w:r>
        <w:t xml:space="preserve"> will provide relief</w:t>
      </w:r>
      <w:r>
        <w:t xml:space="preserve"> for home owners, the new land tax rate scale provides major tax relief on business and investment</w:t>
      </w:r>
      <w:r>
        <w:fldChar w:fldCharType="begin"/>
      </w:r>
      <w:r>
        <w:instrText>xe "Economy:Investment"</w:instrText>
      </w:r>
      <w:r>
        <w:fldChar w:fldCharType="end"/>
      </w:r>
      <w:r>
        <w:t xml:space="preserve"> land valued in the range $540 000 to $2.7 million. For example, a medium</w:t>
      </w:r>
      <w:r>
        <w:noBreakHyphen/>
        <w:t>sized manufacturing</w:t>
      </w:r>
      <w:r>
        <w:fldChar w:fldCharType="begin"/>
      </w:r>
      <w:r>
        <w:instrText>xe "Economy:Manufacturing"</w:instrText>
      </w:r>
      <w:r>
        <w:fldChar w:fldCharType="end"/>
      </w:r>
      <w:r>
        <w:t xml:space="preserve"> business with a land value of $800 000 will pay $2 805 under the new system compared with $8 540 under the old rate scale. For properties valued at up to $2 million, the new rate structure will greatly improve the competitiveness</w:t>
      </w:r>
      <w:r>
        <w:fldChar w:fldCharType="begin"/>
      </w:r>
      <w:r>
        <w:instrText>xe "Competitiveness"</w:instrText>
      </w:r>
      <w:r>
        <w:fldChar w:fldCharType="end"/>
      </w:r>
      <w:r>
        <w:t xml:space="preserve"> of the land tax</w:t>
      </w:r>
      <w:r>
        <w:t xml:space="preserve"> system in Victoria, as landowners and tenants in this State will now pay significantly less tax than owners of land of equivalent value in most other mainland States, as illustrated in Table 5.5.</w:t>
      </w:r>
    </w:p>
    <w:p w:rsidR="00000000" w:rsidRDefault="001F233B">
      <w:r>
        <w:t>The lowering of the tax</w:t>
      </w:r>
      <w:r>
        <w:noBreakHyphen/>
        <w:t>free threshold will mean that business and investment</w:t>
      </w:r>
      <w:r>
        <w:fldChar w:fldCharType="begin"/>
      </w:r>
      <w:r>
        <w:instrText>xe "Economy:Investment"</w:instrText>
      </w:r>
      <w:r>
        <w:fldChar w:fldCharType="end"/>
      </w:r>
      <w:r>
        <w:t xml:space="preserve"> properties with site values between $85 000 and $200 000 will attract land tax for the first time. However, the tax rate applicable to such properties will be only 0.1 per cent, so that tax payable on such proper</w:t>
      </w:r>
      <w:r>
        <w:t>ties for the 1998 year will be restricted to between $85 and $199. Because the principal place of residence</w:t>
      </w:r>
      <w:r>
        <w:fldChar w:fldCharType="begin"/>
      </w:r>
      <w:r>
        <w:instrText>xe "Land tax:Principal place of residence"</w:instrText>
      </w:r>
      <w:r>
        <w:fldChar w:fldCharType="end"/>
      </w:r>
      <w:r>
        <w:t xml:space="preserve"> will be exempt, these costs will apply mainly to business and investment properties and are deductible for Commonwealth tax purposes against income from all sources.</w:t>
      </w:r>
    </w:p>
    <w:p w:rsidR="00000000" w:rsidRDefault="001F233B">
      <w:pPr>
        <w:pStyle w:val="Tableheading"/>
        <w:keepNext/>
        <w:spacing w:before="0"/>
        <w:jc w:val="both"/>
        <w:rPr>
          <w:rFonts w:ascii="Times New Roman" w:hAnsi="Times New Roman"/>
          <w:b w:val="0"/>
          <w:noProof/>
        </w:rPr>
      </w:pPr>
      <w:bookmarkStart w:id="98" w:name="_Toc417119999"/>
      <w:bookmarkStart w:id="99" w:name="_Toc417552757"/>
      <w:r>
        <w:t>Table 5.5: 1998 Land Tax Liability: Mainland Australian States</w:t>
      </w:r>
      <w:bookmarkEnd w:id="98"/>
      <w:bookmarkEnd w:id="99"/>
    </w:p>
    <w:tbl>
      <w:tblPr>
        <w:tblW w:w="0" w:type="auto"/>
        <w:tblLayout w:type="fixed"/>
        <w:tblCellMar>
          <w:left w:w="31" w:type="dxa"/>
          <w:right w:w="31" w:type="dxa"/>
        </w:tblCellMar>
        <w:tblLook w:val="0000" w:firstRow="0" w:lastRow="0" w:firstColumn="0" w:lastColumn="0" w:noHBand="0" w:noVBand="0"/>
      </w:tblPr>
      <w:tblGrid>
        <w:gridCol w:w="1435"/>
        <w:gridCol w:w="1134"/>
        <w:gridCol w:w="1134"/>
        <w:gridCol w:w="1134"/>
        <w:gridCol w:w="1134"/>
        <w:gridCol w:w="1134"/>
      </w:tblGrid>
      <w:tr w:rsidR="00000000">
        <w:tblPrEx>
          <w:tblCellMar>
            <w:top w:w="0" w:type="dxa"/>
            <w:bottom w:w="0" w:type="dxa"/>
          </w:tblCellMar>
        </w:tblPrEx>
        <w:trPr>
          <w:trHeight w:val="228"/>
        </w:trPr>
        <w:tc>
          <w:tcPr>
            <w:tcW w:w="1435" w:type="dxa"/>
            <w:tcBorders>
              <w:top w:val="single" w:sz="6" w:space="0" w:color="000000"/>
            </w:tcBorders>
          </w:tcPr>
          <w:p w:rsidR="00000000" w:rsidRDefault="001F233B">
            <w:pPr>
              <w:pStyle w:val="Tabletextheading"/>
              <w:keepNext/>
              <w:rPr>
                <w:b w:val="0"/>
                <w:i/>
                <w:lang w:val="en-US"/>
              </w:rPr>
            </w:pPr>
          </w:p>
        </w:tc>
        <w:tc>
          <w:tcPr>
            <w:tcW w:w="5670" w:type="dxa"/>
            <w:gridSpan w:val="5"/>
            <w:tcBorders>
              <w:top w:val="single" w:sz="6" w:space="0" w:color="000000"/>
            </w:tcBorders>
          </w:tcPr>
          <w:p w:rsidR="00000000" w:rsidRDefault="001F233B">
            <w:pPr>
              <w:pStyle w:val="Tabletextheading"/>
              <w:keepNext/>
              <w:jc w:val="center"/>
              <w:rPr>
                <w:b w:val="0"/>
                <w:i/>
                <w:lang w:val="en-US"/>
              </w:rPr>
            </w:pPr>
            <w:r>
              <w:rPr>
                <w:b w:val="0"/>
                <w:i/>
                <w:lang w:val="en-US"/>
              </w:rPr>
              <w:t>1998 Tax Liability ($)</w:t>
            </w:r>
          </w:p>
        </w:tc>
      </w:tr>
      <w:tr w:rsidR="00000000">
        <w:tblPrEx>
          <w:tblCellMar>
            <w:top w:w="0" w:type="dxa"/>
            <w:bottom w:w="0" w:type="dxa"/>
          </w:tblCellMar>
        </w:tblPrEx>
        <w:trPr>
          <w:trHeight w:val="228"/>
        </w:trPr>
        <w:tc>
          <w:tcPr>
            <w:tcW w:w="1435" w:type="dxa"/>
            <w:tcBorders>
              <w:bottom w:val="single" w:sz="6" w:space="0" w:color="auto"/>
            </w:tcBorders>
          </w:tcPr>
          <w:p w:rsidR="00000000" w:rsidRDefault="001F233B">
            <w:pPr>
              <w:pStyle w:val="Tabletextheading"/>
              <w:keepNext/>
              <w:jc w:val="left"/>
              <w:rPr>
                <w:b w:val="0"/>
                <w:i/>
                <w:lang w:val="en-US"/>
              </w:rPr>
            </w:pPr>
            <w:r>
              <w:rPr>
                <w:b w:val="0"/>
                <w:i/>
                <w:lang w:val="en-US"/>
              </w:rPr>
              <w:t>Site value</w:t>
            </w:r>
          </w:p>
          <w:p w:rsidR="00000000" w:rsidRDefault="001F233B">
            <w:pPr>
              <w:pStyle w:val="Tabletextheading"/>
              <w:keepNext/>
              <w:jc w:val="left"/>
              <w:rPr>
                <w:b w:val="0"/>
                <w:i/>
                <w:lang w:val="en-US"/>
              </w:rPr>
            </w:pPr>
            <w:r>
              <w:rPr>
                <w:b w:val="0"/>
                <w:i/>
                <w:lang w:val="en-US"/>
              </w:rPr>
              <w:t>of land ($)</w:t>
            </w:r>
          </w:p>
        </w:tc>
        <w:tc>
          <w:tcPr>
            <w:tcW w:w="1134" w:type="dxa"/>
            <w:tcBorders>
              <w:top w:val="single" w:sz="6" w:space="0" w:color="auto"/>
              <w:bottom w:val="single" w:sz="6" w:space="0" w:color="auto"/>
            </w:tcBorders>
          </w:tcPr>
          <w:p w:rsidR="00000000" w:rsidRDefault="001F233B">
            <w:pPr>
              <w:pStyle w:val="Tabletextheading"/>
              <w:keepNext/>
              <w:rPr>
                <w:b w:val="0"/>
                <w:i/>
                <w:lang w:val="en-US"/>
              </w:rPr>
            </w:pPr>
            <w:r>
              <w:rPr>
                <w:b w:val="0"/>
                <w:i/>
                <w:lang w:val="en-US"/>
              </w:rPr>
              <w:t>Victoria</w:t>
            </w:r>
          </w:p>
        </w:tc>
        <w:tc>
          <w:tcPr>
            <w:tcW w:w="1134" w:type="dxa"/>
            <w:tcBorders>
              <w:top w:val="single" w:sz="6" w:space="0" w:color="auto"/>
              <w:bottom w:val="single" w:sz="6" w:space="0" w:color="auto"/>
            </w:tcBorders>
          </w:tcPr>
          <w:p w:rsidR="00000000" w:rsidRDefault="001F233B">
            <w:pPr>
              <w:pStyle w:val="Tabletextheading"/>
              <w:keepNext/>
              <w:rPr>
                <w:b w:val="0"/>
                <w:i/>
                <w:lang w:val="en-US"/>
              </w:rPr>
            </w:pPr>
            <w:r>
              <w:rPr>
                <w:b w:val="0"/>
                <w:i/>
                <w:lang w:val="en-US"/>
              </w:rPr>
              <w:t>New South Wales</w:t>
            </w:r>
          </w:p>
        </w:tc>
        <w:tc>
          <w:tcPr>
            <w:tcW w:w="1134" w:type="dxa"/>
            <w:tcBorders>
              <w:top w:val="single" w:sz="6" w:space="0" w:color="auto"/>
              <w:bottom w:val="single" w:sz="6" w:space="0" w:color="auto"/>
            </w:tcBorders>
          </w:tcPr>
          <w:p w:rsidR="00000000" w:rsidRDefault="001F233B">
            <w:pPr>
              <w:pStyle w:val="Tabletextheading"/>
              <w:keepNext/>
              <w:rPr>
                <w:b w:val="0"/>
                <w:i/>
                <w:lang w:val="en-US"/>
              </w:rPr>
            </w:pPr>
            <w:r>
              <w:rPr>
                <w:b w:val="0"/>
                <w:i/>
                <w:lang w:val="en-US"/>
              </w:rPr>
              <w:t>Queensland</w:t>
            </w:r>
          </w:p>
        </w:tc>
        <w:tc>
          <w:tcPr>
            <w:tcW w:w="1134" w:type="dxa"/>
            <w:tcBorders>
              <w:top w:val="single" w:sz="6" w:space="0" w:color="auto"/>
              <w:bottom w:val="single" w:sz="6" w:space="0" w:color="auto"/>
            </w:tcBorders>
          </w:tcPr>
          <w:p w:rsidR="00000000" w:rsidRDefault="001F233B">
            <w:pPr>
              <w:pStyle w:val="Tabletextheading"/>
              <w:keepNext/>
              <w:rPr>
                <w:b w:val="0"/>
                <w:i/>
                <w:lang w:val="en-US"/>
              </w:rPr>
            </w:pPr>
            <w:r>
              <w:rPr>
                <w:b w:val="0"/>
                <w:i/>
                <w:lang w:val="en-US"/>
              </w:rPr>
              <w:t>Western</w:t>
            </w:r>
          </w:p>
          <w:p w:rsidR="00000000" w:rsidRDefault="001F233B">
            <w:pPr>
              <w:pStyle w:val="Tabletextheading"/>
              <w:keepNext/>
              <w:rPr>
                <w:b w:val="0"/>
                <w:i/>
                <w:lang w:val="en-US"/>
              </w:rPr>
            </w:pPr>
            <w:r>
              <w:rPr>
                <w:b w:val="0"/>
                <w:i/>
                <w:lang w:val="en-US"/>
              </w:rPr>
              <w:t>Australia</w:t>
            </w:r>
          </w:p>
        </w:tc>
        <w:tc>
          <w:tcPr>
            <w:tcW w:w="1134" w:type="dxa"/>
            <w:tcBorders>
              <w:top w:val="single" w:sz="6" w:space="0" w:color="auto"/>
              <w:bottom w:val="single" w:sz="6" w:space="0" w:color="auto"/>
            </w:tcBorders>
          </w:tcPr>
          <w:p w:rsidR="00000000" w:rsidRDefault="001F233B">
            <w:pPr>
              <w:pStyle w:val="Tabletextheading"/>
              <w:keepNext/>
              <w:rPr>
                <w:b w:val="0"/>
                <w:i/>
                <w:lang w:val="en-US"/>
              </w:rPr>
            </w:pPr>
            <w:r>
              <w:rPr>
                <w:b w:val="0"/>
                <w:i/>
                <w:lang w:val="en-US"/>
              </w:rPr>
              <w:t>South</w:t>
            </w:r>
          </w:p>
          <w:p w:rsidR="00000000" w:rsidRDefault="001F233B">
            <w:pPr>
              <w:pStyle w:val="Tabletextheading"/>
              <w:keepNext/>
              <w:rPr>
                <w:b w:val="0"/>
                <w:i/>
                <w:lang w:val="en-US"/>
              </w:rPr>
            </w:pPr>
            <w:r>
              <w:rPr>
                <w:b w:val="0"/>
                <w:i/>
                <w:lang w:val="en-US"/>
              </w:rPr>
              <w:t>Australia</w:t>
            </w:r>
          </w:p>
        </w:tc>
      </w:tr>
      <w:tr w:rsidR="00000000">
        <w:tblPrEx>
          <w:tblCellMar>
            <w:top w:w="0" w:type="dxa"/>
            <w:bottom w:w="0" w:type="dxa"/>
          </w:tblCellMar>
        </w:tblPrEx>
        <w:trPr>
          <w:trHeight w:hRule="exact" w:val="60"/>
        </w:trPr>
        <w:tc>
          <w:tcPr>
            <w:tcW w:w="1435" w:type="dxa"/>
          </w:tcPr>
          <w:p w:rsidR="00000000" w:rsidRDefault="001F233B">
            <w:pPr>
              <w:keepNext/>
              <w:rPr>
                <w:rFonts w:ascii="Arial" w:hAnsi="Arial"/>
                <w:color w:val="000000"/>
                <w:sz w:val="18"/>
                <w:lang w:val="en-US"/>
              </w:rPr>
            </w:pPr>
          </w:p>
        </w:tc>
        <w:tc>
          <w:tcPr>
            <w:tcW w:w="1134" w:type="dxa"/>
          </w:tcPr>
          <w:p w:rsidR="00000000" w:rsidRDefault="001F233B">
            <w:pPr>
              <w:keepNext/>
              <w:rPr>
                <w:rFonts w:ascii="Arial" w:hAnsi="Arial"/>
                <w:color w:val="000000"/>
                <w:sz w:val="18"/>
                <w:lang w:val="en-US"/>
              </w:rPr>
            </w:pPr>
          </w:p>
        </w:tc>
        <w:tc>
          <w:tcPr>
            <w:tcW w:w="1134" w:type="dxa"/>
          </w:tcPr>
          <w:p w:rsidR="00000000" w:rsidRDefault="001F233B">
            <w:pPr>
              <w:keepNext/>
              <w:rPr>
                <w:rFonts w:ascii="Arial" w:hAnsi="Arial"/>
                <w:color w:val="000000"/>
                <w:sz w:val="18"/>
                <w:lang w:val="en-US"/>
              </w:rPr>
            </w:pPr>
          </w:p>
        </w:tc>
        <w:tc>
          <w:tcPr>
            <w:tcW w:w="1134" w:type="dxa"/>
          </w:tcPr>
          <w:p w:rsidR="00000000" w:rsidRDefault="001F233B">
            <w:pPr>
              <w:keepNext/>
              <w:rPr>
                <w:rFonts w:ascii="Arial" w:hAnsi="Arial"/>
                <w:color w:val="000000"/>
                <w:sz w:val="18"/>
                <w:lang w:val="en-US"/>
              </w:rPr>
            </w:pPr>
          </w:p>
        </w:tc>
        <w:tc>
          <w:tcPr>
            <w:tcW w:w="1134" w:type="dxa"/>
          </w:tcPr>
          <w:p w:rsidR="00000000" w:rsidRDefault="001F233B">
            <w:pPr>
              <w:keepNext/>
              <w:rPr>
                <w:rFonts w:ascii="Arial" w:hAnsi="Arial"/>
                <w:color w:val="000000"/>
                <w:sz w:val="18"/>
                <w:lang w:val="en-US"/>
              </w:rPr>
            </w:pPr>
          </w:p>
        </w:tc>
        <w:tc>
          <w:tcPr>
            <w:tcW w:w="1134" w:type="dxa"/>
          </w:tcPr>
          <w:p w:rsidR="00000000" w:rsidRDefault="001F233B">
            <w:pPr>
              <w:keepNext/>
              <w:rPr>
                <w:rFonts w:ascii="Arial" w:hAnsi="Arial"/>
                <w:color w:val="000000"/>
                <w:sz w:val="18"/>
                <w:lang w:val="en-US"/>
              </w:rPr>
            </w:pPr>
          </w:p>
        </w:tc>
      </w:tr>
      <w:tr w:rsidR="00000000">
        <w:tblPrEx>
          <w:tblCellMar>
            <w:top w:w="0" w:type="dxa"/>
            <w:bottom w:w="0" w:type="dxa"/>
          </w:tblCellMar>
        </w:tblPrEx>
        <w:trPr>
          <w:trHeight w:val="228"/>
        </w:trPr>
        <w:tc>
          <w:tcPr>
            <w:tcW w:w="1435" w:type="dxa"/>
          </w:tcPr>
          <w:p w:rsidR="00000000" w:rsidRDefault="001F233B">
            <w:pPr>
              <w:pStyle w:val="Tabletext"/>
              <w:keepNext/>
              <w:spacing w:after="60"/>
              <w:rPr>
                <w:lang w:val="en-US"/>
              </w:rPr>
            </w:pPr>
            <w:r>
              <w:rPr>
                <w:lang w:val="en-US"/>
              </w:rPr>
              <w:t xml:space="preserve">  100</w:t>
            </w:r>
            <w:r>
              <w:rPr>
                <w:lang w:val="en-US"/>
              </w:rPr>
              <w:t xml:space="preserve"> 000</w:t>
            </w:r>
          </w:p>
        </w:tc>
        <w:tc>
          <w:tcPr>
            <w:tcW w:w="1134" w:type="dxa"/>
          </w:tcPr>
          <w:p w:rsidR="00000000" w:rsidRDefault="001F233B">
            <w:pPr>
              <w:pStyle w:val="TableofFigures"/>
              <w:keepNext/>
              <w:spacing w:after="60"/>
              <w:rPr>
                <w:lang w:val="en-US"/>
              </w:rPr>
            </w:pPr>
            <w:r>
              <w:rPr>
                <w:lang w:val="en-US"/>
              </w:rPr>
              <w:t>100</w:t>
            </w:r>
          </w:p>
        </w:tc>
        <w:tc>
          <w:tcPr>
            <w:tcW w:w="1134" w:type="dxa"/>
          </w:tcPr>
          <w:p w:rsidR="00000000" w:rsidRDefault="001F233B">
            <w:pPr>
              <w:pStyle w:val="TableofFigures"/>
              <w:keepNext/>
              <w:spacing w:after="60"/>
              <w:rPr>
                <w:lang w:val="en-US"/>
              </w:rPr>
            </w:pPr>
            <w:r>
              <w:rPr>
                <w:lang w:val="en-US"/>
              </w:rPr>
              <w:t>nil</w:t>
            </w:r>
          </w:p>
        </w:tc>
        <w:tc>
          <w:tcPr>
            <w:tcW w:w="1134" w:type="dxa"/>
          </w:tcPr>
          <w:p w:rsidR="00000000" w:rsidRDefault="001F233B">
            <w:pPr>
              <w:pStyle w:val="TableofFigures"/>
              <w:keepNext/>
              <w:spacing w:after="60"/>
              <w:rPr>
                <w:lang w:val="en-US"/>
              </w:rPr>
            </w:pPr>
            <w:r>
              <w:rPr>
                <w:lang w:val="en-US"/>
              </w:rPr>
              <w:t>nil</w:t>
            </w:r>
          </w:p>
        </w:tc>
        <w:tc>
          <w:tcPr>
            <w:tcW w:w="1134" w:type="dxa"/>
          </w:tcPr>
          <w:p w:rsidR="00000000" w:rsidRDefault="001F233B">
            <w:pPr>
              <w:pStyle w:val="TableofFigures"/>
              <w:keepNext/>
              <w:spacing w:after="60"/>
              <w:rPr>
                <w:lang w:val="en-US"/>
              </w:rPr>
            </w:pPr>
            <w:r>
              <w:rPr>
                <w:lang w:val="en-US"/>
              </w:rPr>
              <w:t>150</w:t>
            </w:r>
          </w:p>
        </w:tc>
        <w:tc>
          <w:tcPr>
            <w:tcW w:w="1134" w:type="dxa"/>
          </w:tcPr>
          <w:p w:rsidR="00000000" w:rsidRDefault="001F233B">
            <w:pPr>
              <w:pStyle w:val="TableofFigures"/>
              <w:keepNext/>
              <w:spacing w:after="60"/>
              <w:rPr>
                <w:lang w:val="en-US"/>
              </w:rPr>
            </w:pPr>
            <w:r>
              <w:rPr>
                <w:lang w:val="en-US"/>
              </w:rPr>
              <w:t>175</w:t>
            </w:r>
          </w:p>
        </w:tc>
      </w:tr>
      <w:tr w:rsidR="00000000">
        <w:tblPrEx>
          <w:tblCellMar>
            <w:top w:w="0" w:type="dxa"/>
            <w:bottom w:w="0" w:type="dxa"/>
          </w:tblCellMar>
        </w:tblPrEx>
        <w:trPr>
          <w:trHeight w:val="228"/>
        </w:trPr>
        <w:tc>
          <w:tcPr>
            <w:tcW w:w="1435" w:type="dxa"/>
          </w:tcPr>
          <w:p w:rsidR="00000000" w:rsidRDefault="001F233B">
            <w:pPr>
              <w:pStyle w:val="Tabletext"/>
              <w:keepNext/>
              <w:spacing w:after="60"/>
              <w:rPr>
                <w:lang w:val="en-US"/>
              </w:rPr>
            </w:pPr>
            <w:r>
              <w:rPr>
                <w:lang w:val="en-US"/>
              </w:rPr>
              <w:t xml:space="preserve">  200 000</w:t>
            </w:r>
          </w:p>
        </w:tc>
        <w:tc>
          <w:tcPr>
            <w:tcW w:w="1134" w:type="dxa"/>
          </w:tcPr>
          <w:p w:rsidR="00000000" w:rsidRDefault="001F233B">
            <w:pPr>
              <w:pStyle w:val="TableofFigures"/>
              <w:keepNext/>
              <w:spacing w:after="60"/>
              <w:rPr>
                <w:lang w:val="en-US"/>
              </w:rPr>
            </w:pPr>
            <w:r>
              <w:rPr>
                <w:lang w:val="en-US"/>
              </w:rPr>
              <w:t>200</w:t>
            </w:r>
          </w:p>
        </w:tc>
        <w:tc>
          <w:tcPr>
            <w:tcW w:w="1134" w:type="dxa"/>
          </w:tcPr>
          <w:p w:rsidR="00000000" w:rsidRDefault="001F233B">
            <w:pPr>
              <w:pStyle w:val="TableofFigures"/>
              <w:keepNext/>
              <w:spacing w:after="60"/>
              <w:rPr>
                <w:lang w:val="en-US"/>
              </w:rPr>
            </w:pPr>
            <w:r>
              <w:rPr>
                <w:lang w:val="en-US"/>
              </w:rPr>
              <w:t>840</w:t>
            </w:r>
          </w:p>
        </w:tc>
        <w:tc>
          <w:tcPr>
            <w:tcW w:w="1134" w:type="dxa"/>
          </w:tcPr>
          <w:p w:rsidR="00000000" w:rsidRDefault="001F233B">
            <w:pPr>
              <w:pStyle w:val="TableofFigures"/>
              <w:keepNext/>
              <w:spacing w:after="60"/>
              <w:rPr>
                <w:lang w:val="en-US"/>
              </w:rPr>
            </w:pPr>
            <w:r>
              <w:rPr>
                <w:lang w:val="en-US"/>
              </w:rPr>
              <w:t>nil</w:t>
            </w:r>
          </w:p>
        </w:tc>
        <w:tc>
          <w:tcPr>
            <w:tcW w:w="1134" w:type="dxa"/>
          </w:tcPr>
          <w:p w:rsidR="00000000" w:rsidRDefault="001F233B">
            <w:pPr>
              <w:pStyle w:val="TableofFigures"/>
              <w:keepNext/>
              <w:spacing w:after="60"/>
              <w:rPr>
                <w:lang w:val="en-US"/>
              </w:rPr>
            </w:pPr>
            <w:r>
              <w:rPr>
                <w:lang w:val="en-US"/>
              </w:rPr>
              <w:t>500</w:t>
            </w:r>
          </w:p>
        </w:tc>
        <w:tc>
          <w:tcPr>
            <w:tcW w:w="1134" w:type="dxa"/>
          </w:tcPr>
          <w:p w:rsidR="00000000" w:rsidRDefault="001F233B">
            <w:pPr>
              <w:pStyle w:val="TableofFigures"/>
              <w:keepNext/>
              <w:spacing w:after="60"/>
              <w:rPr>
                <w:lang w:val="en-US"/>
              </w:rPr>
            </w:pPr>
            <w:r>
              <w:rPr>
                <w:lang w:val="en-US"/>
              </w:rPr>
              <w:t>525</w:t>
            </w:r>
          </w:p>
        </w:tc>
      </w:tr>
      <w:tr w:rsidR="00000000">
        <w:tblPrEx>
          <w:tblCellMar>
            <w:top w:w="0" w:type="dxa"/>
            <w:bottom w:w="0" w:type="dxa"/>
          </w:tblCellMar>
        </w:tblPrEx>
        <w:trPr>
          <w:trHeight w:val="228"/>
        </w:trPr>
        <w:tc>
          <w:tcPr>
            <w:tcW w:w="1435" w:type="dxa"/>
          </w:tcPr>
          <w:p w:rsidR="00000000" w:rsidRDefault="001F233B">
            <w:pPr>
              <w:pStyle w:val="Tabletext"/>
              <w:keepNext/>
              <w:spacing w:after="60"/>
              <w:rPr>
                <w:lang w:val="en-US"/>
              </w:rPr>
            </w:pPr>
            <w:r>
              <w:rPr>
                <w:lang w:val="en-US"/>
              </w:rPr>
              <w:t xml:space="preserve">  500 000</w:t>
            </w:r>
          </w:p>
        </w:tc>
        <w:tc>
          <w:tcPr>
            <w:tcW w:w="1134" w:type="dxa"/>
          </w:tcPr>
          <w:p w:rsidR="00000000" w:rsidRDefault="001F233B">
            <w:pPr>
              <w:pStyle w:val="TableofFigures"/>
              <w:keepNext/>
              <w:spacing w:after="60"/>
              <w:rPr>
                <w:lang w:val="en-US"/>
              </w:rPr>
            </w:pPr>
            <w:r>
              <w:rPr>
                <w:lang w:val="en-US"/>
              </w:rPr>
              <w:t>800</w:t>
            </w:r>
          </w:p>
        </w:tc>
        <w:tc>
          <w:tcPr>
            <w:tcW w:w="1134" w:type="dxa"/>
          </w:tcPr>
          <w:p w:rsidR="00000000" w:rsidRDefault="001F233B">
            <w:pPr>
              <w:pStyle w:val="TableofFigures"/>
              <w:keepNext/>
              <w:spacing w:after="60"/>
              <w:rPr>
                <w:lang w:val="en-US"/>
              </w:rPr>
            </w:pPr>
            <w:r>
              <w:rPr>
                <w:lang w:val="en-US"/>
              </w:rPr>
              <w:t>6 390</w:t>
            </w:r>
          </w:p>
        </w:tc>
        <w:tc>
          <w:tcPr>
            <w:tcW w:w="1134" w:type="dxa"/>
          </w:tcPr>
          <w:p w:rsidR="00000000" w:rsidRDefault="001F233B">
            <w:pPr>
              <w:pStyle w:val="TableofFigures"/>
              <w:keepNext/>
              <w:spacing w:after="60"/>
              <w:rPr>
                <w:lang w:val="en-US"/>
              </w:rPr>
            </w:pPr>
            <w:r>
              <w:rPr>
                <w:lang w:val="en-US"/>
              </w:rPr>
              <w:t>3 095</w:t>
            </w:r>
          </w:p>
        </w:tc>
        <w:tc>
          <w:tcPr>
            <w:tcW w:w="1134" w:type="dxa"/>
          </w:tcPr>
          <w:p w:rsidR="00000000" w:rsidRDefault="001F233B">
            <w:pPr>
              <w:pStyle w:val="TableofFigures"/>
              <w:keepNext/>
              <w:spacing w:after="60"/>
              <w:rPr>
                <w:lang w:val="en-US"/>
              </w:rPr>
            </w:pPr>
            <w:r>
              <w:rPr>
                <w:lang w:val="en-US"/>
              </w:rPr>
              <w:t>3 490</w:t>
            </w:r>
          </w:p>
        </w:tc>
        <w:tc>
          <w:tcPr>
            <w:tcW w:w="1134" w:type="dxa"/>
          </w:tcPr>
          <w:p w:rsidR="00000000" w:rsidRDefault="001F233B">
            <w:pPr>
              <w:pStyle w:val="TableofFigures"/>
              <w:keepNext/>
              <w:spacing w:after="60"/>
              <w:rPr>
                <w:lang w:val="en-US"/>
              </w:rPr>
            </w:pPr>
            <w:r>
              <w:rPr>
                <w:lang w:val="en-US"/>
              </w:rPr>
              <w:t>4 175</w:t>
            </w:r>
          </w:p>
        </w:tc>
      </w:tr>
      <w:tr w:rsidR="00000000">
        <w:tblPrEx>
          <w:tblCellMar>
            <w:top w:w="0" w:type="dxa"/>
            <w:bottom w:w="0" w:type="dxa"/>
          </w:tblCellMar>
        </w:tblPrEx>
        <w:trPr>
          <w:trHeight w:val="228"/>
        </w:trPr>
        <w:tc>
          <w:tcPr>
            <w:tcW w:w="1435" w:type="dxa"/>
          </w:tcPr>
          <w:p w:rsidR="00000000" w:rsidRDefault="001F233B">
            <w:pPr>
              <w:pStyle w:val="Tabletext"/>
              <w:keepNext/>
              <w:spacing w:after="60"/>
              <w:rPr>
                <w:lang w:val="en-US"/>
              </w:rPr>
            </w:pPr>
            <w:r>
              <w:rPr>
                <w:lang w:val="en-US"/>
              </w:rPr>
              <w:t>1 000 000</w:t>
            </w:r>
          </w:p>
        </w:tc>
        <w:tc>
          <w:tcPr>
            <w:tcW w:w="1134" w:type="dxa"/>
          </w:tcPr>
          <w:p w:rsidR="00000000" w:rsidRDefault="001F233B">
            <w:pPr>
              <w:pStyle w:val="TableofFigures"/>
              <w:keepNext/>
              <w:spacing w:after="60"/>
              <w:rPr>
                <w:lang w:val="en-US"/>
              </w:rPr>
            </w:pPr>
            <w:r>
              <w:rPr>
                <w:lang w:val="en-US"/>
              </w:rPr>
              <w:t>6 230</w:t>
            </w:r>
          </w:p>
        </w:tc>
        <w:tc>
          <w:tcPr>
            <w:tcW w:w="1134" w:type="dxa"/>
          </w:tcPr>
          <w:p w:rsidR="00000000" w:rsidRDefault="001F233B">
            <w:pPr>
              <w:pStyle w:val="TableofFigures"/>
              <w:keepNext/>
              <w:spacing w:after="60"/>
              <w:rPr>
                <w:lang w:val="en-US"/>
              </w:rPr>
            </w:pPr>
            <w:r>
              <w:rPr>
                <w:lang w:val="en-US"/>
              </w:rPr>
              <w:t>15 640</w:t>
            </w:r>
          </w:p>
        </w:tc>
        <w:tc>
          <w:tcPr>
            <w:tcW w:w="1134" w:type="dxa"/>
          </w:tcPr>
          <w:p w:rsidR="00000000" w:rsidRDefault="001F233B">
            <w:pPr>
              <w:pStyle w:val="TableofFigures"/>
              <w:keepNext/>
              <w:spacing w:after="60"/>
              <w:rPr>
                <w:lang w:val="en-US"/>
              </w:rPr>
            </w:pPr>
            <w:r>
              <w:rPr>
                <w:lang w:val="en-US"/>
              </w:rPr>
              <w:t>10 625</w:t>
            </w:r>
          </w:p>
        </w:tc>
        <w:tc>
          <w:tcPr>
            <w:tcW w:w="1134" w:type="dxa"/>
          </w:tcPr>
          <w:p w:rsidR="00000000" w:rsidRDefault="001F233B">
            <w:pPr>
              <w:pStyle w:val="TableofFigures"/>
              <w:keepNext/>
              <w:spacing w:after="60"/>
              <w:rPr>
                <w:lang w:val="en-US"/>
              </w:rPr>
            </w:pPr>
            <w:r>
              <w:rPr>
                <w:lang w:val="en-US"/>
              </w:rPr>
              <w:t>10 650</w:t>
            </w:r>
          </w:p>
        </w:tc>
        <w:tc>
          <w:tcPr>
            <w:tcW w:w="1134" w:type="dxa"/>
          </w:tcPr>
          <w:p w:rsidR="00000000" w:rsidRDefault="001F233B">
            <w:pPr>
              <w:pStyle w:val="TableofFigures"/>
              <w:keepNext/>
              <w:spacing w:after="60"/>
              <w:rPr>
                <w:lang w:val="en-US"/>
              </w:rPr>
            </w:pPr>
            <w:r>
              <w:rPr>
                <w:lang w:val="en-US"/>
              </w:rPr>
              <w:t>12 425</w:t>
            </w:r>
          </w:p>
        </w:tc>
      </w:tr>
      <w:tr w:rsidR="00000000">
        <w:tblPrEx>
          <w:tblCellMar>
            <w:top w:w="0" w:type="dxa"/>
            <w:bottom w:w="0" w:type="dxa"/>
          </w:tblCellMar>
        </w:tblPrEx>
        <w:trPr>
          <w:trHeight w:val="228"/>
        </w:trPr>
        <w:tc>
          <w:tcPr>
            <w:tcW w:w="1435" w:type="dxa"/>
            <w:tcBorders>
              <w:bottom w:val="single" w:sz="12" w:space="0" w:color="auto"/>
            </w:tcBorders>
          </w:tcPr>
          <w:p w:rsidR="00000000" w:rsidRDefault="001F233B">
            <w:pPr>
              <w:pStyle w:val="Tabletext"/>
              <w:keepNext/>
              <w:spacing w:after="60"/>
              <w:rPr>
                <w:lang w:val="en-US"/>
              </w:rPr>
            </w:pPr>
            <w:r>
              <w:rPr>
                <w:lang w:val="en-US"/>
              </w:rPr>
              <w:t>2 000 000</w:t>
            </w:r>
          </w:p>
        </w:tc>
        <w:tc>
          <w:tcPr>
            <w:tcW w:w="1134" w:type="dxa"/>
            <w:tcBorders>
              <w:bottom w:val="single" w:sz="12" w:space="0" w:color="auto"/>
            </w:tcBorders>
          </w:tcPr>
          <w:p w:rsidR="00000000" w:rsidRDefault="001F233B">
            <w:pPr>
              <w:pStyle w:val="TableofFigures"/>
              <w:keepNext/>
              <w:spacing w:after="60"/>
              <w:rPr>
                <w:lang w:val="en-US"/>
              </w:rPr>
            </w:pPr>
            <w:r>
              <w:rPr>
                <w:lang w:val="en-US"/>
              </w:rPr>
              <w:t>33 880</w:t>
            </w:r>
          </w:p>
        </w:tc>
        <w:tc>
          <w:tcPr>
            <w:tcW w:w="1134" w:type="dxa"/>
            <w:tcBorders>
              <w:bottom w:val="single" w:sz="12" w:space="0" w:color="auto"/>
            </w:tcBorders>
          </w:tcPr>
          <w:p w:rsidR="00000000" w:rsidRDefault="001F233B">
            <w:pPr>
              <w:pStyle w:val="TableofFigures"/>
              <w:keepNext/>
              <w:spacing w:after="60"/>
              <w:rPr>
                <w:lang w:val="en-US"/>
              </w:rPr>
            </w:pPr>
            <w:r>
              <w:rPr>
                <w:lang w:val="en-US"/>
              </w:rPr>
              <w:t>34 040</w:t>
            </w:r>
          </w:p>
        </w:tc>
        <w:tc>
          <w:tcPr>
            <w:tcW w:w="1134" w:type="dxa"/>
            <w:tcBorders>
              <w:bottom w:val="single" w:sz="12" w:space="0" w:color="auto"/>
            </w:tcBorders>
          </w:tcPr>
          <w:p w:rsidR="00000000" w:rsidRDefault="001F233B">
            <w:pPr>
              <w:pStyle w:val="TableofFigures"/>
              <w:keepNext/>
              <w:spacing w:after="60"/>
              <w:rPr>
                <w:lang w:val="en-US"/>
              </w:rPr>
            </w:pPr>
            <w:r>
              <w:rPr>
                <w:lang w:val="en-US"/>
              </w:rPr>
              <w:t>36 000</w:t>
            </w:r>
          </w:p>
        </w:tc>
        <w:tc>
          <w:tcPr>
            <w:tcW w:w="1134" w:type="dxa"/>
            <w:tcBorders>
              <w:bottom w:val="single" w:sz="12" w:space="0" w:color="auto"/>
            </w:tcBorders>
          </w:tcPr>
          <w:p w:rsidR="00000000" w:rsidRDefault="001F233B">
            <w:pPr>
              <w:pStyle w:val="TableofFigures"/>
              <w:keepNext/>
              <w:spacing w:after="60"/>
              <w:rPr>
                <w:lang w:val="en-US"/>
              </w:rPr>
            </w:pPr>
            <w:r>
              <w:rPr>
                <w:lang w:val="en-US"/>
              </w:rPr>
              <w:t>31 165</w:t>
            </w:r>
          </w:p>
        </w:tc>
        <w:tc>
          <w:tcPr>
            <w:tcW w:w="1134" w:type="dxa"/>
            <w:tcBorders>
              <w:bottom w:val="single" w:sz="12" w:space="0" w:color="auto"/>
            </w:tcBorders>
          </w:tcPr>
          <w:p w:rsidR="00000000" w:rsidRDefault="001F233B">
            <w:pPr>
              <w:pStyle w:val="TableofFigures"/>
              <w:keepNext/>
              <w:spacing w:after="60"/>
              <w:rPr>
                <w:lang w:val="en-US"/>
              </w:rPr>
            </w:pPr>
            <w:r>
              <w:rPr>
                <w:lang w:val="en-US"/>
              </w:rPr>
              <w:t>49 425</w:t>
            </w:r>
          </w:p>
        </w:tc>
      </w:tr>
    </w:tbl>
    <w:p w:rsidR="00000000" w:rsidRDefault="001F233B">
      <w:pPr>
        <w:pStyle w:val="Source"/>
        <w:keepNext/>
        <w:tabs>
          <w:tab w:val="left" w:pos="720"/>
        </w:tabs>
        <w:ind w:left="720" w:hanging="720"/>
      </w:pPr>
      <w:r>
        <w:t>Sources:</w:t>
      </w:r>
      <w:r>
        <w:tab/>
        <w:t>Department of Treasury and Finance;</w:t>
      </w:r>
      <w:r>
        <w:rPr>
          <w:i w:val="0"/>
        </w:rPr>
        <w:t xml:space="preserve"> Interstate Comparison of Taxes 1997</w:t>
      </w:r>
      <w:r>
        <w:rPr>
          <w:i w:val="0"/>
        </w:rPr>
        <w:noBreakHyphen/>
        <w:t>98</w:t>
      </w:r>
      <w:r>
        <w:t>, New South Wales Treasury, Research &amp; Information Paper.</w:t>
      </w:r>
    </w:p>
    <w:p w:rsidR="00000000" w:rsidRDefault="001F233B"/>
    <w:p w:rsidR="00000000" w:rsidRDefault="001F233B">
      <w:r>
        <w:t>With the restructuring of the land tax rate scale overcoming the problems associated with the previous steeply progressive rate structure, the capping arrangements</w:t>
      </w:r>
      <w:r>
        <w:fldChar w:fldCharType="begin"/>
      </w:r>
      <w:r>
        <w:instrText>xe "Land tax:Cappin</w:instrText>
      </w:r>
      <w:r>
        <w:instrText>g arrangements"</w:instrText>
      </w:r>
      <w:r>
        <w:fldChar w:fldCharType="end"/>
      </w:r>
      <w:r>
        <w:t xml:space="preserve"> in place since 1994 are no longer necessary to protect landowners from the effects of very large year to year increases in their tax liability. The removal of capping will mean that some taxpayers will face a one</w:t>
      </w:r>
      <w:r>
        <w:noBreakHyphen/>
        <w:t>off adjustment in 1998 to bring them into line with other taxpayers with land of equivalent value.</w:t>
      </w:r>
    </w:p>
    <w:p w:rsidR="00000000" w:rsidRDefault="001F233B">
      <w:r>
        <w:t>Estimated revenues from land tax in 1997</w:t>
      </w:r>
      <w:r>
        <w:noBreakHyphen/>
        <w:t>98 have been revised down to $355 million compared to the April 1997 Budget estimate of $427 million. This fall is due to a combination of fac</w:t>
      </w:r>
      <w:r>
        <w:t>tors, including:</w:t>
      </w:r>
    </w:p>
    <w:p w:rsidR="00000000" w:rsidRDefault="001F233B" w:rsidP="001F233B">
      <w:pPr>
        <w:pStyle w:val="BulletText"/>
        <w:numPr>
          <w:ilvl w:val="0"/>
          <w:numId w:val="1"/>
        </w:numPr>
      </w:pPr>
      <w:r>
        <w:t xml:space="preserve">the restructuring of the rate scale; </w:t>
      </w:r>
    </w:p>
    <w:p w:rsidR="00000000" w:rsidRDefault="001F233B" w:rsidP="001F233B">
      <w:pPr>
        <w:pStyle w:val="BulletText"/>
        <w:numPr>
          <w:ilvl w:val="0"/>
          <w:numId w:val="1"/>
        </w:numPr>
      </w:pPr>
      <w:r>
        <w:t>the introduction of the principal place of residence</w:t>
      </w:r>
      <w:r>
        <w:fldChar w:fldCharType="begin"/>
      </w:r>
      <w:r>
        <w:instrText>xe "Land tax:Principal place of residence"</w:instrText>
      </w:r>
      <w:r>
        <w:fldChar w:fldCharType="end"/>
      </w:r>
      <w:r>
        <w:t xml:space="preserve"> exemption; and</w:t>
      </w:r>
    </w:p>
    <w:p w:rsidR="00000000" w:rsidRDefault="001F233B" w:rsidP="001F233B">
      <w:pPr>
        <w:pStyle w:val="BulletText"/>
        <w:numPr>
          <w:ilvl w:val="0"/>
          <w:numId w:val="1"/>
        </w:numPr>
      </w:pPr>
      <w:r>
        <w:t>a downward movement in the valuation of some higher valued properties.</w:t>
      </w:r>
    </w:p>
    <w:p w:rsidR="00000000" w:rsidRDefault="001F233B">
      <w:pPr>
        <w:pStyle w:val="Heading2"/>
      </w:pPr>
      <w:bookmarkStart w:id="100" w:name="_Toc417119848"/>
      <w:bookmarkStart w:id="101" w:name="_Toc417552088"/>
      <w:r>
        <w:t>Victoria’s relative revenue</w:t>
      </w:r>
      <w:r>
        <w:noBreakHyphen/>
        <w:t>raising effort</w:t>
      </w:r>
      <w:bookmarkEnd w:id="100"/>
      <w:bookmarkEnd w:id="101"/>
    </w:p>
    <w:p w:rsidR="00000000" w:rsidRDefault="001F233B">
      <w:r>
        <w:t>The 1998</w:t>
      </w:r>
      <w:r>
        <w:noBreakHyphen/>
        <w:t>99 tax cuts bring Victoria’s overall taxation effort a further step towards alignment with the average of the Australian States. Based on the 1998 Commonwealth Grants Commission</w:t>
      </w:r>
      <w:r>
        <w:fldChar w:fldCharType="begin"/>
      </w:r>
      <w:r>
        <w:instrText>xe "Commonwealth Grants Commission (CGC)"</w:instrText>
      </w:r>
      <w:r>
        <w:fldChar w:fldCharType="end"/>
      </w:r>
      <w:r>
        <w:t xml:space="preserve"> (</w:t>
      </w:r>
      <w:r>
        <w:t>CGC) assessment of Victoria’s relative revenue</w:t>
      </w:r>
      <w:r>
        <w:noBreakHyphen/>
        <w:t>raising effort, alignment with the average tax effort of all the States would require further tax cuts estimated at around $220 million (compared with $900 million just three years ago). This remaining gap is after adjustment of the CGC ratios (which are based on 1996</w:t>
      </w:r>
      <w:r>
        <w:noBreakHyphen/>
        <w:t>97 financial outcomes) for tax increases subsequently implemented or announced in other States and for the successive Victorian tax cuts announced in 1997</w:t>
      </w:r>
      <w:r>
        <w:noBreakHyphen/>
        <w:t>98 and in this year’s Budget.</w:t>
      </w:r>
    </w:p>
    <w:p w:rsidR="00000000" w:rsidRDefault="001F233B">
      <w:r>
        <w:t>Even before</w:t>
      </w:r>
      <w:r>
        <w:t xml:space="preserve"> the 1998</w:t>
      </w:r>
      <w:r>
        <w:noBreakHyphen/>
        <w:t>99 tax cuts, Victoria’s relative revenue</w:t>
      </w:r>
      <w:r>
        <w:noBreakHyphen/>
        <w:t>raising effort (on a CGC</w:t>
      </w:r>
      <w:r>
        <w:fldChar w:fldCharType="begin"/>
      </w:r>
      <w:r>
        <w:instrText>xe "Commonwealth Grants Commission (CGC)"</w:instrText>
      </w:r>
      <w:r>
        <w:fldChar w:fldCharType="end"/>
      </w:r>
      <w:r>
        <w:t xml:space="preserve"> basis) had fallen some $190 million (or $41 per capita) below that of New South Wales, and this year’s Budget measures will further widen this gap to over $350 million. </w:t>
      </w:r>
    </w:p>
    <w:p w:rsidR="00000000" w:rsidRDefault="001F233B">
      <w:r>
        <w:t>Other well</w:t>
      </w:r>
      <w:r>
        <w:noBreakHyphen/>
        <w:t>accepted measures of relative tax severity show Victoria to have had a lower tax burden than New South Wales for some years. Estimates published by the Australian Bureau of Statistics (ABS) show that, in per capi</w:t>
      </w:r>
      <w:r>
        <w:t>ta terms, Victorian taxes were some $140 lower than New South Wales in 1997</w:t>
      </w:r>
      <w:r>
        <w:noBreakHyphen/>
        <w:t xml:space="preserve">98. </w:t>
      </w:r>
    </w:p>
    <w:p w:rsidR="00000000" w:rsidRDefault="001F233B">
      <w:r>
        <w:t>Chart 5.1 compares Victoria’s relative tax burden with New South Wales on both the CGC</w:t>
      </w:r>
      <w:r>
        <w:fldChar w:fldCharType="begin"/>
      </w:r>
      <w:r>
        <w:instrText>xe "Commonwealth Grants Commission (CGC)"</w:instrText>
      </w:r>
      <w:r>
        <w:fldChar w:fldCharType="end"/>
      </w:r>
      <w:r>
        <w:t xml:space="preserve"> and the ABS bases. It shows how much higher (or lower) in per capita terms Victoria’s tax burden has been, in each of the past four years. It reveals that, on a CGC basis, Victoria had a higher per capita revenue</w:t>
      </w:r>
      <w:r>
        <w:noBreakHyphen/>
        <w:t>raising effort than New South Wales up to 1997</w:t>
      </w:r>
      <w:r>
        <w:noBreakHyphen/>
        <w:t>98, when the situation was reversed. On a</w:t>
      </w:r>
      <w:r>
        <w:t>n ABS basis, on the other hand, the Chart shows that, with the exception of 1995</w:t>
      </w:r>
      <w:r>
        <w:noBreakHyphen/>
        <w:t>96, Victoria’s taxes fees and fines per capita have been lower than in New South Wales throughout the period. Similarly, when taxes, fees and fines are expressed as a proportion of gross state product</w:t>
      </w:r>
      <w:r>
        <w:fldChar w:fldCharType="begin"/>
      </w:r>
      <w:r>
        <w:instrText>xe "Economy:Gross State Products (GSP)"</w:instrText>
      </w:r>
      <w:r>
        <w:fldChar w:fldCharType="end"/>
      </w:r>
      <w:r>
        <w:t>, Victoria’s tax burden has been below that in New South Wales throughout the period 1990</w:t>
      </w:r>
      <w:r>
        <w:noBreakHyphen/>
        <w:t>91 to 1997</w:t>
      </w:r>
      <w:r>
        <w:noBreakHyphen/>
        <w:t>98 (Chart 5.2).</w:t>
      </w:r>
    </w:p>
    <w:p w:rsidR="00000000" w:rsidRDefault="001F233B">
      <w:pPr>
        <w:pStyle w:val="Chartheading"/>
        <w:keepNext/>
        <w:keepLines/>
      </w:pPr>
      <w:r>
        <w:t>Chart 5.1: Measures of Relative Tax Severity: Victoria and New South Wale</w:t>
      </w:r>
      <w:r>
        <w:t>s</w:t>
      </w:r>
    </w:p>
    <w:p w:rsidR="00000000" w:rsidRDefault="001F233B">
      <w:pPr>
        <w:pStyle w:val="Source"/>
        <w:keepNext/>
        <w:keepLines/>
        <w:spacing w:after="0"/>
      </w:pPr>
      <w:r>
        <w:rPr>
          <w:noProof/>
          <w:sz w:val="20"/>
        </w:rPr>
        <w:drawing>
          <wp:inline distT="0" distB="0" distL="0" distR="0">
            <wp:extent cx="4400550" cy="1905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00550" cy="1905000"/>
                    </a:xfrm>
                    <a:prstGeom prst="rect">
                      <a:avLst/>
                    </a:prstGeom>
                    <a:noFill/>
                    <a:ln>
                      <a:noFill/>
                    </a:ln>
                  </pic:spPr>
                </pic:pic>
              </a:graphicData>
            </a:graphic>
          </wp:inline>
        </w:drawing>
      </w:r>
    </w:p>
    <w:p w:rsidR="00000000" w:rsidRDefault="001F233B">
      <w:pPr>
        <w:pStyle w:val="Source"/>
        <w:keepNext/>
        <w:keepLines/>
        <w:tabs>
          <w:tab w:val="left" w:pos="720"/>
        </w:tabs>
        <w:spacing w:after="0"/>
        <w:ind w:left="720" w:hanging="720"/>
      </w:pPr>
      <w:r>
        <w:t>Sources:</w:t>
      </w:r>
      <w:r>
        <w:tab/>
        <w:t>Taxation Revenue Australia, Australian Bureau of Statistics, Cat No. 5506.0; Commonwealth Grants Commission</w:t>
      </w:r>
      <w:r>
        <w:fldChar w:fldCharType="begin"/>
      </w:r>
      <w:r>
        <w:instrText>xe "Commonwealth Grants Commission (CGC)"</w:instrText>
      </w:r>
      <w:r>
        <w:fldChar w:fldCharType="end"/>
      </w:r>
      <w:r>
        <w:t xml:space="preserve"> Report on General Revenue Grant Relativities 1998 Update; New South Wales Budget Papers 1997</w:t>
      </w:r>
      <w:r>
        <w:noBreakHyphen/>
        <w:t>98; Victorian Budget Papers 1997</w:t>
      </w:r>
      <w:r>
        <w:noBreakHyphen/>
        <w:t>98.</w:t>
      </w:r>
    </w:p>
    <w:p w:rsidR="00000000" w:rsidRDefault="001F233B">
      <w:pPr>
        <w:pStyle w:val="Notes"/>
        <w:keepNext/>
        <w:keepLines/>
        <w:spacing w:before="120"/>
      </w:pPr>
      <w:r>
        <w:t>Note:</w:t>
      </w:r>
    </w:p>
    <w:p w:rsidR="00000000" w:rsidRDefault="001F233B">
      <w:pPr>
        <w:pStyle w:val="Notes"/>
        <w:keepNext/>
        <w:keepLines/>
      </w:pPr>
      <w:r>
        <w:t>The NSW 1998-99 estimate of Taxes, Fees and Fines is not available and consequently the ABS based comparison of the differential is not possible.</w:t>
      </w:r>
    </w:p>
    <w:p w:rsidR="00000000" w:rsidRDefault="001F233B">
      <w:pPr>
        <w:pStyle w:val="Notes"/>
      </w:pPr>
    </w:p>
    <w:p w:rsidR="00000000" w:rsidRDefault="001F233B">
      <w:pPr>
        <w:rPr>
          <w:sz w:val="20"/>
          <w:vertAlign w:val="superscript"/>
        </w:rPr>
      </w:pPr>
      <w:r>
        <w:t>An alternative measure of Victoria’s relative cost competitivenes</w:t>
      </w:r>
      <w:r>
        <w:t>s</w:t>
      </w:r>
      <w:r>
        <w:fldChar w:fldCharType="begin"/>
      </w:r>
      <w:r>
        <w:instrText>xe "Competitiveness"</w:instrText>
      </w:r>
      <w:r>
        <w:fldChar w:fldCharType="end"/>
      </w:r>
      <w:r>
        <w:t xml:space="preserve"> is the effect of State taxes and charges on the long</w:t>
      </w:r>
      <w:r>
        <w:noBreakHyphen/>
        <w:t>run profitability of firms which can relocate in response to the promise of a lower business cost environment. When the combined impact of State taxes and charges on the long</w:t>
      </w:r>
      <w:r>
        <w:noBreakHyphen/>
        <w:t>run profitability of such ‘footloose’ firms is taken into account, Victoria’s overall cost environment is much more favourable than its relative tax rates would suggest. This reflects the fact that utility charges and workers’ compensation costs, which are low</w:t>
      </w:r>
      <w:r>
        <w:t>er in Victoria than most other States, are a relatively more significant component of business costs for many firms (particularly in manufacturing</w:t>
      </w:r>
      <w:r>
        <w:fldChar w:fldCharType="begin"/>
      </w:r>
      <w:r>
        <w:instrText>xe "Economy:Manufacturing"</w:instrText>
      </w:r>
      <w:r>
        <w:fldChar w:fldCharType="end"/>
      </w:r>
      <w:r>
        <w:t xml:space="preserve"> and resource processing industries) than State taxes.</w:t>
      </w:r>
      <w:r>
        <w:rPr>
          <w:sz w:val="20"/>
          <w:vertAlign w:val="superscript"/>
        </w:rPr>
        <w:footnoteReference w:id="1"/>
      </w:r>
    </w:p>
    <w:p w:rsidR="00000000" w:rsidRDefault="001F233B">
      <w:pPr>
        <w:pStyle w:val="Chartheading"/>
        <w:keepNext/>
      </w:pPr>
      <w:r>
        <w:t>Chart 5.2 : Taxes Fees and Fines as % of Nominal Gross State Product</w:t>
      </w:r>
      <w:r>
        <w:fldChar w:fldCharType="begin"/>
      </w:r>
      <w:r>
        <w:instrText>xe "Economy:Gross State Products (GSP)"</w:instrText>
      </w:r>
      <w:r>
        <w:fldChar w:fldCharType="end"/>
      </w:r>
    </w:p>
    <w:p w:rsidR="00000000" w:rsidRDefault="001F233B">
      <w:pPr>
        <w:keepNext/>
        <w:spacing w:after="0"/>
        <w:rPr>
          <w:noProof/>
        </w:rPr>
      </w:pPr>
      <w:r>
        <w:rPr>
          <w:noProof/>
          <w:sz w:val="20"/>
        </w:rPr>
        <w:drawing>
          <wp:inline distT="0" distB="0" distL="0" distR="0">
            <wp:extent cx="4219575" cy="21907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19575" cy="2190750"/>
                    </a:xfrm>
                    <a:prstGeom prst="rect">
                      <a:avLst/>
                    </a:prstGeom>
                    <a:noFill/>
                    <a:ln>
                      <a:noFill/>
                    </a:ln>
                  </pic:spPr>
                </pic:pic>
              </a:graphicData>
            </a:graphic>
          </wp:inline>
        </w:drawing>
      </w:r>
    </w:p>
    <w:p w:rsidR="00000000" w:rsidRDefault="001F233B">
      <w:pPr>
        <w:keepNext/>
        <w:tabs>
          <w:tab w:val="left" w:pos="720"/>
        </w:tabs>
        <w:spacing w:after="0"/>
        <w:ind w:left="720" w:hanging="720"/>
      </w:pPr>
      <w:r>
        <w:rPr>
          <w:i/>
          <w:sz w:val="18"/>
        </w:rPr>
        <w:t>Sources</w:t>
      </w:r>
      <w:r>
        <w:rPr>
          <w:sz w:val="18"/>
        </w:rPr>
        <w:t>:</w:t>
      </w:r>
      <w:r>
        <w:rPr>
          <w:sz w:val="18"/>
        </w:rPr>
        <w:tab/>
      </w:r>
      <w:r>
        <w:rPr>
          <w:i/>
          <w:sz w:val="18"/>
        </w:rPr>
        <w:t>Taxation Revenue Australia. Australian Bureau of Statistics, Cat. No. 5506.0; National Accounts, State Production Accounts; Australian Bureau of Statistics, Cat.</w:t>
      </w:r>
      <w:r>
        <w:rPr>
          <w:i/>
          <w:sz w:val="18"/>
        </w:rPr>
        <w:t xml:space="preserve"> No. 5242; Victorian Budget Papers 1997-98; New South Wales Budget Papers 1997</w:t>
      </w:r>
      <w:r>
        <w:rPr>
          <w:i/>
          <w:sz w:val="18"/>
        </w:rPr>
        <w:noBreakHyphen/>
        <w:t>98.</w:t>
      </w:r>
    </w:p>
    <w:p w:rsidR="00000000" w:rsidRDefault="001F233B">
      <w:pPr>
        <w:pStyle w:val="Heading2"/>
      </w:pPr>
      <w:bookmarkStart w:id="102" w:name="_Toc417119849"/>
      <w:bookmarkStart w:id="103" w:name="_Toc417552089"/>
      <w:r>
        <w:t>Loss of business franchise fees</w:t>
      </w:r>
      <w:bookmarkEnd w:id="102"/>
      <w:bookmarkEnd w:id="103"/>
      <w:r>
        <w:fldChar w:fldCharType="begin"/>
      </w:r>
      <w:r>
        <w:instrText>xe "Franchise fees:Business"</w:instrText>
      </w:r>
      <w:r>
        <w:fldChar w:fldCharType="end"/>
      </w:r>
    </w:p>
    <w:p w:rsidR="00000000" w:rsidRDefault="001F233B">
      <w:r>
        <w:t>For some years, States and Territories have imposed business franchise fees</w:t>
      </w:r>
      <w:r>
        <w:fldChar w:fldCharType="begin"/>
      </w:r>
      <w:r>
        <w:instrText>xe "Franchise fees:Business"</w:instrText>
      </w:r>
      <w:r>
        <w:fldChar w:fldCharType="end"/>
      </w:r>
      <w:r>
        <w:t xml:space="preserve"> on tobacco and liquor merchants and on fuel distributors in return for the grant of a licence to trade in these goods. These franchise fees typically comprised a fixed fee and an </w:t>
      </w:r>
      <w:r>
        <w:rPr>
          <w:i/>
        </w:rPr>
        <w:t>ad valorem</w:t>
      </w:r>
      <w:r>
        <w:t xml:space="preserve"> fee, with the </w:t>
      </w:r>
      <w:r>
        <w:rPr>
          <w:i/>
        </w:rPr>
        <w:t>ad valorem</w:t>
      </w:r>
      <w:r>
        <w:t xml:space="preserve"> component determined by reference to the value</w:t>
      </w:r>
      <w:r>
        <w:t xml:space="preserve"> of wholesale sales or purchases in a previous period. Franchise fees became an increasingly important source of revenue for the States and Territories over the last two decades, rising from around 5 per cent of all State and Territory taxes fees and fines in the mid</w:t>
      </w:r>
      <w:r>
        <w:noBreakHyphen/>
        <w:t>1970s to over 15 per cent by the mid</w:t>
      </w:r>
      <w:r>
        <w:noBreakHyphen/>
        <w:t>1990s. In 1997</w:t>
      </w:r>
      <w:r>
        <w:noBreakHyphen/>
        <w:t>98, business franchise fees on these three products were estimated to yield $1.2 billion in Victoria, and over $5 billion nationally.</w:t>
      </w:r>
    </w:p>
    <w:p w:rsidR="00000000" w:rsidRDefault="001F233B">
      <w:r>
        <w:t>Franchise fees have been periodically subject to legal cha</w:t>
      </w:r>
      <w:r>
        <w:t>llenge under Section 90</w:t>
      </w:r>
      <w:r>
        <w:fldChar w:fldCharType="begin"/>
      </w:r>
      <w:r>
        <w:instrText>xe "Section 90"</w:instrText>
      </w:r>
      <w:r>
        <w:fldChar w:fldCharType="end"/>
      </w:r>
      <w:r>
        <w:t xml:space="preserve"> of the Commonwealth Constitution, which confers on the Commonwealth exclusive power to levy duties of customs and duties of excise. While the States have asserted that duties of excise are taxes imposed only on the </w:t>
      </w:r>
      <w:r>
        <w:rPr>
          <w:i/>
        </w:rPr>
        <w:t>production</w:t>
      </w:r>
      <w:r>
        <w:t xml:space="preserve"> of goods, over the years the High Court, by a narrow majority, has come to interpret excise duties as a tax on goods at any stage of the production/distribution chain up to the point of final sale. </w:t>
      </w:r>
    </w:p>
    <w:p w:rsidR="00000000" w:rsidRDefault="001F233B">
      <w:pPr>
        <w:pStyle w:val="Chartheading"/>
        <w:keepNext/>
        <w:keepLines/>
        <w:rPr>
          <w:i/>
          <w:sz w:val="22"/>
          <w:vertAlign w:val="superscript"/>
        </w:rPr>
      </w:pPr>
      <w:r>
        <w:t>Chart 5.3: Composition of Victorian Taxes, Fee</w:t>
      </w:r>
      <w:r>
        <w:t>s and Fines, 1996</w:t>
      </w:r>
      <w:r>
        <w:noBreakHyphen/>
        <w:t>97</w:t>
      </w:r>
      <w:r>
        <w:rPr>
          <w:i/>
          <w:sz w:val="22"/>
          <w:vertAlign w:val="superscript"/>
        </w:rPr>
        <w:t>(a)(b)</w:t>
      </w:r>
    </w:p>
    <w:p w:rsidR="00000000" w:rsidRDefault="001F233B">
      <w:pPr>
        <w:keepNext/>
        <w:rPr>
          <w:i/>
          <w:sz w:val="18"/>
        </w:rPr>
      </w:pPr>
      <w:r>
        <w:rPr>
          <w:noProof/>
          <w:sz w:val="20"/>
        </w:rPr>
        <w:drawing>
          <wp:inline distT="0" distB="0" distL="0" distR="0">
            <wp:extent cx="4467225" cy="27432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67225" cy="2743200"/>
                    </a:xfrm>
                    <a:prstGeom prst="rect">
                      <a:avLst/>
                    </a:prstGeom>
                    <a:noFill/>
                    <a:ln>
                      <a:noFill/>
                    </a:ln>
                  </pic:spPr>
                </pic:pic>
              </a:graphicData>
            </a:graphic>
          </wp:inline>
        </w:drawing>
      </w:r>
      <w:r>
        <w:rPr>
          <w:i/>
          <w:sz w:val="18"/>
        </w:rPr>
        <w:t>Source: Department of Treasury and Finance.</w:t>
      </w:r>
    </w:p>
    <w:p w:rsidR="00000000" w:rsidRDefault="001F233B">
      <w:pPr>
        <w:pStyle w:val="Notes"/>
      </w:pPr>
      <w:r>
        <w:t>Notes:</w:t>
      </w:r>
    </w:p>
    <w:p w:rsidR="00000000" w:rsidRDefault="001F233B">
      <w:pPr>
        <w:pStyle w:val="Notes"/>
        <w:keepNext/>
        <w:tabs>
          <w:tab w:val="clear" w:pos="454"/>
          <w:tab w:val="left" w:pos="450"/>
        </w:tabs>
      </w:pPr>
      <w:r>
        <w:t>(a)</w:t>
      </w:r>
      <w:r>
        <w:tab/>
        <w:t>Based on actual collections in 1996</w:t>
      </w:r>
      <w:r>
        <w:noBreakHyphen/>
        <w:t xml:space="preserve">97. </w:t>
      </w:r>
    </w:p>
    <w:p w:rsidR="00000000" w:rsidRDefault="001F233B">
      <w:pPr>
        <w:pStyle w:val="Notes"/>
        <w:keepNext/>
      </w:pPr>
      <w:r>
        <w:t>(b)</w:t>
      </w:r>
      <w:r>
        <w:tab/>
        <w:t>Excludes privatisation</w:t>
      </w:r>
      <w:r>
        <w:fldChar w:fldCharType="begin"/>
      </w:r>
      <w:r>
        <w:instrText>xe "Privatisation"</w:instrText>
      </w:r>
      <w:r>
        <w:fldChar w:fldCharType="end"/>
      </w:r>
      <w:r>
        <w:t xml:space="preserve"> effects.</w:t>
      </w:r>
    </w:p>
    <w:p w:rsidR="00000000" w:rsidRDefault="001F233B">
      <w:pPr>
        <w:pStyle w:val="Notes"/>
        <w:keepNext/>
      </w:pPr>
    </w:p>
    <w:p w:rsidR="00000000" w:rsidRDefault="001F233B">
      <w:pPr>
        <w:rPr>
          <w:lang w:val="en-US"/>
        </w:rPr>
      </w:pPr>
      <w:r>
        <w:t>On 5 August 1997 the High Court of Australia</w:t>
      </w:r>
      <w:r>
        <w:fldChar w:fldCharType="begin"/>
      </w:r>
      <w:r>
        <w:instrText>xe "High Court of Australia"</w:instrText>
      </w:r>
      <w:r>
        <w:fldChar w:fldCharType="end"/>
      </w:r>
      <w:r>
        <w:t xml:space="preserve"> ruled that tobacco franchise fees</w:t>
      </w:r>
      <w:r>
        <w:fldChar w:fldCharType="begin"/>
      </w:r>
      <w:r>
        <w:instrText>xe "Franchise fees:Tobacco"</w:instrText>
      </w:r>
      <w:r>
        <w:fldChar w:fldCharType="end"/>
      </w:r>
      <w:r>
        <w:t xml:space="preserve"> levied by New South Wales were duties of excise and were therefore invalid under Section 90</w:t>
      </w:r>
      <w:r>
        <w:fldChar w:fldCharType="begin"/>
      </w:r>
      <w:r>
        <w:instrText>xe "Section 90"</w:instrText>
      </w:r>
      <w:r>
        <w:fldChar w:fldCharType="end"/>
      </w:r>
      <w:r>
        <w:t xml:space="preserve"> of the Constitution.</w:t>
      </w:r>
      <w:r>
        <w:rPr>
          <w:sz w:val="20"/>
          <w:vertAlign w:val="superscript"/>
        </w:rPr>
        <w:footnoteReference w:id="2"/>
      </w:r>
      <w:r>
        <w:t xml:space="preserve"> States and Territories received legal advice that the decision</w:t>
      </w:r>
      <w:r>
        <w:t xml:space="preserve"> cast sufficient doubt </w:t>
      </w:r>
      <w:r>
        <w:rPr>
          <w:lang w:val="en-US"/>
        </w:rPr>
        <w:t xml:space="preserve">on the constitutional validity of their franchise fees on tobacco, liquor and petroleum that they should immediately cease collection of </w:t>
      </w:r>
      <w:r>
        <w:rPr>
          <w:i/>
          <w:lang w:val="en-US"/>
        </w:rPr>
        <w:t>ad valorem</w:t>
      </w:r>
      <w:r>
        <w:rPr>
          <w:lang w:val="en-US"/>
        </w:rPr>
        <w:t xml:space="preserve"> fees on all three products. </w:t>
      </w:r>
    </w:p>
    <w:p w:rsidR="00000000" w:rsidRDefault="001F233B">
      <w:pPr>
        <w:rPr>
          <w:lang w:val="en-US"/>
        </w:rPr>
      </w:pPr>
      <w:r>
        <w:rPr>
          <w:lang w:val="en-US"/>
        </w:rPr>
        <w:t>The decision has major ramifications for the Australian federal system. In the absence of constitutional change, not only has it ruled out any prospect of the States levying sales or consumption taxes in the future, it has deprived them of more than 15 per cent of their current own-source revenues, dramatically</w:t>
      </w:r>
      <w:r>
        <w:rPr>
          <w:lang w:val="en-US"/>
        </w:rPr>
        <w:t xml:space="preserve"> worsening Australia’s already unacceptably high degree of vertical fiscal imbalance</w:t>
      </w:r>
      <w:r>
        <w:rPr>
          <w:lang w:val="en-US"/>
        </w:rPr>
        <w:fldChar w:fldCharType="begin"/>
      </w:r>
      <w:r>
        <w:rPr>
          <w:lang w:val="en-US"/>
        </w:rPr>
        <w:instrText>xe "Vertical fiscal imbalance (VFI)"</w:instrText>
      </w:r>
      <w:r>
        <w:rPr>
          <w:lang w:val="en-US"/>
        </w:rPr>
        <w:fldChar w:fldCharType="end"/>
      </w:r>
      <w:r>
        <w:rPr>
          <w:lang w:val="en-US"/>
        </w:rPr>
        <w:t xml:space="preserve"> (see Chapter 9 </w:t>
      </w:r>
      <w:r>
        <w:rPr>
          <w:i/>
          <w:lang w:val="en-US"/>
        </w:rPr>
        <w:t>Commonwealth-State Financial Relations</w:t>
      </w:r>
      <w:r>
        <w:rPr>
          <w:lang w:val="en-US"/>
        </w:rPr>
        <w:t>).</w:t>
      </w:r>
    </w:p>
    <w:p w:rsidR="00000000" w:rsidRDefault="001F233B">
      <w:pPr>
        <w:pStyle w:val="Heading4"/>
      </w:pPr>
      <w:r>
        <w:t>Safety net arrangements</w:t>
      </w:r>
    </w:p>
    <w:p w:rsidR="00000000" w:rsidRDefault="001F233B">
      <w:r>
        <w:t xml:space="preserve">The day after the decision, and at the unanimous request of the States and Territories, the Commonwealth announced safety net arrangements whereby the Commonwealth would collect equivalent revenues, on behalf of the States and Territories, by imposing replacement taxes on the same products. The Commonwealth </w:t>
      </w:r>
      <w:r>
        <w:t xml:space="preserve">also announced that it would legislate to protect States and Territories from refunds sought on past payments of franchise fees. </w:t>
      </w:r>
    </w:p>
    <w:p w:rsidR="00000000" w:rsidRDefault="001F233B">
      <w:r>
        <w:t>As a result, federal wholesale sales tax</w:t>
      </w:r>
      <w:r>
        <w:fldChar w:fldCharType="begin"/>
      </w:r>
      <w:r>
        <w:instrText>xe "Tax equivalent payments:Wholesale sales tax"</w:instrText>
      </w:r>
      <w:r>
        <w:fldChar w:fldCharType="end"/>
      </w:r>
      <w:r>
        <w:t xml:space="preserve"> on liquor and federal excise duty on tobacco and petroleum products was increased on 6 August 1997 to replace former business franchise fees</w:t>
      </w:r>
      <w:r>
        <w:fldChar w:fldCharType="begin"/>
      </w:r>
      <w:r>
        <w:instrText>xe "Franchise fees:Business"</w:instrText>
      </w:r>
      <w:r>
        <w:fldChar w:fldCharType="end"/>
      </w:r>
      <w:r>
        <w:t>. The revenues thereby generated were to be returned to the States and Territories in accordance with a formula agreed by</w:t>
      </w:r>
      <w:r>
        <w:t xml:space="preserve"> them. In addition, Commonwealth legislation was enacted to apply a 100 per cent windfall gains tax, with retrospective effect, to any refunds of franchise fees paid in respect of a period prior to 5 August on the grounds that the fees were invalid.</w:t>
      </w:r>
    </w:p>
    <w:p w:rsidR="00000000" w:rsidRDefault="001F233B">
      <w:r>
        <w:t>Although business franchise fee rates varied across jurisdictions, the replacement taxes had to be imposed by the Commonwealth at uniform rates throughout Australia to comply with the Constitution. So that higher franchise fee States would suffer no loss of reve</w:t>
      </w:r>
      <w:r>
        <w:t>nue, the increases in excise and sales tax</w:t>
      </w:r>
      <w:r>
        <w:fldChar w:fldCharType="begin"/>
      </w:r>
      <w:r>
        <w:instrText>xe "Sales tax"</w:instrText>
      </w:r>
      <w:r>
        <w:fldChar w:fldCharType="end"/>
      </w:r>
      <w:r>
        <w:t xml:space="preserve"> were greater in some jurisdictions than the franchise fees which they replaced. This meant that some States, including Victoria, stood to receive revenues in excess of their estimated franchise fee revenues. These ‘surplus’ revenues are being returned to taxpayers with the aim of avoiding, as far as possible, price increases for consumers.  In this Budget Paper, payments to return surplus revenues to taxpayers are netted off gross safety net receipt</w:t>
      </w:r>
      <w:r>
        <w:t>s to show net revenues retained by Government.</w:t>
      </w:r>
    </w:p>
    <w:p w:rsidR="00000000" w:rsidRDefault="001F233B">
      <w:r>
        <w:t xml:space="preserve">Legislation to repeal Victoria’s </w:t>
      </w:r>
      <w:r>
        <w:rPr>
          <w:i/>
        </w:rPr>
        <w:t>ad valorem</w:t>
      </w:r>
      <w:r>
        <w:t xml:space="preserve"> fees on tobacco, liquor and petroleum passed through both Houses of Parliament in Spring 1997. The </w:t>
      </w:r>
      <w:r>
        <w:rPr>
          <w:i/>
        </w:rPr>
        <w:t>Business Franchise Fee (Safety Net) Act</w:t>
      </w:r>
      <w:r>
        <w:t xml:space="preserve"> 1997</w:t>
      </w:r>
      <w:r>
        <w:fldChar w:fldCharType="begin"/>
      </w:r>
      <w:r>
        <w:instrText>xe "Business Franchise Fee (Safety Net) Act 1997"</w:instrText>
      </w:r>
      <w:r>
        <w:fldChar w:fldCharType="end"/>
      </w:r>
      <w:r>
        <w:t xml:space="preserve"> also repealed provisions requiring wholesalers of tobacco and petroleum products to be licensed. However, premises which sell liquor continue to be subject to licensing provisions, with the former </w:t>
      </w:r>
      <w:r>
        <w:rPr>
          <w:i/>
        </w:rPr>
        <w:t>ad valorem</w:t>
      </w:r>
      <w:r>
        <w:t xml:space="preserve"> licence fee now re</w:t>
      </w:r>
      <w:r>
        <w:t>placed by a fixed fee of $150 per annum in most cases. The safety net legislation also provides appropriation authority for the Treasurer to make payments to return surplus revenues to taxpayers, as necessary, in accordance with the safety net arrangements for each product.</w:t>
      </w:r>
    </w:p>
    <w:p w:rsidR="00000000" w:rsidRDefault="001F233B">
      <w:pPr>
        <w:pStyle w:val="Heading4"/>
      </w:pPr>
      <w:r>
        <w:t>Fuel safety net</w:t>
      </w:r>
      <w:r>
        <w:fldChar w:fldCharType="begin"/>
      </w:r>
      <w:r>
        <w:instrText>xe "Safety net arrangements:Fuel"</w:instrText>
      </w:r>
      <w:r>
        <w:fldChar w:fldCharType="end"/>
      </w:r>
    </w:p>
    <w:p w:rsidR="00000000" w:rsidRDefault="001F233B">
      <w:r>
        <w:t>Under the safety net arrangements, State petroleum franchise fees</w:t>
      </w:r>
      <w:r>
        <w:fldChar w:fldCharType="begin"/>
      </w:r>
      <w:r>
        <w:instrText>xe "Franchise fees:Petroleum"</w:instrText>
      </w:r>
      <w:r>
        <w:fldChar w:fldCharType="end"/>
      </w:r>
      <w:r>
        <w:t xml:space="preserve"> have been replaced by a surcharge on Commonwealth customs and excise duties on petroleum </w:t>
      </w:r>
      <w:r>
        <w:t xml:space="preserve">products. At a uniform national rate of 8.1 cents per litre (cpl) the fuel excise surcharge is slightly higher than Victoria’s former franchise fees of 7.67 cpl for motor spirit and 7.35 cpl for diesel fuel. </w:t>
      </w:r>
    </w:p>
    <w:p w:rsidR="00000000" w:rsidRDefault="001F233B">
      <w:r>
        <w:t>To prevent this higher tax rate flowing through to petroleum prices, Victoria is making payments to petroleum wholesalers equal to the difference between the new and the old tax rates. This is 0.43 cpl for motor spirit and 0.75 cpl for diesel fuel. These payments are conditional upon the wholesalers gu</w:t>
      </w:r>
      <w:r>
        <w:t>aranteeing not to pass the tax increase on in wholesale prices. The Australian Competition and Consumer Commission</w:t>
      </w:r>
      <w:r>
        <w:fldChar w:fldCharType="begin"/>
      </w:r>
      <w:r>
        <w:instrText>xe "Australian Competition and Consumer Commission"</w:instrText>
      </w:r>
      <w:r>
        <w:fldChar w:fldCharType="end"/>
      </w:r>
      <w:r>
        <w:t xml:space="preserve"> is monitoring these arrangements to ensure that petrol prices do not change as a result of the change in taxation arrangements.</w:t>
      </w:r>
    </w:p>
    <w:p w:rsidR="00000000" w:rsidRDefault="001F233B">
      <w:r>
        <w:t>Payments are also being made to fuel wholesalers to fully offset the 8.1 cpl excise surcharge on diesel fuel sold for off</w:t>
      </w:r>
      <w:r>
        <w:noBreakHyphen/>
        <w:t xml:space="preserve">road use in order to maintain the effect of the former franchise fee exemption. The </w:t>
      </w:r>
      <w:r>
        <w:rPr>
          <w:i/>
        </w:rPr>
        <w:t>Business F</w:t>
      </w:r>
      <w:r>
        <w:rPr>
          <w:i/>
        </w:rPr>
        <w:t>ranchise Fee (Safety Net) Act</w:t>
      </w:r>
      <w:r>
        <w:t xml:space="preserve"> 1997</w:t>
      </w:r>
      <w:r>
        <w:fldChar w:fldCharType="begin"/>
      </w:r>
      <w:r>
        <w:instrText>xe "Business Franchise Fee (Safety Net) Act 1997"</w:instrText>
      </w:r>
      <w:r>
        <w:fldChar w:fldCharType="end"/>
      </w:r>
      <w:r>
        <w:t xml:space="preserve"> provides for the first time a legislative foundation for this exemption scheme, which had previously operated on an administrative basis. This provides greater certainty for beneficiaries of the scheme under the changed fuel tax</w:t>
      </w:r>
      <w:r>
        <w:fldChar w:fldCharType="begin"/>
      </w:r>
      <w:r>
        <w:instrText>xe "Tax:Fuel tax"</w:instrText>
      </w:r>
      <w:r>
        <w:fldChar w:fldCharType="end"/>
      </w:r>
      <w:r>
        <w:t>ation arrangements. The legislation also provides for the periodic renewal of exemption certificates. Under the former administrative scheme, there was no limit on the life of cer</w:t>
      </w:r>
      <w:r>
        <w:t>tificates issued and this left the scheme exposed to possible abuse through the transfer of certificates to ineligible persons. The Act provides for certificates to be valid for three years, unless revoked sooner, and to be renewable upon application.</w:t>
      </w:r>
    </w:p>
    <w:p w:rsidR="00000000" w:rsidRDefault="001F233B">
      <w:pPr>
        <w:pStyle w:val="Heading4"/>
      </w:pPr>
      <w:r>
        <w:t>Liquor safety net</w:t>
      </w:r>
      <w:r>
        <w:fldChar w:fldCharType="begin"/>
      </w:r>
      <w:r>
        <w:instrText>xe "Safety net arrangements:Liquor"</w:instrText>
      </w:r>
      <w:r>
        <w:fldChar w:fldCharType="end"/>
      </w:r>
    </w:p>
    <w:p w:rsidR="00000000" w:rsidRDefault="001F233B">
      <w:r>
        <w:t>Liquor franchise fees</w:t>
      </w:r>
      <w:r>
        <w:fldChar w:fldCharType="begin"/>
      </w:r>
      <w:r>
        <w:instrText>xe "Franchise fees:Liquor"</w:instrText>
      </w:r>
      <w:r>
        <w:fldChar w:fldCharType="end"/>
      </w:r>
      <w:r>
        <w:t xml:space="preserve"> have been replaced by a 15 per cent surcharge on Commonwealth wholesale sales tax</w:t>
      </w:r>
      <w:r>
        <w:fldChar w:fldCharType="begin"/>
      </w:r>
      <w:r>
        <w:instrText>xe "Tax equivalent payments:Wholesale sales tax"</w:instrText>
      </w:r>
      <w:r>
        <w:fldChar w:fldCharType="end"/>
      </w:r>
      <w:r>
        <w:t xml:space="preserve"> on liquor products. To </w:t>
      </w:r>
      <w:r>
        <w:t>ensure that prices of formerly exempt products do not change as a result of the change in taxation arrangements, Victoria is making payments to:</w:t>
      </w:r>
    </w:p>
    <w:p w:rsidR="00000000" w:rsidRDefault="001F233B" w:rsidP="001F233B">
      <w:pPr>
        <w:pStyle w:val="BulletText"/>
        <w:numPr>
          <w:ilvl w:val="0"/>
          <w:numId w:val="1"/>
        </w:numPr>
      </w:pPr>
      <w:r>
        <w:t>liquor wholesalers to fully offset the 15 per cent surcharge on low alcohol products; and</w:t>
      </w:r>
    </w:p>
    <w:p w:rsidR="00000000" w:rsidRDefault="001F233B" w:rsidP="001F233B">
      <w:pPr>
        <w:pStyle w:val="BulletText"/>
        <w:numPr>
          <w:ilvl w:val="0"/>
          <w:numId w:val="1"/>
        </w:numPr>
      </w:pPr>
      <w:r>
        <w:t>Victorian licensed vignerons to fully offset the surcharge on cellar door wine sales and tastings and related mail order wine sales.</w:t>
      </w:r>
    </w:p>
    <w:p w:rsidR="00000000" w:rsidRDefault="001F233B">
      <w:r>
        <w:t>For full strength liquor, the change in the taxation arrangements means a slight increase in the tax rate. However, once put on a comparable bas</w:t>
      </w:r>
      <w:r>
        <w:t>is, the difference between the 15 per cent surcharge and the former Victorian licence fee is only 1.14 per cent for wine and 1.58 per cent for full strength beer and spirits. Accordingly, any price effects due to the on</w:t>
      </w:r>
      <w:r>
        <w:noBreakHyphen/>
        <w:t>passing of the excess surcharge is expected to be minimal.</w:t>
      </w:r>
    </w:p>
    <w:p w:rsidR="00000000" w:rsidRDefault="001F233B">
      <w:r>
        <w:t>Following a recent review of the operation of the liquor subsidy arrangements, the coverage of liquor payments will be extended to include wine stocks used for free tastings and other promotional purposes. Because these stocks are no</w:t>
      </w:r>
      <w:r>
        <w:t>t ‘sold’, they were not caught by the former liquor franchise fee, which applied mainly at the retail level. Promotional liquor stock is, however, subject to Commonwealth wholesale sales tax</w:t>
      </w:r>
      <w:r>
        <w:fldChar w:fldCharType="begin"/>
      </w:r>
      <w:r>
        <w:instrText>xe "Tax equivalent payments:Wholesale sales tax"</w:instrText>
      </w:r>
      <w:r>
        <w:fldChar w:fldCharType="end"/>
      </w:r>
      <w:r>
        <w:t xml:space="preserve"> and was therefore affected by the 15 per cent safety net surcharge. </w:t>
      </w:r>
    </w:p>
    <w:p w:rsidR="00000000" w:rsidRDefault="001F233B">
      <w:r>
        <w:t>The wine industry has argued that the provision of free stock for consumer wine tastings and for retailer education</w:t>
      </w:r>
      <w:r>
        <w:fldChar w:fldCharType="begin"/>
      </w:r>
      <w:r>
        <w:instrText>xe "Education"</w:instrText>
      </w:r>
      <w:r>
        <w:fldChar w:fldCharType="end"/>
      </w:r>
      <w:r>
        <w:t xml:space="preserve"> is essential to marketing and selling wine, since a large number of re</w:t>
      </w:r>
      <w:r>
        <w:t>latively small producers are producing a highly diversified product. In light of evidence put forward by the industry that the tax is a significant impost on business costs, the Government has decided to offset the 15 per cent wholesale sales tax</w:t>
      </w:r>
      <w:r>
        <w:fldChar w:fldCharType="begin"/>
      </w:r>
      <w:r>
        <w:instrText>xe "Tax equivalent payments:Wholesale sales tax"</w:instrText>
      </w:r>
      <w:r>
        <w:fldChar w:fldCharType="end"/>
      </w:r>
      <w:r>
        <w:t xml:space="preserve"> surcharge on promotional wine stocks produced by holders of a Victorian vignerons licence. Provided adequate records are available, this measure will be backdated to 6 August 1997, the date from which the safety net</w:t>
      </w:r>
      <w:r>
        <w:t xml:space="preserve"> surcharge was imposed.</w:t>
      </w:r>
    </w:p>
    <w:p w:rsidR="00000000" w:rsidRDefault="001F233B">
      <w:r>
        <w:t>In August 1997, Victoria undertook to make ex gratia payments to liquor licensees to cover the unexpired portion of their 1997 liquor licence fees as at 6 August 1997, when the replacement tax regime came into effect. This is at an estimated additional cost to the Budget of $52 million in 1997</w:t>
      </w:r>
      <w:r>
        <w:noBreakHyphen/>
        <w:t>98. By the end March 1998, some $50 million of these ex gratia payments had been disbursed.</w:t>
      </w:r>
    </w:p>
    <w:p w:rsidR="00000000" w:rsidRDefault="001F233B">
      <w:pPr>
        <w:pStyle w:val="Heading4"/>
      </w:pPr>
      <w:r>
        <w:t>Tobacco safety net</w:t>
      </w:r>
      <w:r>
        <w:fldChar w:fldCharType="begin"/>
      </w:r>
      <w:r>
        <w:instrText>xe "Safety net arrangements:Tobacco"</w:instrText>
      </w:r>
      <w:r>
        <w:fldChar w:fldCharType="end"/>
      </w:r>
    </w:p>
    <w:p w:rsidR="00000000" w:rsidRDefault="001F233B">
      <w:r>
        <w:t>Initially, the safety net provided for tobac</w:t>
      </w:r>
      <w:r>
        <w:t>co franchise fees</w:t>
      </w:r>
      <w:r>
        <w:fldChar w:fldCharType="begin"/>
      </w:r>
      <w:r>
        <w:instrText>xe "Franchise fees:Tobacco"</w:instrText>
      </w:r>
      <w:r>
        <w:fldChar w:fldCharType="end"/>
      </w:r>
      <w:r>
        <w:t xml:space="preserve"> to be replaced by a $167 per kilogram surcharge on Commonwealth customs and excise duties on tobacco products. Following representations to the Commonwealth by major tobacco companies concerned that the replacement of </w:t>
      </w:r>
      <w:r>
        <w:rPr>
          <w:i/>
        </w:rPr>
        <w:t>ad</w:t>
      </w:r>
      <w:r>
        <w:t xml:space="preserve"> </w:t>
      </w:r>
      <w:r>
        <w:rPr>
          <w:i/>
        </w:rPr>
        <w:t>valorem</w:t>
      </w:r>
      <w:r>
        <w:t xml:space="preserve"> franchise fee with a weight based duty would give rise to windfall gains and losses within the industry, the weight based duty was replaced, for most tobacco products, by an </w:t>
      </w:r>
      <w:r>
        <w:rPr>
          <w:i/>
        </w:rPr>
        <w:t>ad valorem</w:t>
      </w:r>
      <w:r>
        <w:t xml:space="preserve"> tax set at 50.32 per cent of final wholesale list p</w:t>
      </w:r>
      <w:r>
        <w:t>rices. This was set in combination with a small weight based surcharge of $2.65 per kilogram.</w:t>
      </w:r>
    </w:p>
    <w:p w:rsidR="00000000" w:rsidRDefault="001F233B">
      <w:r>
        <w:t>Replacement tax rates for tobacco were set at a slightly higher rate than applied under the former State and Territory franchise fees. The additional revenues thereby generated are necessary to ensure that States and Territories whose former fuel franchise fee rates were higher than the 8.1 cpl safety net surcharge are not out of pocket. Nevertheless, the increase in the effective tax rate on tobacco products is re</w:t>
      </w:r>
      <w:r>
        <w:t>latively small (approximately 2.5 per cent) and has had only a minor impact on prices.</w:t>
      </w:r>
    </w:p>
    <w:p w:rsidR="00000000" w:rsidRDefault="001F233B">
      <w:pPr>
        <w:pStyle w:val="Heading4"/>
      </w:pPr>
      <w:r>
        <w:t>1997</w:t>
      </w:r>
      <w:r>
        <w:noBreakHyphen/>
        <w:t>98 safety net revenues</w:t>
      </w:r>
      <w:r>
        <w:fldChar w:fldCharType="begin"/>
      </w:r>
      <w:r>
        <w:instrText>xe "Safety net arrangements:Revenues"</w:instrText>
      </w:r>
      <w:r>
        <w:fldChar w:fldCharType="end"/>
      </w:r>
    </w:p>
    <w:p w:rsidR="00000000" w:rsidRDefault="001F233B">
      <w:r>
        <w:t>While safety net surcharge rates are expected to generate adequate ongoing revenues to compensate States and Territories for the loss of business franchise fees</w:t>
      </w:r>
      <w:r>
        <w:fldChar w:fldCharType="begin"/>
      </w:r>
      <w:r>
        <w:instrText>xe "Franchise fees:Business"</w:instrText>
      </w:r>
      <w:r>
        <w:fldChar w:fldCharType="end"/>
      </w:r>
      <w:r>
        <w:t>, revenues in 1997</w:t>
      </w:r>
      <w:r>
        <w:noBreakHyphen/>
        <w:t>98 will fall short of the original Budget estimate.</w:t>
      </w:r>
    </w:p>
    <w:p w:rsidR="00000000" w:rsidRDefault="001F233B">
      <w:r>
        <w:t>One reason is that timing differences between franchise fee collections and replacement tax colle</w:t>
      </w:r>
      <w:r>
        <w:t>ctions have resulted in one</w:t>
      </w:r>
      <w:r>
        <w:noBreakHyphen/>
        <w:t>off revenue losses in 1997</w:t>
      </w:r>
      <w:r>
        <w:noBreakHyphen/>
        <w:t>98. These transitional timing losses will not recur in future years, but nor will they be recovered from future safety net collections.</w:t>
      </w:r>
    </w:p>
    <w:p w:rsidR="00000000" w:rsidRDefault="001F233B">
      <w:r>
        <w:t>Another reason is that tobacco collections in 1997</w:t>
      </w:r>
      <w:r>
        <w:noBreakHyphen/>
        <w:t>98 are likely to fall well short of budgeted estimates due to actions taken by tobacco manufacturers/importers at the time of the High Court decision to bring forward bond clearances of stocks that would otherwise have been subject to the excise surcharge imposed from 6</w:t>
      </w:r>
      <w:r>
        <w:t xml:space="preserve"> August 1997. These actions led to losses estimated at $200 million for the States and Territories combined, of which Victoria’s share would have been $43 million.</w:t>
      </w:r>
    </w:p>
    <w:p w:rsidR="00000000" w:rsidRDefault="001F233B">
      <w:r>
        <w:t>Deferral of approximately one month’s fuel surcharge collections as a result of arrangements entered into with oil companies at the start of the safety net arrangements will also mean the loss of one month of net cash collections (worth approximately $32 million for Victoria) in 1997</w:t>
      </w:r>
      <w:r>
        <w:noBreakHyphen/>
        <w:t xml:space="preserve">98 only. However, this loss has been recognised in the revised </w:t>
      </w:r>
      <w:r>
        <w:t>1997</w:t>
      </w:r>
      <w:r>
        <w:noBreakHyphen/>
        <w:t>98 Budget estimates on an accrual basis, as it is expected to be recovered when the safety net arrangements are eventually terminated.</w:t>
      </w:r>
    </w:p>
    <w:p w:rsidR="00000000" w:rsidRDefault="001F233B">
      <w:pPr>
        <w:pStyle w:val="Heading4"/>
      </w:pPr>
      <w:r>
        <w:t>Future of safety net arrangements</w:t>
      </w:r>
    </w:p>
    <w:p w:rsidR="00000000" w:rsidRDefault="001F233B">
      <w:r>
        <w:t>The business franchise fee safety net arrangements are temporary, pending the development of longer term revenue replacement options arising from national tax reform</w:t>
      </w:r>
      <w:r>
        <w:fldChar w:fldCharType="begin"/>
      </w:r>
      <w:r>
        <w:instrText>xe "National tax reform"</w:instrText>
      </w:r>
      <w:r>
        <w:fldChar w:fldCharType="end"/>
      </w:r>
      <w:r>
        <w:t>. It is expected that the safety net will remain in place at least until the end of the 1998</w:t>
      </w:r>
      <w:r>
        <w:noBreakHyphen/>
        <w:t>99 financial year. States and Territories are currentl</w:t>
      </w:r>
      <w:r>
        <w:t>y discussing with the Commonwealth the basis of the distribution of safety net revenues</w:t>
      </w:r>
      <w:r>
        <w:fldChar w:fldCharType="begin"/>
      </w:r>
      <w:r>
        <w:instrText>xe "Safety net arrangements:Revenues"</w:instrText>
      </w:r>
      <w:r>
        <w:fldChar w:fldCharType="end"/>
      </w:r>
      <w:r>
        <w:t xml:space="preserve"> for 1998</w:t>
      </w:r>
      <w:r>
        <w:noBreakHyphen/>
        <w:t>99 and future years. Pending finalisation of these discussions, the estimates in this Budget assume the same distribution formula as applied in 1997</w:t>
      </w:r>
      <w:r>
        <w:noBreakHyphen/>
        <w:t>98.</w:t>
      </w:r>
    </w:p>
    <w:p w:rsidR="00000000" w:rsidRDefault="001F233B">
      <w:pPr>
        <w:pStyle w:val="Heading2"/>
      </w:pPr>
      <w:bookmarkStart w:id="104" w:name="_Toc417119850"/>
      <w:bookmarkStart w:id="105" w:name="_Toc417552090"/>
      <w:r>
        <w:t>‘Mirror’ State taxes at Commonwealth places</w:t>
      </w:r>
      <w:bookmarkEnd w:id="104"/>
      <w:bookmarkEnd w:id="105"/>
      <w:r>
        <w:fldChar w:fldCharType="begin"/>
      </w:r>
      <w:r>
        <w:instrText>xe "Commonwealth places"</w:instrText>
      </w:r>
      <w:r>
        <w:fldChar w:fldCharType="end"/>
      </w:r>
    </w:p>
    <w:p w:rsidR="00000000" w:rsidRDefault="001F233B">
      <w:r>
        <w:t>A further significant development in 1997</w:t>
      </w:r>
      <w:r>
        <w:noBreakHyphen/>
        <w:t>98 was the resolution of the future collection of State taxes imposed on activities conducted at Commonwealth p</w:t>
      </w:r>
      <w:r>
        <w:t>laces</w:t>
      </w:r>
      <w:r>
        <w:fldChar w:fldCharType="begin"/>
      </w:r>
      <w:r>
        <w:instrText>xe "Commonwealth places"</w:instrText>
      </w:r>
      <w:r>
        <w:fldChar w:fldCharType="end"/>
      </w:r>
      <w:r>
        <w:t xml:space="preserve">. There had been uncertainty surrounding the status of State taxes at Commonwealth places since 6 November 1996 when the High Court ruled in the </w:t>
      </w:r>
      <w:r>
        <w:rPr>
          <w:i/>
        </w:rPr>
        <w:t>Allders</w:t>
      </w:r>
      <w:r>
        <w:t xml:space="preserve"> case</w:t>
      </w:r>
      <w:r>
        <w:fldChar w:fldCharType="begin"/>
      </w:r>
      <w:r>
        <w:instrText>xe "Allders case"</w:instrText>
      </w:r>
      <w:r>
        <w:fldChar w:fldCharType="end"/>
      </w:r>
      <w:r>
        <w:rPr>
          <w:sz w:val="20"/>
          <w:vertAlign w:val="superscript"/>
        </w:rPr>
        <w:footnoteReference w:id="3"/>
      </w:r>
      <w:r>
        <w:t xml:space="preserve"> that Victorian lease duty applied to a lease agreement at Melbourne airport was invalid under Section 52(i) of the Commonwealth Constitution. This decision cast some doubt on the constitutional validity of other State taxes applied to activities conducted at Commonwealth places. </w:t>
      </w:r>
    </w:p>
    <w:p w:rsidR="00000000" w:rsidRDefault="001F233B">
      <w:r>
        <w:t>Advised that there wer</w:t>
      </w:r>
      <w:r>
        <w:t>e insurmountable constitutional impediments to the removal of restrictions on them imposing taxes on business located at these places, the States asked the Commonwealth to legislate to ensure that the same State taxation obligations apply to these as other businesses. Three primary concerns underpinned this request:</w:t>
      </w:r>
    </w:p>
    <w:p w:rsidR="00000000" w:rsidRDefault="001F233B" w:rsidP="001F233B">
      <w:pPr>
        <w:pStyle w:val="BulletText"/>
        <w:numPr>
          <w:ilvl w:val="0"/>
          <w:numId w:val="1"/>
        </w:numPr>
      </w:pPr>
      <w:r>
        <w:t>the need to ensure neutrality in the tax treatment of businesses, regardless of where within the State those businesses were conducted;</w:t>
      </w:r>
    </w:p>
    <w:p w:rsidR="00000000" w:rsidRDefault="001F233B" w:rsidP="001F233B">
      <w:pPr>
        <w:pStyle w:val="BulletText"/>
        <w:numPr>
          <w:ilvl w:val="0"/>
          <w:numId w:val="1"/>
        </w:numPr>
      </w:pPr>
      <w:r>
        <w:t>the need to prevent Commonwealth places</w:t>
      </w:r>
      <w:r>
        <w:fldChar w:fldCharType="begin"/>
      </w:r>
      <w:r>
        <w:instrText>xe "Commonwealth p</w:instrText>
      </w:r>
      <w:r>
        <w:instrText>laces"</w:instrText>
      </w:r>
      <w:r>
        <w:fldChar w:fldCharType="end"/>
      </w:r>
      <w:r>
        <w:t xml:space="preserve"> becoming ‘tax</w:t>
      </w:r>
      <w:r>
        <w:noBreakHyphen/>
        <w:t>free havens’ with respect to State taxes; and</w:t>
      </w:r>
    </w:p>
    <w:p w:rsidR="00000000" w:rsidRDefault="001F233B" w:rsidP="001F233B">
      <w:pPr>
        <w:pStyle w:val="BulletText"/>
        <w:numPr>
          <w:ilvl w:val="0"/>
          <w:numId w:val="1"/>
        </w:numPr>
      </w:pPr>
      <w:r>
        <w:t>the need to protect State revenues, past and future.</w:t>
      </w:r>
    </w:p>
    <w:p w:rsidR="00000000" w:rsidRDefault="001F233B">
      <w:r>
        <w:t>States were particularly concerned that, unless action was taken by the Commonwealth, businesses located at Commonwealth places</w:t>
      </w:r>
      <w:r>
        <w:fldChar w:fldCharType="begin"/>
      </w:r>
      <w:r>
        <w:instrText>xe "Commonwealth places"</w:instrText>
      </w:r>
      <w:r>
        <w:fldChar w:fldCharType="end"/>
      </w:r>
      <w:r>
        <w:t xml:space="preserve"> would be provided with significant tax advantages. Not only would the situation be inequitable, it would also distort business location decisions. Clearly neither of these effects would be in the national interest. With the privatisation</w:t>
      </w:r>
      <w:r>
        <w:fldChar w:fldCharType="begin"/>
      </w:r>
      <w:r>
        <w:instrText>xe "Privatisation"</w:instrText>
      </w:r>
      <w:r>
        <w:fldChar w:fldCharType="end"/>
      </w:r>
      <w:r>
        <w:t xml:space="preserve"> of Commonwealth airports and the increasing trend towards privatisation or contracting out of a range of functions carried out at other Commonwealth places, States were also concerned that the situation could eventually lead to significant revenue loss.</w:t>
      </w:r>
    </w:p>
    <w:p w:rsidR="00000000" w:rsidRDefault="001F233B">
      <w:r>
        <w:t>Accepting the States’ arguments, the Commonwealth, on 6 October 1997, announced its intention to legislate to apply State stamp duty, payroll tax</w:t>
      </w:r>
      <w:r>
        <w:fldChar w:fldCharType="begin"/>
      </w:r>
      <w:r>
        <w:instrText>xe "Tax:Payroll tax"</w:instrText>
      </w:r>
      <w:r>
        <w:fldChar w:fldCharType="end"/>
      </w:r>
      <w:r>
        <w:fldChar w:fldCharType="begin"/>
      </w:r>
      <w:r>
        <w:instrText>xe "Payroll tax"</w:instrText>
      </w:r>
      <w:r>
        <w:fldChar w:fldCharType="end"/>
      </w:r>
      <w:r>
        <w:t>, financial institutions duty</w:t>
      </w:r>
      <w:r>
        <w:fldChar w:fldCharType="begin"/>
      </w:r>
      <w:r>
        <w:instrText>xe "Tax:Financial inst</w:instrText>
      </w:r>
      <w:r>
        <w:instrText>itutions duty"</w:instrText>
      </w:r>
      <w:r>
        <w:fldChar w:fldCharType="end"/>
      </w:r>
      <w:r>
        <w:t xml:space="preserve"> and debits tax on businesses operating in or on Commonwealth places</w:t>
      </w:r>
      <w:r>
        <w:fldChar w:fldCharType="begin"/>
      </w:r>
      <w:r>
        <w:instrText>xe "Commonwealth places"</w:instrText>
      </w:r>
      <w:r>
        <w:fldChar w:fldCharType="end"/>
      </w:r>
      <w:r>
        <w:t xml:space="preserve"> and to return the revenues thereby generated to the State in which the taxes were collected. The Commonwealth also announced that it would also legislate as necessary to apply any other State tax found to be invalid as a result of S52(i), and to impose a 100 per cent windfall gains tax on any refunds of State taxes where the refund was sought on the basis of the constitutional invalidity of tax on a</w:t>
      </w:r>
      <w:r>
        <w:t xml:space="preserve"> Commonwealth place. All of these measures were to apply as of 6 October 1997.</w:t>
      </w:r>
    </w:p>
    <w:p w:rsidR="00000000" w:rsidRDefault="001F233B">
      <w:r>
        <w:t>On 5 March 1998, the Commonwealth introduced legislation to ‘mirror’ in Commonwealth places</w:t>
      </w:r>
      <w:r>
        <w:fldChar w:fldCharType="begin"/>
      </w:r>
      <w:r>
        <w:instrText>xe "Commonwealth places"</w:instrText>
      </w:r>
      <w:r>
        <w:fldChar w:fldCharType="end"/>
      </w:r>
      <w:r>
        <w:t xml:space="preserve"> the taxes and thresholds of the States in which the Commonwealth place is located. In this way, each State Government will continue to determine the taxes applying in these places in their States. Amendments to Victorian statutes to facilitate collection of ‘mirror’ taxes at Commonwealth places are expected to be </w:t>
      </w:r>
      <w:r>
        <w:t>introduced in the Spring 1998 Session of Parliament.</w:t>
      </w:r>
    </w:p>
    <w:p w:rsidR="00000000" w:rsidRDefault="001F233B">
      <w:r>
        <w:t>Arrangements for the collection of Commonwealth ‘mirror’ taxes are to be the subject of bi</w:t>
      </w:r>
      <w:r>
        <w:noBreakHyphen/>
        <w:t xml:space="preserve">lateral agreements between the Commonwealth and each State. Victoria will continue to work closely with the Commonwealth and with revenue collection agencies in other States to ensure a seamless application of ‘mirror’ taxes on behalf of the taxpayer. </w:t>
      </w:r>
    </w:p>
    <w:p w:rsidR="00000000" w:rsidRDefault="001F233B">
      <w:pPr>
        <w:pStyle w:val="Heading2"/>
      </w:pPr>
      <w:bookmarkStart w:id="106" w:name="_Toc417119851"/>
      <w:bookmarkStart w:id="107" w:name="_Toc417552091"/>
      <w:r>
        <w:t>National tax reform</w:t>
      </w:r>
      <w:r>
        <w:fldChar w:fldCharType="begin"/>
      </w:r>
      <w:r>
        <w:instrText>xe "National tax reform"</w:instrText>
      </w:r>
      <w:r>
        <w:fldChar w:fldCharType="end"/>
      </w:r>
      <w:r>
        <w:t>: implications for State taxes</w:t>
      </w:r>
      <w:bookmarkEnd w:id="106"/>
      <w:bookmarkEnd w:id="107"/>
    </w:p>
    <w:p w:rsidR="00000000" w:rsidRDefault="001F233B">
      <w:r>
        <w:t>The loss of State and Territory busines</w:t>
      </w:r>
      <w:r>
        <w:t>s franchise fees</w:t>
      </w:r>
      <w:r>
        <w:fldChar w:fldCharType="begin"/>
      </w:r>
      <w:r>
        <w:instrText>xe "Franchise fees:Business"</w:instrText>
      </w:r>
      <w:r>
        <w:fldChar w:fldCharType="end"/>
      </w:r>
      <w:r>
        <w:t xml:space="preserve"> has further narrowed the tax bases of the States and significantly worsened Australia’s already unacceptable degree of vertical fiscal imbalance</w:t>
      </w:r>
      <w:r>
        <w:fldChar w:fldCharType="begin"/>
      </w:r>
      <w:r>
        <w:instrText>xe "Vertical fiscal imbalance (VFI)"</w:instrText>
      </w:r>
      <w:r>
        <w:fldChar w:fldCharType="end"/>
      </w:r>
      <w:r>
        <w:t>. This has served to highlight the need for a new allocation of tax powers in the Australian federal system. It is essential that States and Territories have real control over their own income in order to overcome the adverse effects of fiscal imbalance.</w:t>
      </w:r>
    </w:p>
    <w:p w:rsidR="00000000" w:rsidRDefault="001F233B">
      <w:r>
        <w:t>On 13 August 1997, the Prime</w:t>
      </w:r>
      <w:r>
        <w:t xml:space="preserve"> Minister announced the establishment of a task force to advise on national tax reform</w:t>
      </w:r>
      <w:r>
        <w:fldChar w:fldCharType="begin"/>
      </w:r>
      <w:r>
        <w:instrText>xe "National tax reform"</w:instrText>
      </w:r>
      <w:r>
        <w:fldChar w:fldCharType="end"/>
      </w:r>
      <w:r>
        <w:t xml:space="preserve"> in accordance with the following principles:</w:t>
      </w:r>
    </w:p>
    <w:p w:rsidR="00000000" w:rsidRDefault="001F233B" w:rsidP="001F233B">
      <w:pPr>
        <w:pStyle w:val="BulletText"/>
        <w:numPr>
          <w:ilvl w:val="0"/>
          <w:numId w:val="1"/>
        </w:numPr>
      </w:pPr>
      <w:r>
        <w:br w:type="page"/>
        <w:t>there should be no increase in the overall tax burden;</w:t>
      </w:r>
    </w:p>
    <w:p w:rsidR="00000000" w:rsidRDefault="001F233B" w:rsidP="001F233B">
      <w:pPr>
        <w:pStyle w:val="BulletText"/>
        <w:numPr>
          <w:ilvl w:val="0"/>
          <w:numId w:val="1"/>
        </w:numPr>
      </w:pPr>
      <w:r>
        <w:t>any new taxation system should involve major reductions in personal income tax</w:t>
      </w:r>
      <w:r>
        <w:fldChar w:fldCharType="begin"/>
      </w:r>
      <w:r>
        <w:instrText>xe "Tax equivalent payments:Income tax"</w:instrText>
      </w:r>
      <w:r>
        <w:fldChar w:fldCharType="end"/>
      </w:r>
      <w:r>
        <w:t xml:space="preserve"> with special regard to the taxation treatment of families;</w:t>
      </w:r>
    </w:p>
    <w:p w:rsidR="00000000" w:rsidRDefault="001F233B" w:rsidP="001F233B">
      <w:pPr>
        <w:pStyle w:val="BulletText"/>
        <w:numPr>
          <w:ilvl w:val="0"/>
          <w:numId w:val="1"/>
        </w:numPr>
      </w:pPr>
      <w:r>
        <w:t>consideration should be given to a broad</w:t>
      </w:r>
      <w:r>
        <w:noBreakHyphen/>
        <w:t>based indirect tax to replace some or all of the existing indirect taxes;</w:t>
      </w:r>
    </w:p>
    <w:p w:rsidR="00000000" w:rsidRDefault="001F233B" w:rsidP="001F233B">
      <w:pPr>
        <w:pStyle w:val="BulletText"/>
        <w:numPr>
          <w:ilvl w:val="0"/>
          <w:numId w:val="1"/>
        </w:numPr>
      </w:pPr>
      <w:r>
        <w:t>ther</w:t>
      </w:r>
      <w:r>
        <w:t xml:space="preserve">e should be appropriate compensation for those deserving of special consideration; and </w:t>
      </w:r>
    </w:p>
    <w:p w:rsidR="00000000" w:rsidRDefault="001F233B" w:rsidP="001F233B">
      <w:pPr>
        <w:pStyle w:val="BulletText"/>
        <w:numPr>
          <w:ilvl w:val="0"/>
          <w:numId w:val="1"/>
        </w:numPr>
      </w:pPr>
      <w:r>
        <w:t>reform of Commonwealth/State financial relations must be addressed.</w:t>
      </w:r>
    </w:p>
    <w:p w:rsidR="00000000" w:rsidRDefault="001F233B">
      <w:r>
        <w:t>Victoria welcomes the Commonwealth’s commitment to national tax reform</w:t>
      </w:r>
      <w:r>
        <w:fldChar w:fldCharType="begin"/>
      </w:r>
      <w:r>
        <w:instrText>xe "National tax reform"</w:instrText>
      </w:r>
      <w:r>
        <w:fldChar w:fldCharType="end"/>
      </w:r>
      <w:r>
        <w:t xml:space="preserve"> and, in particular, to reform of indirect taxes and of Commonwealth</w:t>
      </w:r>
      <w:r>
        <w:noBreakHyphen/>
        <w:t xml:space="preserve">State financial relations. Genuine national tax reform must incorporate reform of State as well as Commonwealth indirect taxes. It is now widely recognised that a number of State taxes </w:t>
      </w:r>
      <w:r>
        <w:noBreakHyphen/>
        <w:t xml:space="preserve"> part</w:t>
      </w:r>
      <w:r>
        <w:t xml:space="preserve">icularly those imposed on financial and capital transactions </w:t>
      </w:r>
      <w:r>
        <w:noBreakHyphen/>
        <w:t xml:space="preserve"> are narrowly based, inequitable and significantly impede Australia’s international competitiveness</w:t>
      </w:r>
      <w:r>
        <w:fldChar w:fldCharType="begin"/>
      </w:r>
      <w:r>
        <w:instrText>xe "Competitiveness"</w:instrText>
      </w:r>
      <w:r>
        <w:fldChar w:fldCharType="end"/>
      </w:r>
      <w:r>
        <w:t>.</w:t>
      </w:r>
    </w:p>
    <w:p w:rsidR="00000000" w:rsidRDefault="001F233B">
      <w:r>
        <w:t>Victoria would be prepared to consider abolishing some of its more inefficient taxes in return for gaining access to a share of the personal income tax</w:t>
      </w:r>
      <w:r>
        <w:fldChar w:fldCharType="begin"/>
      </w:r>
      <w:r>
        <w:instrText>xe "Tax equivalent payments:Income tax"</w:instrText>
      </w:r>
      <w:r>
        <w:fldChar w:fldCharType="end"/>
      </w:r>
      <w:r>
        <w:t xml:space="preserve"> base. This would be achieved by the Commonwealth lowering its share of personal income tax to allow States to levy a surcharge, with n</w:t>
      </w:r>
      <w:r>
        <w:t>o overall increase in income tax rates. Access to such a tax base would allow State revenues to grow in line with growth in the economy and the population</w:t>
      </w:r>
      <w:r>
        <w:fldChar w:fldCharType="begin"/>
      </w:r>
      <w:r>
        <w:instrText>xe "Economy:Population"</w:instrText>
      </w:r>
      <w:r>
        <w:fldChar w:fldCharType="end"/>
      </w:r>
      <w:r>
        <w:t xml:space="preserve"> – the same factors which drive demand for the services which form the State’s major expenditure responsibilities. It would also provide a replacement for the States’ loss of business franchise fees</w:t>
      </w:r>
      <w:r>
        <w:fldChar w:fldCharType="begin"/>
      </w:r>
      <w:r>
        <w:instrText>xe "Franchise fees:Business"</w:instrText>
      </w:r>
      <w:r>
        <w:fldChar w:fldCharType="end"/>
      </w:r>
      <w:r>
        <w:t xml:space="preserve"> and could be used to reduce their dependence on Commonwealth grants, thus improving the balance between </w:t>
      </w:r>
      <w:r>
        <w:t>the States’ taxing and spending responsibilities.</w:t>
      </w:r>
    </w:p>
    <w:p w:rsidR="00000000" w:rsidRDefault="001F233B">
      <w:pPr>
        <w:pStyle w:val="Heading2"/>
      </w:pPr>
      <w:bookmarkStart w:id="108" w:name="_Toc417119852"/>
      <w:bookmarkStart w:id="109" w:name="_Toc417552092"/>
      <w:r>
        <w:t>Revised 1997</w:t>
      </w:r>
      <w:r>
        <w:noBreakHyphen/>
        <w:t>98 Budget outlook</w:t>
      </w:r>
      <w:bookmarkEnd w:id="108"/>
      <w:bookmarkEnd w:id="109"/>
    </w:p>
    <w:p w:rsidR="00000000" w:rsidRDefault="001F233B">
      <w:pPr>
        <w:pStyle w:val="Heading4"/>
      </w:pPr>
      <w:r>
        <w:t>Own</w:t>
      </w:r>
      <w:r>
        <w:noBreakHyphen/>
        <w:t>source revenues</w:t>
      </w:r>
    </w:p>
    <w:p w:rsidR="00000000" w:rsidRDefault="001F233B">
      <w:r>
        <w:t>Revenue from State sources is expected to total $11 475.3 million in 1997</w:t>
      </w:r>
      <w:r>
        <w:noBreakHyphen/>
        <w:t xml:space="preserve">98 compared to the April 1997 Budget estimate of $11 292.3 million </w:t>
      </w:r>
      <w:r>
        <w:noBreakHyphen/>
        <w:t xml:space="preserve"> a variance of $183 million.</w:t>
      </w:r>
    </w:p>
    <w:p w:rsidR="00000000" w:rsidRDefault="001F233B">
      <w:pPr>
        <w:pStyle w:val="Heading4"/>
      </w:pPr>
      <w:r>
        <w:br w:type="page"/>
        <w:t>Taxes, fees and fines</w:t>
      </w:r>
    </w:p>
    <w:p w:rsidR="00000000" w:rsidRDefault="001F233B">
      <w:r>
        <w:t>Excluding privatisation</w:t>
      </w:r>
      <w:r>
        <w:fldChar w:fldCharType="begin"/>
      </w:r>
      <w:r>
        <w:instrText>xe "Privatisation"</w:instrText>
      </w:r>
      <w:r>
        <w:fldChar w:fldCharType="end"/>
      </w:r>
      <w:r>
        <w:t xml:space="preserve"> receipts, total revenue from taxes, fees and fines is expected to be $8 549.5 million in 1997</w:t>
      </w:r>
      <w:r>
        <w:noBreakHyphen/>
        <w:t>98, $47 million (or 0.5 per cent) below the 1997</w:t>
      </w:r>
      <w:r>
        <w:noBreakHyphen/>
        <w:t>98 Budget projection (see Tabl</w:t>
      </w:r>
      <w:r>
        <w:t xml:space="preserve">e 5.6). This results from significant but broadly offsetting variances in key revenue lines. </w:t>
      </w:r>
    </w:p>
    <w:p w:rsidR="00000000" w:rsidRDefault="001F233B">
      <w:r>
        <w:t>These have involved some large downward adjustments, in particular:</w:t>
      </w:r>
    </w:p>
    <w:p w:rsidR="00000000" w:rsidRDefault="001F233B" w:rsidP="001F233B">
      <w:pPr>
        <w:pStyle w:val="BulletText"/>
        <w:numPr>
          <w:ilvl w:val="0"/>
          <w:numId w:val="1"/>
        </w:numPr>
      </w:pPr>
      <w:r>
        <w:t>one</w:t>
      </w:r>
      <w:r>
        <w:noBreakHyphen/>
        <w:t>off losses of $155 million in safety net revenues</w:t>
      </w:r>
      <w:r>
        <w:fldChar w:fldCharType="begin"/>
      </w:r>
      <w:r>
        <w:instrText>xe "Safety net arrangements:Revenues"</w:instrText>
      </w:r>
      <w:r>
        <w:fldChar w:fldCharType="end"/>
      </w:r>
      <w:r>
        <w:t xml:space="preserve"> due to transitional effects in the switch from business franchise fees</w:t>
      </w:r>
      <w:r>
        <w:fldChar w:fldCharType="begin"/>
      </w:r>
      <w:r>
        <w:instrText>xe "Franchise fees:Business"</w:instrText>
      </w:r>
      <w:r>
        <w:fldChar w:fldCharType="end"/>
      </w:r>
      <w:r>
        <w:t xml:space="preserve"> to replacement tax collections;</w:t>
      </w:r>
    </w:p>
    <w:p w:rsidR="00000000" w:rsidRDefault="001F233B" w:rsidP="001F233B">
      <w:pPr>
        <w:pStyle w:val="BulletText"/>
        <w:numPr>
          <w:ilvl w:val="0"/>
          <w:numId w:val="1"/>
        </w:numPr>
      </w:pPr>
      <w:r>
        <w:t>the abolition of the public authority contribution</w:t>
      </w:r>
      <w:r>
        <w:fldChar w:fldCharType="begin"/>
      </w:r>
      <w:r>
        <w:instrText>xe "Public authority contribution"</w:instrText>
      </w:r>
      <w:r>
        <w:fldChar w:fldCharType="end"/>
      </w:r>
      <w:r>
        <w:t xml:space="preserve"> from December 1997, representing a re</w:t>
      </w:r>
      <w:r>
        <w:t>duction in taxation receipts of $201.4 million in 1997</w:t>
      </w:r>
      <w:r>
        <w:noBreakHyphen/>
        <w:t>98 (but largely offset by an increase in public authority income); and</w:t>
      </w:r>
    </w:p>
    <w:p w:rsidR="00000000" w:rsidRDefault="001F233B" w:rsidP="001F233B">
      <w:pPr>
        <w:pStyle w:val="BulletText"/>
        <w:numPr>
          <w:ilvl w:val="0"/>
          <w:numId w:val="1"/>
        </w:numPr>
      </w:pPr>
      <w:r>
        <w:t>a $72 million reduction in forecast revenues from land tax reflecting the major package of land tax reforms announced in November 1997, combined with the effects of some re</w:t>
      </w:r>
      <w:r>
        <w:noBreakHyphen/>
        <w:t>valuations.</w:t>
      </w:r>
    </w:p>
    <w:p w:rsidR="00000000" w:rsidRDefault="001F233B">
      <w:r>
        <w:t>They have also involved offsetting gains, in particular from:–</w:t>
      </w:r>
    </w:p>
    <w:p w:rsidR="00000000" w:rsidRDefault="001F233B" w:rsidP="001F233B">
      <w:pPr>
        <w:pStyle w:val="BulletText"/>
        <w:numPr>
          <w:ilvl w:val="0"/>
          <w:numId w:val="1"/>
        </w:numPr>
      </w:pPr>
      <w:r>
        <w:t>a strengthening property market, with receipts from conveyancing</w:t>
      </w:r>
      <w:r>
        <w:fldChar w:fldCharType="begin"/>
      </w:r>
      <w:r>
        <w:instrText>xe "Stamp duty:Conveyancing"</w:instrText>
      </w:r>
      <w:r>
        <w:fldChar w:fldCharType="end"/>
      </w:r>
      <w:r>
        <w:t xml:space="preserve"> duty expected to exceed the April Budget es</w:t>
      </w:r>
      <w:r>
        <w:t>timate by $262.5 million; and</w:t>
      </w:r>
    </w:p>
    <w:p w:rsidR="00000000" w:rsidRDefault="001F233B" w:rsidP="001F233B">
      <w:pPr>
        <w:pStyle w:val="BulletText"/>
        <w:numPr>
          <w:ilvl w:val="0"/>
          <w:numId w:val="1"/>
        </w:numPr>
      </w:pPr>
      <w:r>
        <w:t>stronger than forecast growth in gambling taxes</w:t>
      </w:r>
      <w:r>
        <w:fldChar w:fldCharType="begin"/>
      </w:r>
      <w:r>
        <w:instrText>xe "Gambling taxes"</w:instrText>
      </w:r>
      <w:r>
        <w:fldChar w:fldCharType="end"/>
      </w:r>
      <w:r>
        <w:t>, now running some $51.2 million above Budget, mainly due to higher use of electronic gaming machine</w:t>
      </w:r>
      <w:r>
        <w:fldChar w:fldCharType="begin"/>
      </w:r>
      <w:r>
        <w:instrText>xe "Electronic gaming machine"</w:instrText>
      </w:r>
      <w:r>
        <w:fldChar w:fldCharType="end"/>
      </w:r>
      <w:r>
        <w:t>s (EGMs).</w:t>
      </w:r>
    </w:p>
    <w:p w:rsidR="00000000" w:rsidRDefault="001F233B">
      <w:pPr>
        <w:pStyle w:val="Tableheading"/>
        <w:keepNext/>
        <w:jc w:val="both"/>
      </w:pPr>
      <w:bookmarkStart w:id="110" w:name="_Toc417120000"/>
      <w:bookmarkStart w:id="111" w:name="_Toc417552758"/>
      <w:r>
        <w:t>Table 5.6: Taxes, Fees and Fines 1997</w:t>
      </w:r>
      <w:r>
        <w:noBreakHyphen/>
        <w:t>98</w:t>
      </w:r>
      <w:bookmarkEnd w:id="110"/>
      <w:bookmarkEnd w:id="111"/>
    </w:p>
    <w:p w:rsidR="00000000" w:rsidRDefault="001F233B">
      <w:pPr>
        <w:pStyle w:val="Source"/>
        <w:keepNext/>
        <w:spacing w:after="0"/>
        <w:jc w:val="center"/>
        <w:rPr>
          <w:noProof/>
        </w:rPr>
      </w:pPr>
      <w:r>
        <w:rPr>
          <w:rFonts w:ascii="Arial" w:hAnsi="Arial"/>
        </w:rPr>
        <w:t>$ million</w:t>
      </w:r>
    </w:p>
    <w:tbl>
      <w:tblPr>
        <w:tblW w:w="0" w:type="auto"/>
        <w:tblLayout w:type="fixed"/>
        <w:tblCellMar>
          <w:left w:w="30" w:type="dxa"/>
          <w:right w:w="30" w:type="dxa"/>
        </w:tblCellMar>
        <w:tblLook w:val="0000" w:firstRow="0" w:lastRow="0" w:firstColumn="0" w:lastColumn="0" w:noHBand="0" w:noVBand="0"/>
      </w:tblPr>
      <w:tblGrid>
        <w:gridCol w:w="2839"/>
        <w:gridCol w:w="1135"/>
        <w:gridCol w:w="1136"/>
        <w:gridCol w:w="1136"/>
        <w:gridCol w:w="1136"/>
      </w:tblGrid>
      <w:tr w:rsidR="00000000">
        <w:tblPrEx>
          <w:tblCellMar>
            <w:top w:w="0" w:type="dxa"/>
            <w:bottom w:w="0" w:type="dxa"/>
          </w:tblCellMar>
        </w:tblPrEx>
        <w:trPr>
          <w:trHeight w:hRule="exact" w:val="260"/>
        </w:trPr>
        <w:tc>
          <w:tcPr>
            <w:tcW w:w="2839" w:type="dxa"/>
            <w:tcBorders>
              <w:top w:val="single" w:sz="6" w:space="0" w:color="auto"/>
            </w:tcBorders>
          </w:tcPr>
          <w:p w:rsidR="00000000" w:rsidRDefault="001F233B">
            <w:pPr>
              <w:keepNext/>
              <w:jc w:val="center"/>
              <w:rPr>
                <w:rFonts w:ascii="Arial" w:hAnsi="Arial"/>
                <w:i/>
                <w:color w:val="000000"/>
                <w:sz w:val="18"/>
              </w:rPr>
            </w:pPr>
          </w:p>
        </w:tc>
        <w:tc>
          <w:tcPr>
            <w:tcW w:w="1135"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1997-98</w:t>
            </w:r>
          </w:p>
        </w:tc>
        <w:tc>
          <w:tcPr>
            <w:tcW w:w="1136"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1997-98</w:t>
            </w:r>
          </w:p>
        </w:tc>
        <w:tc>
          <w:tcPr>
            <w:tcW w:w="1136"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Variation</w:t>
            </w:r>
          </w:p>
        </w:tc>
        <w:tc>
          <w:tcPr>
            <w:tcW w:w="1136"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Variation</w:t>
            </w:r>
          </w:p>
        </w:tc>
      </w:tr>
      <w:tr w:rsidR="00000000">
        <w:tblPrEx>
          <w:tblCellMar>
            <w:top w:w="0" w:type="dxa"/>
            <w:bottom w:w="0" w:type="dxa"/>
          </w:tblCellMar>
        </w:tblPrEx>
        <w:trPr>
          <w:trHeight w:hRule="exact" w:val="260"/>
        </w:trPr>
        <w:tc>
          <w:tcPr>
            <w:tcW w:w="2839" w:type="dxa"/>
          </w:tcPr>
          <w:p w:rsidR="00000000" w:rsidRDefault="001F233B">
            <w:pPr>
              <w:keepNext/>
              <w:jc w:val="center"/>
              <w:rPr>
                <w:rFonts w:ascii="Arial" w:hAnsi="Arial"/>
                <w:i/>
                <w:color w:val="000000"/>
                <w:sz w:val="18"/>
              </w:rPr>
            </w:pPr>
          </w:p>
        </w:tc>
        <w:tc>
          <w:tcPr>
            <w:tcW w:w="1135" w:type="dxa"/>
          </w:tcPr>
          <w:p w:rsidR="00000000" w:rsidRDefault="001F233B">
            <w:pPr>
              <w:keepNext/>
              <w:jc w:val="right"/>
              <w:rPr>
                <w:rFonts w:ascii="Arial" w:hAnsi="Arial"/>
                <w:i/>
                <w:color w:val="000000"/>
                <w:sz w:val="18"/>
              </w:rPr>
            </w:pPr>
            <w:r>
              <w:rPr>
                <w:rFonts w:ascii="Arial" w:hAnsi="Arial"/>
                <w:i/>
                <w:color w:val="000000"/>
                <w:sz w:val="18"/>
              </w:rPr>
              <w:t>Budget</w:t>
            </w:r>
          </w:p>
        </w:tc>
        <w:tc>
          <w:tcPr>
            <w:tcW w:w="1136" w:type="dxa"/>
          </w:tcPr>
          <w:p w:rsidR="00000000" w:rsidRDefault="001F233B">
            <w:pPr>
              <w:keepNext/>
              <w:jc w:val="right"/>
              <w:rPr>
                <w:rFonts w:ascii="Arial" w:hAnsi="Arial"/>
                <w:i/>
                <w:color w:val="000000"/>
                <w:sz w:val="18"/>
              </w:rPr>
            </w:pPr>
            <w:r>
              <w:rPr>
                <w:rFonts w:ascii="Arial" w:hAnsi="Arial"/>
                <w:i/>
                <w:color w:val="000000"/>
                <w:sz w:val="18"/>
              </w:rPr>
              <w:t>Revised</w:t>
            </w:r>
          </w:p>
        </w:tc>
        <w:tc>
          <w:tcPr>
            <w:tcW w:w="1136" w:type="dxa"/>
          </w:tcPr>
          <w:p w:rsidR="00000000" w:rsidRDefault="001F233B">
            <w:pPr>
              <w:keepNext/>
              <w:jc w:val="right"/>
              <w:rPr>
                <w:rFonts w:ascii="Arial" w:hAnsi="Arial"/>
                <w:i/>
                <w:color w:val="000000"/>
                <w:sz w:val="18"/>
              </w:rPr>
            </w:pPr>
            <w:r>
              <w:rPr>
                <w:rFonts w:ascii="Arial" w:hAnsi="Arial"/>
                <w:i/>
                <w:color w:val="000000"/>
                <w:sz w:val="18"/>
              </w:rPr>
              <w:t>from Budget</w:t>
            </w:r>
          </w:p>
        </w:tc>
        <w:tc>
          <w:tcPr>
            <w:tcW w:w="1136" w:type="dxa"/>
          </w:tcPr>
          <w:p w:rsidR="00000000" w:rsidRDefault="001F233B">
            <w:pPr>
              <w:keepNext/>
              <w:jc w:val="right"/>
              <w:rPr>
                <w:rFonts w:ascii="Arial" w:hAnsi="Arial"/>
                <w:i/>
                <w:color w:val="000000"/>
                <w:sz w:val="18"/>
              </w:rPr>
            </w:pPr>
            <w:r>
              <w:rPr>
                <w:rFonts w:ascii="Arial" w:hAnsi="Arial"/>
                <w:i/>
                <w:color w:val="000000"/>
                <w:sz w:val="18"/>
              </w:rPr>
              <w:t>from Budget</w:t>
            </w:r>
          </w:p>
        </w:tc>
      </w:tr>
      <w:tr w:rsidR="00000000">
        <w:tblPrEx>
          <w:tblCellMar>
            <w:top w:w="0" w:type="dxa"/>
            <w:bottom w:w="0" w:type="dxa"/>
          </w:tblCellMar>
        </w:tblPrEx>
        <w:trPr>
          <w:trHeight w:hRule="exact" w:val="260"/>
        </w:trPr>
        <w:tc>
          <w:tcPr>
            <w:tcW w:w="2839" w:type="dxa"/>
            <w:tcBorders>
              <w:bottom w:val="single" w:sz="6" w:space="0" w:color="auto"/>
            </w:tcBorders>
          </w:tcPr>
          <w:p w:rsidR="00000000" w:rsidRDefault="001F233B">
            <w:pPr>
              <w:keepNext/>
              <w:jc w:val="center"/>
              <w:rPr>
                <w:rFonts w:ascii="Arial" w:hAnsi="Arial"/>
                <w:i/>
                <w:color w:val="000000"/>
                <w:sz w:val="18"/>
              </w:rPr>
            </w:pPr>
          </w:p>
        </w:tc>
        <w:tc>
          <w:tcPr>
            <w:tcW w:w="1135" w:type="dxa"/>
            <w:tcBorders>
              <w:bottom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Estimate</w:t>
            </w:r>
          </w:p>
        </w:tc>
        <w:tc>
          <w:tcPr>
            <w:tcW w:w="1136" w:type="dxa"/>
            <w:tcBorders>
              <w:bottom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Estimate</w:t>
            </w:r>
          </w:p>
        </w:tc>
        <w:tc>
          <w:tcPr>
            <w:tcW w:w="1135" w:type="dxa"/>
            <w:tcBorders>
              <w:bottom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w:t>
            </w:r>
          </w:p>
        </w:tc>
        <w:tc>
          <w:tcPr>
            <w:tcW w:w="1135" w:type="dxa"/>
            <w:tcBorders>
              <w:bottom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w:t>
            </w:r>
          </w:p>
        </w:tc>
      </w:tr>
      <w:tr w:rsidR="00000000">
        <w:tblPrEx>
          <w:tblCellMar>
            <w:top w:w="0" w:type="dxa"/>
            <w:bottom w:w="0" w:type="dxa"/>
          </w:tblCellMar>
        </w:tblPrEx>
        <w:trPr>
          <w:trHeight w:hRule="exact" w:val="260"/>
        </w:trPr>
        <w:tc>
          <w:tcPr>
            <w:tcW w:w="2839" w:type="dxa"/>
          </w:tcPr>
          <w:p w:rsidR="00000000" w:rsidRDefault="001F233B">
            <w:pPr>
              <w:keepNext/>
              <w:jc w:val="right"/>
              <w:rPr>
                <w:rFonts w:ascii="Arial" w:hAnsi="Arial"/>
                <w:color w:val="000000"/>
                <w:sz w:val="18"/>
              </w:rPr>
            </w:pPr>
          </w:p>
        </w:tc>
        <w:tc>
          <w:tcPr>
            <w:tcW w:w="1135" w:type="dxa"/>
          </w:tcPr>
          <w:p w:rsidR="00000000" w:rsidRDefault="001F233B">
            <w:pPr>
              <w:keepNext/>
              <w:jc w:val="right"/>
              <w:rPr>
                <w:rFonts w:ascii="Arial" w:hAnsi="Arial"/>
                <w:color w:val="000000"/>
                <w:sz w:val="18"/>
              </w:rPr>
            </w:pPr>
          </w:p>
        </w:tc>
        <w:tc>
          <w:tcPr>
            <w:tcW w:w="1136" w:type="dxa"/>
          </w:tcPr>
          <w:p w:rsidR="00000000" w:rsidRDefault="001F233B">
            <w:pPr>
              <w:keepNext/>
              <w:jc w:val="right"/>
              <w:rPr>
                <w:rFonts w:ascii="Arial" w:hAnsi="Arial"/>
                <w:color w:val="000000"/>
                <w:sz w:val="18"/>
              </w:rPr>
            </w:pPr>
          </w:p>
        </w:tc>
        <w:tc>
          <w:tcPr>
            <w:tcW w:w="1135" w:type="dxa"/>
          </w:tcPr>
          <w:p w:rsidR="00000000" w:rsidRDefault="001F233B">
            <w:pPr>
              <w:keepNext/>
              <w:jc w:val="right"/>
              <w:rPr>
                <w:rFonts w:ascii="Arial" w:hAnsi="Arial"/>
                <w:color w:val="000000"/>
                <w:sz w:val="18"/>
              </w:rPr>
            </w:pPr>
          </w:p>
        </w:tc>
        <w:tc>
          <w:tcPr>
            <w:tcW w:w="1135" w:type="dxa"/>
          </w:tcPr>
          <w:p w:rsidR="00000000" w:rsidRDefault="001F233B">
            <w:pPr>
              <w:keepNext/>
              <w:jc w:val="right"/>
              <w:rPr>
                <w:rFonts w:ascii="Arial" w:hAnsi="Arial"/>
                <w:color w:val="000000"/>
                <w:sz w:val="18"/>
              </w:rPr>
            </w:pPr>
          </w:p>
        </w:tc>
      </w:tr>
      <w:tr w:rsidR="00000000">
        <w:tblPrEx>
          <w:tblCellMar>
            <w:top w:w="0" w:type="dxa"/>
            <w:bottom w:w="0" w:type="dxa"/>
          </w:tblCellMar>
        </w:tblPrEx>
        <w:trPr>
          <w:trHeight w:hRule="exact" w:val="260"/>
        </w:trPr>
        <w:tc>
          <w:tcPr>
            <w:tcW w:w="2839" w:type="dxa"/>
          </w:tcPr>
          <w:p w:rsidR="00000000" w:rsidRDefault="001F233B">
            <w:pPr>
              <w:keepNext/>
              <w:rPr>
                <w:rFonts w:ascii="Arial" w:hAnsi="Arial"/>
                <w:color w:val="000000"/>
                <w:sz w:val="18"/>
              </w:rPr>
            </w:pPr>
            <w:r>
              <w:rPr>
                <w:rFonts w:ascii="Arial" w:hAnsi="Arial"/>
                <w:color w:val="000000"/>
                <w:sz w:val="18"/>
              </w:rPr>
              <w:t>Employers' payroll tax</w:t>
            </w:r>
            <w:r>
              <w:rPr>
                <w:rFonts w:ascii="Arial" w:hAnsi="Arial"/>
                <w:color w:val="000000"/>
                <w:sz w:val="18"/>
              </w:rPr>
              <w:fldChar w:fldCharType="begin"/>
            </w:r>
            <w:r>
              <w:rPr>
                <w:rFonts w:ascii="Arial" w:hAnsi="Arial"/>
                <w:color w:val="000000"/>
                <w:sz w:val="18"/>
              </w:rPr>
              <w:instrText>xe "Tax:Payroll tax"</w:instrText>
            </w:r>
            <w:r>
              <w:rPr>
                <w:rFonts w:ascii="Arial" w:hAnsi="Arial"/>
                <w:color w:val="000000"/>
                <w:sz w:val="18"/>
              </w:rPr>
              <w:fldChar w:fldCharType="end"/>
            </w:r>
            <w:r>
              <w:rPr>
                <w:rFonts w:ascii="Arial" w:hAnsi="Arial"/>
                <w:color w:val="000000"/>
                <w:sz w:val="18"/>
              </w:rPr>
              <w:t>e</w:t>
            </w:r>
            <w:r>
              <w:rPr>
                <w:rFonts w:ascii="Arial" w:hAnsi="Arial"/>
                <w:color w:val="000000"/>
                <w:sz w:val="18"/>
              </w:rPr>
              <w:fldChar w:fldCharType="begin"/>
            </w:r>
            <w:r>
              <w:rPr>
                <w:rFonts w:ascii="Arial" w:hAnsi="Arial"/>
                <w:color w:val="000000"/>
                <w:sz w:val="18"/>
              </w:rPr>
              <w:instrText>xe "Payroll tax"</w:instrText>
            </w:r>
            <w:r>
              <w:rPr>
                <w:rFonts w:ascii="Arial" w:hAnsi="Arial"/>
                <w:color w:val="000000"/>
                <w:sz w:val="18"/>
              </w:rPr>
              <w:fldChar w:fldCharType="end"/>
            </w:r>
            <w:r>
              <w:rPr>
                <w:rFonts w:ascii="Arial" w:hAnsi="Arial"/>
                <w:color w:val="000000"/>
                <w:sz w:val="18"/>
              </w:rPr>
              <w:t>s</w:t>
            </w:r>
          </w:p>
        </w:tc>
        <w:tc>
          <w:tcPr>
            <w:tcW w:w="1135" w:type="dxa"/>
          </w:tcPr>
          <w:p w:rsidR="00000000" w:rsidRDefault="001F233B">
            <w:pPr>
              <w:keepNext/>
              <w:jc w:val="right"/>
              <w:rPr>
                <w:rFonts w:ascii="Arial" w:hAnsi="Arial"/>
                <w:color w:val="000000"/>
                <w:sz w:val="18"/>
              </w:rPr>
            </w:pPr>
            <w:r>
              <w:rPr>
                <w:rFonts w:ascii="Arial" w:hAnsi="Arial"/>
                <w:color w:val="000000"/>
                <w:sz w:val="18"/>
              </w:rPr>
              <w:t>2 189.6</w:t>
            </w:r>
          </w:p>
        </w:tc>
        <w:tc>
          <w:tcPr>
            <w:tcW w:w="1136" w:type="dxa"/>
          </w:tcPr>
          <w:p w:rsidR="00000000" w:rsidRDefault="001F233B">
            <w:pPr>
              <w:keepNext/>
              <w:jc w:val="right"/>
              <w:rPr>
                <w:rFonts w:ascii="Arial" w:hAnsi="Arial"/>
                <w:color w:val="000000"/>
                <w:sz w:val="18"/>
              </w:rPr>
            </w:pPr>
            <w:r>
              <w:rPr>
                <w:rFonts w:ascii="Arial" w:hAnsi="Arial"/>
                <w:color w:val="000000"/>
                <w:sz w:val="18"/>
              </w:rPr>
              <w:t>2 180.0</w:t>
            </w:r>
          </w:p>
        </w:tc>
        <w:tc>
          <w:tcPr>
            <w:tcW w:w="1135" w:type="dxa"/>
          </w:tcPr>
          <w:p w:rsidR="00000000" w:rsidRDefault="001F233B">
            <w:pPr>
              <w:keepNext/>
              <w:jc w:val="right"/>
              <w:rPr>
                <w:rFonts w:ascii="Arial" w:hAnsi="Arial"/>
                <w:color w:val="000000"/>
                <w:sz w:val="18"/>
              </w:rPr>
            </w:pPr>
            <w:r>
              <w:rPr>
                <w:rFonts w:ascii="Arial" w:hAnsi="Arial"/>
                <w:color w:val="000000"/>
                <w:sz w:val="18"/>
              </w:rPr>
              <w:t>- 9.6</w:t>
            </w:r>
          </w:p>
        </w:tc>
        <w:tc>
          <w:tcPr>
            <w:tcW w:w="1135" w:type="dxa"/>
          </w:tcPr>
          <w:p w:rsidR="00000000" w:rsidRDefault="001F233B">
            <w:pPr>
              <w:keepNext/>
              <w:jc w:val="right"/>
              <w:rPr>
                <w:rFonts w:ascii="Arial" w:hAnsi="Arial"/>
                <w:color w:val="000000"/>
                <w:sz w:val="18"/>
              </w:rPr>
            </w:pPr>
            <w:r>
              <w:rPr>
                <w:rFonts w:ascii="Arial" w:hAnsi="Arial"/>
                <w:color w:val="000000"/>
                <w:sz w:val="18"/>
              </w:rPr>
              <w:t>-0.4</w:t>
            </w:r>
          </w:p>
        </w:tc>
      </w:tr>
      <w:tr w:rsidR="00000000">
        <w:tblPrEx>
          <w:tblCellMar>
            <w:top w:w="0" w:type="dxa"/>
            <w:bottom w:w="0" w:type="dxa"/>
          </w:tblCellMar>
        </w:tblPrEx>
        <w:trPr>
          <w:trHeight w:hRule="exact" w:val="260"/>
        </w:trPr>
        <w:tc>
          <w:tcPr>
            <w:tcW w:w="2839" w:type="dxa"/>
          </w:tcPr>
          <w:p w:rsidR="00000000" w:rsidRDefault="001F233B">
            <w:pPr>
              <w:keepNext/>
              <w:rPr>
                <w:rFonts w:ascii="Arial" w:hAnsi="Arial"/>
                <w:color w:val="000000"/>
                <w:sz w:val="18"/>
              </w:rPr>
            </w:pPr>
            <w:r>
              <w:rPr>
                <w:rFonts w:ascii="Arial" w:hAnsi="Arial"/>
                <w:color w:val="000000"/>
                <w:sz w:val="18"/>
              </w:rPr>
              <w:t>Taxes on property</w:t>
            </w:r>
          </w:p>
        </w:tc>
        <w:tc>
          <w:tcPr>
            <w:tcW w:w="1135" w:type="dxa"/>
          </w:tcPr>
          <w:p w:rsidR="00000000" w:rsidRDefault="001F233B">
            <w:pPr>
              <w:keepNext/>
              <w:jc w:val="right"/>
              <w:rPr>
                <w:rFonts w:ascii="Arial" w:hAnsi="Arial"/>
                <w:color w:val="000000"/>
                <w:sz w:val="18"/>
              </w:rPr>
            </w:pPr>
            <w:r>
              <w:rPr>
                <w:rFonts w:ascii="Arial" w:hAnsi="Arial"/>
                <w:color w:val="000000"/>
                <w:sz w:val="18"/>
              </w:rPr>
              <w:t>2</w:t>
            </w:r>
            <w:r>
              <w:rPr>
                <w:rFonts w:ascii="Arial" w:hAnsi="Arial"/>
                <w:color w:val="000000"/>
                <w:sz w:val="18"/>
              </w:rPr>
              <w:t xml:space="preserve"> 055.6</w:t>
            </w:r>
          </w:p>
        </w:tc>
        <w:tc>
          <w:tcPr>
            <w:tcW w:w="1136" w:type="dxa"/>
          </w:tcPr>
          <w:p w:rsidR="00000000" w:rsidRDefault="001F233B">
            <w:pPr>
              <w:keepNext/>
              <w:jc w:val="right"/>
              <w:rPr>
                <w:rFonts w:ascii="Arial" w:hAnsi="Arial"/>
                <w:color w:val="000000"/>
                <w:sz w:val="18"/>
              </w:rPr>
            </w:pPr>
            <w:r>
              <w:rPr>
                <w:rFonts w:ascii="Arial" w:hAnsi="Arial"/>
                <w:color w:val="000000"/>
                <w:sz w:val="18"/>
              </w:rPr>
              <w:t>2 273.9</w:t>
            </w:r>
          </w:p>
        </w:tc>
        <w:tc>
          <w:tcPr>
            <w:tcW w:w="1135" w:type="dxa"/>
          </w:tcPr>
          <w:p w:rsidR="00000000" w:rsidRDefault="001F233B">
            <w:pPr>
              <w:keepNext/>
              <w:jc w:val="right"/>
              <w:rPr>
                <w:rFonts w:ascii="Arial" w:hAnsi="Arial"/>
                <w:color w:val="000000"/>
                <w:sz w:val="18"/>
              </w:rPr>
            </w:pPr>
            <w:r>
              <w:rPr>
                <w:rFonts w:ascii="Arial" w:hAnsi="Arial"/>
                <w:color w:val="000000"/>
                <w:sz w:val="18"/>
              </w:rPr>
              <w:t xml:space="preserve"> 218.3</w:t>
            </w:r>
          </w:p>
        </w:tc>
        <w:tc>
          <w:tcPr>
            <w:tcW w:w="1135" w:type="dxa"/>
          </w:tcPr>
          <w:p w:rsidR="00000000" w:rsidRDefault="001F233B">
            <w:pPr>
              <w:keepNext/>
              <w:jc w:val="right"/>
              <w:rPr>
                <w:rFonts w:ascii="Arial" w:hAnsi="Arial"/>
                <w:color w:val="000000"/>
                <w:sz w:val="18"/>
              </w:rPr>
            </w:pPr>
            <w:r>
              <w:rPr>
                <w:rFonts w:ascii="Arial" w:hAnsi="Arial"/>
                <w:color w:val="000000"/>
                <w:sz w:val="18"/>
              </w:rPr>
              <w:t>10.6</w:t>
            </w:r>
          </w:p>
        </w:tc>
      </w:tr>
      <w:tr w:rsidR="00000000">
        <w:tblPrEx>
          <w:tblCellMar>
            <w:top w:w="0" w:type="dxa"/>
            <w:bottom w:w="0" w:type="dxa"/>
          </w:tblCellMar>
        </w:tblPrEx>
        <w:trPr>
          <w:trHeight w:hRule="exact" w:val="260"/>
        </w:trPr>
        <w:tc>
          <w:tcPr>
            <w:tcW w:w="2839" w:type="dxa"/>
          </w:tcPr>
          <w:p w:rsidR="00000000" w:rsidRDefault="001F233B">
            <w:pPr>
              <w:keepNext/>
              <w:rPr>
                <w:rFonts w:ascii="Arial" w:hAnsi="Arial"/>
                <w:color w:val="000000"/>
                <w:sz w:val="18"/>
              </w:rPr>
            </w:pPr>
            <w:r>
              <w:rPr>
                <w:rFonts w:ascii="Arial" w:hAnsi="Arial"/>
                <w:color w:val="000000"/>
                <w:sz w:val="18"/>
              </w:rPr>
              <w:t>Public authority contribution</w:t>
            </w:r>
            <w:r>
              <w:rPr>
                <w:rFonts w:ascii="Arial" w:hAnsi="Arial"/>
                <w:color w:val="000000"/>
                <w:sz w:val="18"/>
              </w:rPr>
              <w:fldChar w:fldCharType="begin"/>
            </w:r>
            <w:r>
              <w:rPr>
                <w:rFonts w:ascii="Arial" w:hAnsi="Arial"/>
                <w:color w:val="000000"/>
                <w:sz w:val="18"/>
              </w:rPr>
              <w:instrText>xe "Public authority contribution"</w:instrText>
            </w:r>
            <w:r>
              <w:rPr>
                <w:rFonts w:ascii="Arial" w:hAnsi="Arial"/>
                <w:color w:val="000000"/>
                <w:sz w:val="18"/>
              </w:rPr>
              <w:fldChar w:fldCharType="end"/>
            </w:r>
          </w:p>
        </w:tc>
        <w:tc>
          <w:tcPr>
            <w:tcW w:w="1135" w:type="dxa"/>
          </w:tcPr>
          <w:p w:rsidR="00000000" w:rsidRDefault="001F233B">
            <w:pPr>
              <w:keepNext/>
              <w:jc w:val="right"/>
              <w:rPr>
                <w:rFonts w:ascii="Arial" w:hAnsi="Arial"/>
                <w:color w:val="000000"/>
                <w:sz w:val="18"/>
              </w:rPr>
            </w:pPr>
            <w:r>
              <w:rPr>
                <w:rFonts w:ascii="Arial" w:hAnsi="Arial"/>
                <w:color w:val="000000"/>
                <w:sz w:val="18"/>
              </w:rPr>
              <w:t xml:space="preserve"> 333.0</w:t>
            </w:r>
          </w:p>
        </w:tc>
        <w:tc>
          <w:tcPr>
            <w:tcW w:w="1136" w:type="dxa"/>
          </w:tcPr>
          <w:p w:rsidR="00000000" w:rsidRDefault="001F233B">
            <w:pPr>
              <w:keepNext/>
              <w:jc w:val="right"/>
              <w:rPr>
                <w:rFonts w:ascii="Arial" w:hAnsi="Arial"/>
                <w:color w:val="000000"/>
                <w:sz w:val="18"/>
              </w:rPr>
            </w:pPr>
            <w:r>
              <w:rPr>
                <w:rFonts w:ascii="Arial" w:hAnsi="Arial"/>
                <w:color w:val="000000"/>
                <w:sz w:val="18"/>
              </w:rPr>
              <w:t xml:space="preserve"> 131.6</w:t>
            </w:r>
          </w:p>
        </w:tc>
        <w:tc>
          <w:tcPr>
            <w:tcW w:w="1135" w:type="dxa"/>
          </w:tcPr>
          <w:p w:rsidR="00000000" w:rsidRDefault="001F233B">
            <w:pPr>
              <w:keepNext/>
              <w:jc w:val="right"/>
              <w:rPr>
                <w:rFonts w:ascii="Arial" w:hAnsi="Arial"/>
                <w:color w:val="000000"/>
                <w:sz w:val="18"/>
              </w:rPr>
            </w:pPr>
            <w:r>
              <w:rPr>
                <w:rFonts w:ascii="Arial" w:hAnsi="Arial"/>
                <w:color w:val="000000"/>
                <w:sz w:val="18"/>
              </w:rPr>
              <w:t>- 201.4</w:t>
            </w:r>
          </w:p>
        </w:tc>
        <w:tc>
          <w:tcPr>
            <w:tcW w:w="1135" w:type="dxa"/>
          </w:tcPr>
          <w:p w:rsidR="00000000" w:rsidRDefault="001F233B">
            <w:pPr>
              <w:keepNext/>
              <w:jc w:val="right"/>
              <w:rPr>
                <w:rFonts w:ascii="Arial" w:hAnsi="Arial"/>
                <w:color w:val="000000"/>
                <w:sz w:val="18"/>
              </w:rPr>
            </w:pPr>
            <w:r>
              <w:rPr>
                <w:rFonts w:ascii="Arial" w:hAnsi="Arial"/>
                <w:color w:val="000000"/>
                <w:sz w:val="18"/>
              </w:rPr>
              <w:t>-60.5</w:t>
            </w:r>
          </w:p>
        </w:tc>
      </w:tr>
      <w:tr w:rsidR="00000000">
        <w:tblPrEx>
          <w:tblCellMar>
            <w:top w:w="0" w:type="dxa"/>
            <w:bottom w:w="0" w:type="dxa"/>
          </w:tblCellMar>
        </w:tblPrEx>
        <w:trPr>
          <w:trHeight w:hRule="exact" w:val="260"/>
        </w:trPr>
        <w:tc>
          <w:tcPr>
            <w:tcW w:w="2839" w:type="dxa"/>
          </w:tcPr>
          <w:p w:rsidR="00000000" w:rsidRDefault="001F233B">
            <w:pPr>
              <w:keepNext/>
              <w:rPr>
                <w:rFonts w:ascii="Arial" w:hAnsi="Arial"/>
                <w:color w:val="000000"/>
                <w:sz w:val="18"/>
              </w:rPr>
            </w:pPr>
            <w:r>
              <w:rPr>
                <w:rFonts w:ascii="Arial" w:hAnsi="Arial"/>
                <w:color w:val="000000"/>
                <w:sz w:val="18"/>
              </w:rPr>
              <w:t>Gambling taxes</w:t>
            </w:r>
            <w:r>
              <w:rPr>
                <w:rFonts w:ascii="Arial" w:hAnsi="Arial"/>
                <w:color w:val="000000"/>
                <w:sz w:val="18"/>
              </w:rPr>
              <w:fldChar w:fldCharType="begin"/>
            </w:r>
            <w:r>
              <w:rPr>
                <w:rFonts w:ascii="Arial" w:hAnsi="Arial"/>
                <w:color w:val="000000"/>
                <w:sz w:val="18"/>
              </w:rPr>
              <w:instrText>xe "Gambling taxes"</w:instrText>
            </w:r>
            <w:r>
              <w:rPr>
                <w:rFonts w:ascii="Arial" w:hAnsi="Arial"/>
                <w:color w:val="000000"/>
                <w:sz w:val="18"/>
              </w:rPr>
              <w:fldChar w:fldCharType="end"/>
            </w:r>
          </w:p>
        </w:tc>
        <w:tc>
          <w:tcPr>
            <w:tcW w:w="1135" w:type="dxa"/>
          </w:tcPr>
          <w:p w:rsidR="00000000" w:rsidRDefault="001F233B">
            <w:pPr>
              <w:keepNext/>
              <w:jc w:val="right"/>
              <w:rPr>
                <w:rFonts w:ascii="Arial" w:hAnsi="Arial"/>
                <w:color w:val="000000"/>
                <w:sz w:val="18"/>
              </w:rPr>
            </w:pPr>
            <w:r>
              <w:rPr>
                <w:rFonts w:ascii="Arial" w:hAnsi="Arial"/>
                <w:color w:val="000000"/>
                <w:sz w:val="18"/>
              </w:rPr>
              <w:t>1 238.8</w:t>
            </w:r>
          </w:p>
        </w:tc>
        <w:tc>
          <w:tcPr>
            <w:tcW w:w="1136" w:type="dxa"/>
          </w:tcPr>
          <w:p w:rsidR="00000000" w:rsidRDefault="001F233B">
            <w:pPr>
              <w:keepNext/>
              <w:jc w:val="right"/>
              <w:rPr>
                <w:rFonts w:ascii="Arial" w:hAnsi="Arial"/>
                <w:color w:val="000000"/>
                <w:sz w:val="18"/>
              </w:rPr>
            </w:pPr>
            <w:r>
              <w:rPr>
                <w:rFonts w:ascii="Arial" w:hAnsi="Arial"/>
                <w:color w:val="000000"/>
                <w:sz w:val="18"/>
              </w:rPr>
              <w:t>1 290.0</w:t>
            </w:r>
          </w:p>
        </w:tc>
        <w:tc>
          <w:tcPr>
            <w:tcW w:w="1135" w:type="dxa"/>
          </w:tcPr>
          <w:p w:rsidR="00000000" w:rsidRDefault="001F233B">
            <w:pPr>
              <w:keepNext/>
              <w:jc w:val="right"/>
              <w:rPr>
                <w:rFonts w:ascii="Arial" w:hAnsi="Arial"/>
                <w:color w:val="000000"/>
                <w:sz w:val="18"/>
              </w:rPr>
            </w:pPr>
            <w:r>
              <w:rPr>
                <w:rFonts w:ascii="Arial" w:hAnsi="Arial"/>
                <w:color w:val="000000"/>
                <w:sz w:val="18"/>
              </w:rPr>
              <w:t xml:space="preserve"> 51.2</w:t>
            </w:r>
          </w:p>
        </w:tc>
        <w:tc>
          <w:tcPr>
            <w:tcW w:w="1135" w:type="dxa"/>
          </w:tcPr>
          <w:p w:rsidR="00000000" w:rsidRDefault="001F233B">
            <w:pPr>
              <w:keepNext/>
              <w:jc w:val="right"/>
              <w:rPr>
                <w:rFonts w:ascii="Arial" w:hAnsi="Arial"/>
                <w:color w:val="000000"/>
                <w:sz w:val="18"/>
              </w:rPr>
            </w:pPr>
            <w:r>
              <w:rPr>
                <w:rFonts w:ascii="Arial" w:hAnsi="Arial"/>
                <w:color w:val="000000"/>
                <w:sz w:val="18"/>
              </w:rPr>
              <w:t>4.1</w:t>
            </w:r>
          </w:p>
        </w:tc>
      </w:tr>
      <w:tr w:rsidR="00000000">
        <w:tblPrEx>
          <w:tblCellMar>
            <w:top w:w="0" w:type="dxa"/>
            <w:bottom w:w="0" w:type="dxa"/>
          </w:tblCellMar>
        </w:tblPrEx>
        <w:trPr>
          <w:trHeight w:hRule="exact" w:val="260"/>
        </w:trPr>
        <w:tc>
          <w:tcPr>
            <w:tcW w:w="2839" w:type="dxa"/>
          </w:tcPr>
          <w:p w:rsidR="00000000" w:rsidRDefault="001F233B">
            <w:pPr>
              <w:keepNext/>
              <w:rPr>
                <w:rFonts w:ascii="Arial" w:hAnsi="Arial"/>
                <w:color w:val="000000"/>
                <w:sz w:val="18"/>
              </w:rPr>
            </w:pPr>
            <w:r>
              <w:rPr>
                <w:rFonts w:ascii="Arial" w:hAnsi="Arial"/>
                <w:color w:val="000000"/>
                <w:sz w:val="18"/>
              </w:rPr>
              <w:t>Taxes on insurance</w:t>
            </w:r>
          </w:p>
        </w:tc>
        <w:tc>
          <w:tcPr>
            <w:tcW w:w="1135" w:type="dxa"/>
          </w:tcPr>
          <w:p w:rsidR="00000000" w:rsidRDefault="001F233B">
            <w:pPr>
              <w:keepNext/>
              <w:jc w:val="right"/>
              <w:rPr>
                <w:rFonts w:ascii="Arial" w:hAnsi="Arial"/>
                <w:color w:val="000000"/>
                <w:sz w:val="18"/>
              </w:rPr>
            </w:pPr>
            <w:r>
              <w:rPr>
                <w:rFonts w:ascii="Arial" w:hAnsi="Arial"/>
                <w:color w:val="000000"/>
                <w:sz w:val="18"/>
              </w:rPr>
              <w:t xml:space="preserve"> 342.0</w:t>
            </w:r>
          </w:p>
        </w:tc>
        <w:tc>
          <w:tcPr>
            <w:tcW w:w="1136" w:type="dxa"/>
          </w:tcPr>
          <w:p w:rsidR="00000000" w:rsidRDefault="001F233B">
            <w:pPr>
              <w:keepNext/>
              <w:jc w:val="right"/>
              <w:rPr>
                <w:rFonts w:ascii="Arial" w:hAnsi="Arial"/>
                <w:color w:val="000000"/>
                <w:sz w:val="18"/>
              </w:rPr>
            </w:pPr>
            <w:r>
              <w:rPr>
                <w:rFonts w:ascii="Arial" w:hAnsi="Arial"/>
                <w:color w:val="000000"/>
                <w:sz w:val="18"/>
              </w:rPr>
              <w:t xml:space="preserve"> 347.1</w:t>
            </w:r>
          </w:p>
        </w:tc>
        <w:tc>
          <w:tcPr>
            <w:tcW w:w="1135" w:type="dxa"/>
          </w:tcPr>
          <w:p w:rsidR="00000000" w:rsidRDefault="001F233B">
            <w:pPr>
              <w:keepNext/>
              <w:jc w:val="right"/>
              <w:rPr>
                <w:rFonts w:ascii="Arial" w:hAnsi="Arial"/>
                <w:color w:val="000000"/>
                <w:sz w:val="18"/>
              </w:rPr>
            </w:pPr>
            <w:r>
              <w:rPr>
                <w:rFonts w:ascii="Arial" w:hAnsi="Arial"/>
                <w:color w:val="000000"/>
                <w:sz w:val="18"/>
              </w:rPr>
              <w:t xml:space="preserve"> 5.1</w:t>
            </w:r>
          </w:p>
        </w:tc>
        <w:tc>
          <w:tcPr>
            <w:tcW w:w="1135" w:type="dxa"/>
          </w:tcPr>
          <w:p w:rsidR="00000000" w:rsidRDefault="001F233B">
            <w:pPr>
              <w:keepNext/>
              <w:jc w:val="right"/>
              <w:rPr>
                <w:rFonts w:ascii="Arial" w:hAnsi="Arial"/>
                <w:color w:val="000000"/>
                <w:sz w:val="18"/>
              </w:rPr>
            </w:pPr>
            <w:r>
              <w:rPr>
                <w:rFonts w:ascii="Arial" w:hAnsi="Arial"/>
                <w:color w:val="000000"/>
                <w:sz w:val="18"/>
              </w:rPr>
              <w:t>1.5</w:t>
            </w:r>
          </w:p>
        </w:tc>
      </w:tr>
      <w:tr w:rsidR="00000000">
        <w:tblPrEx>
          <w:tblCellMar>
            <w:top w:w="0" w:type="dxa"/>
            <w:bottom w:w="0" w:type="dxa"/>
          </w:tblCellMar>
        </w:tblPrEx>
        <w:trPr>
          <w:trHeight w:hRule="exact" w:val="260"/>
        </w:trPr>
        <w:tc>
          <w:tcPr>
            <w:tcW w:w="2839" w:type="dxa"/>
          </w:tcPr>
          <w:p w:rsidR="00000000" w:rsidRDefault="001F233B">
            <w:pPr>
              <w:keepNext/>
              <w:rPr>
                <w:rFonts w:ascii="Arial" w:hAnsi="Arial"/>
                <w:color w:val="000000"/>
                <w:sz w:val="18"/>
              </w:rPr>
            </w:pPr>
            <w:r>
              <w:rPr>
                <w:rFonts w:ascii="Arial" w:hAnsi="Arial"/>
                <w:color w:val="000000"/>
                <w:sz w:val="18"/>
              </w:rPr>
              <w:t>Motor vehicle taxes</w:t>
            </w:r>
            <w:r>
              <w:rPr>
                <w:rFonts w:ascii="Arial" w:hAnsi="Arial"/>
                <w:color w:val="000000"/>
                <w:sz w:val="18"/>
              </w:rPr>
              <w:fldChar w:fldCharType="begin"/>
            </w:r>
            <w:r>
              <w:rPr>
                <w:rFonts w:ascii="Arial" w:hAnsi="Arial"/>
                <w:color w:val="000000"/>
                <w:sz w:val="18"/>
              </w:rPr>
              <w:instrText>xe "Motor vehicle taxes"</w:instrText>
            </w:r>
            <w:r>
              <w:rPr>
                <w:rFonts w:ascii="Arial" w:hAnsi="Arial"/>
                <w:color w:val="000000"/>
                <w:sz w:val="18"/>
              </w:rPr>
              <w:fldChar w:fldCharType="end"/>
            </w:r>
          </w:p>
        </w:tc>
        <w:tc>
          <w:tcPr>
            <w:tcW w:w="1135" w:type="dxa"/>
          </w:tcPr>
          <w:p w:rsidR="00000000" w:rsidRDefault="001F233B">
            <w:pPr>
              <w:keepNext/>
              <w:jc w:val="right"/>
              <w:rPr>
                <w:rFonts w:ascii="Arial" w:hAnsi="Arial"/>
                <w:color w:val="000000"/>
                <w:sz w:val="18"/>
              </w:rPr>
            </w:pPr>
            <w:r>
              <w:rPr>
                <w:rFonts w:ascii="Arial" w:hAnsi="Arial"/>
                <w:color w:val="000000"/>
                <w:sz w:val="18"/>
              </w:rPr>
              <w:t xml:space="preserve"> 824.2</w:t>
            </w:r>
          </w:p>
        </w:tc>
        <w:tc>
          <w:tcPr>
            <w:tcW w:w="1136" w:type="dxa"/>
          </w:tcPr>
          <w:p w:rsidR="00000000" w:rsidRDefault="001F233B">
            <w:pPr>
              <w:keepNext/>
              <w:jc w:val="right"/>
              <w:rPr>
                <w:rFonts w:ascii="Arial" w:hAnsi="Arial"/>
                <w:color w:val="000000"/>
                <w:sz w:val="18"/>
              </w:rPr>
            </w:pPr>
            <w:r>
              <w:rPr>
                <w:rFonts w:ascii="Arial" w:hAnsi="Arial"/>
                <w:color w:val="000000"/>
                <w:sz w:val="18"/>
              </w:rPr>
              <w:t xml:space="preserve"> 851.1</w:t>
            </w:r>
          </w:p>
        </w:tc>
        <w:tc>
          <w:tcPr>
            <w:tcW w:w="1135" w:type="dxa"/>
          </w:tcPr>
          <w:p w:rsidR="00000000" w:rsidRDefault="001F233B">
            <w:pPr>
              <w:keepNext/>
              <w:jc w:val="right"/>
              <w:rPr>
                <w:rFonts w:ascii="Arial" w:hAnsi="Arial"/>
                <w:color w:val="000000"/>
                <w:sz w:val="18"/>
              </w:rPr>
            </w:pPr>
            <w:r>
              <w:rPr>
                <w:rFonts w:ascii="Arial" w:hAnsi="Arial"/>
                <w:color w:val="000000"/>
                <w:sz w:val="18"/>
              </w:rPr>
              <w:t xml:space="preserve"> 26.9</w:t>
            </w:r>
          </w:p>
        </w:tc>
        <w:tc>
          <w:tcPr>
            <w:tcW w:w="1135" w:type="dxa"/>
          </w:tcPr>
          <w:p w:rsidR="00000000" w:rsidRDefault="001F233B">
            <w:pPr>
              <w:keepNext/>
              <w:jc w:val="right"/>
              <w:rPr>
                <w:rFonts w:ascii="Arial" w:hAnsi="Arial"/>
                <w:color w:val="000000"/>
                <w:sz w:val="18"/>
              </w:rPr>
            </w:pPr>
            <w:r>
              <w:rPr>
                <w:rFonts w:ascii="Arial" w:hAnsi="Arial"/>
                <w:color w:val="000000"/>
                <w:sz w:val="18"/>
              </w:rPr>
              <w:t>3.3</w:t>
            </w:r>
          </w:p>
        </w:tc>
      </w:tr>
      <w:tr w:rsidR="00000000">
        <w:tblPrEx>
          <w:tblCellMar>
            <w:top w:w="0" w:type="dxa"/>
            <w:bottom w:w="0" w:type="dxa"/>
          </w:tblCellMar>
        </w:tblPrEx>
        <w:trPr>
          <w:trHeight w:hRule="exact" w:val="260"/>
        </w:trPr>
        <w:tc>
          <w:tcPr>
            <w:tcW w:w="2839" w:type="dxa"/>
          </w:tcPr>
          <w:p w:rsidR="00000000" w:rsidRDefault="001F233B">
            <w:pPr>
              <w:keepNext/>
              <w:rPr>
                <w:rFonts w:ascii="Arial" w:hAnsi="Arial"/>
                <w:color w:val="000000"/>
                <w:sz w:val="18"/>
              </w:rPr>
            </w:pPr>
            <w:r>
              <w:rPr>
                <w:rFonts w:ascii="Arial" w:hAnsi="Arial"/>
                <w:color w:val="000000"/>
                <w:sz w:val="18"/>
              </w:rPr>
              <w:t>Safety net revenues</w:t>
            </w:r>
            <w:r>
              <w:rPr>
                <w:rFonts w:ascii="Arial" w:hAnsi="Arial"/>
                <w:color w:val="000000"/>
                <w:sz w:val="18"/>
              </w:rPr>
              <w:fldChar w:fldCharType="begin"/>
            </w:r>
            <w:r>
              <w:rPr>
                <w:rFonts w:ascii="Arial" w:hAnsi="Arial"/>
                <w:color w:val="000000"/>
                <w:sz w:val="18"/>
              </w:rPr>
              <w:instrText>xe "Safety net arrangements:Revenues"</w:instrText>
            </w:r>
            <w:r>
              <w:rPr>
                <w:rFonts w:ascii="Arial" w:hAnsi="Arial"/>
                <w:color w:val="000000"/>
                <w:sz w:val="18"/>
              </w:rPr>
              <w:fldChar w:fldCharType="end"/>
            </w:r>
          </w:p>
        </w:tc>
        <w:tc>
          <w:tcPr>
            <w:tcW w:w="1135" w:type="dxa"/>
          </w:tcPr>
          <w:p w:rsidR="00000000" w:rsidRDefault="001F233B">
            <w:pPr>
              <w:keepNext/>
              <w:jc w:val="right"/>
              <w:rPr>
                <w:rFonts w:ascii="Arial" w:hAnsi="Arial"/>
                <w:color w:val="000000"/>
                <w:sz w:val="18"/>
              </w:rPr>
            </w:pPr>
            <w:r>
              <w:rPr>
                <w:rFonts w:ascii="Arial" w:hAnsi="Arial"/>
                <w:color w:val="000000"/>
                <w:sz w:val="18"/>
              </w:rPr>
              <w:t>1 242.9</w:t>
            </w:r>
          </w:p>
        </w:tc>
        <w:tc>
          <w:tcPr>
            <w:tcW w:w="1136" w:type="dxa"/>
          </w:tcPr>
          <w:p w:rsidR="00000000" w:rsidRDefault="001F233B">
            <w:pPr>
              <w:keepNext/>
              <w:jc w:val="right"/>
              <w:rPr>
                <w:rFonts w:ascii="Arial" w:hAnsi="Arial"/>
                <w:color w:val="000000"/>
                <w:sz w:val="18"/>
              </w:rPr>
            </w:pPr>
            <w:r>
              <w:rPr>
                <w:rFonts w:ascii="Arial" w:hAnsi="Arial"/>
                <w:color w:val="000000"/>
                <w:sz w:val="18"/>
              </w:rPr>
              <w:t>1 087.8</w:t>
            </w:r>
          </w:p>
        </w:tc>
        <w:tc>
          <w:tcPr>
            <w:tcW w:w="1135" w:type="dxa"/>
          </w:tcPr>
          <w:p w:rsidR="00000000" w:rsidRDefault="001F233B">
            <w:pPr>
              <w:keepNext/>
              <w:jc w:val="right"/>
              <w:rPr>
                <w:rFonts w:ascii="Arial" w:hAnsi="Arial"/>
                <w:color w:val="000000"/>
                <w:sz w:val="18"/>
              </w:rPr>
            </w:pPr>
            <w:r>
              <w:rPr>
                <w:rFonts w:ascii="Arial" w:hAnsi="Arial"/>
                <w:color w:val="000000"/>
                <w:sz w:val="18"/>
              </w:rPr>
              <w:t>- 155.0</w:t>
            </w:r>
          </w:p>
        </w:tc>
        <w:tc>
          <w:tcPr>
            <w:tcW w:w="1135" w:type="dxa"/>
          </w:tcPr>
          <w:p w:rsidR="00000000" w:rsidRDefault="001F233B">
            <w:pPr>
              <w:keepNext/>
              <w:jc w:val="right"/>
              <w:rPr>
                <w:rFonts w:ascii="Arial" w:hAnsi="Arial"/>
                <w:color w:val="000000"/>
                <w:sz w:val="18"/>
              </w:rPr>
            </w:pPr>
            <w:r>
              <w:rPr>
                <w:rFonts w:ascii="Arial" w:hAnsi="Arial"/>
                <w:color w:val="000000"/>
                <w:sz w:val="18"/>
              </w:rPr>
              <w:t>-12.5</w:t>
            </w:r>
          </w:p>
        </w:tc>
      </w:tr>
      <w:tr w:rsidR="00000000">
        <w:tblPrEx>
          <w:tblCellMar>
            <w:top w:w="0" w:type="dxa"/>
            <w:bottom w:w="0" w:type="dxa"/>
          </w:tblCellMar>
        </w:tblPrEx>
        <w:trPr>
          <w:trHeight w:hRule="exact" w:val="260"/>
        </w:trPr>
        <w:tc>
          <w:tcPr>
            <w:tcW w:w="2839" w:type="dxa"/>
          </w:tcPr>
          <w:p w:rsidR="00000000" w:rsidRDefault="001F233B">
            <w:pPr>
              <w:keepNext/>
              <w:rPr>
                <w:rFonts w:ascii="Arial" w:hAnsi="Arial"/>
                <w:color w:val="000000"/>
                <w:sz w:val="18"/>
              </w:rPr>
            </w:pPr>
            <w:r>
              <w:rPr>
                <w:rFonts w:ascii="Arial" w:hAnsi="Arial"/>
                <w:color w:val="000000"/>
                <w:sz w:val="18"/>
              </w:rPr>
              <w:t>Other taxes, fees and fines</w:t>
            </w:r>
          </w:p>
        </w:tc>
        <w:tc>
          <w:tcPr>
            <w:tcW w:w="1135" w:type="dxa"/>
          </w:tcPr>
          <w:p w:rsidR="00000000" w:rsidRDefault="001F233B">
            <w:pPr>
              <w:keepNext/>
              <w:jc w:val="right"/>
              <w:rPr>
                <w:rFonts w:ascii="Arial" w:hAnsi="Arial"/>
                <w:color w:val="000000"/>
                <w:sz w:val="18"/>
              </w:rPr>
            </w:pPr>
            <w:r>
              <w:rPr>
                <w:rFonts w:ascii="Arial" w:hAnsi="Arial"/>
                <w:color w:val="000000"/>
                <w:sz w:val="18"/>
              </w:rPr>
              <w:t xml:space="preserve"> 370.7</w:t>
            </w:r>
          </w:p>
        </w:tc>
        <w:tc>
          <w:tcPr>
            <w:tcW w:w="1136" w:type="dxa"/>
          </w:tcPr>
          <w:p w:rsidR="00000000" w:rsidRDefault="001F233B">
            <w:pPr>
              <w:keepNext/>
              <w:jc w:val="right"/>
              <w:rPr>
                <w:rFonts w:ascii="Arial" w:hAnsi="Arial"/>
                <w:color w:val="000000"/>
                <w:sz w:val="18"/>
              </w:rPr>
            </w:pPr>
            <w:r>
              <w:rPr>
                <w:rFonts w:ascii="Arial" w:hAnsi="Arial"/>
                <w:color w:val="000000"/>
                <w:sz w:val="18"/>
              </w:rPr>
              <w:t xml:space="preserve"> 403.2</w:t>
            </w:r>
          </w:p>
        </w:tc>
        <w:tc>
          <w:tcPr>
            <w:tcW w:w="1135" w:type="dxa"/>
          </w:tcPr>
          <w:p w:rsidR="00000000" w:rsidRDefault="001F233B">
            <w:pPr>
              <w:keepNext/>
              <w:jc w:val="right"/>
              <w:rPr>
                <w:rFonts w:ascii="Arial" w:hAnsi="Arial"/>
                <w:color w:val="000000"/>
                <w:sz w:val="18"/>
              </w:rPr>
            </w:pPr>
            <w:r>
              <w:rPr>
                <w:rFonts w:ascii="Arial" w:hAnsi="Arial"/>
                <w:color w:val="000000"/>
                <w:sz w:val="18"/>
              </w:rPr>
              <w:t xml:space="preserve"> 32.5</w:t>
            </w:r>
          </w:p>
        </w:tc>
        <w:tc>
          <w:tcPr>
            <w:tcW w:w="1135" w:type="dxa"/>
          </w:tcPr>
          <w:p w:rsidR="00000000" w:rsidRDefault="001F233B">
            <w:pPr>
              <w:keepNext/>
              <w:jc w:val="right"/>
              <w:rPr>
                <w:rFonts w:ascii="Arial" w:hAnsi="Arial"/>
                <w:color w:val="000000"/>
                <w:sz w:val="18"/>
              </w:rPr>
            </w:pPr>
            <w:r>
              <w:rPr>
                <w:rFonts w:ascii="Arial" w:hAnsi="Arial"/>
                <w:color w:val="000000"/>
                <w:sz w:val="18"/>
              </w:rPr>
              <w:t>8.8</w:t>
            </w:r>
          </w:p>
        </w:tc>
      </w:tr>
      <w:tr w:rsidR="00000000">
        <w:tblPrEx>
          <w:tblCellMar>
            <w:top w:w="0" w:type="dxa"/>
            <w:bottom w:w="0" w:type="dxa"/>
          </w:tblCellMar>
        </w:tblPrEx>
        <w:trPr>
          <w:trHeight w:hRule="exact" w:val="260"/>
        </w:trPr>
        <w:tc>
          <w:tcPr>
            <w:tcW w:w="2839" w:type="dxa"/>
          </w:tcPr>
          <w:p w:rsidR="00000000" w:rsidRDefault="001F233B">
            <w:pPr>
              <w:keepNext/>
              <w:rPr>
                <w:rFonts w:ascii="Arial" w:hAnsi="Arial"/>
                <w:b/>
                <w:color w:val="000000"/>
                <w:sz w:val="18"/>
              </w:rPr>
            </w:pPr>
            <w:r>
              <w:rPr>
                <w:rFonts w:ascii="Arial" w:hAnsi="Arial"/>
                <w:b/>
                <w:color w:val="000000"/>
                <w:sz w:val="18"/>
              </w:rPr>
              <w:t>Total Taxes, Fees and Fines</w:t>
            </w:r>
          </w:p>
        </w:tc>
        <w:tc>
          <w:tcPr>
            <w:tcW w:w="1135" w:type="dxa"/>
            <w:tcBorders>
              <w:top w:val="single" w:sz="6" w:space="0" w:color="auto"/>
            </w:tcBorders>
          </w:tcPr>
          <w:p w:rsidR="00000000" w:rsidRDefault="001F233B">
            <w:pPr>
              <w:keepNext/>
              <w:jc w:val="right"/>
              <w:rPr>
                <w:rFonts w:ascii="Arial" w:hAnsi="Arial"/>
                <w:b/>
                <w:color w:val="000000"/>
                <w:sz w:val="18"/>
              </w:rPr>
            </w:pPr>
            <w:r>
              <w:rPr>
                <w:rFonts w:ascii="Arial" w:hAnsi="Arial"/>
                <w:b/>
                <w:color w:val="000000"/>
                <w:sz w:val="18"/>
              </w:rPr>
              <w:t>8 596.7</w:t>
            </w:r>
          </w:p>
        </w:tc>
        <w:tc>
          <w:tcPr>
            <w:tcW w:w="1136" w:type="dxa"/>
            <w:tcBorders>
              <w:top w:val="single" w:sz="6" w:space="0" w:color="auto"/>
            </w:tcBorders>
          </w:tcPr>
          <w:p w:rsidR="00000000" w:rsidRDefault="001F233B">
            <w:pPr>
              <w:keepNext/>
              <w:jc w:val="right"/>
              <w:rPr>
                <w:rFonts w:ascii="Arial" w:hAnsi="Arial"/>
                <w:b/>
                <w:color w:val="000000"/>
                <w:sz w:val="18"/>
              </w:rPr>
            </w:pPr>
            <w:r>
              <w:rPr>
                <w:rFonts w:ascii="Arial" w:hAnsi="Arial"/>
                <w:b/>
                <w:color w:val="000000"/>
                <w:sz w:val="18"/>
              </w:rPr>
              <w:t>8 564.6</w:t>
            </w:r>
          </w:p>
        </w:tc>
        <w:tc>
          <w:tcPr>
            <w:tcW w:w="1135" w:type="dxa"/>
            <w:tcBorders>
              <w:top w:val="single" w:sz="6" w:space="0" w:color="auto"/>
            </w:tcBorders>
          </w:tcPr>
          <w:p w:rsidR="00000000" w:rsidRDefault="001F233B">
            <w:pPr>
              <w:keepNext/>
              <w:jc w:val="right"/>
              <w:rPr>
                <w:rFonts w:ascii="Arial" w:hAnsi="Arial"/>
                <w:b/>
                <w:color w:val="000000"/>
                <w:sz w:val="18"/>
              </w:rPr>
            </w:pPr>
            <w:r>
              <w:rPr>
                <w:rFonts w:ascii="Arial" w:hAnsi="Arial"/>
                <w:b/>
                <w:color w:val="000000"/>
                <w:sz w:val="18"/>
              </w:rPr>
              <w:t>- 32.0</w:t>
            </w:r>
          </w:p>
        </w:tc>
        <w:tc>
          <w:tcPr>
            <w:tcW w:w="1135" w:type="dxa"/>
            <w:tcBorders>
              <w:top w:val="single" w:sz="6" w:space="0" w:color="auto"/>
            </w:tcBorders>
          </w:tcPr>
          <w:p w:rsidR="00000000" w:rsidRDefault="001F233B">
            <w:pPr>
              <w:keepNext/>
              <w:jc w:val="right"/>
              <w:rPr>
                <w:rFonts w:ascii="Arial" w:hAnsi="Arial"/>
                <w:b/>
                <w:color w:val="000000"/>
                <w:sz w:val="18"/>
              </w:rPr>
            </w:pPr>
            <w:r>
              <w:rPr>
                <w:rFonts w:ascii="Arial" w:hAnsi="Arial"/>
                <w:b/>
                <w:color w:val="000000"/>
                <w:sz w:val="18"/>
              </w:rPr>
              <w:t>-0.4</w:t>
            </w:r>
          </w:p>
        </w:tc>
      </w:tr>
      <w:tr w:rsidR="00000000">
        <w:tblPrEx>
          <w:tblCellMar>
            <w:top w:w="0" w:type="dxa"/>
            <w:bottom w:w="0" w:type="dxa"/>
          </w:tblCellMar>
        </w:tblPrEx>
        <w:trPr>
          <w:trHeight w:hRule="exact" w:val="260"/>
        </w:trPr>
        <w:tc>
          <w:tcPr>
            <w:tcW w:w="2839" w:type="dxa"/>
          </w:tcPr>
          <w:p w:rsidR="00000000" w:rsidRDefault="001F233B">
            <w:pPr>
              <w:keepNext/>
              <w:rPr>
                <w:rFonts w:ascii="Arial" w:hAnsi="Arial"/>
                <w:i/>
                <w:color w:val="000000"/>
                <w:sz w:val="18"/>
              </w:rPr>
            </w:pPr>
            <w:r>
              <w:rPr>
                <w:rFonts w:ascii="Arial" w:hAnsi="Arial"/>
                <w:i/>
                <w:color w:val="000000"/>
                <w:sz w:val="18"/>
              </w:rPr>
              <w:t>Less Privati</w:t>
            </w:r>
            <w:r>
              <w:rPr>
                <w:rFonts w:ascii="Arial" w:hAnsi="Arial"/>
                <w:i/>
                <w:color w:val="000000"/>
                <w:sz w:val="18"/>
              </w:rPr>
              <w:t>sation</w:t>
            </w:r>
            <w:r>
              <w:rPr>
                <w:rFonts w:ascii="Arial" w:hAnsi="Arial"/>
                <w:i/>
                <w:color w:val="000000"/>
                <w:sz w:val="18"/>
              </w:rPr>
              <w:fldChar w:fldCharType="begin"/>
            </w:r>
            <w:r>
              <w:rPr>
                <w:rFonts w:ascii="Arial" w:hAnsi="Arial"/>
                <w:i/>
                <w:color w:val="000000"/>
                <w:sz w:val="18"/>
              </w:rPr>
              <w:instrText>xe "Privatisation"</w:instrText>
            </w:r>
            <w:r>
              <w:rPr>
                <w:rFonts w:ascii="Arial" w:hAnsi="Arial"/>
                <w:i/>
                <w:color w:val="000000"/>
                <w:sz w:val="18"/>
              </w:rPr>
              <w:fldChar w:fldCharType="end"/>
            </w:r>
            <w:r>
              <w:rPr>
                <w:rFonts w:ascii="Arial" w:hAnsi="Arial"/>
                <w:i/>
                <w:color w:val="000000"/>
                <w:sz w:val="18"/>
              </w:rPr>
              <w:t xml:space="preserve"> proceeds</w:t>
            </w:r>
          </w:p>
        </w:tc>
        <w:tc>
          <w:tcPr>
            <w:tcW w:w="1135" w:type="dxa"/>
            <w:tcBorders>
              <w:bottom w:val="single" w:sz="6" w:space="0" w:color="auto"/>
            </w:tcBorders>
          </w:tcPr>
          <w:p w:rsidR="00000000" w:rsidRDefault="001F233B">
            <w:pPr>
              <w:keepNext/>
              <w:jc w:val="right"/>
              <w:rPr>
                <w:rFonts w:ascii="Arial" w:hAnsi="Arial"/>
                <w:i/>
                <w:color w:val="000000"/>
                <w:sz w:val="18"/>
              </w:rPr>
            </w:pPr>
          </w:p>
        </w:tc>
        <w:tc>
          <w:tcPr>
            <w:tcW w:w="1136" w:type="dxa"/>
            <w:tcBorders>
              <w:bottom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 xml:space="preserve"> 15.1</w:t>
            </w:r>
          </w:p>
        </w:tc>
        <w:tc>
          <w:tcPr>
            <w:tcW w:w="1135" w:type="dxa"/>
            <w:tcBorders>
              <w:bottom w:val="single" w:sz="6" w:space="0" w:color="auto"/>
            </w:tcBorders>
          </w:tcPr>
          <w:p w:rsidR="00000000" w:rsidRDefault="001F233B">
            <w:pPr>
              <w:keepNext/>
              <w:jc w:val="right"/>
              <w:rPr>
                <w:rFonts w:ascii="Arial" w:hAnsi="Arial"/>
                <w:color w:val="000000"/>
                <w:sz w:val="18"/>
              </w:rPr>
            </w:pPr>
            <w:r>
              <w:rPr>
                <w:rFonts w:ascii="Arial" w:hAnsi="Arial"/>
                <w:color w:val="000000"/>
                <w:sz w:val="18"/>
              </w:rPr>
              <w:t xml:space="preserve"> 15.1</w:t>
            </w:r>
          </w:p>
        </w:tc>
        <w:tc>
          <w:tcPr>
            <w:tcW w:w="1135" w:type="dxa"/>
            <w:tcBorders>
              <w:bottom w:val="single" w:sz="6" w:space="0" w:color="auto"/>
            </w:tcBorders>
          </w:tcPr>
          <w:p w:rsidR="00000000" w:rsidRDefault="001F233B">
            <w:pPr>
              <w:keepNext/>
              <w:jc w:val="right"/>
              <w:rPr>
                <w:rFonts w:ascii="Arial" w:hAnsi="Arial"/>
                <w:color w:val="000000"/>
                <w:sz w:val="18"/>
              </w:rPr>
            </w:pPr>
          </w:p>
        </w:tc>
      </w:tr>
      <w:tr w:rsidR="00000000">
        <w:tblPrEx>
          <w:tblCellMar>
            <w:top w:w="0" w:type="dxa"/>
            <w:bottom w:w="0" w:type="dxa"/>
          </w:tblCellMar>
        </w:tblPrEx>
        <w:trPr>
          <w:trHeight w:hRule="exact" w:val="260"/>
        </w:trPr>
        <w:tc>
          <w:tcPr>
            <w:tcW w:w="2839" w:type="dxa"/>
          </w:tcPr>
          <w:p w:rsidR="00000000" w:rsidRDefault="001F233B">
            <w:pPr>
              <w:keepNext/>
              <w:rPr>
                <w:rFonts w:ascii="Arial" w:hAnsi="Arial"/>
                <w:b/>
                <w:color w:val="000000"/>
                <w:sz w:val="18"/>
              </w:rPr>
            </w:pPr>
            <w:r>
              <w:rPr>
                <w:rFonts w:ascii="Arial" w:hAnsi="Arial"/>
                <w:b/>
                <w:color w:val="000000"/>
                <w:sz w:val="18"/>
              </w:rPr>
              <w:t>Total Taxes, Fees and Fines</w:t>
            </w:r>
          </w:p>
        </w:tc>
        <w:tc>
          <w:tcPr>
            <w:tcW w:w="1135" w:type="dxa"/>
          </w:tcPr>
          <w:p w:rsidR="00000000" w:rsidRDefault="001F233B">
            <w:pPr>
              <w:keepNext/>
              <w:jc w:val="right"/>
              <w:rPr>
                <w:rFonts w:ascii="Arial" w:hAnsi="Arial"/>
                <w:i/>
                <w:color w:val="000000"/>
                <w:sz w:val="18"/>
              </w:rPr>
            </w:pPr>
          </w:p>
        </w:tc>
        <w:tc>
          <w:tcPr>
            <w:tcW w:w="1136" w:type="dxa"/>
          </w:tcPr>
          <w:p w:rsidR="00000000" w:rsidRDefault="001F233B">
            <w:pPr>
              <w:keepNext/>
              <w:jc w:val="right"/>
              <w:rPr>
                <w:rFonts w:ascii="Arial" w:hAnsi="Arial"/>
                <w:i/>
                <w:color w:val="000000"/>
                <w:sz w:val="18"/>
              </w:rPr>
            </w:pPr>
          </w:p>
        </w:tc>
        <w:tc>
          <w:tcPr>
            <w:tcW w:w="1135" w:type="dxa"/>
          </w:tcPr>
          <w:p w:rsidR="00000000" w:rsidRDefault="001F233B">
            <w:pPr>
              <w:keepNext/>
              <w:jc w:val="right"/>
              <w:rPr>
                <w:rFonts w:ascii="Arial" w:hAnsi="Arial"/>
                <w:color w:val="000000"/>
                <w:sz w:val="18"/>
              </w:rPr>
            </w:pPr>
          </w:p>
        </w:tc>
        <w:tc>
          <w:tcPr>
            <w:tcW w:w="1135" w:type="dxa"/>
          </w:tcPr>
          <w:p w:rsidR="00000000" w:rsidRDefault="001F233B">
            <w:pPr>
              <w:keepNext/>
              <w:jc w:val="right"/>
              <w:rPr>
                <w:rFonts w:ascii="Arial" w:hAnsi="Arial"/>
                <w:color w:val="000000"/>
                <w:sz w:val="18"/>
              </w:rPr>
            </w:pPr>
          </w:p>
        </w:tc>
      </w:tr>
      <w:tr w:rsidR="00000000">
        <w:tblPrEx>
          <w:tblCellMar>
            <w:top w:w="0" w:type="dxa"/>
            <w:bottom w:w="0" w:type="dxa"/>
          </w:tblCellMar>
        </w:tblPrEx>
        <w:trPr>
          <w:trHeight w:hRule="exact" w:val="260"/>
        </w:trPr>
        <w:tc>
          <w:tcPr>
            <w:tcW w:w="2839" w:type="dxa"/>
            <w:tcBorders>
              <w:bottom w:val="single" w:sz="12" w:space="0" w:color="auto"/>
            </w:tcBorders>
          </w:tcPr>
          <w:p w:rsidR="00000000" w:rsidRDefault="001F233B">
            <w:pPr>
              <w:keepNext/>
              <w:rPr>
                <w:rFonts w:ascii="Arial" w:hAnsi="Arial"/>
                <w:b/>
                <w:color w:val="000000"/>
                <w:sz w:val="18"/>
              </w:rPr>
            </w:pPr>
            <w:r>
              <w:rPr>
                <w:rFonts w:ascii="Arial" w:hAnsi="Arial"/>
                <w:b/>
                <w:color w:val="000000"/>
                <w:sz w:val="18"/>
              </w:rPr>
              <w:t xml:space="preserve"> excluding privatisation</w:t>
            </w:r>
            <w:r>
              <w:rPr>
                <w:rFonts w:ascii="Arial" w:hAnsi="Arial"/>
                <w:b/>
                <w:color w:val="000000"/>
                <w:sz w:val="18"/>
              </w:rPr>
              <w:fldChar w:fldCharType="begin"/>
            </w:r>
            <w:r>
              <w:rPr>
                <w:rFonts w:ascii="Arial" w:hAnsi="Arial"/>
                <w:b/>
                <w:color w:val="000000"/>
                <w:sz w:val="18"/>
              </w:rPr>
              <w:instrText>xe "Privatisation"</w:instrText>
            </w:r>
            <w:r>
              <w:rPr>
                <w:rFonts w:ascii="Arial" w:hAnsi="Arial"/>
                <w:b/>
                <w:color w:val="000000"/>
                <w:sz w:val="18"/>
              </w:rPr>
              <w:fldChar w:fldCharType="end"/>
            </w:r>
          </w:p>
        </w:tc>
        <w:tc>
          <w:tcPr>
            <w:tcW w:w="1135" w:type="dxa"/>
            <w:tcBorders>
              <w:bottom w:val="single" w:sz="12" w:space="0" w:color="auto"/>
            </w:tcBorders>
          </w:tcPr>
          <w:p w:rsidR="00000000" w:rsidRDefault="001F233B">
            <w:pPr>
              <w:keepNext/>
              <w:jc w:val="right"/>
              <w:rPr>
                <w:rFonts w:ascii="Arial" w:hAnsi="Arial"/>
                <w:b/>
                <w:color w:val="000000"/>
                <w:sz w:val="18"/>
              </w:rPr>
            </w:pPr>
            <w:r>
              <w:rPr>
                <w:rFonts w:ascii="Arial" w:hAnsi="Arial"/>
                <w:b/>
                <w:color w:val="000000"/>
                <w:sz w:val="18"/>
              </w:rPr>
              <w:t>8 596.7</w:t>
            </w:r>
          </w:p>
        </w:tc>
        <w:tc>
          <w:tcPr>
            <w:tcW w:w="1136" w:type="dxa"/>
            <w:tcBorders>
              <w:bottom w:val="single" w:sz="12" w:space="0" w:color="auto"/>
            </w:tcBorders>
          </w:tcPr>
          <w:p w:rsidR="00000000" w:rsidRDefault="001F233B">
            <w:pPr>
              <w:keepNext/>
              <w:jc w:val="right"/>
              <w:rPr>
                <w:rFonts w:ascii="Arial" w:hAnsi="Arial"/>
                <w:b/>
                <w:color w:val="000000"/>
                <w:sz w:val="18"/>
              </w:rPr>
            </w:pPr>
            <w:r>
              <w:rPr>
                <w:rFonts w:ascii="Arial" w:hAnsi="Arial"/>
                <w:b/>
                <w:color w:val="000000"/>
                <w:sz w:val="18"/>
              </w:rPr>
              <w:t>8 549.5</w:t>
            </w:r>
          </w:p>
        </w:tc>
        <w:tc>
          <w:tcPr>
            <w:tcW w:w="1135" w:type="dxa"/>
            <w:tcBorders>
              <w:bottom w:val="single" w:sz="12" w:space="0" w:color="auto"/>
            </w:tcBorders>
          </w:tcPr>
          <w:p w:rsidR="00000000" w:rsidRDefault="001F233B">
            <w:pPr>
              <w:keepNext/>
              <w:jc w:val="right"/>
              <w:rPr>
                <w:rFonts w:ascii="Arial" w:hAnsi="Arial"/>
                <w:b/>
                <w:color w:val="000000"/>
                <w:sz w:val="18"/>
              </w:rPr>
            </w:pPr>
            <w:r>
              <w:rPr>
                <w:rFonts w:ascii="Arial" w:hAnsi="Arial"/>
                <w:b/>
                <w:color w:val="000000"/>
                <w:sz w:val="18"/>
              </w:rPr>
              <w:t>- 47.1</w:t>
            </w:r>
          </w:p>
        </w:tc>
        <w:tc>
          <w:tcPr>
            <w:tcW w:w="1135" w:type="dxa"/>
            <w:tcBorders>
              <w:bottom w:val="single" w:sz="12" w:space="0" w:color="auto"/>
            </w:tcBorders>
          </w:tcPr>
          <w:p w:rsidR="00000000" w:rsidRDefault="001F233B">
            <w:pPr>
              <w:keepNext/>
              <w:jc w:val="right"/>
              <w:rPr>
                <w:rFonts w:ascii="Arial" w:hAnsi="Arial"/>
                <w:b/>
                <w:color w:val="000000"/>
                <w:sz w:val="18"/>
              </w:rPr>
            </w:pPr>
            <w:r>
              <w:rPr>
                <w:rFonts w:ascii="Arial" w:hAnsi="Arial"/>
                <w:b/>
                <w:color w:val="000000"/>
                <w:sz w:val="18"/>
              </w:rPr>
              <w:t>-0.5</w:t>
            </w:r>
          </w:p>
        </w:tc>
      </w:tr>
    </w:tbl>
    <w:p w:rsidR="00000000" w:rsidRDefault="001F233B">
      <w:pPr>
        <w:pStyle w:val="Source"/>
        <w:keepNext/>
      </w:pPr>
      <w:r>
        <w:t>Source: Department of Treasury and Finance.</w:t>
      </w:r>
    </w:p>
    <w:p w:rsidR="00000000" w:rsidRDefault="001F233B">
      <w:pPr>
        <w:pStyle w:val="Notes"/>
      </w:pPr>
      <w:r>
        <w:t>Note:</w:t>
      </w:r>
    </w:p>
    <w:p w:rsidR="00000000" w:rsidRDefault="001F233B">
      <w:pPr>
        <w:pStyle w:val="Notes"/>
        <w:jc w:val="both"/>
      </w:pPr>
      <w:r>
        <w:t>1997-98 Budget estimates for business franchise fees</w:t>
      </w:r>
      <w:r>
        <w:fldChar w:fldCharType="begin"/>
      </w:r>
      <w:r>
        <w:instrText>xe "Franchise fees:Business"</w:instrText>
      </w:r>
      <w:r>
        <w:fldChar w:fldCharType="end"/>
      </w:r>
      <w:r>
        <w:t xml:space="preserve"> on tobacco, liquor and petroleum; 1997-98 Revised estimates incorporate franchise fee collections to 5 August 1997 and thereafter replacement revenues under safety net arrangements.</w:t>
      </w:r>
    </w:p>
    <w:p w:rsidR="00000000" w:rsidRDefault="001F233B">
      <w:pPr>
        <w:pStyle w:val="Notes"/>
      </w:pPr>
    </w:p>
    <w:p w:rsidR="00000000" w:rsidRDefault="001F233B">
      <w:r>
        <w:t>The property market upturn which comme</w:t>
      </w:r>
      <w:r>
        <w:t>nced in calendar year 1997 has continued to strengthen into calendar year 1998, with strong rises in both price and volume flowing through to buoyant conveyancing</w:t>
      </w:r>
      <w:r>
        <w:fldChar w:fldCharType="begin"/>
      </w:r>
      <w:r>
        <w:instrText>xe "Stamp duty:Conveyancing"</w:instrText>
      </w:r>
      <w:r>
        <w:fldChar w:fldCharType="end"/>
      </w:r>
      <w:r>
        <w:t xml:space="preserve"> duty revenues. The growth in activity is predominantly in the residential and smaller commercial and industrial property market segments. The larger commercial and industrial segments are broadly on track with budget expectations. The current upturn has been aided by continued improvements in housing affordability fol</w:t>
      </w:r>
      <w:r>
        <w:t>lowing two further interest rate reductions since the April 1997 Budget.</w:t>
      </w:r>
    </w:p>
    <w:p w:rsidR="00000000" w:rsidRDefault="001F2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Marketable securities stamp duties</w:t>
      </w:r>
      <w:r>
        <w:fldChar w:fldCharType="begin"/>
      </w:r>
      <w:r>
        <w:instrText>xe "Marketable securities stamp duties"</w:instrText>
      </w:r>
      <w:r>
        <w:fldChar w:fldCharType="end"/>
      </w:r>
      <w:r>
        <w:t xml:space="preserve"> are also expected to exceed the 1997</w:t>
      </w:r>
      <w:r>
        <w:noBreakHyphen/>
        <w:t>98 Budget estimate due to:</w:t>
      </w:r>
    </w:p>
    <w:p w:rsidR="00000000" w:rsidRDefault="001F233B" w:rsidP="001F233B">
      <w:pPr>
        <w:pStyle w:val="BulletText"/>
        <w:numPr>
          <w:ilvl w:val="0"/>
          <w:numId w:val="1"/>
        </w:numPr>
      </w:pPr>
      <w:r>
        <w:t>significant off</w:t>
      </w:r>
      <w:r>
        <w:noBreakHyphen/>
        <w:t xml:space="preserve">market sales by an overseas holding company; </w:t>
      </w:r>
    </w:p>
    <w:p w:rsidR="00000000" w:rsidRDefault="001F233B" w:rsidP="001F233B">
      <w:pPr>
        <w:pStyle w:val="BulletText"/>
        <w:numPr>
          <w:ilvl w:val="0"/>
          <w:numId w:val="1"/>
        </w:numPr>
      </w:pPr>
      <w:r>
        <w:t xml:space="preserve">very high turnover associated with the sharp share market correction in late October; and </w:t>
      </w:r>
    </w:p>
    <w:p w:rsidR="00000000" w:rsidRDefault="001F233B" w:rsidP="001F233B">
      <w:pPr>
        <w:pStyle w:val="BulletText"/>
        <w:numPr>
          <w:ilvl w:val="0"/>
          <w:numId w:val="1"/>
        </w:numPr>
      </w:pPr>
      <w:r>
        <w:t>secondary trading in Telstra shares following the November float.</w:t>
      </w:r>
    </w:p>
    <w:p w:rsidR="00000000" w:rsidRDefault="001F233B">
      <w:r>
        <w:t>Gambling taxes</w:t>
      </w:r>
      <w:r>
        <w:fldChar w:fldCharType="begin"/>
      </w:r>
      <w:r>
        <w:instrText>xe "Gambling taxes"</w:instrText>
      </w:r>
      <w:r>
        <w:fldChar w:fldCharType="end"/>
      </w:r>
      <w:r>
        <w:rPr>
          <w:b/>
        </w:rPr>
        <w:t xml:space="preserve"> </w:t>
      </w:r>
      <w:r>
        <w:t>are running some $51.2 million (or 4.1 per c</w:t>
      </w:r>
      <w:r>
        <w:t>ent) ahead of Budget mainly due to higher than expected use of EGMs and a recovery in racing taxes following vigorous marketing by the racing industry.</w:t>
      </w:r>
    </w:p>
    <w:p w:rsidR="00000000" w:rsidRDefault="001F233B">
      <w:r>
        <w:t>Increased current market demand, particularly for lower priced imported vehicles, combined with increased availability of finance, have contributed to higher motor vehicle taxes</w:t>
      </w:r>
      <w:r>
        <w:fldChar w:fldCharType="begin"/>
      </w:r>
      <w:r>
        <w:instrText>xe "Motor vehicle taxes"</w:instrText>
      </w:r>
      <w:r>
        <w:fldChar w:fldCharType="end"/>
      </w:r>
      <w:r>
        <w:t xml:space="preserve"> which are up some $26.9 million (or 3.3 per cent) against the Budget estimate.</w:t>
      </w:r>
    </w:p>
    <w:p w:rsidR="00000000" w:rsidRDefault="001F233B">
      <w:r>
        <w:t>On the other hand, projected safety net revenues</w:t>
      </w:r>
      <w:r>
        <w:fldChar w:fldCharType="begin"/>
      </w:r>
      <w:r>
        <w:instrText>xe "Safety net arrangements:</w:instrText>
      </w:r>
      <w:r>
        <w:instrText>Revenues"</w:instrText>
      </w:r>
      <w:r>
        <w:fldChar w:fldCharType="end"/>
      </w:r>
      <w:r>
        <w:t xml:space="preserve"> are expected to fall some $155 million short of the Budget forecast. As noted earlier, this reflects the one</w:t>
      </w:r>
      <w:r>
        <w:noBreakHyphen/>
        <w:t xml:space="preserve">off losses associated with changes to the timing of tax collections on liquor, tobacco and petroleum, plus actions by tobacco companies to minimise their tax liabilities at the time of the change in taxation arrangements. The $155 million shortfall includes $52 million in ex gratia payments to liquor licensees to cover the unexpired portion of their 1997 liquor licence fees. </w:t>
      </w:r>
    </w:p>
    <w:p w:rsidR="00000000" w:rsidRDefault="001F233B">
      <w:r>
        <w:t>Revenues from</w:t>
      </w:r>
      <w:r>
        <w:t xml:space="preserve"> land tax are expected to fall some $72 million short of the Budget forecast as a consequence of the package of reforms announced in November 1997 which included both rate relief and the introduction of a principal place of residence</w:t>
      </w:r>
      <w:r>
        <w:fldChar w:fldCharType="begin"/>
      </w:r>
      <w:r>
        <w:instrText>xe "Land tax:Principal place of residence"</w:instrText>
      </w:r>
      <w:r>
        <w:fldChar w:fldCharType="end"/>
      </w:r>
      <w:r>
        <w:t xml:space="preserve"> exemption. The downward adjustment to land tax receipts also includes falls in valuations of some higher valued properties.</w:t>
      </w:r>
    </w:p>
    <w:p w:rsidR="00000000" w:rsidRDefault="001F233B">
      <w:r>
        <w:t>The abolition of the public authority contribution</w:t>
      </w:r>
      <w:r>
        <w:fldChar w:fldCharType="begin"/>
      </w:r>
      <w:r>
        <w:instrText>xe "Public authority contribution"</w:instrText>
      </w:r>
      <w:r>
        <w:fldChar w:fldCharType="end"/>
      </w:r>
      <w:r>
        <w:rPr>
          <w:b/>
        </w:rPr>
        <w:t xml:space="preserve"> </w:t>
      </w:r>
      <w:r>
        <w:t>with effect from 11 Dec</w:t>
      </w:r>
      <w:r>
        <w:t>ember 1997, as part of the restructuring of the gas</w:t>
      </w:r>
      <w:r>
        <w:fldChar w:fldCharType="begin"/>
      </w:r>
      <w:r>
        <w:instrText>xe "Gas"</w:instrText>
      </w:r>
      <w:r>
        <w:fldChar w:fldCharType="end"/>
      </w:r>
      <w:r>
        <w:t xml:space="preserve"> industry</w:t>
      </w:r>
      <w:r>
        <w:fldChar w:fldCharType="begin"/>
      </w:r>
      <w:r>
        <w:instrText>xe "Public authority income:Gas industry"</w:instrText>
      </w:r>
      <w:r>
        <w:fldChar w:fldCharType="end"/>
      </w:r>
      <w:r>
        <w:t>,</w:t>
      </w:r>
      <w:r>
        <w:rPr>
          <w:b/>
        </w:rPr>
        <w:t xml:space="preserve"> </w:t>
      </w:r>
      <w:r>
        <w:t>has necessitated a large ($201.4 million) downward adjustment to taxes, fees and fines. However, this will be largely offset by higher public authority dividend payments from GASCOR and its successor entities.</w:t>
      </w:r>
    </w:p>
    <w:p w:rsidR="00000000" w:rsidRDefault="001F233B">
      <w:r>
        <w:t>Inclusion of an additional $15 million in privatisation</w:t>
      </w:r>
      <w:r>
        <w:noBreakHyphen/>
        <w:t>related taxation receipts (which includes $10 million in stamp duty from the sale of PowerNet Victoria</w:t>
      </w:r>
      <w:r>
        <w:fldChar w:fldCharType="begin"/>
      </w:r>
      <w:r>
        <w:instrText>xe "Power Net Victoria"</w:instrText>
      </w:r>
      <w:r>
        <w:fldChar w:fldCharType="end"/>
      </w:r>
      <w:r>
        <w:t>) br</w:t>
      </w:r>
      <w:r>
        <w:t>ings the revised 1997</w:t>
      </w:r>
      <w:r>
        <w:noBreakHyphen/>
        <w:t>98 estimate of revenue from taxes, fees and fines including privatisation</w:t>
      </w:r>
      <w:r>
        <w:fldChar w:fldCharType="begin"/>
      </w:r>
      <w:r>
        <w:instrText>xe "Privatisation"</w:instrText>
      </w:r>
      <w:r>
        <w:fldChar w:fldCharType="end"/>
      </w:r>
      <w:r>
        <w:t xml:space="preserve"> proceeds to $8 564.6 million.</w:t>
      </w:r>
    </w:p>
    <w:p w:rsidR="00000000" w:rsidRDefault="001F233B">
      <w:pPr>
        <w:pStyle w:val="Heading4"/>
      </w:pPr>
      <w:r>
        <w:t>Public authority income</w:t>
      </w:r>
    </w:p>
    <w:p w:rsidR="00000000" w:rsidRDefault="001F233B">
      <w:pPr>
        <w:ind w:right="-1"/>
      </w:pPr>
      <w:r>
        <w:t>Public authority income includes dividends and tax equivalent payments by public authorities, but excludes electricity</w:t>
      </w:r>
      <w:r>
        <w:fldChar w:fldCharType="begin"/>
      </w:r>
      <w:r>
        <w:instrText>xe "Electricity"</w:instrText>
      </w:r>
      <w:r>
        <w:fldChar w:fldCharType="end"/>
      </w:r>
      <w:r>
        <w:t xml:space="preserve"> franchise fees and licence fees from GPU PowerNet (the new owner of PowerNet Victoria</w:t>
      </w:r>
      <w:r>
        <w:fldChar w:fldCharType="begin"/>
      </w:r>
      <w:r>
        <w:instrText>xe "Power Net Victoria"</w:instrText>
      </w:r>
      <w:r>
        <w:fldChar w:fldCharType="end"/>
      </w:r>
      <w:r>
        <w:t>) and the Financial Accommodation Levy, which are classified as taxes, fees and fines.</w:t>
      </w:r>
    </w:p>
    <w:p w:rsidR="00000000" w:rsidRDefault="001F233B">
      <w:pPr>
        <w:ind w:right="-1"/>
      </w:pPr>
      <w:r>
        <w:t>Dividend</w:t>
      </w:r>
      <w:r>
        <w:t>s paid by public authorities are anticipated to account for 90.6 per cent of public authority income in 1997</w:t>
      </w:r>
      <w:r>
        <w:noBreakHyphen/>
        <w:t>98 (see Chart 5.4). The payment of dividends by government business enterprises (GBEs) recognises that equity capital has alternative uses and therefore an appropriate return should be paid to the State for its investment</w:t>
      </w:r>
      <w:r>
        <w:fldChar w:fldCharType="begin"/>
      </w:r>
      <w:r>
        <w:instrText>xe "Economy:Investment"</w:instrText>
      </w:r>
      <w:r>
        <w:fldChar w:fldCharType="end"/>
      </w:r>
      <w:r>
        <w:t xml:space="preserve"> in the GBE. </w:t>
      </w:r>
    </w:p>
    <w:p w:rsidR="00000000" w:rsidRDefault="001F233B">
      <w:pPr>
        <w:ind w:right="-1"/>
      </w:pPr>
      <w:r>
        <w:t>The remaining public authority income is in the form of income tax</w:t>
      </w:r>
      <w:r>
        <w:fldChar w:fldCharType="begin"/>
      </w:r>
      <w:r>
        <w:instrText>xe "Tax equivalent payments:Income tax"</w:instrText>
      </w:r>
      <w:r>
        <w:fldChar w:fldCharType="end"/>
      </w:r>
      <w:r>
        <w:t xml:space="preserve"> equivalent payments (8.6 per cent) </w:t>
      </w:r>
      <w:r>
        <w:t>and wholesale sales tax</w:t>
      </w:r>
      <w:r>
        <w:fldChar w:fldCharType="begin"/>
      </w:r>
      <w:r>
        <w:instrText>xe "Tax equivalent payments:Wholesale sales tax"</w:instrText>
      </w:r>
      <w:r>
        <w:fldChar w:fldCharType="end"/>
      </w:r>
      <w:r>
        <w:t xml:space="preserve"> equivalent payments (0.8 per cent). The Victorian tax equivalent system ensures the competitive neutrality of GBEs with competing private sector firms and strengthens the financial discipline on GBEs by factoring income and wholesale sales tax</w:t>
      </w:r>
      <w:r>
        <w:fldChar w:fldCharType="begin"/>
      </w:r>
      <w:r>
        <w:instrText>xe "Sales tax"</w:instrText>
      </w:r>
      <w:r>
        <w:fldChar w:fldCharType="end"/>
      </w:r>
      <w:r>
        <w:t xml:space="preserve"> equivalent payments into their business decisions.</w:t>
      </w:r>
    </w:p>
    <w:p w:rsidR="00000000" w:rsidRDefault="001F233B">
      <w:pPr>
        <w:pStyle w:val="Chartheading"/>
        <w:keepNext/>
        <w:keepLines/>
        <w:spacing w:before="120"/>
        <w:rPr>
          <w:i/>
          <w:vertAlign w:val="superscript"/>
        </w:rPr>
      </w:pPr>
      <w:r>
        <w:t>Chart 5.4: Composition of Public Authority Income, 1997</w:t>
      </w:r>
      <w:r>
        <w:noBreakHyphen/>
        <w:t xml:space="preserve">98 </w:t>
      </w:r>
      <w:r>
        <w:rPr>
          <w:i/>
          <w:vertAlign w:val="superscript"/>
        </w:rPr>
        <w:t>(a)</w:t>
      </w:r>
    </w:p>
    <w:p w:rsidR="00000000" w:rsidRDefault="001F233B">
      <w:pPr>
        <w:keepNext/>
        <w:keepLines/>
        <w:spacing w:after="0"/>
      </w:pPr>
      <w:r>
        <w:rPr>
          <w:noProof/>
          <w:sz w:val="20"/>
        </w:rPr>
        <w:drawing>
          <wp:inline distT="0" distB="0" distL="0" distR="0">
            <wp:extent cx="4467225" cy="27432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67225" cy="2743200"/>
                    </a:xfrm>
                    <a:prstGeom prst="rect">
                      <a:avLst/>
                    </a:prstGeom>
                    <a:noFill/>
                    <a:ln>
                      <a:noFill/>
                    </a:ln>
                  </pic:spPr>
                </pic:pic>
              </a:graphicData>
            </a:graphic>
          </wp:inline>
        </w:drawing>
      </w:r>
    </w:p>
    <w:p w:rsidR="00000000" w:rsidRDefault="001F233B">
      <w:pPr>
        <w:pStyle w:val="Source"/>
        <w:keepNext/>
        <w:spacing w:after="0"/>
      </w:pPr>
      <w:r>
        <w:t>Source: Department of Treasury and Finance.</w:t>
      </w:r>
    </w:p>
    <w:p w:rsidR="00000000" w:rsidRDefault="001F233B">
      <w:pPr>
        <w:pStyle w:val="Notes"/>
        <w:keepNext/>
        <w:spacing w:before="120"/>
        <w:jc w:val="both"/>
      </w:pPr>
      <w:r>
        <w:t>Note:</w:t>
      </w:r>
    </w:p>
    <w:p w:rsidR="00000000" w:rsidRDefault="001F233B">
      <w:pPr>
        <w:pStyle w:val="Notes"/>
        <w:keepNext/>
        <w:jc w:val="both"/>
      </w:pPr>
      <w:r>
        <w:t>(a)</w:t>
      </w:r>
      <w:r>
        <w:tab/>
        <w:t>1997</w:t>
      </w:r>
      <w:r>
        <w:noBreakHyphen/>
        <w:t xml:space="preserve">98 </w:t>
      </w:r>
      <w:r>
        <w:t>Revised estimates excluding privatisation</w:t>
      </w:r>
      <w:r>
        <w:fldChar w:fldCharType="begin"/>
      </w:r>
      <w:r>
        <w:instrText>xe "Privatisation"</w:instrText>
      </w:r>
      <w:r>
        <w:fldChar w:fldCharType="end"/>
      </w:r>
      <w:r>
        <w:t xml:space="preserve"> effects.</w:t>
      </w:r>
    </w:p>
    <w:p w:rsidR="00000000" w:rsidRDefault="001F233B"/>
    <w:p w:rsidR="00000000" w:rsidRDefault="001F233B">
      <w:pPr>
        <w:ind w:right="-1"/>
        <w:rPr>
          <w:color w:val="000000"/>
        </w:rPr>
      </w:pPr>
      <w:r>
        <w:rPr>
          <w:color w:val="000000"/>
        </w:rPr>
        <w:t>Public authority income is estimated to be $1 123.4 million in 1997</w:t>
      </w:r>
      <w:r>
        <w:rPr>
          <w:color w:val="000000"/>
        </w:rPr>
        <w:noBreakHyphen/>
        <w:t>98 ($944.8 million after excluding privatisation</w:t>
      </w:r>
      <w:r>
        <w:rPr>
          <w:color w:val="000000"/>
        </w:rPr>
        <w:fldChar w:fldCharType="begin"/>
      </w:r>
      <w:r>
        <w:rPr>
          <w:color w:val="000000"/>
        </w:rPr>
        <w:instrText>xe "Privatisation"</w:instrText>
      </w:r>
      <w:r>
        <w:rPr>
          <w:color w:val="000000"/>
        </w:rPr>
        <w:fldChar w:fldCharType="end"/>
      </w:r>
      <w:r>
        <w:rPr>
          <w:color w:val="000000"/>
        </w:rPr>
        <w:t xml:space="preserve"> receipts). This is $439.9 million more than the 1997</w:t>
      </w:r>
      <w:r>
        <w:rPr>
          <w:color w:val="000000"/>
        </w:rPr>
        <w:noBreakHyphen/>
        <w:t>98 Budget estimate.</w:t>
      </w:r>
    </w:p>
    <w:p w:rsidR="00000000" w:rsidRDefault="001F233B">
      <w:pPr>
        <w:pStyle w:val="Tableheading"/>
        <w:spacing w:before="160"/>
      </w:pPr>
      <w:bookmarkStart w:id="112" w:name="_Toc417120001"/>
      <w:r>
        <w:br w:type="page"/>
      </w:r>
      <w:bookmarkStart w:id="113" w:name="_Toc417552759"/>
      <w:r>
        <w:t>Table 5.7: Public Authority Income 1997</w:t>
      </w:r>
      <w:r>
        <w:noBreakHyphen/>
        <w:t>98</w:t>
      </w:r>
      <w:bookmarkEnd w:id="112"/>
      <w:bookmarkEnd w:id="113"/>
    </w:p>
    <w:p w:rsidR="00000000" w:rsidRDefault="001F233B">
      <w:pPr>
        <w:pStyle w:val="Tabletext"/>
        <w:jc w:val="center"/>
        <w:rPr>
          <w:i/>
          <w:noProof/>
        </w:rPr>
      </w:pPr>
      <w:r>
        <w:rPr>
          <w:i/>
        </w:rPr>
        <w:t>$ million</w:t>
      </w:r>
    </w:p>
    <w:tbl>
      <w:tblPr>
        <w:tblW w:w="0" w:type="auto"/>
        <w:tblLayout w:type="fixed"/>
        <w:tblCellMar>
          <w:left w:w="30" w:type="dxa"/>
          <w:right w:w="30" w:type="dxa"/>
        </w:tblCellMar>
        <w:tblLook w:val="0000" w:firstRow="0" w:lastRow="0" w:firstColumn="0" w:lastColumn="0" w:noHBand="0" w:noVBand="0"/>
      </w:tblPr>
      <w:tblGrid>
        <w:gridCol w:w="3000"/>
        <w:gridCol w:w="1035"/>
        <w:gridCol w:w="1035"/>
        <w:gridCol w:w="1035"/>
        <w:gridCol w:w="1035"/>
      </w:tblGrid>
      <w:tr w:rsidR="00000000">
        <w:tblPrEx>
          <w:tblCellMar>
            <w:top w:w="0" w:type="dxa"/>
            <w:bottom w:w="0" w:type="dxa"/>
          </w:tblCellMar>
        </w:tblPrEx>
        <w:trPr>
          <w:trHeight w:val="242"/>
        </w:trPr>
        <w:tc>
          <w:tcPr>
            <w:tcW w:w="3000" w:type="dxa"/>
            <w:tcBorders>
              <w:top w:val="single" w:sz="6" w:space="0" w:color="auto"/>
            </w:tcBorders>
          </w:tcPr>
          <w:p w:rsidR="00000000" w:rsidRDefault="001F233B">
            <w:pPr>
              <w:pStyle w:val="Tabletext"/>
              <w:jc w:val="right"/>
            </w:pPr>
          </w:p>
        </w:tc>
        <w:tc>
          <w:tcPr>
            <w:tcW w:w="1035" w:type="dxa"/>
            <w:tcBorders>
              <w:top w:val="single" w:sz="6" w:space="0" w:color="auto"/>
            </w:tcBorders>
          </w:tcPr>
          <w:p w:rsidR="00000000" w:rsidRDefault="001F233B">
            <w:pPr>
              <w:pStyle w:val="Tabletext"/>
              <w:jc w:val="right"/>
              <w:rPr>
                <w:i/>
              </w:rPr>
            </w:pPr>
            <w:r>
              <w:rPr>
                <w:i/>
              </w:rPr>
              <w:t>1997-98</w:t>
            </w:r>
          </w:p>
        </w:tc>
        <w:tc>
          <w:tcPr>
            <w:tcW w:w="1035" w:type="dxa"/>
            <w:tcBorders>
              <w:top w:val="single" w:sz="6" w:space="0" w:color="auto"/>
            </w:tcBorders>
          </w:tcPr>
          <w:p w:rsidR="00000000" w:rsidRDefault="001F233B">
            <w:pPr>
              <w:pStyle w:val="Tabletext"/>
              <w:jc w:val="right"/>
              <w:rPr>
                <w:i/>
              </w:rPr>
            </w:pPr>
            <w:r>
              <w:rPr>
                <w:i/>
              </w:rPr>
              <w:t>1997-98</w:t>
            </w:r>
          </w:p>
        </w:tc>
        <w:tc>
          <w:tcPr>
            <w:tcW w:w="1035" w:type="dxa"/>
            <w:tcBorders>
              <w:top w:val="single" w:sz="6" w:space="0" w:color="auto"/>
            </w:tcBorders>
          </w:tcPr>
          <w:p w:rsidR="00000000" w:rsidRDefault="001F233B">
            <w:pPr>
              <w:pStyle w:val="Tabletext"/>
              <w:jc w:val="right"/>
              <w:rPr>
                <w:i/>
              </w:rPr>
            </w:pPr>
            <w:r>
              <w:rPr>
                <w:i/>
              </w:rPr>
              <w:t>Variation</w:t>
            </w:r>
          </w:p>
        </w:tc>
        <w:tc>
          <w:tcPr>
            <w:tcW w:w="1035" w:type="dxa"/>
            <w:tcBorders>
              <w:top w:val="single" w:sz="6" w:space="0" w:color="auto"/>
            </w:tcBorders>
          </w:tcPr>
          <w:p w:rsidR="00000000" w:rsidRDefault="001F233B">
            <w:pPr>
              <w:pStyle w:val="Tabletext"/>
              <w:jc w:val="right"/>
              <w:rPr>
                <w:i/>
              </w:rPr>
            </w:pPr>
            <w:r>
              <w:rPr>
                <w:i/>
              </w:rPr>
              <w:t>Variation</w:t>
            </w:r>
          </w:p>
        </w:tc>
      </w:tr>
      <w:tr w:rsidR="00000000">
        <w:tblPrEx>
          <w:tblCellMar>
            <w:top w:w="0" w:type="dxa"/>
            <w:bottom w:w="0" w:type="dxa"/>
          </w:tblCellMar>
        </w:tblPrEx>
        <w:trPr>
          <w:trHeight w:val="242"/>
        </w:trPr>
        <w:tc>
          <w:tcPr>
            <w:tcW w:w="3000" w:type="dxa"/>
          </w:tcPr>
          <w:p w:rsidR="00000000" w:rsidRDefault="001F233B">
            <w:pPr>
              <w:pStyle w:val="Tabletext"/>
              <w:jc w:val="right"/>
            </w:pPr>
          </w:p>
        </w:tc>
        <w:tc>
          <w:tcPr>
            <w:tcW w:w="1035" w:type="dxa"/>
          </w:tcPr>
          <w:p w:rsidR="00000000" w:rsidRDefault="001F233B">
            <w:pPr>
              <w:pStyle w:val="Tabletext"/>
              <w:jc w:val="right"/>
              <w:rPr>
                <w:i/>
              </w:rPr>
            </w:pPr>
            <w:r>
              <w:rPr>
                <w:i/>
              </w:rPr>
              <w:t xml:space="preserve">Budget </w:t>
            </w:r>
          </w:p>
        </w:tc>
        <w:tc>
          <w:tcPr>
            <w:tcW w:w="1035" w:type="dxa"/>
          </w:tcPr>
          <w:p w:rsidR="00000000" w:rsidRDefault="001F233B">
            <w:pPr>
              <w:pStyle w:val="Tabletext"/>
              <w:jc w:val="right"/>
              <w:rPr>
                <w:i/>
              </w:rPr>
            </w:pPr>
            <w:r>
              <w:rPr>
                <w:i/>
              </w:rPr>
              <w:t>Revised</w:t>
            </w:r>
          </w:p>
        </w:tc>
        <w:tc>
          <w:tcPr>
            <w:tcW w:w="1035" w:type="dxa"/>
          </w:tcPr>
          <w:p w:rsidR="00000000" w:rsidRDefault="001F233B">
            <w:pPr>
              <w:pStyle w:val="Tabletext"/>
              <w:jc w:val="right"/>
              <w:rPr>
                <w:i/>
              </w:rPr>
            </w:pPr>
            <w:r>
              <w:rPr>
                <w:i/>
              </w:rPr>
              <w:t xml:space="preserve">from </w:t>
            </w:r>
          </w:p>
        </w:tc>
        <w:tc>
          <w:tcPr>
            <w:tcW w:w="1035" w:type="dxa"/>
          </w:tcPr>
          <w:p w:rsidR="00000000" w:rsidRDefault="001F233B">
            <w:pPr>
              <w:pStyle w:val="Tabletext"/>
              <w:jc w:val="right"/>
              <w:rPr>
                <w:i/>
              </w:rPr>
            </w:pPr>
            <w:r>
              <w:rPr>
                <w:i/>
              </w:rPr>
              <w:t>from</w:t>
            </w:r>
          </w:p>
        </w:tc>
      </w:tr>
      <w:tr w:rsidR="00000000">
        <w:tblPrEx>
          <w:tblCellMar>
            <w:top w:w="0" w:type="dxa"/>
            <w:bottom w:w="0" w:type="dxa"/>
          </w:tblCellMar>
        </w:tblPrEx>
        <w:trPr>
          <w:trHeight w:val="242"/>
        </w:trPr>
        <w:tc>
          <w:tcPr>
            <w:tcW w:w="3000" w:type="dxa"/>
            <w:tcBorders>
              <w:bottom w:val="single" w:sz="6" w:space="0" w:color="auto"/>
            </w:tcBorders>
          </w:tcPr>
          <w:p w:rsidR="00000000" w:rsidRDefault="001F233B">
            <w:pPr>
              <w:pStyle w:val="Tabletext"/>
              <w:jc w:val="right"/>
            </w:pPr>
          </w:p>
        </w:tc>
        <w:tc>
          <w:tcPr>
            <w:tcW w:w="1035" w:type="dxa"/>
            <w:tcBorders>
              <w:bottom w:val="single" w:sz="6" w:space="0" w:color="auto"/>
            </w:tcBorders>
          </w:tcPr>
          <w:p w:rsidR="00000000" w:rsidRDefault="001F233B">
            <w:pPr>
              <w:pStyle w:val="Tabletext"/>
              <w:jc w:val="right"/>
              <w:rPr>
                <w:i/>
              </w:rPr>
            </w:pPr>
            <w:r>
              <w:rPr>
                <w:i/>
              </w:rPr>
              <w:t>Estimate</w:t>
            </w:r>
          </w:p>
        </w:tc>
        <w:tc>
          <w:tcPr>
            <w:tcW w:w="1035" w:type="dxa"/>
            <w:tcBorders>
              <w:bottom w:val="single" w:sz="6" w:space="0" w:color="auto"/>
            </w:tcBorders>
          </w:tcPr>
          <w:p w:rsidR="00000000" w:rsidRDefault="001F233B">
            <w:pPr>
              <w:pStyle w:val="Tabletext"/>
              <w:jc w:val="right"/>
              <w:rPr>
                <w:i/>
              </w:rPr>
            </w:pPr>
            <w:r>
              <w:rPr>
                <w:i/>
              </w:rPr>
              <w:t>Estimate</w:t>
            </w:r>
          </w:p>
        </w:tc>
        <w:tc>
          <w:tcPr>
            <w:tcW w:w="1035" w:type="dxa"/>
            <w:tcBorders>
              <w:bottom w:val="single" w:sz="6" w:space="0" w:color="auto"/>
            </w:tcBorders>
          </w:tcPr>
          <w:p w:rsidR="00000000" w:rsidRDefault="001F233B">
            <w:pPr>
              <w:pStyle w:val="Tabletext"/>
              <w:jc w:val="right"/>
              <w:rPr>
                <w:i/>
              </w:rPr>
            </w:pPr>
            <w:r>
              <w:rPr>
                <w:i/>
              </w:rPr>
              <w:t>Budget</w:t>
            </w:r>
          </w:p>
        </w:tc>
        <w:tc>
          <w:tcPr>
            <w:tcW w:w="1035" w:type="dxa"/>
            <w:tcBorders>
              <w:bottom w:val="single" w:sz="6" w:space="0" w:color="auto"/>
            </w:tcBorders>
          </w:tcPr>
          <w:p w:rsidR="00000000" w:rsidRDefault="001F233B">
            <w:pPr>
              <w:pStyle w:val="Tabletext"/>
              <w:jc w:val="right"/>
              <w:rPr>
                <w:i/>
                <w:color w:val="000000"/>
              </w:rPr>
            </w:pPr>
            <w:r>
              <w:rPr>
                <w:i/>
              </w:rPr>
              <w:t>Budget</w:t>
            </w:r>
            <w:r>
              <w:rPr>
                <w:i/>
                <w:color w:val="000000"/>
              </w:rPr>
              <w:t xml:space="preserve"> (%)</w:t>
            </w:r>
          </w:p>
        </w:tc>
      </w:tr>
      <w:tr w:rsidR="00000000">
        <w:tblPrEx>
          <w:tblCellMar>
            <w:top w:w="0" w:type="dxa"/>
            <w:bottom w:w="0" w:type="dxa"/>
          </w:tblCellMar>
        </w:tblPrEx>
        <w:trPr>
          <w:trHeight w:val="280"/>
        </w:trPr>
        <w:tc>
          <w:tcPr>
            <w:tcW w:w="3000" w:type="dxa"/>
          </w:tcPr>
          <w:p w:rsidR="00000000" w:rsidRDefault="001F233B">
            <w:pPr>
              <w:pStyle w:val="Tabletext"/>
            </w:pPr>
            <w:r>
              <w:t>Dividends</w:t>
            </w:r>
          </w:p>
        </w:tc>
        <w:tc>
          <w:tcPr>
            <w:tcW w:w="1035" w:type="dxa"/>
          </w:tcPr>
          <w:p w:rsidR="00000000" w:rsidRDefault="001F233B">
            <w:pPr>
              <w:pStyle w:val="Tabletext"/>
              <w:jc w:val="right"/>
            </w:pPr>
            <w:r>
              <w:t xml:space="preserve"> 556.7</w:t>
            </w:r>
          </w:p>
        </w:tc>
        <w:tc>
          <w:tcPr>
            <w:tcW w:w="1035" w:type="dxa"/>
          </w:tcPr>
          <w:p w:rsidR="00000000" w:rsidRDefault="001F233B">
            <w:pPr>
              <w:pStyle w:val="Tabletext"/>
              <w:jc w:val="right"/>
            </w:pPr>
            <w:r>
              <w:t xml:space="preserve"> 856.0</w:t>
            </w:r>
          </w:p>
        </w:tc>
        <w:tc>
          <w:tcPr>
            <w:tcW w:w="1035" w:type="dxa"/>
          </w:tcPr>
          <w:p w:rsidR="00000000" w:rsidRDefault="001F233B">
            <w:pPr>
              <w:pStyle w:val="Tabletext"/>
              <w:jc w:val="right"/>
            </w:pPr>
            <w:r>
              <w:t xml:space="preserve"> 299.3</w:t>
            </w:r>
          </w:p>
        </w:tc>
        <w:tc>
          <w:tcPr>
            <w:tcW w:w="1035" w:type="dxa"/>
          </w:tcPr>
          <w:p w:rsidR="00000000" w:rsidRDefault="001F233B">
            <w:pPr>
              <w:pStyle w:val="Tabletext"/>
              <w:jc w:val="right"/>
            </w:pPr>
            <w:r>
              <w:t xml:space="preserve">           53.8 </w:t>
            </w:r>
          </w:p>
        </w:tc>
      </w:tr>
      <w:tr w:rsidR="00000000">
        <w:tblPrEx>
          <w:tblCellMar>
            <w:top w:w="0" w:type="dxa"/>
            <w:bottom w:w="0" w:type="dxa"/>
          </w:tblCellMar>
        </w:tblPrEx>
        <w:trPr>
          <w:trHeight w:val="280"/>
        </w:trPr>
        <w:tc>
          <w:tcPr>
            <w:tcW w:w="3000" w:type="dxa"/>
          </w:tcPr>
          <w:p w:rsidR="00000000" w:rsidRDefault="001F233B">
            <w:pPr>
              <w:pStyle w:val="Tabletext"/>
            </w:pPr>
            <w:r>
              <w:t xml:space="preserve">Income Tax Equivalent </w:t>
            </w:r>
            <w:r>
              <w:t>Payments</w:t>
            </w:r>
          </w:p>
        </w:tc>
        <w:tc>
          <w:tcPr>
            <w:tcW w:w="1035" w:type="dxa"/>
          </w:tcPr>
          <w:p w:rsidR="00000000" w:rsidRDefault="001F233B">
            <w:pPr>
              <w:pStyle w:val="Tabletext"/>
              <w:jc w:val="right"/>
            </w:pPr>
            <w:r>
              <w:t xml:space="preserve"> 116.7</w:t>
            </w:r>
          </w:p>
        </w:tc>
        <w:tc>
          <w:tcPr>
            <w:tcW w:w="1035" w:type="dxa"/>
          </w:tcPr>
          <w:p w:rsidR="00000000" w:rsidRDefault="001F233B">
            <w:pPr>
              <w:pStyle w:val="Tabletext"/>
              <w:jc w:val="right"/>
            </w:pPr>
            <w:r>
              <w:t xml:space="preserve"> 259.9</w:t>
            </w:r>
          </w:p>
        </w:tc>
        <w:tc>
          <w:tcPr>
            <w:tcW w:w="1035" w:type="dxa"/>
          </w:tcPr>
          <w:p w:rsidR="00000000" w:rsidRDefault="001F233B">
            <w:pPr>
              <w:pStyle w:val="Tabletext"/>
              <w:jc w:val="right"/>
            </w:pPr>
            <w:r>
              <w:t xml:space="preserve"> 143.2</w:t>
            </w:r>
          </w:p>
        </w:tc>
        <w:tc>
          <w:tcPr>
            <w:tcW w:w="1035" w:type="dxa"/>
          </w:tcPr>
          <w:p w:rsidR="00000000" w:rsidRDefault="001F233B">
            <w:pPr>
              <w:pStyle w:val="Tabletext"/>
              <w:jc w:val="right"/>
            </w:pPr>
            <w:r>
              <w:t xml:space="preserve">          122.6 </w:t>
            </w:r>
          </w:p>
        </w:tc>
      </w:tr>
      <w:tr w:rsidR="00000000">
        <w:tblPrEx>
          <w:tblCellMar>
            <w:top w:w="0" w:type="dxa"/>
            <w:bottom w:w="0" w:type="dxa"/>
          </w:tblCellMar>
        </w:tblPrEx>
        <w:trPr>
          <w:trHeight w:val="280"/>
        </w:trPr>
        <w:tc>
          <w:tcPr>
            <w:tcW w:w="3000" w:type="dxa"/>
          </w:tcPr>
          <w:p w:rsidR="00000000" w:rsidRDefault="001F233B">
            <w:pPr>
              <w:pStyle w:val="Tabletext"/>
            </w:pPr>
            <w:r>
              <w:t>Wholesale Sales Tax Payments</w:t>
            </w:r>
          </w:p>
        </w:tc>
        <w:tc>
          <w:tcPr>
            <w:tcW w:w="1035" w:type="dxa"/>
          </w:tcPr>
          <w:p w:rsidR="00000000" w:rsidRDefault="001F233B">
            <w:pPr>
              <w:pStyle w:val="Tabletext"/>
              <w:jc w:val="right"/>
            </w:pPr>
            <w:r>
              <w:t xml:space="preserve"> 10.1</w:t>
            </w:r>
          </w:p>
        </w:tc>
        <w:tc>
          <w:tcPr>
            <w:tcW w:w="1035" w:type="dxa"/>
          </w:tcPr>
          <w:p w:rsidR="00000000" w:rsidRDefault="001F233B">
            <w:pPr>
              <w:pStyle w:val="Tabletext"/>
              <w:jc w:val="right"/>
            </w:pPr>
            <w:r>
              <w:t xml:space="preserve"> 7.5</w:t>
            </w:r>
          </w:p>
        </w:tc>
        <w:tc>
          <w:tcPr>
            <w:tcW w:w="1035" w:type="dxa"/>
          </w:tcPr>
          <w:p w:rsidR="00000000" w:rsidRDefault="001F233B">
            <w:pPr>
              <w:pStyle w:val="Tabletext"/>
              <w:jc w:val="right"/>
            </w:pPr>
            <w:r>
              <w:t>- 2.6</w:t>
            </w:r>
          </w:p>
        </w:tc>
        <w:tc>
          <w:tcPr>
            <w:tcW w:w="1035" w:type="dxa"/>
          </w:tcPr>
          <w:p w:rsidR="00000000" w:rsidRDefault="001F233B">
            <w:pPr>
              <w:pStyle w:val="Tabletext"/>
              <w:jc w:val="right"/>
            </w:pPr>
            <w:r>
              <w:t xml:space="preserve">         (25.4)</w:t>
            </w:r>
          </w:p>
        </w:tc>
      </w:tr>
      <w:tr w:rsidR="00000000">
        <w:tblPrEx>
          <w:tblCellMar>
            <w:top w:w="0" w:type="dxa"/>
            <w:bottom w:w="0" w:type="dxa"/>
          </w:tblCellMar>
        </w:tblPrEx>
        <w:trPr>
          <w:trHeight w:val="280"/>
        </w:trPr>
        <w:tc>
          <w:tcPr>
            <w:tcW w:w="3000" w:type="dxa"/>
          </w:tcPr>
          <w:p w:rsidR="00000000" w:rsidRDefault="001F233B">
            <w:pPr>
              <w:pStyle w:val="Tabletext"/>
              <w:rPr>
                <w:b/>
              </w:rPr>
            </w:pPr>
            <w:r>
              <w:rPr>
                <w:b/>
              </w:rPr>
              <w:t>Total Public Authority Income</w:t>
            </w:r>
          </w:p>
        </w:tc>
        <w:tc>
          <w:tcPr>
            <w:tcW w:w="1035" w:type="dxa"/>
            <w:tcBorders>
              <w:top w:val="single" w:sz="6" w:space="0" w:color="auto"/>
            </w:tcBorders>
          </w:tcPr>
          <w:p w:rsidR="00000000" w:rsidRDefault="001F233B">
            <w:pPr>
              <w:pStyle w:val="Tabletext"/>
              <w:jc w:val="right"/>
              <w:rPr>
                <w:b/>
              </w:rPr>
            </w:pPr>
            <w:r>
              <w:rPr>
                <w:b/>
              </w:rPr>
              <w:t xml:space="preserve"> 683.5</w:t>
            </w:r>
          </w:p>
        </w:tc>
        <w:tc>
          <w:tcPr>
            <w:tcW w:w="1035" w:type="dxa"/>
            <w:tcBorders>
              <w:top w:val="single" w:sz="6" w:space="0" w:color="auto"/>
            </w:tcBorders>
          </w:tcPr>
          <w:p w:rsidR="00000000" w:rsidRDefault="001F233B">
            <w:pPr>
              <w:pStyle w:val="Tabletext"/>
              <w:jc w:val="right"/>
              <w:rPr>
                <w:b/>
              </w:rPr>
            </w:pPr>
            <w:r>
              <w:rPr>
                <w:b/>
              </w:rPr>
              <w:t>1 123.4</w:t>
            </w:r>
          </w:p>
        </w:tc>
        <w:tc>
          <w:tcPr>
            <w:tcW w:w="1035" w:type="dxa"/>
            <w:tcBorders>
              <w:top w:val="single" w:sz="6" w:space="0" w:color="auto"/>
            </w:tcBorders>
          </w:tcPr>
          <w:p w:rsidR="00000000" w:rsidRDefault="001F233B">
            <w:pPr>
              <w:pStyle w:val="Tabletext"/>
              <w:jc w:val="right"/>
              <w:rPr>
                <w:b/>
              </w:rPr>
            </w:pPr>
            <w:r>
              <w:rPr>
                <w:b/>
              </w:rPr>
              <w:t xml:space="preserve"> 439.9</w:t>
            </w:r>
          </w:p>
        </w:tc>
        <w:tc>
          <w:tcPr>
            <w:tcW w:w="1035" w:type="dxa"/>
            <w:tcBorders>
              <w:top w:val="single" w:sz="6" w:space="0" w:color="auto"/>
            </w:tcBorders>
          </w:tcPr>
          <w:p w:rsidR="00000000" w:rsidRDefault="001F233B">
            <w:pPr>
              <w:pStyle w:val="Tabletext"/>
              <w:jc w:val="right"/>
              <w:rPr>
                <w:b/>
              </w:rPr>
            </w:pPr>
            <w:r>
              <w:rPr>
                <w:b/>
              </w:rPr>
              <w:t xml:space="preserve">64.4  </w:t>
            </w:r>
          </w:p>
        </w:tc>
      </w:tr>
      <w:tr w:rsidR="00000000">
        <w:tblPrEx>
          <w:tblCellMar>
            <w:top w:w="0" w:type="dxa"/>
            <w:bottom w:w="0" w:type="dxa"/>
          </w:tblCellMar>
        </w:tblPrEx>
        <w:trPr>
          <w:trHeight w:val="280"/>
        </w:trPr>
        <w:tc>
          <w:tcPr>
            <w:tcW w:w="3000" w:type="dxa"/>
          </w:tcPr>
          <w:p w:rsidR="00000000" w:rsidRDefault="001F233B">
            <w:pPr>
              <w:pStyle w:val="Tabletext"/>
              <w:rPr>
                <w:i/>
              </w:rPr>
            </w:pPr>
            <w:r>
              <w:rPr>
                <w:i/>
              </w:rPr>
              <w:t>Less Privatisation</w:t>
            </w:r>
            <w:r>
              <w:rPr>
                <w:i/>
              </w:rPr>
              <w:fldChar w:fldCharType="begin"/>
            </w:r>
            <w:r>
              <w:rPr>
                <w:i/>
              </w:rPr>
              <w:instrText>xe "Privatisation"</w:instrText>
            </w:r>
            <w:r>
              <w:rPr>
                <w:i/>
              </w:rPr>
              <w:fldChar w:fldCharType="end"/>
            </w:r>
            <w:r>
              <w:rPr>
                <w:i/>
              </w:rPr>
              <w:t xml:space="preserve"> Proceeds</w:t>
            </w:r>
          </w:p>
        </w:tc>
        <w:tc>
          <w:tcPr>
            <w:tcW w:w="1035" w:type="dxa"/>
            <w:tcBorders>
              <w:bottom w:val="single" w:sz="6" w:space="0" w:color="auto"/>
            </w:tcBorders>
          </w:tcPr>
          <w:p w:rsidR="00000000" w:rsidRDefault="001F233B">
            <w:pPr>
              <w:pStyle w:val="Tabletext"/>
              <w:jc w:val="right"/>
            </w:pPr>
          </w:p>
        </w:tc>
        <w:tc>
          <w:tcPr>
            <w:tcW w:w="1035" w:type="dxa"/>
            <w:tcBorders>
              <w:bottom w:val="single" w:sz="6" w:space="0" w:color="auto"/>
            </w:tcBorders>
          </w:tcPr>
          <w:p w:rsidR="00000000" w:rsidRDefault="001F233B">
            <w:pPr>
              <w:pStyle w:val="Tabletext"/>
              <w:jc w:val="right"/>
            </w:pPr>
            <w:r>
              <w:t xml:space="preserve"> 178.7</w:t>
            </w:r>
          </w:p>
        </w:tc>
        <w:tc>
          <w:tcPr>
            <w:tcW w:w="1035" w:type="dxa"/>
            <w:tcBorders>
              <w:bottom w:val="single" w:sz="6" w:space="0" w:color="auto"/>
            </w:tcBorders>
          </w:tcPr>
          <w:p w:rsidR="00000000" w:rsidRDefault="001F233B">
            <w:pPr>
              <w:pStyle w:val="Tabletext"/>
              <w:jc w:val="right"/>
            </w:pPr>
            <w:r>
              <w:t xml:space="preserve"> 178.7</w:t>
            </w:r>
          </w:p>
        </w:tc>
        <w:tc>
          <w:tcPr>
            <w:tcW w:w="1035" w:type="dxa"/>
            <w:tcBorders>
              <w:bottom w:val="single" w:sz="6" w:space="0" w:color="auto"/>
            </w:tcBorders>
          </w:tcPr>
          <w:p w:rsidR="00000000" w:rsidRDefault="001F233B">
            <w:pPr>
              <w:pStyle w:val="Tabletext"/>
              <w:jc w:val="right"/>
            </w:pPr>
          </w:p>
        </w:tc>
      </w:tr>
      <w:tr w:rsidR="00000000">
        <w:tblPrEx>
          <w:tblCellMar>
            <w:top w:w="0" w:type="dxa"/>
            <w:bottom w:w="0" w:type="dxa"/>
          </w:tblCellMar>
        </w:tblPrEx>
        <w:trPr>
          <w:trHeight w:val="280"/>
        </w:trPr>
        <w:tc>
          <w:tcPr>
            <w:tcW w:w="3000" w:type="dxa"/>
          </w:tcPr>
          <w:p w:rsidR="00000000" w:rsidRDefault="001F233B">
            <w:pPr>
              <w:pStyle w:val="Tabletext"/>
              <w:rPr>
                <w:b/>
              </w:rPr>
            </w:pPr>
            <w:r>
              <w:rPr>
                <w:b/>
              </w:rPr>
              <w:t>Total Public Authority Income</w:t>
            </w:r>
          </w:p>
        </w:tc>
        <w:tc>
          <w:tcPr>
            <w:tcW w:w="1035" w:type="dxa"/>
          </w:tcPr>
          <w:p w:rsidR="00000000" w:rsidRDefault="001F233B">
            <w:pPr>
              <w:pStyle w:val="Tabletext"/>
              <w:jc w:val="right"/>
            </w:pPr>
          </w:p>
        </w:tc>
        <w:tc>
          <w:tcPr>
            <w:tcW w:w="1035" w:type="dxa"/>
          </w:tcPr>
          <w:p w:rsidR="00000000" w:rsidRDefault="001F233B">
            <w:pPr>
              <w:pStyle w:val="Tabletext"/>
              <w:jc w:val="right"/>
            </w:pPr>
          </w:p>
        </w:tc>
        <w:tc>
          <w:tcPr>
            <w:tcW w:w="1035" w:type="dxa"/>
          </w:tcPr>
          <w:p w:rsidR="00000000" w:rsidRDefault="001F233B">
            <w:pPr>
              <w:pStyle w:val="Tabletext"/>
              <w:jc w:val="right"/>
            </w:pPr>
          </w:p>
        </w:tc>
        <w:tc>
          <w:tcPr>
            <w:tcW w:w="1035" w:type="dxa"/>
          </w:tcPr>
          <w:p w:rsidR="00000000" w:rsidRDefault="001F233B">
            <w:pPr>
              <w:pStyle w:val="Tabletext"/>
              <w:jc w:val="right"/>
            </w:pPr>
          </w:p>
        </w:tc>
      </w:tr>
      <w:tr w:rsidR="00000000">
        <w:tblPrEx>
          <w:tblCellMar>
            <w:top w:w="0" w:type="dxa"/>
            <w:bottom w:w="0" w:type="dxa"/>
          </w:tblCellMar>
        </w:tblPrEx>
        <w:trPr>
          <w:trHeight w:val="280"/>
        </w:trPr>
        <w:tc>
          <w:tcPr>
            <w:tcW w:w="3000" w:type="dxa"/>
            <w:tcBorders>
              <w:bottom w:val="single" w:sz="12" w:space="0" w:color="auto"/>
            </w:tcBorders>
          </w:tcPr>
          <w:p w:rsidR="00000000" w:rsidRDefault="001F233B">
            <w:pPr>
              <w:pStyle w:val="Tabletext"/>
              <w:rPr>
                <w:b/>
              </w:rPr>
            </w:pPr>
            <w:r>
              <w:rPr>
                <w:b/>
              </w:rPr>
              <w:t>excluding privatisation</w:t>
            </w:r>
            <w:r>
              <w:rPr>
                <w:b/>
              </w:rPr>
              <w:fldChar w:fldCharType="begin"/>
            </w:r>
            <w:r>
              <w:rPr>
                <w:b/>
              </w:rPr>
              <w:instrText>xe "Privatisation"</w:instrText>
            </w:r>
            <w:r>
              <w:rPr>
                <w:b/>
              </w:rPr>
              <w:fldChar w:fldCharType="end"/>
            </w:r>
          </w:p>
        </w:tc>
        <w:tc>
          <w:tcPr>
            <w:tcW w:w="1035" w:type="dxa"/>
            <w:tcBorders>
              <w:bottom w:val="single" w:sz="12" w:space="0" w:color="auto"/>
            </w:tcBorders>
          </w:tcPr>
          <w:p w:rsidR="00000000" w:rsidRDefault="001F233B">
            <w:pPr>
              <w:pStyle w:val="Tabletext"/>
              <w:jc w:val="right"/>
            </w:pPr>
            <w:r>
              <w:t xml:space="preserve"> 683.5</w:t>
            </w:r>
          </w:p>
        </w:tc>
        <w:tc>
          <w:tcPr>
            <w:tcW w:w="1035" w:type="dxa"/>
            <w:tcBorders>
              <w:bottom w:val="single" w:sz="12" w:space="0" w:color="auto"/>
            </w:tcBorders>
          </w:tcPr>
          <w:p w:rsidR="00000000" w:rsidRDefault="001F233B">
            <w:pPr>
              <w:pStyle w:val="Tabletext"/>
              <w:jc w:val="right"/>
            </w:pPr>
            <w:r>
              <w:t xml:space="preserve"> 944.8</w:t>
            </w:r>
          </w:p>
        </w:tc>
        <w:tc>
          <w:tcPr>
            <w:tcW w:w="1035" w:type="dxa"/>
            <w:tcBorders>
              <w:bottom w:val="single" w:sz="12" w:space="0" w:color="auto"/>
            </w:tcBorders>
          </w:tcPr>
          <w:p w:rsidR="00000000" w:rsidRDefault="001F233B">
            <w:pPr>
              <w:pStyle w:val="Tabletext"/>
              <w:jc w:val="right"/>
            </w:pPr>
            <w:r>
              <w:t xml:space="preserve"> 261.2</w:t>
            </w:r>
          </w:p>
        </w:tc>
        <w:tc>
          <w:tcPr>
            <w:tcW w:w="1035" w:type="dxa"/>
            <w:tcBorders>
              <w:bottom w:val="single" w:sz="12" w:space="0" w:color="auto"/>
            </w:tcBorders>
          </w:tcPr>
          <w:p w:rsidR="00000000" w:rsidRDefault="001F233B">
            <w:pPr>
              <w:pStyle w:val="Tabletext"/>
              <w:jc w:val="right"/>
            </w:pPr>
            <w:r>
              <w:t xml:space="preserve">38.2  </w:t>
            </w:r>
          </w:p>
        </w:tc>
      </w:tr>
    </w:tbl>
    <w:p w:rsidR="00000000" w:rsidRDefault="001F233B">
      <w:pPr>
        <w:pStyle w:val="Source"/>
        <w:rPr>
          <w:noProof/>
        </w:rPr>
      </w:pPr>
      <w:r>
        <w:t>Source: Department of Treasury and Finance.</w:t>
      </w:r>
    </w:p>
    <w:p w:rsidR="00000000" w:rsidRDefault="001F233B">
      <w:pPr>
        <w:ind w:right="-1"/>
        <w:rPr>
          <w:color w:val="000000"/>
        </w:rPr>
      </w:pPr>
      <w:r>
        <w:rPr>
          <w:color w:val="000000"/>
        </w:rPr>
        <w:t>The higher than expected increase in public authority income (excluding privatisation</w:t>
      </w:r>
      <w:r>
        <w:rPr>
          <w:color w:val="000000"/>
        </w:rPr>
        <w:fldChar w:fldCharType="begin"/>
      </w:r>
      <w:r>
        <w:rPr>
          <w:color w:val="000000"/>
        </w:rPr>
        <w:instrText>xe "Privatisation"</w:instrText>
      </w:r>
      <w:r>
        <w:rPr>
          <w:color w:val="000000"/>
        </w:rPr>
        <w:fldChar w:fldCharType="end"/>
      </w:r>
      <w:r>
        <w:rPr>
          <w:color w:val="000000"/>
        </w:rPr>
        <w:t xml:space="preserve"> receipts) is due t</w:t>
      </w:r>
      <w:r>
        <w:rPr>
          <w:color w:val="000000"/>
        </w:rPr>
        <w:t>o structural change</w:t>
      </w:r>
      <w:r>
        <w:rPr>
          <w:color w:val="000000"/>
        </w:rPr>
        <w:fldChar w:fldCharType="begin"/>
      </w:r>
      <w:r>
        <w:rPr>
          <w:color w:val="000000"/>
        </w:rPr>
        <w:instrText>xe "Economy:Structural change"</w:instrText>
      </w:r>
      <w:r>
        <w:rPr>
          <w:color w:val="000000"/>
        </w:rPr>
        <w:fldChar w:fldCharType="end"/>
      </w:r>
      <w:r>
        <w:rPr>
          <w:color w:val="000000"/>
        </w:rPr>
        <w:t>s in the Victorian gas</w:t>
      </w:r>
      <w:r>
        <w:rPr>
          <w:color w:val="000000"/>
        </w:rPr>
        <w:fldChar w:fldCharType="begin"/>
      </w:r>
      <w:r>
        <w:rPr>
          <w:color w:val="000000"/>
        </w:rPr>
        <w:instrText>xe "Gas"</w:instrText>
      </w:r>
      <w:r>
        <w:rPr>
          <w:color w:val="000000"/>
        </w:rPr>
        <w:fldChar w:fldCharType="end"/>
      </w:r>
      <w:r>
        <w:rPr>
          <w:color w:val="000000"/>
        </w:rPr>
        <w:t xml:space="preserve"> industry</w:t>
      </w:r>
      <w:r>
        <w:rPr>
          <w:color w:val="000000"/>
        </w:rPr>
        <w:fldChar w:fldCharType="begin"/>
      </w:r>
      <w:r>
        <w:rPr>
          <w:color w:val="000000"/>
        </w:rPr>
        <w:instrText>xe "Public authority income:Gas industry"</w:instrText>
      </w:r>
      <w:r>
        <w:rPr>
          <w:color w:val="000000"/>
        </w:rPr>
        <w:fldChar w:fldCharType="end"/>
      </w:r>
      <w:r>
        <w:rPr>
          <w:color w:val="000000"/>
        </w:rPr>
        <w:t xml:space="preserve"> and revised estimates of profitability from a number of GBEs. Increases in some items are expected to be partly offset by decreases in other items. </w:t>
      </w:r>
    </w:p>
    <w:p w:rsidR="00000000" w:rsidRDefault="001F233B">
      <w:pPr>
        <w:pStyle w:val="BodyText2"/>
      </w:pPr>
      <w:r>
        <w:t>Reforms to the Victorian gas</w:t>
      </w:r>
      <w:r>
        <w:fldChar w:fldCharType="begin"/>
      </w:r>
      <w:r>
        <w:instrText>xe "Gas"</w:instrText>
      </w:r>
      <w:r>
        <w:fldChar w:fldCharType="end"/>
      </w:r>
      <w:r>
        <w:t xml:space="preserve"> industry</w:t>
      </w:r>
      <w:r>
        <w:fldChar w:fldCharType="begin"/>
      </w:r>
      <w:r>
        <w:instrText>xe "Public authority income:Gas industry"</w:instrText>
      </w:r>
      <w:r>
        <w:fldChar w:fldCharType="end"/>
      </w:r>
      <w:r>
        <w:t xml:space="preserve"> have resulted in the repeal of the former public authority contribution</w:t>
      </w:r>
      <w:r>
        <w:fldChar w:fldCharType="begin"/>
      </w:r>
      <w:r>
        <w:instrText>xe "Public authority contribution"</w:instrText>
      </w:r>
      <w:r>
        <w:fldChar w:fldCharType="end"/>
      </w:r>
      <w:r>
        <w:t xml:space="preserve"> (PAC) from 11 December 1997.</w:t>
      </w:r>
      <w:r>
        <w:t xml:space="preserve"> This has resulted in a downward adjustment to taxes, fees and fines. However, this will be largely offset by increased dividends from the gas industry. Chapter 8 contains further details on reforms in the gas industry.</w:t>
      </w:r>
    </w:p>
    <w:p w:rsidR="00000000" w:rsidRDefault="001F233B">
      <w:pPr>
        <w:ind w:right="-1"/>
        <w:rPr>
          <w:color w:val="000000"/>
        </w:rPr>
      </w:pPr>
      <w:r>
        <w:rPr>
          <w:color w:val="000000"/>
        </w:rPr>
        <w:t>Proceeds from privatisations accounted for $178.7 million – comprising increased tax equivalent receipts of $170.4 million resulting from the sale of PowerNet Victoria</w:t>
      </w:r>
      <w:r>
        <w:rPr>
          <w:color w:val="000000"/>
        </w:rPr>
        <w:fldChar w:fldCharType="begin"/>
      </w:r>
      <w:r>
        <w:rPr>
          <w:color w:val="000000"/>
        </w:rPr>
        <w:instrText>xe "Power Net Victoria"</w:instrText>
      </w:r>
      <w:r>
        <w:rPr>
          <w:color w:val="000000"/>
        </w:rPr>
        <w:fldChar w:fldCharType="end"/>
      </w:r>
      <w:r>
        <w:rPr>
          <w:color w:val="000000"/>
        </w:rPr>
        <w:t xml:space="preserve"> and $8.3 million from the sale of Southern Hydro</w:t>
      </w:r>
      <w:r>
        <w:rPr>
          <w:color w:val="000000"/>
        </w:rPr>
        <w:fldChar w:fldCharType="begin"/>
      </w:r>
      <w:r>
        <w:rPr>
          <w:color w:val="000000"/>
        </w:rPr>
        <w:instrText>xe "Southern Hydro"</w:instrText>
      </w:r>
      <w:r>
        <w:rPr>
          <w:color w:val="000000"/>
        </w:rPr>
        <w:fldChar w:fldCharType="end"/>
      </w:r>
      <w:r>
        <w:rPr>
          <w:color w:val="000000"/>
        </w:rPr>
        <w:t xml:space="preserve"> Limited.</w:t>
      </w:r>
    </w:p>
    <w:p w:rsidR="00000000" w:rsidRDefault="001F233B">
      <w:pPr>
        <w:ind w:right="-1"/>
        <w:rPr>
          <w:color w:val="000000"/>
        </w:rPr>
      </w:pPr>
      <w:r>
        <w:rPr>
          <w:color w:val="000000"/>
        </w:rPr>
        <w:t>Other revisions to p</w:t>
      </w:r>
      <w:r>
        <w:rPr>
          <w:color w:val="000000"/>
        </w:rPr>
        <w:t>ublic authority income relative to the original Budget estimate are due to:</w:t>
      </w:r>
    </w:p>
    <w:p w:rsidR="00000000" w:rsidRDefault="001F233B" w:rsidP="001F233B">
      <w:pPr>
        <w:pStyle w:val="BulletText"/>
        <w:numPr>
          <w:ilvl w:val="0"/>
          <w:numId w:val="1"/>
        </w:numPr>
      </w:pPr>
      <w:r>
        <w:t>strong profitability by the water sector in the first half of 1997</w:t>
      </w:r>
      <w:r>
        <w:noBreakHyphen/>
        <w:t>98 which led to increased distributions of $43 million;</w:t>
      </w:r>
    </w:p>
    <w:p w:rsidR="00000000" w:rsidRDefault="001F233B" w:rsidP="001F233B">
      <w:pPr>
        <w:pStyle w:val="BulletText"/>
        <w:numPr>
          <w:ilvl w:val="0"/>
          <w:numId w:val="1"/>
        </w:numPr>
      </w:pPr>
      <w:r>
        <w:t>the incorporation of Aluvic</w:t>
      </w:r>
      <w:r>
        <w:fldChar w:fldCharType="begin"/>
      </w:r>
      <w:r>
        <w:instrText>xe "Public authority income:Aluvic"</w:instrText>
      </w:r>
      <w:r>
        <w:fldChar w:fldCharType="end"/>
      </w:r>
      <w:r>
        <w:t xml:space="preserve"> into Victoria’s tax equivalent regime</w:t>
      </w:r>
      <w:r>
        <w:fldChar w:fldCharType="begin"/>
      </w:r>
      <w:r>
        <w:instrText>xe "Tax equivalent regime"</w:instrText>
      </w:r>
      <w:r>
        <w:fldChar w:fldCharType="end"/>
      </w:r>
      <w:r>
        <w:t xml:space="preserve"> and therefore its liability for tax equivalent payments for the first time; and</w:t>
      </w:r>
    </w:p>
    <w:p w:rsidR="00000000" w:rsidRDefault="001F233B" w:rsidP="001F233B">
      <w:pPr>
        <w:pStyle w:val="BulletText"/>
        <w:numPr>
          <w:ilvl w:val="0"/>
          <w:numId w:val="1"/>
        </w:numPr>
      </w:pPr>
      <w:r>
        <w:t>increased distributions of $55 million from the Transport</w:t>
      </w:r>
      <w:r>
        <w:fldChar w:fldCharType="begin"/>
      </w:r>
      <w:r>
        <w:instrText>xe "Transport"</w:instrText>
      </w:r>
      <w:r>
        <w:fldChar w:fldCharType="end"/>
      </w:r>
      <w:r>
        <w:t xml:space="preserve"> Accident Commission</w:t>
      </w:r>
      <w:r>
        <w:fldChar w:fldCharType="begin"/>
      </w:r>
      <w:r>
        <w:instrText>xe "Publ</w:instrText>
      </w:r>
      <w:r>
        <w:instrText>ic authority income:Transport Accident Commission"</w:instrText>
      </w:r>
      <w:r>
        <w:fldChar w:fldCharType="end"/>
      </w:r>
      <w:r>
        <w:t xml:space="preserve"> as a result of increased profitability.</w:t>
      </w:r>
    </w:p>
    <w:p w:rsidR="00000000" w:rsidRDefault="001F233B">
      <w:pPr>
        <w:pStyle w:val="Heading4"/>
      </w:pPr>
      <w:r>
        <w:t>Sales of goods and services</w:t>
      </w:r>
    </w:p>
    <w:p w:rsidR="00000000" w:rsidRDefault="001F233B">
      <w:r>
        <w:t>Receipts from sales of goods and services include user charges levied by TAFE</w:t>
      </w:r>
      <w:r>
        <w:fldChar w:fldCharType="begin"/>
      </w:r>
      <w:r>
        <w:instrText>xe "Department of Education:TAFE"</w:instrText>
      </w:r>
      <w:r>
        <w:fldChar w:fldCharType="end"/>
      </w:r>
      <w:r>
        <w:t xml:space="preserve"> colleges, public hospital</w:t>
      </w:r>
      <w:r>
        <w:fldChar w:fldCharType="begin"/>
      </w:r>
      <w:r>
        <w:instrText>xe "Department of Human Services:Public hospital"</w:instrText>
      </w:r>
      <w:r>
        <w:fldChar w:fldCharType="end"/>
      </w:r>
      <w:r>
        <w:t>s, and schools. Estimated receipts for 1997</w:t>
      </w:r>
      <w:r>
        <w:noBreakHyphen/>
        <w:t>98 have been revised down by $27.0 million to $1 703.3 million. This largely reflects the change in revenue arrangements associated with the restructure of the</w:t>
      </w:r>
      <w:r>
        <w:t xml:space="preserve"> Building Services Agency. There has been a commensurate decrease in associated operating expenses.</w:t>
      </w:r>
    </w:p>
    <w:p w:rsidR="00000000" w:rsidRDefault="001F233B">
      <w:pPr>
        <w:pStyle w:val="Heading3"/>
      </w:pPr>
      <w:r>
        <w:t>Outlook for own</w:t>
      </w:r>
      <w:r>
        <w:noBreakHyphen/>
        <w:t>source revenues</w:t>
      </w:r>
    </w:p>
    <w:p w:rsidR="00000000" w:rsidRDefault="001F233B">
      <w:r>
        <w:t>After allowing for the tax cuts announced in this Budget, revenue from all State sources (including sales of goods and services) is projected to increase to $11 641.4 million in 1998</w:t>
      </w:r>
      <w:r>
        <w:noBreakHyphen/>
        <w:t>99, an increase of $166.1 million or 1.4 per cent on the revised 1997</w:t>
      </w:r>
      <w:r>
        <w:noBreakHyphen/>
        <w:t>98 estimate of $11 475.3 million. Over the forward estimates period to 2001</w:t>
      </w:r>
      <w:r>
        <w:noBreakHyphen/>
        <w:t>02, own source revenues average growth of just less</w:t>
      </w:r>
      <w:r>
        <w:t xml:space="preserve"> than 1 per cent per annum. This apparently subdued outlook largely reflects the expected return of property market activity to longer term trend levels, together with the phasing out of electricity</w:t>
      </w:r>
      <w:r>
        <w:fldChar w:fldCharType="begin"/>
      </w:r>
      <w:r>
        <w:instrText>xe "Electricity"</w:instrText>
      </w:r>
      <w:r>
        <w:fldChar w:fldCharType="end"/>
      </w:r>
      <w:r>
        <w:t xml:space="preserve"> franchise fees and a decline in gas</w:t>
      </w:r>
      <w:r>
        <w:fldChar w:fldCharType="begin"/>
      </w:r>
      <w:r>
        <w:instrText>xe "Gas"</w:instrText>
      </w:r>
      <w:r>
        <w:fldChar w:fldCharType="end"/>
      </w:r>
      <w:r>
        <w:t xml:space="preserve"> utility distributions as energy markets are exposed to full competition.</w:t>
      </w:r>
    </w:p>
    <w:p w:rsidR="00000000" w:rsidRDefault="001F233B">
      <w:pPr>
        <w:pStyle w:val="Heading4"/>
      </w:pPr>
      <w:r>
        <w:t>1998</w:t>
      </w:r>
      <w:r>
        <w:noBreakHyphen/>
        <w:t xml:space="preserve">99 Budget estimates of taxes, fees and fines </w:t>
      </w:r>
    </w:p>
    <w:p w:rsidR="00000000" w:rsidRDefault="001F233B">
      <w:r>
        <w:t>Excluding the effects of abolition of the public authority contribution</w:t>
      </w:r>
      <w:r>
        <w:fldChar w:fldCharType="begin"/>
      </w:r>
      <w:r>
        <w:instrText>xe "Public authority contribution"</w:instrText>
      </w:r>
      <w:r>
        <w:fldChar w:fldCharType="end"/>
      </w:r>
      <w:r>
        <w:t>, which is largely</w:t>
      </w:r>
      <w:r>
        <w:t xml:space="preserve"> offset by an increase in gas</w:t>
      </w:r>
      <w:r>
        <w:fldChar w:fldCharType="begin"/>
      </w:r>
      <w:r>
        <w:instrText>xe "Gas"</w:instrText>
      </w:r>
      <w:r>
        <w:fldChar w:fldCharType="end"/>
      </w:r>
      <w:r>
        <w:t xml:space="preserve"> utility dividends, the unchanged policy outlook for taxes, fees and fines is for growth of 5.2 per cent in 1998</w:t>
      </w:r>
      <w:r>
        <w:noBreakHyphen/>
        <w:t>99. The effects of this year’s tax cuts reduces this growth to 3.8 per cent.</w:t>
      </w:r>
    </w:p>
    <w:p w:rsidR="00000000" w:rsidRDefault="001F233B">
      <w:r>
        <w:t>The forecasts</w:t>
      </w:r>
      <w:r>
        <w:fldChar w:fldCharType="begin"/>
      </w:r>
      <w:r>
        <w:instrText>xe "Economy:Forecasts"</w:instrText>
      </w:r>
      <w:r>
        <w:fldChar w:fldCharType="end"/>
      </w:r>
      <w:r>
        <w:t xml:space="preserve"> assume that payroll tax</w:t>
      </w:r>
      <w:r>
        <w:fldChar w:fldCharType="begin"/>
      </w:r>
      <w:r>
        <w:instrText>xe "Tax:Payroll tax"</w:instrText>
      </w:r>
      <w:r>
        <w:fldChar w:fldCharType="end"/>
      </w:r>
      <w:r>
        <w:fldChar w:fldCharType="begin"/>
      </w:r>
      <w:r>
        <w:instrText>xe "Payroll tax"</w:instrText>
      </w:r>
      <w:r>
        <w:fldChar w:fldCharType="end"/>
      </w:r>
      <w:r>
        <w:t xml:space="preserve"> and insurance duty receipts will grow broadly in line with the economy. But for the effect of the $42 million in conveyance duty relief, receipts from land transfers would have been</w:t>
      </w:r>
      <w:r>
        <w:t xml:space="preserve"> set to rise again in the coming year, with the current buoyancy in the property market expected to peak during 1998</w:t>
      </w:r>
      <w:r>
        <w:noBreakHyphen/>
        <w:t>99 following the very strong growth recorded in the first nine months of 1997</w:t>
      </w:r>
      <w:r>
        <w:noBreakHyphen/>
        <w:t>98.</w:t>
      </w:r>
    </w:p>
    <w:p w:rsidR="00000000" w:rsidRDefault="001F233B">
      <w:r>
        <w:t>After several years of very rapid growth in gambling taxes</w:t>
      </w:r>
      <w:r>
        <w:fldChar w:fldCharType="begin"/>
      </w:r>
      <w:r>
        <w:instrText>xe "Gambling taxes"</w:instrText>
      </w:r>
      <w:r>
        <w:fldChar w:fldCharType="end"/>
      </w:r>
      <w:r>
        <w:t xml:space="preserve"> – particularly from EGMs and the casino – the Budget projection is for growth to moderate and become more evenly dispersed across the gambling industry as the market matures.</w:t>
      </w:r>
    </w:p>
    <w:p w:rsidR="00000000" w:rsidRDefault="001F233B">
      <w:r>
        <w:t>Motor vehicle taxes</w:t>
      </w:r>
      <w:r>
        <w:fldChar w:fldCharType="begin"/>
      </w:r>
      <w:r>
        <w:instrText>xe "Motor vehicle taxes"</w:instrText>
      </w:r>
      <w:r>
        <w:fldChar w:fldCharType="end"/>
      </w:r>
      <w:r>
        <w:t xml:space="preserve"> are expected</w:t>
      </w:r>
      <w:r>
        <w:t xml:space="preserve"> to continue to grow, reflecting increased market demand, particularly for smaller and relatively cheaper vehicles, combined with the increased availability of financing.</w:t>
      </w:r>
    </w:p>
    <w:p w:rsidR="00000000" w:rsidRDefault="001F233B">
      <w:pPr>
        <w:pStyle w:val="Tableheading"/>
      </w:pPr>
      <w:bookmarkStart w:id="114" w:name="_Toc417120003"/>
      <w:bookmarkStart w:id="115" w:name="_Toc417552760"/>
      <w:r>
        <w:t>Table 5.8: Taxes, Fees and Fines, Estimates, 1998</w:t>
      </w:r>
      <w:r>
        <w:noBreakHyphen/>
        <w:t>99 to 2001</w:t>
      </w:r>
      <w:r>
        <w:noBreakHyphen/>
        <w:t>02</w:t>
      </w:r>
      <w:bookmarkEnd w:id="114"/>
      <w:bookmarkEnd w:id="115"/>
    </w:p>
    <w:p w:rsidR="00000000" w:rsidRDefault="001F233B">
      <w:pPr>
        <w:pStyle w:val="Tabletext"/>
        <w:jc w:val="center"/>
        <w:rPr>
          <w:i/>
          <w:noProof/>
        </w:rPr>
      </w:pPr>
      <w:r>
        <w:rPr>
          <w:i/>
        </w:rPr>
        <w:t>$ million</w:t>
      </w:r>
    </w:p>
    <w:tbl>
      <w:tblPr>
        <w:tblW w:w="0" w:type="auto"/>
        <w:tblLayout w:type="fixed"/>
        <w:tblCellMar>
          <w:left w:w="30" w:type="dxa"/>
          <w:right w:w="30" w:type="dxa"/>
        </w:tblCellMar>
        <w:tblLook w:val="0000" w:firstRow="0" w:lastRow="0" w:firstColumn="0" w:lastColumn="0" w:noHBand="0" w:noVBand="0"/>
      </w:tblPr>
      <w:tblGrid>
        <w:gridCol w:w="2570"/>
        <w:gridCol w:w="1011"/>
        <w:gridCol w:w="1010"/>
        <w:gridCol w:w="1011"/>
        <w:gridCol w:w="1010"/>
      </w:tblGrid>
      <w:tr w:rsidR="00000000">
        <w:tblPrEx>
          <w:tblCellMar>
            <w:top w:w="0" w:type="dxa"/>
            <w:bottom w:w="0" w:type="dxa"/>
          </w:tblCellMar>
        </w:tblPrEx>
        <w:trPr>
          <w:trHeight w:hRule="exact" w:val="240"/>
        </w:trPr>
        <w:tc>
          <w:tcPr>
            <w:tcW w:w="2570" w:type="dxa"/>
            <w:tcBorders>
              <w:top w:val="single" w:sz="6" w:space="0" w:color="auto"/>
            </w:tcBorders>
          </w:tcPr>
          <w:p w:rsidR="00000000" w:rsidRDefault="001F233B">
            <w:pPr>
              <w:jc w:val="center"/>
              <w:rPr>
                <w:rFonts w:ascii="Arial" w:hAnsi="Arial"/>
                <w:i/>
                <w:color w:val="000000"/>
                <w:sz w:val="18"/>
              </w:rPr>
            </w:pPr>
          </w:p>
        </w:tc>
        <w:tc>
          <w:tcPr>
            <w:tcW w:w="1011"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1998-99</w:t>
            </w:r>
          </w:p>
        </w:tc>
        <w:tc>
          <w:tcPr>
            <w:tcW w:w="1010"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1999-00</w:t>
            </w:r>
          </w:p>
        </w:tc>
        <w:tc>
          <w:tcPr>
            <w:tcW w:w="1011"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2000-01</w:t>
            </w:r>
          </w:p>
        </w:tc>
        <w:tc>
          <w:tcPr>
            <w:tcW w:w="1010"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2001-02</w:t>
            </w:r>
          </w:p>
        </w:tc>
      </w:tr>
      <w:tr w:rsidR="00000000">
        <w:tblPrEx>
          <w:tblCellMar>
            <w:top w:w="0" w:type="dxa"/>
            <w:bottom w:w="0" w:type="dxa"/>
          </w:tblCellMar>
        </w:tblPrEx>
        <w:trPr>
          <w:trHeight w:hRule="exact" w:val="240"/>
        </w:trPr>
        <w:tc>
          <w:tcPr>
            <w:tcW w:w="2570" w:type="dxa"/>
          </w:tcPr>
          <w:p w:rsidR="00000000" w:rsidRDefault="001F233B">
            <w:pPr>
              <w:jc w:val="center"/>
              <w:rPr>
                <w:rFonts w:ascii="Arial" w:hAnsi="Arial"/>
                <w:i/>
                <w:color w:val="000000"/>
                <w:sz w:val="18"/>
              </w:rPr>
            </w:pPr>
          </w:p>
        </w:tc>
        <w:tc>
          <w:tcPr>
            <w:tcW w:w="1011" w:type="dxa"/>
          </w:tcPr>
          <w:p w:rsidR="00000000" w:rsidRDefault="001F233B">
            <w:pPr>
              <w:jc w:val="right"/>
              <w:rPr>
                <w:rFonts w:ascii="Arial" w:hAnsi="Arial"/>
                <w:i/>
                <w:color w:val="000000"/>
                <w:sz w:val="18"/>
              </w:rPr>
            </w:pPr>
            <w:r>
              <w:rPr>
                <w:rFonts w:ascii="Arial" w:hAnsi="Arial"/>
                <w:i/>
                <w:color w:val="000000"/>
                <w:sz w:val="18"/>
              </w:rPr>
              <w:t>Budget</w:t>
            </w:r>
          </w:p>
        </w:tc>
        <w:tc>
          <w:tcPr>
            <w:tcW w:w="1010" w:type="dxa"/>
          </w:tcPr>
          <w:p w:rsidR="00000000" w:rsidRDefault="001F233B">
            <w:pPr>
              <w:jc w:val="right"/>
              <w:rPr>
                <w:rFonts w:ascii="Arial" w:hAnsi="Arial"/>
                <w:i/>
                <w:color w:val="000000"/>
                <w:sz w:val="18"/>
              </w:rPr>
            </w:pPr>
          </w:p>
        </w:tc>
        <w:tc>
          <w:tcPr>
            <w:tcW w:w="1011" w:type="dxa"/>
          </w:tcPr>
          <w:p w:rsidR="00000000" w:rsidRDefault="001F233B">
            <w:pPr>
              <w:jc w:val="right"/>
              <w:rPr>
                <w:rFonts w:ascii="Arial" w:hAnsi="Arial"/>
                <w:i/>
                <w:color w:val="000000"/>
                <w:sz w:val="18"/>
              </w:rPr>
            </w:pPr>
          </w:p>
        </w:tc>
        <w:tc>
          <w:tcPr>
            <w:tcW w:w="1010" w:type="dxa"/>
          </w:tcPr>
          <w:p w:rsidR="00000000" w:rsidRDefault="001F233B">
            <w:pPr>
              <w:jc w:val="right"/>
              <w:rPr>
                <w:rFonts w:ascii="Arial" w:hAnsi="Arial"/>
                <w:i/>
                <w:color w:val="000000"/>
                <w:sz w:val="18"/>
              </w:rPr>
            </w:pPr>
          </w:p>
        </w:tc>
      </w:tr>
      <w:tr w:rsidR="00000000">
        <w:tblPrEx>
          <w:tblCellMar>
            <w:top w:w="0" w:type="dxa"/>
            <w:bottom w:w="0" w:type="dxa"/>
          </w:tblCellMar>
        </w:tblPrEx>
        <w:trPr>
          <w:trHeight w:hRule="exact" w:val="240"/>
        </w:trPr>
        <w:tc>
          <w:tcPr>
            <w:tcW w:w="2570" w:type="dxa"/>
            <w:tcBorders>
              <w:bottom w:val="single" w:sz="6" w:space="0" w:color="auto"/>
            </w:tcBorders>
          </w:tcPr>
          <w:p w:rsidR="00000000" w:rsidRDefault="001F233B">
            <w:pPr>
              <w:jc w:val="center"/>
              <w:rPr>
                <w:rFonts w:ascii="Arial" w:hAnsi="Arial"/>
                <w:i/>
                <w:color w:val="000000"/>
                <w:sz w:val="18"/>
              </w:rPr>
            </w:pPr>
          </w:p>
        </w:tc>
        <w:tc>
          <w:tcPr>
            <w:tcW w:w="1011"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Estimate</w:t>
            </w:r>
          </w:p>
        </w:tc>
        <w:tc>
          <w:tcPr>
            <w:tcW w:w="1010"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Estimate</w:t>
            </w:r>
          </w:p>
        </w:tc>
        <w:tc>
          <w:tcPr>
            <w:tcW w:w="1011"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Estimate</w:t>
            </w:r>
          </w:p>
        </w:tc>
        <w:tc>
          <w:tcPr>
            <w:tcW w:w="1010"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Estimate</w:t>
            </w:r>
          </w:p>
        </w:tc>
      </w:tr>
      <w:tr w:rsidR="00000000">
        <w:tblPrEx>
          <w:tblCellMar>
            <w:top w:w="0" w:type="dxa"/>
            <w:bottom w:w="0" w:type="dxa"/>
          </w:tblCellMar>
        </w:tblPrEx>
        <w:trPr>
          <w:trHeight w:hRule="exact" w:val="280"/>
        </w:trPr>
        <w:tc>
          <w:tcPr>
            <w:tcW w:w="2570" w:type="dxa"/>
          </w:tcPr>
          <w:p w:rsidR="00000000" w:rsidRDefault="001F233B">
            <w:pPr>
              <w:rPr>
                <w:rFonts w:ascii="Arial" w:hAnsi="Arial"/>
                <w:color w:val="000000"/>
                <w:sz w:val="18"/>
              </w:rPr>
            </w:pPr>
            <w:r>
              <w:rPr>
                <w:rFonts w:ascii="Arial" w:hAnsi="Arial"/>
                <w:color w:val="000000"/>
                <w:sz w:val="18"/>
              </w:rPr>
              <w:t>Employers' payroll tax</w:t>
            </w:r>
            <w:r>
              <w:rPr>
                <w:rFonts w:ascii="Arial" w:hAnsi="Arial"/>
                <w:color w:val="000000"/>
                <w:sz w:val="18"/>
              </w:rPr>
              <w:fldChar w:fldCharType="begin"/>
            </w:r>
            <w:r>
              <w:rPr>
                <w:rFonts w:ascii="Arial" w:hAnsi="Arial"/>
                <w:color w:val="000000"/>
                <w:sz w:val="18"/>
              </w:rPr>
              <w:instrText>xe "Tax:Payroll tax"</w:instrText>
            </w:r>
            <w:r>
              <w:rPr>
                <w:rFonts w:ascii="Arial" w:hAnsi="Arial"/>
                <w:color w:val="000000"/>
                <w:sz w:val="18"/>
              </w:rPr>
              <w:fldChar w:fldCharType="end"/>
            </w:r>
            <w:r>
              <w:rPr>
                <w:rFonts w:ascii="Arial" w:hAnsi="Arial"/>
                <w:color w:val="000000"/>
                <w:sz w:val="18"/>
              </w:rPr>
              <w:t>e</w:t>
            </w:r>
            <w:r>
              <w:rPr>
                <w:rFonts w:ascii="Arial" w:hAnsi="Arial"/>
                <w:color w:val="000000"/>
                <w:sz w:val="18"/>
              </w:rPr>
              <w:fldChar w:fldCharType="begin"/>
            </w:r>
            <w:r>
              <w:rPr>
                <w:rFonts w:ascii="Arial" w:hAnsi="Arial"/>
                <w:color w:val="000000"/>
                <w:sz w:val="18"/>
              </w:rPr>
              <w:instrText>xe "Payroll tax"</w:instrText>
            </w:r>
            <w:r>
              <w:rPr>
                <w:rFonts w:ascii="Arial" w:hAnsi="Arial"/>
                <w:color w:val="000000"/>
                <w:sz w:val="18"/>
              </w:rPr>
              <w:fldChar w:fldCharType="end"/>
            </w:r>
            <w:r>
              <w:rPr>
                <w:rFonts w:ascii="Arial" w:hAnsi="Arial"/>
                <w:color w:val="000000"/>
                <w:sz w:val="18"/>
              </w:rPr>
              <w:t>s</w:t>
            </w:r>
          </w:p>
        </w:tc>
        <w:tc>
          <w:tcPr>
            <w:tcW w:w="1011" w:type="dxa"/>
          </w:tcPr>
          <w:p w:rsidR="00000000" w:rsidRDefault="001F233B">
            <w:pPr>
              <w:jc w:val="right"/>
              <w:rPr>
                <w:rFonts w:ascii="Arial" w:hAnsi="Arial"/>
                <w:color w:val="000000"/>
                <w:sz w:val="18"/>
              </w:rPr>
            </w:pPr>
            <w:r>
              <w:rPr>
                <w:rFonts w:ascii="Arial" w:hAnsi="Arial"/>
                <w:color w:val="000000"/>
                <w:sz w:val="18"/>
              </w:rPr>
              <w:t>2 236.0</w:t>
            </w:r>
          </w:p>
        </w:tc>
        <w:tc>
          <w:tcPr>
            <w:tcW w:w="1010" w:type="dxa"/>
          </w:tcPr>
          <w:p w:rsidR="00000000" w:rsidRDefault="001F233B">
            <w:pPr>
              <w:jc w:val="right"/>
              <w:rPr>
                <w:rFonts w:ascii="Arial" w:hAnsi="Arial"/>
                <w:color w:val="000000"/>
                <w:sz w:val="18"/>
              </w:rPr>
            </w:pPr>
            <w:r>
              <w:rPr>
                <w:rFonts w:ascii="Arial" w:hAnsi="Arial"/>
                <w:color w:val="000000"/>
                <w:sz w:val="18"/>
              </w:rPr>
              <w:t>2 341.8</w:t>
            </w:r>
          </w:p>
        </w:tc>
        <w:tc>
          <w:tcPr>
            <w:tcW w:w="1011" w:type="dxa"/>
          </w:tcPr>
          <w:p w:rsidR="00000000" w:rsidRDefault="001F233B">
            <w:pPr>
              <w:jc w:val="right"/>
              <w:rPr>
                <w:rFonts w:ascii="Arial" w:hAnsi="Arial"/>
                <w:color w:val="000000"/>
                <w:sz w:val="18"/>
              </w:rPr>
            </w:pPr>
            <w:r>
              <w:rPr>
                <w:rFonts w:ascii="Arial" w:hAnsi="Arial"/>
                <w:color w:val="000000"/>
                <w:sz w:val="18"/>
              </w:rPr>
              <w:t>2 482.4</w:t>
            </w:r>
          </w:p>
        </w:tc>
        <w:tc>
          <w:tcPr>
            <w:tcW w:w="1010" w:type="dxa"/>
          </w:tcPr>
          <w:p w:rsidR="00000000" w:rsidRDefault="001F233B">
            <w:pPr>
              <w:jc w:val="right"/>
              <w:rPr>
                <w:rFonts w:ascii="Arial" w:hAnsi="Arial"/>
                <w:color w:val="000000"/>
                <w:sz w:val="18"/>
              </w:rPr>
            </w:pPr>
            <w:r>
              <w:rPr>
                <w:rFonts w:ascii="Arial" w:hAnsi="Arial"/>
                <w:color w:val="000000"/>
                <w:sz w:val="18"/>
              </w:rPr>
              <w:t>2 628.4</w:t>
            </w:r>
          </w:p>
        </w:tc>
      </w:tr>
      <w:tr w:rsidR="00000000">
        <w:tblPrEx>
          <w:tblCellMar>
            <w:top w:w="0" w:type="dxa"/>
            <w:bottom w:w="0" w:type="dxa"/>
          </w:tblCellMar>
        </w:tblPrEx>
        <w:trPr>
          <w:trHeight w:hRule="exact" w:val="280"/>
        </w:trPr>
        <w:tc>
          <w:tcPr>
            <w:tcW w:w="2570" w:type="dxa"/>
          </w:tcPr>
          <w:p w:rsidR="00000000" w:rsidRDefault="001F233B">
            <w:pPr>
              <w:rPr>
                <w:rFonts w:ascii="Arial" w:hAnsi="Arial"/>
                <w:color w:val="000000"/>
                <w:sz w:val="18"/>
              </w:rPr>
            </w:pPr>
            <w:r>
              <w:rPr>
                <w:rFonts w:ascii="Arial" w:hAnsi="Arial"/>
                <w:color w:val="000000"/>
                <w:sz w:val="18"/>
              </w:rPr>
              <w:t>Taxes on property</w:t>
            </w:r>
          </w:p>
        </w:tc>
        <w:tc>
          <w:tcPr>
            <w:tcW w:w="1011" w:type="dxa"/>
          </w:tcPr>
          <w:p w:rsidR="00000000" w:rsidRDefault="001F233B">
            <w:pPr>
              <w:jc w:val="right"/>
              <w:rPr>
                <w:rFonts w:ascii="Arial" w:hAnsi="Arial"/>
                <w:color w:val="000000"/>
                <w:sz w:val="18"/>
              </w:rPr>
            </w:pPr>
            <w:r>
              <w:rPr>
                <w:rFonts w:ascii="Arial" w:hAnsi="Arial"/>
                <w:color w:val="000000"/>
                <w:sz w:val="18"/>
              </w:rPr>
              <w:t>2 297.3</w:t>
            </w:r>
          </w:p>
        </w:tc>
        <w:tc>
          <w:tcPr>
            <w:tcW w:w="1010" w:type="dxa"/>
          </w:tcPr>
          <w:p w:rsidR="00000000" w:rsidRDefault="001F233B">
            <w:pPr>
              <w:jc w:val="right"/>
              <w:rPr>
                <w:rFonts w:ascii="Arial" w:hAnsi="Arial"/>
                <w:color w:val="000000"/>
                <w:sz w:val="18"/>
              </w:rPr>
            </w:pPr>
            <w:r>
              <w:rPr>
                <w:rFonts w:ascii="Arial" w:hAnsi="Arial"/>
                <w:color w:val="000000"/>
                <w:sz w:val="18"/>
              </w:rPr>
              <w:t>2 273.9</w:t>
            </w:r>
          </w:p>
        </w:tc>
        <w:tc>
          <w:tcPr>
            <w:tcW w:w="1011" w:type="dxa"/>
          </w:tcPr>
          <w:p w:rsidR="00000000" w:rsidRDefault="001F233B">
            <w:pPr>
              <w:jc w:val="right"/>
              <w:rPr>
                <w:rFonts w:ascii="Arial" w:hAnsi="Arial"/>
                <w:color w:val="000000"/>
                <w:sz w:val="18"/>
              </w:rPr>
            </w:pPr>
            <w:r>
              <w:rPr>
                <w:rFonts w:ascii="Arial" w:hAnsi="Arial"/>
                <w:color w:val="000000"/>
                <w:sz w:val="18"/>
              </w:rPr>
              <w:t>2 262.5</w:t>
            </w:r>
          </w:p>
        </w:tc>
        <w:tc>
          <w:tcPr>
            <w:tcW w:w="1010" w:type="dxa"/>
          </w:tcPr>
          <w:p w:rsidR="00000000" w:rsidRDefault="001F233B">
            <w:pPr>
              <w:jc w:val="right"/>
              <w:rPr>
                <w:rFonts w:ascii="Arial" w:hAnsi="Arial"/>
                <w:color w:val="000000"/>
                <w:sz w:val="18"/>
              </w:rPr>
            </w:pPr>
            <w:r>
              <w:rPr>
                <w:rFonts w:ascii="Arial" w:hAnsi="Arial"/>
                <w:color w:val="000000"/>
                <w:sz w:val="18"/>
              </w:rPr>
              <w:t>2 253.6</w:t>
            </w:r>
          </w:p>
        </w:tc>
      </w:tr>
      <w:tr w:rsidR="00000000">
        <w:tblPrEx>
          <w:tblCellMar>
            <w:top w:w="0" w:type="dxa"/>
            <w:bottom w:w="0" w:type="dxa"/>
          </w:tblCellMar>
        </w:tblPrEx>
        <w:trPr>
          <w:trHeight w:hRule="exact" w:val="280"/>
        </w:trPr>
        <w:tc>
          <w:tcPr>
            <w:tcW w:w="2570" w:type="dxa"/>
          </w:tcPr>
          <w:p w:rsidR="00000000" w:rsidRDefault="001F233B">
            <w:pPr>
              <w:rPr>
                <w:rFonts w:ascii="Arial" w:hAnsi="Arial"/>
                <w:color w:val="000000"/>
                <w:sz w:val="18"/>
              </w:rPr>
            </w:pPr>
            <w:r>
              <w:rPr>
                <w:rFonts w:ascii="Arial" w:hAnsi="Arial"/>
                <w:color w:val="000000"/>
                <w:sz w:val="18"/>
              </w:rPr>
              <w:t>Gambling taxes</w:t>
            </w:r>
            <w:r>
              <w:rPr>
                <w:rFonts w:ascii="Arial" w:hAnsi="Arial"/>
                <w:color w:val="000000"/>
                <w:sz w:val="18"/>
              </w:rPr>
              <w:fldChar w:fldCharType="begin"/>
            </w:r>
            <w:r>
              <w:rPr>
                <w:rFonts w:ascii="Arial" w:hAnsi="Arial"/>
                <w:color w:val="000000"/>
                <w:sz w:val="18"/>
              </w:rPr>
              <w:instrText>xe "Gambling taxes"</w:instrText>
            </w:r>
            <w:r>
              <w:rPr>
                <w:rFonts w:ascii="Arial" w:hAnsi="Arial"/>
                <w:color w:val="000000"/>
                <w:sz w:val="18"/>
              </w:rPr>
              <w:fldChar w:fldCharType="end"/>
            </w:r>
          </w:p>
        </w:tc>
        <w:tc>
          <w:tcPr>
            <w:tcW w:w="1011" w:type="dxa"/>
          </w:tcPr>
          <w:p w:rsidR="00000000" w:rsidRDefault="001F233B">
            <w:pPr>
              <w:jc w:val="right"/>
              <w:rPr>
                <w:rFonts w:ascii="Arial" w:hAnsi="Arial"/>
                <w:color w:val="000000"/>
                <w:sz w:val="18"/>
              </w:rPr>
            </w:pPr>
            <w:r>
              <w:rPr>
                <w:rFonts w:ascii="Arial" w:hAnsi="Arial"/>
                <w:color w:val="000000"/>
                <w:sz w:val="18"/>
              </w:rPr>
              <w:t>1 341.3</w:t>
            </w:r>
          </w:p>
        </w:tc>
        <w:tc>
          <w:tcPr>
            <w:tcW w:w="1010" w:type="dxa"/>
          </w:tcPr>
          <w:p w:rsidR="00000000" w:rsidRDefault="001F233B">
            <w:pPr>
              <w:jc w:val="right"/>
              <w:rPr>
                <w:rFonts w:ascii="Arial" w:hAnsi="Arial"/>
                <w:color w:val="000000"/>
                <w:sz w:val="18"/>
              </w:rPr>
            </w:pPr>
            <w:r>
              <w:rPr>
                <w:rFonts w:ascii="Arial" w:hAnsi="Arial"/>
                <w:color w:val="000000"/>
                <w:sz w:val="18"/>
              </w:rPr>
              <w:t>1 368.7</w:t>
            </w:r>
          </w:p>
        </w:tc>
        <w:tc>
          <w:tcPr>
            <w:tcW w:w="1011" w:type="dxa"/>
          </w:tcPr>
          <w:p w:rsidR="00000000" w:rsidRDefault="001F233B">
            <w:pPr>
              <w:jc w:val="right"/>
              <w:rPr>
                <w:rFonts w:ascii="Arial" w:hAnsi="Arial"/>
                <w:color w:val="000000"/>
                <w:sz w:val="18"/>
              </w:rPr>
            </w:pPr>
            <w:r>
              <w:rPr>
                <w:rFonts w:ascii="Arial" w:hAnsi="Arial"/>
                <w:color w:val="000000"/>
                <w:sz w:val="18"/>
              </w:rPr>
              <w:t>1 418.6</w:t>
            </w:r>
          </w:p>
        </w:tc>
        <w:tc>
          <w:tcPr>
            <w:tcW w:w="1010" w:type="dxa"/>
          </w:tcPr>
          <w:p w:rsidR="00000000" w:rsidRDefault="001F233B">
            <w:pPr>
              <w:jc w:val="right"/>
              <w:rPr>
                <w:rFonts w:ascii="Arial" w:hAnsi="Arial"/>
                <w:color w:val="000000"/>
                <w:sz w:val="18"/>
              </w:rPr>
            </w:pPr>
            <w:r>
              <w:rPr>
                <w:rFonts w:ascii="Arial" w:hAnsi="Arial"/>
                <w:color w:val="000000"/>
                <w:sz w:val="18"/>
              </w:rPr>
              <w:t>1 470.8</w:t>
            </w:r>
          </w:p>
        </w:tc>
      </w:tr>
      <w:tr w:rsidR="00000000">
        <w:tblPrEx>
          <w:tblCellMar>
            <w:top w:w="0" w:type="dxa"/>
            <w:bottom w:w="0" w:type="dxa"/>
          </w:tblCellMar>
        </w:tblPrEx>
        <w:trPr>
          <w:trHeight w:hRule="exact" w:val="280"/>
        </w:trPr>
        <w:tc>
          <w:tcPr>
            <w:tcW w:w="2570" w:type="dxa"/>
          </w:tcPr>
          <w:p w:rsidR="00000000" w:rsidRDefault="001F233B">
            <w:pPr>
              <w:rPr>
                <w:rFonts w:ascii="Arial" w:hAnsi="Arial"/>
                <w:color w:val="000000"/>
                <w:sz w:val="18"/>
              </w:rPr>
            </w:pPr>
            <w:r>
              <w:rPr>
                <w:rFonts w:ascii="Arial" w:hAnsi="Arial"/>
                <w:color w:val="000000"/>
                <w:sz w:val="18"/>
              </w:rPr>
              <w:t>Taxes on insurance</w:t>
            </w:r>
          </w:p>
        </w:tc>
        <w:tc>
          <w:tcPr>
            <w:tcW w:w="1011" w:type="dxa"/>
          </w:tcPr>
          <w:p w:rsidR="00000000" w:rsidRDefault="001F233B">
            <w:pPr>
              <w:jc w:val="right"/>
              <w:rPr>
                <w:rFonts w:ascii="Arial" w:hAnsi="Arial"/>
                <w:color w:val="000000"/>
                <w:sz w:val="18"/>
              </w:rPr>
            </w:pPr>
            <w:r>
              <w:rPr>
                <w:rFonts w:ascii="Arial" w:hAnsi="Arial"/>
                <w:color w:val="000000"/>
                <w:sz w:val="18"/>
              </w:rPr>
              <w:t xml:space="preserve"> 364.3</w:t>
            </w:r>
          </w:p>
        </w:tc>
        <w:tc>
          <w:tcPr>
            <w:tcW w:w="1010" w:type="dxa"/>
          </w:tcPr>
          <w:p w:rsidR="00000000" w:rsidRDefault="001F233B">
            <w:pPr>
              <w:jc w:val="right"/>
              <w:rPr>
                <w:rFonts w:ascii="Arial" w:hAnsi="Arial"/>
                <w:color w:val="000000"/>
                <w:sz w:val="18"/>
              </w:rPr>
            </w:pPr>
            <w:r>
              <w:rPr>
                <w:rFonts w:ascii="Arial" w:hAnsi="Arial"/>
                <w:color w:val="000000"/>
                <w:sz w:val="18"/>
              </w:rPr>
              <w:t xml:space="preserve"> 382.2</w:t>
            </w:r>
          </w:p>
        </w:tc>
        <w:tc>
          <w:tcPr>
            <w:tcW w:w="1011" w:type="dxa"/>
          </w:tcPr>
          <w:p w:rsidR="00000000" w:rsidRDefault="001F233B">
            <w:pPr>
              <w:jc w:val="right"/>
              <w:rPr>
                <w:rFonts w:ascii="Arial" w:hAnsi="Arial"/>
                <w:color w:val="000000"/>
                <w:sz w:val="18"/>
              </w:rPr>
            </w:pPr>
            <w:r>
              <w:rPr>
                <w:rFonts w:ascii="Arial" w:hAnsi="Arial"/>
                <w:color w:val="000000"/>
                <w:sz w:val="18"/>
              </w:rPr>
              <w:t xml:space="preserve"> 403.3</w:t>
            </w:r>
          </w:p>
        </w:tc>
        <w:tc>
          <w:tcPr>
            <w:tcW w:w="1010" w:type="dxa"/>
          </w:tcPr>
          <w:p w:rsidR="00000000" w:rsidRDefault="001F233B">
            <w:pPr>
              <w:jc w:val="right"/>
              <w:rPr>
                <w:rFonts w:ascii="Arial" w:hAnsi="Arial"/>
                <w:color w:val="000000"/>
                <w:sz w:val="18"/>
              </w:rPr>
            </w:pPr>
            <w:r>
              <w:rPr>
                <w:rFonts w:ascii="Arial" w:hAnsi="Arial"/>
                <w:color w:val="000000"/>
                <w:sz w:val="18"/>
              </w:rPr>
              <w:t xml:space="preserve"> 424.7</w:t>
            </w:r>
          </w:p>
        </w:tc>
      </w:tr>
      <w:tr w:rsidR="00000000">
        <w:tblPrEx>
          <w:tblCellMar>
            <w:top w:w="0" w:type="dxa"/>
            <w:bottom w:w="0" w:type="dxa"/>
          </w:tblCellMar>
        </w:tblPrEx>
        <w:trPr>
          <w:trHeight w:hRule="exact" w:val="280"/>
        </w:trPr>
        <w:tc>
          <w:tcPr>
            <w:tcW w:w="2570" w:type="dxa"/>
          </w:tcPr>
          <w:p w:rsidR="00000000" w:rsidRDefault="001F233B">
            <w:pPr>
              <w:rPr>
                <w:rFonts w:ascii="Arial" w:hAnsi="Arial"/>
                <w:color w:val="000000"/>
                <w:sz w:val="18"/>
              </w:rPr>
            </w:pPr>
            <w:r>
              <w:rPr>
                <w:rFonts w:ascii="Arial" w:hAnsi="Arial"/>
                <w:color w:val="000000"/>
                <w:sz w:val="18"/>
              </w:rPr>
              <w:t>Motor vehicle taxes</w:t>
            </w:r>
            <w:r>
              <w:rPr>
                <w:rFonts w:ascii="Arial" w:hAnsi="Arial"/>
                <w:color w:val="000000"/>
                <w:sz w:val="18"/>
              </w:rPr>
              <w:fldChar w:fldCharType="begin"/>
            </w:r>
            <w:r>
              <w:rPr>
                <w:rFonts w:ascii="Arial" w:hAnsi="Arial"/>
                <w:color w:val="000000"/>
                <w:sz w:val="18"/>
              </w:rPr>
              <w:instrText>xe "Motor vehicle taxes"</w:instrText>
            </w:r>
            <w:r>
              <w:rPr>
                <w:rFonts w:ascii="Arial" w:hAnsi="Arial"/>
                <w:color w:val="000000"/>
                <w:sz w:val="18"/>
              </w:rPr>
              <w:fldChar w:fldCharType="end"/>
            </w:r>
          </w:p>
        </w:tc>
        <w:tc>
          <w:tcPr>
            <w:tcW w:w="1011" w:type="dxa"/>
          </w:tcPr>
          <w:p w:rsidR="00000000" w:rsidRDefault="001F233B">
            <w:pPr>
              <w:jc w:val="right"/>
              <w:rPr>
                <w:rFonts w:ascii="Arial" w:hAnsi="Arial"/>
                <w:color w:val="000000"/>
                <w:sz w:val="18"/>
              </w:rPr>
            </w:pPr>
            <w:r>
              <w:rPr>
                <w:rFonts w:ascii="Arial" w:hAnsi="Arial"/>
                <w:color w:val="000000"/>
                <w:sz w:val="18"/>
              </w:rPr>
              <w:t xml:space="preserve"> 871.3</w:t>
            </w:r>
          </w:p>
        </w:tc>
        <w:tc>
          <w:tcPr>
            <w:tcW w:w="1010" w:type="dxa"/>
          </w:tcPr>
          <w:p w:rsidR="00000000" w:rsidRDefault="001F233B">
            <w:pPr>
              <w:jc w:val="right"/>
              <w:rPr>
                <w:rFonts w:ascii="Arial" w:hAnsi="Arial"/>
                <w:color w:val="000000"/>
                <w:sz w:val="18"/>
              </w:rPr>
            </w:pPr>
            <w:r>
              <w:rPr>
                <w:rFonts w:ascii="Arial" w:hAnsi="Arial"/>
                <w:color w:val="000000"/>
                <w:sz w:val="18"/>
              </w:rPr>
              <w:t xml:space="preserve"> 899.1</w:t>
            </w:r>
          </w:p>
        </w:tc>
        <w:tc>
          <w:tcPr>
            <w:tcW w:w="1011" w:type="dxa"/>
          </w:tcPr>
          <w:p w:rsidR="00000000" w:rsidRDefault="001F233B">
            <w:pPr>
              <w:jc w:val="right"/>
              <w:rPr>
                <w:rFonts w:ascii="Arial" w:hAnsi="Arial"/>
                <w:color w:val="000000"/>
                <w:sz w:val="18"/>
              </w:rPr>
            </w:pPr>
            <w:r>
              <w:rPr>
                <w:rFonts w:ascii="Arial" w:hAnsi="Arial"/>
                <w:color w:val="000000"/>
                <w:sz w:val="18"/>
              </w:rPr>
              <w:t xml:space="preserve"> 949.4</w:t>
            </w:r>
          </w:p>
        </w:tc>
        <w:tc>
          <w:tcPr>
            <w:tcW w:w="1010" w:type="dxa"/>
          </w:tcPr>
          <w:p w:rsidR="00000000" w:rsidRDefault="001F233B">
            <w:pPr>
              <w:jc w:val="right"/>
              <w:rPr>
                <w:rFonts w:ascii="Arial" w:hAnsi="Arial"/>
                <w:color w:val="000000"/>
                <w:sz w:val="18"/>
              </w:rPr>
            </w:pPr>
            <w:r>
              <w:rPr>
                <w:rFonts w:ascii="Arial" w:hAnsi="Arial"/>
                <w:color w:val="000000"/>
                <w:sz w:val="18"/>
              </w:rPr>
              <w:t xml:space="preserve"> 996.7</w:t>
            </w:r>
          </w:p>
        </w:tc>
      </w:tr>
      <w:tr w:rsidR="00000000">
        <w:tblPrEx>
          <w:tblCellMar>
            <w:top w:w="0" w:type="dxa"/>
            <w:bottom w:w="0" w:type="dxa"/>
          </w:tblCellMar>
        </w:tblPrEx>
        <w:trPr>
          <w:trHeight w:hRule="exact" w:val="280"/>
        </w:trPr>
        <w:tc>
          <w:tcPr>
            <w:tcW w:w="2570" w:type="dxa"/>
          </w:tcPr>
          <w:p w:rsidR="00000000" w:rsidRDefault="001F233B">
            <w:pPr>
              <w:rPr>
                <w:rFonts w:ascii="Arial" w:hAnsi="Arial"/>
                <w:color w:val="000000"/>
                <w:sz w:val="18"/>
              </w:rPr>
            </w:pPr>
            <w:r>
              <w:rPr>
                <w:rFonts w:ascii="Arial" w:hAnsi="Arial"/>
                <w:color w:val="000000"/>
                <w:sz w:val="18"/>
              </w:rPr>
              <w:t>Safety net revenues</w:t>
            </w:r>
            <w:r>
              <w:rPr>
                <w:rFonts w:ascii="Arial" w:hAnsi="Arial"/>
                <w:color w:val="000000"/>
                <w:sz w:val="18"/>
              </w:rPr>
              <w:fldChar w:fldCharType="begin"/>
            </w:r>
            <w:r>
              <w:rPr>
                <w:rFonts w:ascii="Arial" w:hAnsi="Arial"/>
                <w:color w:val="000000"/>
                <w:sz w:val="18"/>
              </w:rPr>
              <w:instrText>xe "Safety net arrangements:Revenues"</w:instrText>
            </w:r>
            <w:r>
              <w:rPr>
                <w:rFonts w:ascii="Arial" w:hAnsi="Arial"/>
                <w:color w:val="000000"/>
                <w:sz w:val="18"/>
              </w:rPr>
              <w:fldChar w:fldCharType="end"/>
            </w:r>
          </w:p>
        </w:tc>
        <w:tc>
          <w:tcPr>
            <w:tcW w:w="1011" w:type="dxa"/>
          </w:tcPr>
          <w:p w:rsidR="00000000" w:rsidRDefault="001F233B">
            <w:pPr>
              <w:jc w:val="right"/>
              <w:rPr>
                <w:rFonts w:ascii="Arial" w:hAnsi="Arial"/>
                <w:color w:val="000000"/>
                <w:sz w:val="18"/>
              </w:rPr>
            </w:pPr>
            <w:r>
              <w:rPr>
                <w:rFonts w:ascii="Arial" w:hAnsi="Arial"/>
                <w:color w:val="000000"/>
                <w:sz w:val="18"/>
              </w:rPr>
              <w:t>1 270.7</w:t>
            </w:r>
          </w:p>
        </w:tc>
        <w:tc>
          <w:tcPr>
            <w:tcW w:w="1010" w:type="dxa"/>
          </w:tcPr>
          <w:p w:rsidR="00000000" w:rsidRDefault="001F233B">
            <w:pPr>
              <w:jc w:val="right"/>
              <w:rPr>
                <w:rFonts w:ascii="Arial" w:hAnsi="Arial"/>
                <w:color w:val="000000"/>
                <w:sz w:val="18"/>
              </w:rPr>
            </w:pPr>
            <w:r>
              <w:rPr>
                <w:rFonts w:ascii="Arial" w:hAnsi="Arial"/>
                <w:color w:val="000000"/>
                <w:sz w:val="18"/>
              </w:rPr>
              <w:t>1 297.5</w:t>
            </w:r>
          </w:p>
        </w:tc>
        <w:tc>
          <w:tcPr>
            <w:tcW w:w="1011" w:type="dxa"/>
          </w:tcPr>
          <w:p w:rsidR="00000000" w:rsidRDefault="001F233B">
            <w:pPr>
              <w:jc w:val="right"/>
              <w:rPr>
                <w:rFonts w:ascii="Arial" w:hAnsi="Arial"/>
                <w:color w:val="000000"/>
                <w:sz w:val="18"/>
              </w:rPr>
            </w:pPr>
            <w:r>
              <w:rPr>
                <w:rFonts w:ascii="Arial" w:hAnsi="Arial"/>
                <w:color w:val="000000"/>
                <w:sz w:val="18"/>
              </w:rPr>
              <w:t>1 328.0</w:t>
            </w:r>
          </w:p>
        </w:tc>
        <w:tc>
          <w:tcPr>
            <w:tcW w:w="1010" w:type="dxa"/>
          </w:tcPr>
          <w:p w:rsidR="00000000" w:rsidRDefault="001F233B">
            <w:pPr>
              <w:jc w:val="right"/>
              <w:rPr>
                <w:rFonts w:ascii="Arial" w:hAnsi="Arial"/>
                <w:color w:val="000000"/>
                <w:sz w:val="18"/>
              </w:rPr>
            </w:pPr>
            <w:r>
              <w:rPr>
                <w:rFonts w:ascii="Arial" w:hAnsi="Arial"/>
                <w:color w:val="000000"/>
                <w:sz w:val="18"/>
              </w:rPr>
              <w:t>1 360.0</w:t>
            </w:r>
          </w:p>
        </w:tc>
      </w:tr>
      <w:tr w:rsidR="00000000">
        <w:tblPrEx>
          <w:tblCellMar>
            <w:top w:w="0" w:type="dxa"/>
            <w:bottom w:w="0" w:type="dxa"/>
          </w:tblCellMar>
        </w:tblPrEx>
        <w:trPr>
          <w:trHeight w:hRule="exact" w:val="280"/>
        </w:trPr>
        <w:tc>
          <w:tcPr>
            <w:tcW w:w="2570" w:type="dxa"/>
          </w:tcPr>
          <w:p w:rsidR="00000000" w:rsidRDefault="001F233B">
            <w:pPr>
              <w:rPr>
                <w:rFonts w:ascii="Arial" w:hAnsi="Arial"/>
                <w:color w:val="000000"/>
                <w:sz w:val="18"/>
              </w:rPr>
            </w:pPr>
            <w:r>
              <w:rPr>
                <w:rFonts w:ascii="Arial" w:hAnsi="Arial"/>
                <w:color w:val="000000"/>
                <w:sz w:val="18"/>
              </w:rPr>
              <w:t>Other taxes, fees and fines</w:t>
            </w:r>
          </w:p>
        </w:tc>
        <w:tc>
          <w:tcPr>
            <w:tcW w:w="1011" w:type="dxa"/>
          </w:tcPr>
          <w:p w:rsidR="00000000" w:rsidRDefault="001F233B">
            <w:pPr>
              <w:jc w:val="right"/>
              <w:rPr>
                <w:rFonts w:ascii="Arial" w:hAnsi="Arial"/>
                <w:color w:val="000000"/>
                <w:sz w:val="18"/>
              </w:rPr>
            </w:pPr>
            <w:r>
              <w:rPr>
                <w:rFonts w:ascii="Arial" w:hAnsi="Arial"/>
                <w:color w:val="000000"/>
                <w:sz w:val="18"/>
              </w:rPr>
              <w:t xml:space="preserve"> 353.2</w:t>
            </w:r>
          </w:p>
        </w:tc>
        <w:tc>
          <w:tcPr>
            <w:tcW w:w="1010" w:type="dxa"/>
          </w:tcPr>
          <w:p w:rsidR="00000000" w:rsidRDefault="001F233B">
            <w:pPr>
              <w:jc w:val="right"/>
              <w:rPr>
                <w:rFonts w:ascii="Arial" w:hAnsi="Arial"/>
                <w:color w:val="000000"/>
                <w:sz w:val="18"/>
              </w:rPr>
            </w:pPr>
            <w:r>
              <w:rPr>
                <w:rFonts w:ascii="Arial" w:hAnsi="Arial"/>
                <w:color w:val="000000"/>
                <w:sz w:val="18"/>
              </w:rPr>
              <w:t xml:space="preserve"> 368.3</w:t>
            </w:r>
          </w:p>
        </w:tc>
        <w:tc>
          <w:tcPr>
            <w:tcW w:w="1011" w:type="dxa"/>
          </w:tcPr>
          <w:p w:rsidR="00000000" w:rsidRDefault="001F233B">
            <w:pPr>
              <w:jc w:val="right"/>
              <w:rPr>
                <w:rFonts w:ascii="Arial" w:hAnsi="Arial"/>
                <w:color w:val="000000"/>
                <w:sz w:val="18"/>
              </w:rPr>
            </w:pPr>
            <w:r>
              <w:rPr>
                <w:rFonts w:ascii="Arial" w:hAnsi="Arial"/>
                <w:color w:val="000000"/>
                <w:sz w:val="18"/>
              </w:rPr>
              <w:t xml:space="preserve"> 274.2</w:t>
            </w:r>
          </w:p>
        </w:tc>
        <w:tc>
          <w:tcPr>
            <w:tcW w:w="1010" w:type="dxa"/>
          </w:tcPr>
          <w:p w:rsidR="00000000" w:rsidRDefault="001F233B">
            <w:pPr>
              <w:jc w:val="right"/>
              <w:rPr>
                <w:rFonts w:ascii="Arial" w:hAnsi="Arial"/>
                <w:color w:val="000000"/>
                <w:sz w:val="18"/>
              </w:rPr>
            </w:pPr>
            <w:r>
              <w:rPr>
                <w:rFonts w:ascii="Arial" w:hAnsi="Arial"/>
                <w:color w:val="000000"/>
                <w:sz w:val="18"/>
              </w:rPr>
              <w:t xml:space="preserve"> 206.2</w:t>
            </w:r>
          </w:p>
        </w:tc>
      </w:tr>
      <w:tr w:rsidR="00000000">
        <w:tblPrEx>
          <w:tblCellMar>
            <w:top w:w="0" w:type="dxa"/>
            <w:bottom w:w="0" w:type="dxa"/>
          </w:tblCellMar>
        </w:tblPrEx>
        <w:trPr>
          <w:trHeight w:hRule="exact" w:val="280"/>
        </w:trPr>
        <w:tc>
          <w:tcPr>
            <w:tcW w:w="2570" w:type="dxa"/>
            <w:tcBorders>
              <w:bottom w:val="single" w:sz="12" w:space="0" w:color="auto"/>
            </w:tcBorders>
          </w:tcPr>
          <w:p w:rsidR="00000000" w:rsidRDefault="001F233B">
            <w:pPr>
              <w:rPr>
                <w:rFonts w:ascii="Arial" w:hAnsi="Arial"/>
                <w:b/>
                <w:color w:val="000000"/>
                <w:sz w:val="18"/>
              </w:rPr>
            </w:pPr>
            <w:r>
              <w:rPr>
                <w:rFonts w:ascii="Arial" w:hAnsi="Arial"/>
                <w:b/>
                <w:color w:val="000000"/>
                <w:sz w:val="18"/>
              </w:rPr>
              <w:t>Total Taxes, Fees and Fines</w:t>
            </w:r>
          </w:p>
        </w:tc>
        <w:tc>
          <w:tcPr>
            <w:tcW w:w="1011" w:type="dxa"/>
            <w:tcBorders>
              <w:top w:val="single" w:sz="6" w:space="0" w:color="auto"/>
              <w:bottom w:val="single" w:sz="12" w:space="0" w:color="auto"/>
            </w:tcBorders>
          </w:tcPr>
          <w:p w:rsidR="00000000" w:rsidRDefault="001F233B">
            <w:pPr>
              <w:jc w:val="right"/>
              <w:rPr>
                <w:rFonts w:ascii="Arial" w:hAnsi="Arial"/>
                <w:b/>
                <w:color w:val="000000"/>
                <w:sz w:val="18"/>
              </w:rPr>
            </w:pPr>
            <w:r>
              <w:rPr>
                <w:rFonts w:ascii="Arial" w:hAnsi="Arial"/>
                <w:b/>
                <w:color w:val="000000"/>
                <w:sz w:val="18"/>
              </w:rPr>
              <w:t>8 734.1</w:t>
            </w:r>
          </w:p>
        </w:tc>
        <w:tc>
          <w:tcPr>
            <w:tcW w:w="1010" w:type="dxa"/>
            <w:tcBorders>
              <w:top w:val="single" w:sz="6" w:space="0" w:color="auto"/>
              <w:bottom w:val="single" w:sz="12" w:space="0" w:color="auto"/>
            </w:tcBorders>
          </w:tcPr>
          <w:p w:rsidR="00000000" w:rsidRDefault="001F233B">
            <w:pPr>
              <w:jc w:val="right"/>
              <w:rPr>
                <w:rFonts w:ascii="Arial" w:hAnsi="Arial"/>
                <w:b/>
                <w:color w:val="000000"/>
                <w:sz w:val="18"/>
              </w:rPr>
            </w:pPr>
            <w:r>
              <w:rPr>
                <w:rFonts w:ascii="Arial" w:hAnsi="Arial"/>
                <w:b/>
                <w:color w:val="000000"/>
                <w:sz w:val="18"/>
              </w:rPr>
              <w:t>8 931.4</w:t>
            </w:r>
          </w:p>
        </w:tc>
        <w:tc>
          <w:tcPr>
            <w:tcW w:w="1011" w:type="dxa"/>
            <w:tcBorders>
              <w:top w:val="single" w:sz="6" w:space="0" w:color="auto"/>
              <w:bottom w:val="single" w:sz="12" w:space="0" w:color="auto"/>
            </w:tcBorders>
          </w:tcPr>
          <w:p w:rsidR="00000000" w:rsidRDefault="001F233B">
            <w:pPr>
              <w:jc w:val="right"/>
              <w:rPr>
                <w:rFonts w:ascii="Arial" w:hAnsi="Arial"/>
                <w:b/>
                <w:color w:val="000000"/>
                <w:sz w:val="18"/>
              </w:rPr>
            </w:pPr>
            <w:r>
              <w:rPr>
                <w:rFonts w:ascii="Arial" w:hAnsi="Arial"/>
                <w:b/>
                <w:color w:val="000000"/>
                <w:sz w:val="18"/>
              </w:rPr>
              <w:t>9 118.4</w:t>
            </w:r>
          </w:p>
        </w:tc>
        <w:tc>
          <w:tcPr>
            <w:tcW w:w="1010" w:type="dxa"/>
            <w:tcBorders>
              <w:top w:val="single" w:sz="6" w:space="0" w:color="auto"/>
              <w:bottom w:val="single" w:sz="12" w:space="0" w:color="auto"/>
            </w:tcBorders>
          </w:tcPr>
          <w:p w:rsidR="00000000" w:rsidRDefault="001F233B">
            <w:pPr>
              <w:jc w:val="right"/>
              <w:rPr>
                <w:rFonts w:ascii="Arial" w:hAnsi="Arial"/>
                <w:b/>
                <w:color w:val="000000"/>
                <w:sz w:val="18"/>
              </w:rPr>
            </w:pPr>
            <w:r>
              <w:rPr>
                <w:rFonts w:ascii="Arial" w:hAnsi="Arial"/>
                <w:b/>
                <w:color w:val="000000"/>
                <w:sz w:val="18"/>
              </w:rPr>
              <w:t>9 340.5</w:t>
            </w:r>
          </w:p>
        </w:tc>
      </w:tr>
    </w:tbl>
    <w:p w:rsidR="00000000" w:rsidRDefault="001F233B">
      <w:pPr>
        <w:pStyle w:val="Source"/>
        <w:keepNext/>
      </w:pPr>
      <w:r>
        <w:t>Source: Department of Treasury and Finance.</w:t>
      </w:r>
    </w:p>
    <w:p w:rsidR="00000000" w:rsidRDefault="001F233B">
      <w:pPr>
        <w:pStyle w:val="Heading4"/>
        <w:keepNext w:val="0"/>
      </w:pPr>
      <w:r>
        <w:t>Forward estimates of taxes, fees and fines: 1999</w:t>
      </w:r>
      <w:r>
        <w:noBreakHyphen/>
        <w:t>00 to 2001</w:t>
      </w:r>
      <w:r>
        <w:noBreakHyphen/>
        <w:t>02</w:t>
      </w:r>
    </w:p>
    <w:p w:rsidR="00000000" w:rsidRDefault="001F233B">
      <w:r>
        <w:t>Revenue from taxes, fees and fines is</w:t>
      </w:r>
      <w:r>
        <w:t xml:space="preserve"> expected to increase at an average annual rate of just 2.3 per cent over the three years 1999</w:t>
      </w:r>
      <w:r>
        <w:noBreakHyphen/>
        <w:t>00 to 2001</w:t>
      </w:r>
      <w:r>
        <w:noBreakHyphen/>
        <w:t>02, well below annual growth of 5.4 per cent projected for nominal GSP</w:t>
      </w:r>
      <w:r>
        <w:fldChar w:fldCharType="begin"/>
      </w:r>
      <w:r>
        <w:instrText>xe "Economy:Gross State Products (GSP)"</w:instrText>
      </w:r>
      <w:r>
        <w:fldChar w:fldCharType="end"/>
      </w:r>
      <w:r>
        <w:t xml:space="preserve"> over the same period. </w:t>
      </w:r>
    </w:p>
    <w:p w:rsidR="00000000" w:rsidRDefault="001F233B">
      <w:r>
        <w:t>The major influence on the projected trend is the expected return of property market activity to more normal levels over the course of the next four years. As shown in Chart 5.5, conveyance duty receipts are set to peak during 1998</w:t>
      </w:r>
      <w:r>
        <w:noBreakHyphen/>
        <w:t>99 and thereafter to fall in each of th</w:t>
      </w:r>
      <w:r>
        <w:t>e out</w:t>
      </w:r>
      <w:r>
        <w:noBreakHyphen/>
        <w:t xml:space="preserve">years. However, unlike the 1980s property boom, which was followed by a collapse in both prices and sales lasting a number of years, the downturn from the current property boom is expected to be more gradual and to stabilise at higher activity levels than seen in the first half of the 1990s. </w:t>
      </w:r>
    </w:p>
    <w:p w:rsidR="00000000" w:rsidRDefault="001F233B">
      <w:pPr>
        <w:pStyle w:val="Chartheading"/>
      </w:pPr>
      <w:r>
        <w:br w:type="page"/>
        <w:t>Chart 5.5: Conveyance Duty Quarterly Receipts (excluding privatisation</w:t>
      </w:r>
      <w:r>
        <w:fldChar w:fldCharType="begin"/>
      </w:r>
      <w:r>
        <w:instrText>xe "Privatisation"</w:instrText>
      </w:r>
      <w:r>
        <w:fldChar w:fldCharType="end"/>
      </w:r>
      <w:r>
        <w:t>)</w:t>
      </w:r>
    </w:p>
    <w:p w:rsidR="00000000" w:rsidRDefault="001F233B">
      <w:pPr>
        <w:pStyle w:val="Source"/>
        <w:keepNext/>
        <w:spacing w:after="0"/>
      </w:pPr>
      <w:r>
        <w:rPr>
          <w:noProof/>
          <w:sz w:val="20"/>
        </w:rPr>
        <w:drawing>
          <wp:inline distT="0" distB="0" distL="0" distR="0">
            <wp:extent cx="4438650" cy="2057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38650" cy="2057400"/>
                    </a:xfrm>
                    <a:prstGeom prst="rect">
                      <a:avLst/>
                    </a:prstGeom>
                    <a:noFill/>
                    <a:ln>
                      <a:noFill/>
                    </a:ln>
                  </pic:spPr>
                </pic:pic>
              </a:graphicData>
            </a:graphic>
          </wp:inline>
        </w:drawing>
      </w:r>
    </w:p>
    <w:p w:rsidR="00000000" w:rsidRDefault="001F233B">
      <w:pPr>
        <w:pStyle w:val="Source"/>
        <w:keepNext/>
        <w:spacing w:after="0"/>
      </w:pPr>
      <w:r>
        <w:t>Source: Department of Treasury and Finance.</w:t>
      </w:r>
    </w:p>
    <w:p w:rsidR="00000000" w:rsidRDefault="001F233B"/>
    <w:p w:rsidR="00000000" w:rsidRDefault="001F233B">
      <w:r>
        <w:t xml:space="preserve">Other factors making for relatively slow growth in taxes fees and fines </w:t>
      </w:r>
      <w:r>
        <w:t>over the next four years include the phasing out of electricity</w:t>
      </w:r>
      <w:r>
        <w:fldChar w:fldCharType="begin"/>
      </w:r>
      <w:r>
        <w:instrText>xe "Electricity"</w:instrText>
      </w:r>
      <w:r>
        <w:fldChar w:fldCharType="end"/>
      </w:r>
      <w:r>
        <w:t xml:space="preserve"> franchise fees as full competition is introduced into electricity markets and very slow projected growth in financial taxes. </w:t>
      </w:r>
    </w:p>
    <w:p w:rsidR="00000000" w:rsidRDefault="001F233B">
      <w:r>
        <w:t>There will also be a moderation in growth in gambling taxes</w:t>
      </w:r>
      <w:r>
        <w:fldChar w:fldCharType="begin"/>
      </w:r>
      <w:r>
        <w:instrText>xe "Gambling taxes"</w:instrText>
      </w:r>
      <w:r>
        <w:fldChar w:fldCharType="end"/>
      </w:r>
      <w:r>
        <w:t>. Over recent years, there have been significant changes to the gambling industry with the introduction of EGMs in mid</w:t>
      </w:r>
      <w:r>
        <w:noBreakHyphen/>
        <w:t>1992, the subsequent expansion of the network, and the opening of the temporary casino in June 1994 and t</w:t>
      </w:r>
      <w:r>
        <w:t>he permanent casino in May 1997. Reflecting these changes, as evidenced by Chart 5.6, gambling expenditure as a proportion of household disposable income in Victoria grew from well below the national average in 1992 to just over the average by 1995</w:t>
      </w:r>
      <w:r>
        <w:noBreakHyphen/>
        <w:t>96. By 1996-97, this growth had begun to moderate and stabilise at expenditure levels below those in New South Wales. The essential structure of the gambling industry is now in place and, with the current ceiling of 27 500 on the number of EGMs recently confirmed</w:t>
      </w:r>
      <w:r>
        <w:t>, no further major changes are expected in either 1998</w:t>
      </w:r>
      <w:r>
        <w:noBreakHyphen/>
        <w:t>99 or the forward estimate period. While recent developments in East Asia</w:t>
      </w:r>
      <w:r>
        <w:fldChar w:fldCharType="begin"/>
      </w:r>
      <w:r>
        <w:instrText>xe "Economy:East Asia"</w:instrText>
      </w:r>
      <w:r>
        <w:fldChar w:fldCharType="end"/>
      </w:r>
      <w:r>
        <w:t xml:space="preserve"> are expected to have some impact on casino premium player activity, it is unlikely to have a significant impact on the overall gambling taxes estimate. </w:t>
      </w:r>
    </w:p>
    <w:p w:rsidR="00000000" w:rsidRDefault="001F233B">
      <w:r>
        <w:br w:type="page"/>
        <w:t>While some taxes are growing more slowly, or declining, others grow broadly in line with the economy. Payroll tax</w:t>
      </w:r>
      <w:r>
        <w:fldChar w:fldCharType="begin"/>
      </w:r>
      <w:r>
        <w:instrText>xe "Tax:Payroll tax"</w:instrText>
      </w:r>
      <w:r>
        <w:fldChar w:fldCharType="end"/>
      </w:r>
      <w:r>
        <w:fldChar w:fldCharType="begin"/>
      </w:r>
      <w:r>
        <w:instrText>xe "Payroll tax"</w:instrText>
      </w:r>
      <w:r>
        <w:fldChar w:fldCharType="end"/>
      </w:r>
      <w:r>
        <w:t xml:space="preserve"> receipts are projected to grow at an annual average</w:t>
      </w:r>
      <w:r>
        <w:t xml:space="preserve"> rate of around 5½ per cent, broadly in line with growth in nominal GSP</w:t>
      </w:r>
      <w:r>
        <w:fldChar w:fldCharType="begin"/>
      </w:r>
      <w:r>
        <w:instrText>xe "Economy:Gross State Products (GSP)"</w:instrText>
      </w:r>
      <w:r>
        <w:fldChar w:fldCharType="end"/>
      </w:r>
      <w:r>
        <w:t>. Growth in motor vehicle taxes</w:t>
      </w:r>
      <w:r>
        <w:fldChar w:fldCharType="begin"/>
      </w:r>
      <w:r>
        <w:instrText>xe "Motor vehicle taxes"</w:instrText>
      </w:r>
      <w:r>
        <w:fldChar w:fldCharType="end"/>
      </w:r>
      <w:r>
        <w:t xml:space="preserve"> is expected to average 4.6 per cent per year, although growth rates will fluctuate during the forecast period. Based on projections supplied by the Commonwealth, safety net revenues</w:t>
      </w:r>
      <w:r>
        <w:fldChar w:fldCharType="begin"/>
      </w:r>
      <w:r>
        <w:instrText>xe "Safety net arrangements:Revenues"</w:instrText>
      </w:r>
      <w:r>
        <w:fldChar w:fldCharType="end"/>
      </w:r>
      <w:r>
        <w:t xml:space="preserve"> net of subsidies are expected to average growth of around 2.3 per cent per annum.</w:t>
      </w:r>
    </w:p>
    <w:p w:rsidR="00000000" w:rsidRDefault="001F233B">
      <w:pPr>
        <w:pStyle w:val="Chartheading"/>
      </w:pPr>
      <w:r>
        <w:t>Chart 5.6: Gambling Expenditure as a pe</w:t>
      </w:r>
      <w:r>
        <w:t>rcentage of Household Disposal Income</w:t>
      </w:r>
    </w:p>
    <w:p w:rsidR="00000000" w:rsidRDefault="001F233B">
      <w:r>
        <w:rPr>
          <w:noProof/>
          <w:sz w:val="20"/>
        </w:rPr>
        <w:drawing>
          <wp:inline distT="0" distB="0" distL="0" distR="0">
            <wp:extent cx="4467225" cy="2133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467225" cy="2133600"/>
                    </a:xfrm>
                    <a:prstGeom prst="rect">
                      <a:avLst/>
                    </a:prstGeom>
                    <a:noFill/>
                    <a:ln>
                      <a:noFill/>
                    </a:ln>
                  </pic:spPr>
                </pic:pic>
              </a:graphicData>
            </a:graphic>
          </wp:inline>
        </w:drawing>
      </w:r>
    </w:p>
    <w:p w:rsidR="00000000" w:rsidRDefault="001F233B">
      <w:pPr>
        <w:pStyle w:val="Source"/>
        <w:keepNext/>
        <w:tabs>
          <w:tab w:val="left" w:pos="630"/>
        </w:tabs>
        <w:ind w:left="630" w:hanging="630"/>
      </w:pPr>
      <w:r>
        <w:t>Source:</w:t>
      </w:r>
      <w:r>
        <w:tab/>
        <w:t xml:space="preserve">Department of Treasury and Finance; Tasmanian Gaming Commission </w:t>
      </w:r>
      <w:r>
        <w:rPr>
          <w:i w:val="0"/>
        </w:rPr>
        <w:t>Australian Gambling Statistics.</w:t>
      </w:r>
    </w:p>
    <w:p w:rsidR="00000000" w:rsidRDefault="001F233B">
      <w:pPr>
        <w:pStyle w:val="Heading4"/>
      </w:pPr>
      <w:r>
        <w:t>1998</w:t>
      </w:r>
      <w:r>
        <w:noBreakHyphen/>
        <w:t>99 Budget estimates of public authority income</w:t>
      </w:r>
    </w:p>
    <w:p w:rsidR="00000000" w:rsidRDefault="001F233B">
      <w:pPr>
        <w:ind w:right="-1"/>
        <w:rPr>
          <w:color w:val="000000"/>
        </w:rPr>
      </w:pPr>
      <w:r>
        <w:rPr>
          <w:color w:val="000000"/>
        </w:rPr>
        <w:t>Public authority income for 1998</w:t>
      </w:r>
      <w:r>
        <w:rPr>
          <w:color w:val="000000"/>
        </w:rPr>
        <w:noBreakHyphen/>
        <w:t>99 is estimated to be $940.5 million. This is a fall of only $4.2 million against the revised, privatisation</w:t>
      </w:r>
      <w:r>
        <w:rPr>
          <w:color w:val="000000"/>
        </w:rPr>
        <w:fldChar w:fldCharType="begin"/>
      </w:r>
      <w:r>
        <w:rPr>
          <w:color w:val="000000"/>
        </w:rPr>
        <w:instrText>xe "Privatisation"</w:instrText>
      </w:r>
      <w:r>
        <w:rPr>
          <w:color w:val="000000"/>
        </w:rPr>
        <w:fldChar w:fldCharType="end"/>
      </w:r>
      <w:r>
        <w:rPr>
          <w:color w:val="000000"/>
        </w:rPr>
        <w:t xml:space="preserve"> adjusted 1997</w:t>
      </w:r>
      <w:r>
        <w:rPr>
          <w:color w:val="000000"/>
        </w:rPr>
        <w:noBreakHyphen/>
        <w:t>98 estimate.</w:t>
      </w:r>
    </w:p>
    <w:p w:rsidR="00000000" w:rsidRDefault="001F233B">
      <w:r>
        <w:t>The small movement in aggregate public authority income is the result of a number of offsetting variations within government bu</w:t>
      </w:r>
      <w:r>
        <w:t>siness enterprises in different industry sectors.</w:t>
      </w:r>
    </w:p>
    <w:p w:rsidR="00000000" w:rsidRDefault="001F233B">
      <w:r>
        <w:t>Significantly, total distributions from the metropolitan water sector are estimated to decrease by some $196 million in 1998</w:t>
      </w:r>
      <w:r>
        <w:noBreakHyphen/>
        <w:t>99 compared to 1997</w:t>
      </w:r>
      <w:r>
        <w:noBreakHyphen/>
        <w:t>98. In October 1997 the Government introduced a package of pricing reforms to the metropolitan water sector. These reforms, which will deliver an average 18 per cent reduction in bills to over 85 per cent of domestic properties, will impact on future distributions to the Government.</w:t>
      </w:r>
    </w:p>
    <w:p w:rsidR="00000000" w:rsidRDefault="001F233B">
      <w:r>
        <w:t>The change from basing metropolit</w:t>
      </w:r>
      <w:r>
        <w:t>an water bills more on usage than on property values, benefits customers by giving them greater control over their total water bills. However, future revenues to the metropolitan water retailers will be more sensitive to climatic conditions. The forward estimates of distributions to Government have been calculated on the basis of anticipated consumption patterns in an average year.</w:t>
      </w:r>
    </w:p>
    <w:p w:rsidR="00000000" w:rsidRDefault="001F233B">
      <w:pPr>
        <w:ind w:right="-1"/>
      </w:pPr>
      <w:r>
        <w:t>On the other hand, as discussed earlier, reforms in the Victorian gas</w:t>
      </w:r>
      <w:r>
        <w:fldChar w:fldCharType="begin"/>
      </w:r>
      <w:r>
        <w:instrText>xe "Gas"</w:instrText>
      </w:r>
      <w:r>
        <w:fldChar w:fldCharType="end"/>
      </w:r>
      <w:r>
        <w:t xml:space="preserve"> sector have resulted in the abolition of the pu</w:t>
      </w:r>
      <w:r>
        <w:t>blic authority contribution</w:t>
      </w:r>
      <w:r>
        <w:fldChar w:fldCharType="begin"/>
      </w:r>
      <w:r>
        <w:instrText>xe "Public authority contribution"</w:instrText>
      </w:r>
      <w:r>
        <w:fldChar w:fldCharType="end"/>
      </w:r>
      <w:r>
        <w:t xml:space="preserve"> and this will be largely offset by higher dividends classified as public authority income.</w:t>
      </w:r>
    </w:p>
    <w:p w:rsidR="00000000" w:rsidRDefault="001F233B">
      <w:pPr>
        <w:pStyle w:val="Heading4"/>
        <w:rPr>
          <w:color w:val="000000"/>
        </w:rPr>
      </w:pPr>
      <w:r>
        <w:t>Forward estimates of public authority income: 1999</w:t>
      </w:r>
      <w:r>
        <w:noBreakHyphen/>
        <w:t>00 to 2001</w:t>
      </w:r>
      <w:r>
        <w:noBreakHyphen/>
        <w:t>02</w:t>
      </w:r>
    </w:p>
    <w:p w:rsidR="00000000" w:rsidRDefault="001F233B">
      <w:pPr>
        <w:ind w:right="-1"/>
        <w:rPr>
          <w:color w:val="000000"/>
        </w:rPr>
      </w:pPr>
      <w:r>
        <w:rPr>
          <w:color w:val="000000"/>
        </w:rPr>
        <w:t>The forward estimates for the period 1999</w:t>
      </w:r>
      <w:r>
        <w:rPr>
          <w:color w:val="000000"/>
        </w:rPr>
        <w:noBreakHyphen/>
        <w:t>00 to 2001</w:t>
      </w:r>
      <w:r>
        <w:rPr>
          <w:color w:val="000000"/>
        </w:rPr>
        <w:noBreakHyphen/>
        <w:t>02 continue to reflect the fact that most of the electricity</w:t>
      </w:r>
      <w:r>
        <w:rPr>
          <w:color w:val="000000"/>
        </w:rPr>
        <w:fldChar w:fldCharType="begin"/>
      </w:r>
      <w:r>
        <w:rPr>
          <w:color w:val="000000"/>
        </w:rPr>
        <w:instrText>xe "Electricity"</w:instrText>
      </w:r>
      <w:r>
        <w:rPr>
          <w:color w:val="000000"/>
        </w:rPr>
        <w:fldChar w:fldCharType="end"/>
      </w:r>
      <w:r>
        <w:rPr>
          <w:color w:val="000000"/>
        </w:rPr>
        <w:t xml:space="preserve"> businesses have now been privatised (Generation Victoria being the only electricity utility remaining in Government ownership). It is therefore anticipated that</w:t>
      </w:r>
      <w:r>
        <w:rPr>
          <w:color w:val="000000"/>
        </w:rPr>
        <w:t xml:space="preserve"> there will be no further substantial distributions from this sector.</w:t>
      </w:r>
    </w:p>
    <w:p w:rsidR="00000000" w:rsidRDefault="001F233B">
      <w:pPr>
        <w:pStyle w:val="Tableheading"/>
      </w:pPr>
      <w:bookmarkStart w:id="116" w:name="_Toc417120004"/>
      <w:bookmarkStart w:id="117" w:name="_Toc417552761"/>
      <w:r>
        <w:t>Table 5.9: Public Authority Income Estimates, 1998</w:t>
      </w:r>
      <w:r>
        <w:noBreakHyphen/>
        <w:t>99 to 2001</w:t>
      </w:r>
      <w:r>
        <w:noBreakHyphen/>
        <w:t>02</w:t>
      </w:r>
      <w:bookmarkEnd w:id="116"/>
      <w:bookmarkEnd w:id="117"/>
    </w:p>
    <w:p w:rsidR="00000000" w:rsidRDefault="001F233B">
      <w:pPr>
        <w:pStyle w:val="Tabletext"/>
        <w:jc w:val="center"/>
        <w:rPr>
          <w:i/>
          <w:noProof/>
          <w:sz w:val="20"/>
        </w:rPr>
      </w:pPr>
      <w:r>
        <w:rPr>
          <w:i/>
        </w:rPr>
        <w:t>$ million</w:t>
      </w:r>
    </w:p>
    <w:tbl>
      <w:tblPr>
        <w:tblW w:w="0" w:type="auto"/>
        <w:tblLayout w:type="fixed"/>
        <w:tblCellMar>
          <w:left w:w="30" w:type="dxa"/>
          <w:right w:w="30" w:type="dxa"/>
        </w:tblCellMar>
        <w:tblLook w:val="0000" w:firstRow="0" w:lastRow="0" w:firstColumn="0" w:lastColumn="0" w:noHBand="0" w:noVBand="0"/>
      </w:tblPr>
      <w:tblGrid>
        <w:gridCol w:w="3540"/>
        <w:gridCol w:w="900"/>
        <w:gridCol w:w="900"/>
        <w:gridCol w:w="900"/>
        <w:gridCol w:w="900"/>
      </w:tblGrid>
      <w:tr w:rsidR="00000000">
        <w:tblPrEx>
          <w:tblCellMar>
            <w:top w:w="0" w:type="dxa"/>
            <w:bottom w:w="0" w:type="dxa"/>
          </w:tblCellMar>
        </w:tblPrEx>
        <w:trPr>
          <w:trHeight w:val="242"/>
        </w:trPr>
        <w:tc>
          <w:tcPr>
            <w:tcW w:w="3540" w:type="dxa"/>
            <w:tcBorders>
              <w:top w:val="single" w:sz="6" w:space="0" w:color="auto"/>
            </w:tcBorders>
          </w:tcPr>
          <w:p w:rsidR="00000000" w:rsidRDefault="001F233B">
            <w:pPr>
              <w:keepNext/>
              <w:jc w:val="right"/>
              <w:rPr>
                <w:rFonts w:ascii="Arial" w:hAnsi="Arial"/>
                <w:i/>
                <w:color w:val="000000"/>
                <w:sz w:val="18"/>
              </w:rPr>
            </w:pPr>
          </w:p>
        </w:tc>
        <w:tc>
          <w:tcPr>
            <w:tcW w:w="900"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1998-99</w:t>
            </w:r>
          </w:p>
        </w:tc>
        <w:tc>
          <w:tcPr>
            <w:tcW w:w="900"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1999-00</w:t>
            </w:r>
          </w:p>
        </w:tc>
        <w:tc>
          <w:tcPr>
            <w:tcW w:w="900"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2000-01</w:t>
            </w:r>
          </w:p>
        </w:tc>
        <w:tc>
          <w:tcPr>
            <w:tcW w:w="900" w:type="dxa"/>
            <w:tcBorders>
              <w:top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2001-02</w:t>
            </w:r>
          </w:p>
        </w:tc>
      </w:tr>
      <w:tr w:rsidR="00000000">
        <w:tblPrEx>
          <w:tblCellMar>
            <w:top w:w="0" w:type="dxa"/>
            <w:bottom w:w="0" w:type="dxa"/>
          </w:tblCellMar>
        </w:tblPrEx>
        <w:trPr>
          <w:trHeight w:val="242"/>
        </w:trPr>
        <w:tc>
          <w:tcPr>
            <w:tcW w:w="3540" w:type="dxa"/>
            <w:tcBorders>
              <w:bottom w:val="single" w:sz="6" w:space="0" w:color="auto"/>
            </w:tcBorders>
          </w:tcPr>
          <w:p w:rsidR="00000000" w:rsidRDefault="001F233B">
            <w:pPr>
              <w:keepNext/>
              <w:jc w:val="right"/>
              <w:rPr>
                <w:rFonts w:ascii="Arial" w:hAnsi="Arial"/>
                <w:i/>
                <w:color w:val="000000"/>
                <w:sz w:val="18"/>
              </w:rPr>
            </w:pPr>
          </w:p>
        </w:tc>
        <w:tc>
          <w:tcPr>
            <w:tcW w:w="900" w:type="dxa"/>
            <w:tcBorders>
              <w:bottom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Budget</w:t>
            </w:r>
          </w:p>
        </w:tc>
        <w:tc>
          <w:tcPr>
            <w:tcW w:w="900" w:type="dxa"/>
            <w:tcBorders>
              <w:bottom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Estimate</w:t>
            </w:r>
          </w:p>
        </w:tc>
        <w:tc>
          <w:tcPr>
            <w:tcW w:w="900" w:type="dxa"/>
            <w:tcBorders>
              <w:bottom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Estimate</w:t>
            </w:r>
          </w:p>
        </w:tc>
        <w:tc>
          <w:tcPr>
            <w:tcW w:w="900" w:type="dxa"/>
            <w:tcBorders>
              <w:bottom w:val="single" w:sz="6" w:space="0" w:color="auto"/>
            </w:tcBorders>
          </w:tcPr>
          <w:p w:rsidR="00000000" w:rsidRDefault="001F233B">
            <w:pPr>
              <w:keepNext/>
              <w:jc w:val="right"/>
              <w:rPr>
                <w:rFonts w:ascii="Arial" w:hAnsi="Arial"/>
                <w:i/>
                <w:color w:val="000000"/>
                <w:sz w:val="18"/>
              </w:rPr>
            </w:pPr>
            <w:r>
              <w:rPr>
                <w:rFonts w:ascii="Arial" w:hAnsi="Arial"/>
                <w:i/>
                <w:color w:val="000000"/>
                <w:sz w:val="18"/>
              </w:rPr>
              <w:t>Estimate</w:t>
            </w:r>
          </w:p>
        </w:tc>
      </w:tr>
      <w:tr w:rsidR="00000000">
        <w:tblPrEx>
          <w:tblCellMar>
            <w:top w:w="0" w:type="dxa"/>
            <w:bottom w:w="0" w:type="dxa"/>
          </w:tblCellMar>
        </w:tblPrEx>
        <w:trPr>
          <w:trHeight w:val="242"/>
        </w:trPr>
        <w:tc>
          <w:tcPr>
            <w:tcW w:w="3540" w:type="dxa"/>
          </w:tcPr>
          <w:p w:rsidR="00000000" w:rsidRDefault="001F233B">
            <w:pPr>
              <w:keepNext/>
              <w:rPr>
                <w:rFonts w:ascii="Arial" w:hAnsi="Arial"/>
                <w:color w:val="000000"/>
                <w:sz w:val="18"/>
              </w:rPr>
            </w:pPr>
            <w:r>
              <w:rPr>
                <w:rFonts w:ascii="Arial" w:hAnsi="Arial"/>
                <w:color w:val="000000"/>
                <w:sz w:val="18"/>
              </w:rPr>
              <w:t>Dividends</w:t>
            </w:r>
          </w:p>
        </w:tc>
        <w:tc>
          <w:tcPr>
            <w:tcW w:w="900" w:type="dxa"/>
          </w:tcPr>
          <w:p w:rsidR="00000000" w:rsidRDefault="001F233B">
            <w:pPr>
              <w:keepNext/>
              <w:jc w:val="right"/>
              <w:rPr>
                <w:rFonts w:ascii="Arial" w:hAnsi="Arial"/>
                <w:color w:val="000000"/>
                <w:sz w:val="18"/>
              </w:rPr>
            </w:pPr>
            <w:r>
              <w:rPr>
                <w:rFonts w:ascii="Arial" w:hAnsi="Arial"/>
                <w:color w:val="000000"/>
                <w:sz w:val="18"/>
              </w:rPr>
              <w:t xml:space="preserve"> 810.0</w:t>
            </w:r>
          </w:p>
        </w:tc>
        <w:tc>
          <w:tcPr>
            <w:tcW w:w="900" w:type="dxa"/>
          </w:tcPr>
          <w:p w:rsidR="00000000" w:rsidRDefault="001F233B">
            <w:pPr>
              <w:keepNext/>
              <w:jc w:val="right"/>
              <w:rPr>
                <w:rFonts w:ascii="Arial" w:hAnsi="Arial"/>
                <w:color w:val="000000"/>
                <w:sz w:val="18"/>
              </w:rPr>
            </w:pPr>
            <w:r>
              <w:rPr>
                <w:rFonts w:ascii="Arial" w:hAnsi="Arial"/>
                <w:color w:val="000000"/>
                <w:sz w:val="18"/>
              </w:rPr>
              <w:t xml:space="preserve"> 749.7</w:t>
            </w:r>
          </w:p>
        </w:tc>
        <w:tc>
          <w:tcPr>
            <w:tcW w:w="900" w:type="dxa"/>
          </w:tcPr>
          <w:p w:rsidR="00000000" w:rsidRDefault="001F233B">
            <w:pPr>
              <w:keepNext/>
              <w:jc w:val="right"/>
              <w:rPr>
                <w:rFonts w:ascii="Arial" w:hAnsi="Arial"/>
                <w:color w:val="000000"/>
                <w:sz w:val="18"/>
              </w:rPr>
            </w:pPr>
            <w:r>
              <w:rPr>
                <w:rFonts w:ascii="Arial" w:hAnsi="Arial"/>
                <w:color w:val="000000"/>
                <w:sz w:val="18"/>
              </w:rPr>
              <w:t xml:space="preserve"> 745.9</w:t>
            </w:r>
          </w:p>
        </w:tc>
        <w:tc>
          <w:tcPr>
            <w:tcW w:w="900" w:type="dxa"/>
          </w:tcPr>
          <w:p w:rsidR="00000000" w:rsidRDefault="001F233B">
            <w:pPr>
              <w:keepNext/>
              <w:jc w:val="right"/>
              <w:rPr>
                <w:rFonts w:ascii="Arial" w:hAnsi="Arial"/>
                <w:color w:val="000000"/>
                <w:sz w:val="18"/>
              </w:rPr>
            </w:pPr>
            <w:r>
              <w:rPr>
                <w:rFonts w:ascii="Arial" w:hAnsi="Arial"/>
                <w:color w:val="000000"/>
                <w:sz w:val="18"/>
              </w:rPr>
              <w:t xml:space="preserve"> 541.8</w:t>
            </w:r>
          </w:p>
        </w:tc>
      </w:tr>
      <w:tr w:rsidR="00000000">
        <w:tblPrEx>
          <w:tblCellMar>
            <w:top w:w="0" w:type="dxa"/>
            <w:bottom w:w="0" w:type="dxa"/>
          </w:tblCellMar>
        </w:tblPrEx>
        <w:trPr>
          <w:trHeight w:val="242"/>
        </w:trPr>
        <w:tc>
          <w:tcPr>
            <w:tcW w:w="3540" w:type="dxa"/>
          </w:tcPr>
          <w:p w:rsidR="00000000" w:rsidRDefault="001F233B">
            <w:pPr>
              <w:keepNext/>
              <w:rPr>
                <w:rFonts w:ascii="Arial" w:hAnsi="Arial"/>
                <w:color w:val="000000"/>
                <w:sz w:val="18"/>
              </w:rPr>
            </w:pPr>
            <w:r>
              <w:rPr>
                <w:rFonts w:ascii="Arial" w:hAnsi="Arial"/>
                <w:color w:val="000000"/>
                <w:sz w:val="18"/>
              </w:rPr>
              <w:t>Income Tax Equivalent Receipts</w:t>
            </w:r>
          </w:p>
        </w:tc>
        <w:tc>
          <w:tcPr>
            <w:tcW w:w="900" w:type="dxa"/>
          </w:tcPr>
          <w:p w:rsidR="00000000" w:rsidRDefault="001F233B">
            <w:pPr>
              <w:keepNext/>
              <w:jc w:val="right"/>
              <w:rPr>
                <w:rFonts w:ascii="Arial" w:hAnsi="Arial"/>
                <w:color w:val="000000"/>
                <w:sz w:val="18"/>
              </w:rPr>
            </w:pPr>
            <w:r>
              <w:rPr>
                <w:rFonts w:ascii="Arial" w:hAnsi="Arial"/>
                <w:color w:val="000000"/>
                <w:sz w:val="18"/>
              </w:rPr>
              <w:t xml:space="preserve"> 122.7</w:t>
            </w:r>
          </w:p>
        </w:tc>
        <w:tc>
          <w:tcPr>
            <w:tcW w:w="900" w:type="dxa"/>
          </w:tcPr>
          <w:p w:rsidR="00000000" w:rsidRDefault="001F233B">
            <w:pPr>
              <w:keepNext/>
              <w:jc w:val="right"/>
              <w:rPr>
                <w:rFonts w:ascii="Arial" w:hAnsi="Arial"/>
                <w:color w:val="000000"/>
                <w:sz w:val="18"/>
              </w:rPr>
            </w:pPr>
            <w:r>
              <w:rPr>
                <w:rFonts w:ascii="Arial" w:hAnsi="Arial"/>
                <w:color w:val="000000"/>
                <w:sz w:val="18"/>
              </w:rPr>
              <w:t xml:space="preserve"> 105.7</w:t>
            </w:r>
          </w:p>
        </w:tc>
        <w:tc>
          <w:tcPr>
            <w:tcW w:w="900" w:type="dxa"/>
          </w:tcPr>
          <w:p w:rsidR="00000000" w:rsidRDefault="001F233B">
            <w:pPr>
              <w:keepNext/>
              <w:jc w:val="right"/>
              <w:rPr>
                <w:rFonts w:ascii="Arial" w:hAnsi="Arial"/>
                <w:color w:val="000000"/>
                <w:sz w:val="18"/>
              </w:rPr>
            </w:pPr>
            <w:r>
              <w:rPr>
                <w:rFonts w:ascii="Arial" w:hAnsi="Arial"/>
                <w:color w:val="000000"/>
                <w:sz w:val="18"/>
              </w:rPr>
              <w:t xml:space="preserve"> 110.3</w:t>
            </w:r>
          </w:p>
        </w:tc>
        <w:tc>
          <w:tcPr>
            <w:tcW w:w="900" w:type="dxa"/>
          </w:tcPr>
          <w:p w:rsidR="00000000" w:rsidRDefault="001F233B">
            <w:pPr>
              <w:keepNext/>
              <w:jc w:val="right"/>
              <w:rPr>
                <w:rFonts w:ascii="Arial" w:hAnsi="Arial"/>
                <w:color w:val="000000"/>
                <w:sz w:val="18"/>
              </w:rPr>
            </w:pPr>
            <w:r>
              <w:rPr>
                <w:rFonts w:ascii="Arial" w:hAnsi="Arial"/>
                <w:color w:val="000000"/>
                <w:sz w:val="18"/>
              </w:rPr>
              <w:t xml:space="preserve"> 115.9</w:t>
            </w:r>
          </w:p>
        </w:tc>
      </w:tr>
      <w:tr w:rsidR="00000000">
        <w:tblPrEx>
          <w:tblCellMar>
            <w:top w:w="0" w:type="dxa"/>
            <w:bottom w:w="0" w:type="dxa"/>
          </w:tblCellMar>
        </w:tblPrEx>
        <w:trPr>
          <w:trHeight w:val="242"/>
        </w:trPr>
        <w:tc>
          <w:tcPr>
            <w:tcW w:w="3540" w:type="dxa"/>
          </w:tcPr>
          <w:p w:rsidR="00000000" w:rsidRDefault="001F233B">
            <w:pPr>
              <w:keepNext/>
              <w:rPr>
                <w:rFonts w:ascii="Arial" w:hAnsi="Arial"/>
                <w:color w:val="000000"/>
                <w:sz w:val="18"/>
              </w:rPr>
            </w:pPr>
            <w:r>
              <w:rPr>
                <w:rFonts w:ascii="Arial" w:hAnsi="Arial"/>
                <w:color w:val="000000"/>
                <w:sz w:val="18"/>
              </w:rPr>
              <w:t xml:space="preserve">Wholesale Sales Tax Equivalent Receipts </w:t>
            </w:r>
          </w:p>
        </w:tc>
        <w:tc>
          <w:tcPr>
            <w:tcW w:w="900" w:type="dxa"/>
          </w:tcPr>
          <w:p w:rsidR="00000000" w:rsidRDefault="001F233B">
            <w:pPr>
              <w:keepNext/>
              <w:jc w:val="right"/>
              <w:rPr>
                <w:rFonts w:ascii="Arial" w:hAnsi="Arial"/>
                <w:color w:val="000000"/>
                <w:sz w:val="18"/>
              </w:rPr>
            </w:pPr>
            <w:r>
              <w:rPr>
                <w:rFonts w:ascii="Arial" w:hAnsi="Arial"/>
                <w:color w:val="000000"/>
                <w:sz w:val="18"/>
              </w:rPr>
              <w:t xml:space="preserve"> 7.8</w:t>
            </w:r>
          </w:p>
        </w:tc>
        <w:tc>
          <w:tcPr>
            <w:tcW w:w="900" w:type="dxa"/>
          </w:tcPr>
          <w:p w:rsidR="00000000" w:rsidRDefault="001F233B">
            <w:pPr>
              <w:keepNext/>
              <w:jc w:val="right"/>
              <w:rPr>
                <w:rFonts w:ascii="Arial" w:hAnsi="Arial"/>
                <w:color w:val="000000"/>
                <w:sz w:val="18"/>
              </w:rPr>
            </w:pPr>
            <w:r>
              <w:rPr>
                <w:rFonts w:ascii="Arial" w:hAnsi="Arial"/>
                <w:color w:val="000000"/>
                <w:sz w:val="18"/>
              </w:rPr>
              <w:t xml:space="preserve"> 7.5</w:t>
            </w:r>
          </w:p>
        </w:tc>
        <w:tc>
          <w:tcPr>
            <w:tcW w:w="900" w:type="dxa"/>
          </w:tcPr>
          <w:p w:rsidR="00000000" w:rsidRDefault="001F233B">
            <w:pPr>
              <w:keepNext/>
              <w:jc w:val="right"/>
              <w:rPr>
                <w:rFonts w:ascii="Arial" w:hAnsi="Arial"/>
                <w:color w:val="000000"/>
                <w:sz w:val="18"/>
              </w:rPr>
            </w:pPr>
            <w:r>
              <w:rPr>
                <w:rFonts w:ascii="Arial" w:hAnsi="Arial"/>
                <w:color w:val="000000"/>
                <w:sz w:val="18"/>
              </w:rPr>
              <w:t xml:space="preserve"> 7.5</w:t>
            </w:r>
          </w:p>
        </w:tc>
        <w:tc>
          <w:tcPr>
            <w:tcW w:w="900" w:type="dxa"/>
          </w:tcPr>
          <w:p w:rsidR="00000000" w:rsidRDefault="001F233B">
            <w:pPr>
              <w:keepNext/>
              <w:jc w:val="right"/>
              <w:rPr>
                <w:rFonts w:ascii="Arial" w:hAnsi="Arial"/>
                <w:color w:val="000000"/>
                <w:sz w:val="18"/>
              </w:rPr>
            </w:pPr>
            <w:r>
              <w:rPr>
                <w:rFonts w:ascii="Arial" w:hAnsi="Arial"/>
                <w:color w:val="000000"/>
                <w:sz w:val="18"/>
              </w:rPr>
              <w:t xml:space="preserve"> 7.5</w:t>
            </w:r>
          </w:p>
        </w:tc>
      </w:tr>
      <w:tr w:rsidR="00000000">
        <w:tblPrEx>
          <w:tblCellMar>
            <w:top w:w="0" w:type="dxa"/>
            <w:bottom w:w="0" w:type="dxa"/>
          </w:tblCellMar>
        </w:tblPrEx>
        <w:trPr>
          <w:trHeight w:val="200"/>
        </w:trPr>
        <w:tc>
          <w:tcPr>
            <w:tcW w:w="3540" w:type="dxa"/>
            <w:tcBorders>
              <w:bottom w:val="single" w:sz="12" w:space="0" w:color="auto"/>
            </w:tcBorders>
          </w:tcPr>
          <w:p w:rsidR="00000000" w:rsidRDefault="001F233B">
            <w:pPr>
              <w:keepNext/>
              <w:spacing w:after="0"/>
              <w:rPr>
                <w:rFonts w:ascii="Arial" w:hAnsi="Arial"/>
                <w:b/>
                <w:color w:val="000000"/>
                <w:sz w:val="18"/>
              </w:rPr>
            </w:pPr>
            <w:r>
              <w:rPr>
                <w:rFonts w:ascii="Arial" w:hAnsi="Arial"/>
                <w:b/>
                <w:color w:val="000000"/>
                <w:sz w:val="18"/>
              </w:rPr>
              <w:t>Total Public Authority Income</w:t>
            </w:r>
          </w:p>
          <w:p w:rsidR="00000000" w:rsidRDefault="001F233B">
            <w:pPr>
              <w:keepNext/>
              <w:spacing w:after="0"/>
              <w:rPr>
                <w:rFonts w:ascii="Arial" w:hAnsi="Arial"/>
                <w:b/>
                <w:color w:val="000000"/>
                <w:sz w:val="18"/>
              </w:rPr>
            </w:pPr>
            <w:r>
              <w:rPr>
                <w:rFonts w:ascii="Arial" w:hAnsi="Arial"/>
                <w:b/>
                <w:color w:val="000000"/>
                <w:sz w:val="18"/>
              </w:rPr>
              <w:t xml:space="preserve"> (excl. privatisation</w:t>
            </w:r>
            <w:r>
              <w:rPr>
                <w:rFonts w:ascii="Arial" w:hAnsi="Arial"/>
                <w:b/>
                <w:color w:val="000000"/>
                <w:sz w:val="18"/>
              </w:rPr>
              <w:fldChar w:fldCharType="begin"/>
            </w:r>
            <w:r>
              <w:rPr>
                <w:rFonts w:ascii="Arial" w:hAnsi="Arial"/>
                <w:b/>
                <w:color w:val="000000"/>
                <w:sz w:val="18"/>
              </w:rPr>
              <w:instrText>xe "Privatisation"</w:instrText>
            </w:r>
            <w:r>
              <w:rPr>
                <w:rFonts w:ascii="Arial" w:hAnsi="Arial"/>
                <w:b/>
                <w:color w:val="000000"/>
                <w:sz w:val="18"/>
              </w:rPr>
              <w:fldChar w:fldCharType="end"/>
            </w:r>
            <w:r>
              <w:rPr>
                <w:rFonts w:ascii="Arial" w:hAnsi="Arial"/>
                <w:b/>
                <w:color w:val="000000"/>
                <w:sz w:val="18"/>
              </w:rPr>
              <w:t xml:space="preserve"> receipts)</w:t>
            </w:r>
          </w:p>
        </w:tc>
        <w:tc>
          <w:tcPr>
            <w:tcW w:w="900" w:type="dxa"/>
            <w:tcBorders>
              <w:top w:val="single" w:sz="6" w:space="0" w:color="auto"/>
              <w:bottom w:val="single" w:sz="12" w:space="0" w:color="auto"/>
            </w:tcBorders>
          </w:tcPr>
          <w:p w:rsidR="00000000" w:rsidRDefault="001F233B">
            <w:pPr>
              <w:keepNext/>
              <w:spacing w:after="0"/>
              <w:jc w:val="right"/>
              <w:rPr>
                <w:rFonts w:ascii="Arial" w:hAnsi="Arial"/>
                <w:b/>
                <w:color w:val="000000"/>
                <w:sz w:val="18"/>
              </w:rPr>
            </w:pPr>
            <w:r>
              <w:rPr>
                <w:rFonts w:ascii="Arial" w:hAnsi="Arial"/>
                <w:b/>
                <w:color w:val="000000"/>
                <w:sz w:val="18"/>
              </w:rPr>
              <w:t xml:space="preserve"> 940.5</w:t>
            </w:r>
          </w:p>
        </w:tc>
        <w:tc>
          <w:tcPr>
            <w:tcW w:w="900" w:type="dxa"/>
            <w:tcBorders>
              <w:top w:val="single" w:sz="6" w:space="0" w:color="auto"/>
              <w:bottom w:val="single" w:sz="12" w:space="0" w:color="auto"/>
            </w:tcBorders>
          </w:tcPr>
          <w:p w:rsidR="00000000" w:rsidRDefault="001F233B">
            <w:pPr>
              <w:keepNext/>
              <w:spacing w:after="0"/>
              <w:jc w:val="right"/>
              <w:rPr>
                <w:rFonts w:ascii="Arial" w:hAnsi="Arial"/>
                <w:b/>
                <w:color w:val="000000"/>
                <w:sz w:val="18"/>
              </w:rPr>
            </w:pPr>
            <w:r>
              <w:rPr>
                <w:rFonts w:ascii="Arial" w:hAnsi="Arial"/>
                <w:b/>
                <w:color w:val="000000"/>
                <w:sz w:val="18"/>
              </w:rPr>
              <w:t xml:space="preserve"> 862.9</w:t>
            </w:r>
          </w:p>
        </w:tc>
        <w:tc>
          <w:tcPr>
            <w:tcW w:w="900" w:type="dxa"/>
            <w:tcBorders>
              <w:top w:val="single" w:sz="6" w:space="0" w:color="auto"/>
              <w:bottom w:val="single" w:sz="12" w:space="0" w:color="auto"/>
            </w:tcBorders>
          </w:tcPr>
          <w:p w:rsidR="00000000" w:rsidRDefault="001F233B">
            <w:pPr>
              <w:keepNext/>
              <w:spacing w:after="0"/>
              <w:jc w:val="right"/>
              <w:rPr>
                <w:rFonts w:ascii="Arial" w:hAnsi="Arial"/>
                <w:b/>
                <w:color w:val="000000"/>
                <w:sz w:val="18"/>
              </w:rPr>
            </w:pPr>
            <w:r>
              <w:rPr>
                <w:rFonts w:ascii="Arial" w:hAnsi="Arial"/>
                <w:b/>
                <w:color w:val="000000"/>
                <w:sz w:val="18"/>
              </w:rPr>
              <w:t xml:space="preserve"> 863.6</w:t>
            </w:r>
          </w:p>
        </w:tc>
        <w:tc>
          <w:tcPr>
            <w:tcW w:w="900" w:type="dxa"/>
            <w:tcBorders>
              <w:top w:val="single" w:sz="6" w:space="0" w:color="auto"/>
              <w:bottom w:val="single" w:sz="12" w:space="0" w:color="auto"/>
            </w:tcBorders>
          </w:tcPr>
          <w:p w:rsidR="00000000" w:rsidRDefault="001F233B">
            <w:pPr>
              <w:keepNext/>
              <w:spacing w:after="0"/>
              <w:jc w:val="right"/>
              <w:rPr>
                <w:rFonts w:ascii="Arial" w:hAnsi="Arial"/>
                <w:b/>
                <w:color w:val="000000"/>
                <w:sz w:val="18"/>
              </w:rPr>
            </w:pPr>
            <w:r>
              <w:rPr>
                <w:rFonts w:ascii="Arial" w:hAnsi="Arial"/>
                <w:b/>
                <w:color w:val="000000"/>
                <w:sz w:val="18"/>
              </w:rPr>
              <w:t xml:space="preserve"> 665.2</w:t>
            </w:r>
          </w:p>
        </w:tc>
      </w:tr>
    </w:tbl>
    <w:p w:rsidR="00000000" w:rsidRDefault="001F233B">
      <w:pPr>
        <w:pStyle w:val="Source"/>
        <w:keepNext/>
      </w:pPr>
      <w:r>
        <w:t>Source: Department of Tre</w:t>
      </w:r>
      <w:r>
        <w:t>asury and Finance.</w:t>
      </w:r>
    </w:p>
    <w:p w:rsidR="00000000" w:rsidRDefault="001F233B"/>
    <w:p w:rsidR="00000000" w:rsidRDefault="001F233B">
      <w:r>
        <w:t>Public authority income is expected to remain at around $860 million for 1999</w:t>
      </w:r>
      <w:r>
        <w:noBreakHyphen/>
        <w:t>00 and 2000</w:t>
      </w:r>
      <w:r>
        <w:noBreakHyphen/>
        <w:t>01 and then decrease to $665 million in 2001</w:t>
      </w:r>
      <w:r>
        <w:noBreakHyphen/>
        <w:t>02. This decrease is due to an expected reduction in gas</w:t>
      </w:r>
      <w:r>
        <w:fldChar w:fldCharType="begin"/>
      </w:r>
      <w:r>
        <w:instrText>xe "Gas"</w:instrText>
      </w:r>
      <w:r>
        <w:fldChar w:fldCharType="end"/>
      </w:r>
      <w:r>
        <w:t xml:space="preserve"> authority dividends following changes under existing gas supply arrangements and the introduction of full competition into the gas market from 2000-01.</w:t>
      </w:r>
    </w:p>
    <w:p w:rsidR="00000000" w:rsidRDefault="001F233B">
      <w:pPr>
        <w:pStyle w:val="Heading4"/>
      </w:pPr>
      <w:r>
        <w:t>1998</w:t>
      </w:r>
      <w:r>
        <w:noBreakHyphen/>
        <w:t>99 Budget estimates and forward estimates of other revenues</w:t>
      </w:r>
    </w:p>
    <w:p w:rsidR="00000000" w:rsidRDefault="001F233B">
      <w:r>
        <w:t>Sales of goods and services are projected to increase to $1 744.8 million</w:t>
      </w:r>
      <w:r>
        <w:t xml:space="preserve"> in 1998</w:t>
      </w:r>
      <w:r>
        <w:noBreakHyphen/>
        <w:t>99 and thereafter to grow at an average annual rate of 0.3 per cent.</w:t>
      </w:r>
    </w:p>
    <w:p w:rsidR="00000000" w:rsidRDefault="001F233B">
      <w:r>
        <w:br w:type="page"/>
        <w:t>Other revenues, comprising mainly rent on Crown leases, coal and forest royalties and interest received, are projected to remain relatively static at just over $200 million per annum throughout the forward estimates period. The projected fall in other revenues from 1997</w:t>
      </w:r>
      <w:r>
        <w:noBreakHyphen/>
        <w:t>98 to 1998</w:t>
      </w:r>
      <w:r>
        <w:noBreakHyphen/>
        <w:t>99 results from a one-off transaction in 1997-98 when, as the result of the sale of Southern Hydro</w:t>
      </w:r>
      <w:r>
        <w:fldChar w:fldCharType="begin"/>
      </w:r>
      <w:r>
        <w:instrText>xe "Southern Hydro"</w:instrText>
      </w:r>
      <w:r>
        <w:fldChar w:fldCharType="end"/>
      </w:r>
      <w:r>
        <w:t>, former SECV</w:t>
      </w:r>
      <w:r>
        <w:fldChar w:fldCharType="begin"/>
      </w:r>
      <w:r>
        <w:instrText>xe "State Electric</w:instrText>
      </w:r>
      <w:r>
        <w:instrText>ity Commission of Victoria"</w:instrText>
      </w:r>
      <w:r>
        <w:fldChar w:fldCharType="end"/>
      </w:r>
      <w:r>
        <w:t xml:space="preserve"> towns were transferred to the budget sector for public recreation use. This transfer has been reflected in a one-off increase in operating revenue of $67.7 million in 1997</w:t>
      </w:r>
      <w:r>
        <w:noBreakHyphen/>
        <w:t>98. The non</w:t>
      </w:r>
      <w:r>
        <w:noBreakHyphen/>
        <w:t>recurrence of this item in 1998</w:t>
      </w:r>
      <w:r>
        <w:noBreakHyphen/>
        <w:t xml:space="preserve">99 will see other revenues fall back to normal levels. </w:t>
      </w:r>
    </w:p>
    <w:p w:rsidR="00000000" w:rsidRDefault="001F233B">
      <w:pPr>
        <w:sectPr w:rsidR="00000000">
          <w:footerReference w:type="even" r:id="rId55"/>
          <w:footerReference w:type="default" r:id="rId56"/>
          <w:type w:val="oddPage"/>
          <w:pgSz w:w="11907" w:h="16840" w:code="9"/>
          <w:pgMar w:top="1418" w:right="3402" w:bottom="4082" w:left="1418" w:header="720" w:footer="4253" w:gutter="0"/>
          <w:cols w:space="720"/>
        </w:sectPr>
      </w:pPr>
    </w:p>
    <w:p w:rsidR="00000000" w:rsidRDefault="001F233B">
      <w:pPr>
        <w:sectPr w:rsidR="00000000">
          <w:footerReference w:type="even" r:id="rId57"/>
          <w:footerReference w:type="default" r:id="rId58"/>
          <w:type w:val="continuous"/>
          <w:pgSz w:w="11907" w:h="16840" w:code="9"/>
          <w:pgMar w:top="1440" w:right="3402" w:bottom="4082" w:left="1418" w:header="720" w:footer="4253" w:gutter="0"/>
          <w:cols w:space="720"/>
        </w:sectPr>
      </w:pPr>
    </w:p>
    <w:p w:rsidR="00000000" w:rsidRDefault="001F233B">
      <w:pPr>
        <w:pStyle w:val="Heading1"/>
      </w:pPr>
      <w:bookmarkStart w:id="118" w:name="_Toc417482321"/>
      <w:r>
        <w:br w:type="page"/>
      </w:r>
      <w:bookmarkStart w:id="119" w:name="_Toc417552093"/>
      <w:r>
        <w:t>Chapter 6: Asset and Liability Management</w:t>
      </w:r>
      <w:bookmarkEnd w:id="118"/>
      <w:bookmarkEnd w:id="119"/>
      <w:r>
        <w:fldChar w:fldCharType="begin"/>
      </w:r>
      <w:r>
        <w:instrText>xe "Liability management"</w:instrText>
      </w:r>
      <w:r>
        <w:fldChar w:fldCharType="end"/>
      </w:r>
    </w:p>
    <w:p w:rsidR="00000000" w:rsidRDefault="001F233B">
      <w:pPr>
        <w:pStyle w:val="Heading2"/>
      </w:pPr>
      <w:bookmarkStart w:id="120" w:name="_Toc417482322"/>
      <w:bookmarkStart w:id="121" w:name="_Toc417552094"/>
      <w:r>
        <w:t>Introduction</w:t>
      </w:r>
      <w:bookmarkEnd w:id="120"/>
      <w:bookmarkEnd w:id="121"/>
    </w:p>
    <w:p w:rsidR="00000000" w:rsidRDefault="001F233B">
      <w:r>
        <w:t>On 27 March 1998, Standard &amp; Poor’s</w:t>
      </w:r>
      <w:r>
        <w:fldChar w:fldCharType="begin"/>
      </w:r>
      <w:r>
        <w:instrText>xe "Credit rating:Standard &amp; Poor’s"</w:instrText>
      </w:r>
      <w:r>
        <w:fldChar w:fldCharType="end"/>
      </w:r>
      <w:r>
        <w:t xml:space="preserve"> (S&amp;P) announced that it was placing Victoria’s local</w:t>
      </w:r>
      <w:r>
        <w:t xml:space="preserve"> currency rating of AA+ on CreditWatch Positive. S&amp;P stated that this decision reflected the moderate and still falling levels of the Victorian Government’s debt burden, the strong position of its ongoing finances, and the State’s broad economic base, which should be durable and diverse enough to cope with the impact of recent developments in East Asia</w:t>
      </w:r>
      <w:r>
        <w:fldChar w:fldCharType="begin"/>
      </w:r>
      <w:r>
        <w:instrText>xe "Asia"</w:instrText>
      </w:r>
      <w:r>
        <w:fldChar w:fldCharType="end"/>
      </w:r>
      <w:r>
        <w:t>. </w:t>
      </w:r>
      <w:r>
        <w:fldChar w:fldCharType="begin"/>
      </w:r>
      <w:r>
        <w:instrText>xe "Economy:East Asia"</w:instrText>
      </w:r>
      <w:r>
        <w:fldChar w:fldCharType="end"/>
      </w:r>
      <w:r>
        <w:fldChar w:fldCharType="begin"/>
      </w:r>
      <w:r>
        <w:instrText>xe "East Asia"</w:instrText>
      </w:r>
      <w:r>
        <w:fldChar w:fldCharType="end"/>
      </w:r>
      <w:r>
        <w:t>It was noted that should these positive financial and economic trends be affirmed in the Budget, a rating</w:t>
      </w:r>
      <w:r>
        <w:t xml:space="preserve"> upgrade is likely.</w:t>
      </w:r>
    </w:p>
    <w:p w:rsidR="00000000" w:rsidRDefault="001F233B">
      <w:r>
        <w:t>Asset and liability management advanced significantly when fully audited financial statements for the State of Victoria were tabled in Parliament for the first time in October 1997. These statements were prepared on a full accrual accounting basis which enables better asset management</w:t>
      </w:r>
      <w:r>
        <w:fldChar w:fldCharType="begin"/>
      </w:r>
      <w:r>
        <w:instrText>xe "Asset Management"</w:instrText>
      </w:r>
      <w:r>
        <w:fldChar w:fldCharType="end"/>
      </w:r>
      <w:r>
        <w:t xml:space="preserve"> and more transparent Government decision making.</w:t>
      </w:r>
    </w:p>
    <w:p w:rsidR="00000000" w:rsidRDefault="001F233B">
      <w:pPr>
        <w:pStyle w:val="Heading3"/>
      </w:pPr>
      <w:r>
        <w:t>Asset management</w:t>
      </w:r>
      <w:r>
        <w:fldChar w:fldCharType="begin"/>
      </w:r>
      <w:r>
        <w:instrText>xe "Asset Management"</w:instrText>
      </w:r>
      <w:r>
        <w:fldChar w:fldCharType="end"/>
      </w:r>
    </w:p>
    <w:p w:rsidR="00000000" w:rsidRDefault="001F233B">
      <w:r>
        <w:t>The State’s audited balance sheet shows that the public sector had total assets of $71.5 billi</w:t>
      </w:r>
      <w:r>
        <w:t>on as at 30 June 1997. All State assets are now recognised, reliably measured and recorded.</w:t>
      </w:r>
    </w:p>
    <w:p w:rsidR="00000000" w:rsidRDefault="001F233B">
      <w:r>
        <w:t>As at 30 June 1997 the public sector had $53 billion in non-current physical assets, of which:</w:t>
      </w:r>
    </w:p>
    <w:p w:rsidR="00000000" w:rsidRDefault="001F233B" w:rsidP="001F233B">
      <w:pPr>
        <w:pStyle w:val="BulletText"/>
        <w:numPr>
          <w:ilvl w:val="0"/>
          <w:numId w:val="10"/>
        </w:numPr>
        <w:tabs>
          <w:tab w:val="left" w:pos="360"/>
        </w:tabs>
        <w:rPr>
          <w:lang w:val="en-AU"/>
        </w:rPr>
      </w:pPr>
      <w:r>
        <w:rPr>
          <w:lang w:val="en-AU"/>
        </w:rPr>
        <w:t xml:space="preserve">$20.5 billion was in land and buildings (38 per cent); </w:t>
      </w:r>
    </w:p>
    <w:p w:rsidR="00000000" w:rsidRDefault="001F233B" w:rsidP="001F233B">
      <w:pPr>
        <w:numPr>
          <w:ilvl w:val="0"/>
          <w:numId w:val="10"/>
        </w:numPr>
        <w:tabs>
          <w:tab w:val="left" w:pos="360"/>
        </w:tabs>
      </w:pPr>
      <w:r>
        <w:t xml:space="preserve">$18.9 billion in plant and equipment (36 per cent); </w:t>
      </w:r>
    </w:p>
    <w:p w:rsidR="00000000" w:rsidRDefault="001F233B" w:rsidP="001F233B">
      <w:pPr>
        <w:numPr>
          <w:ilvl w:val="0"/>
          <w:numId w:val="10"/>
        </w:numPr>
        <w:tabs>
          <w:tab w:val="left" w:pos="360"/>
        </w:tabs>
      </w:pPr>
      <w:r>
        <w:t xml:space="preserve">$12.1 billion in roads (23 per cent); and </w:t>
      </w:r>
    </w:p>
    <w:p w:rsidR="00000000" w:rsidRDefault="001F233B" w:rsidP="001F233B">
      <w:pPr>
        <w:numPr>
          <w:ilvl w:val="0"/>
          <w:numId w:val="10"/>
        </w:numPr>
        <w:tabs>
          <w:tab w:val="left" w:pos="360"/>
        </w:tabs>
      </w:pPr>
      <w:r>
        <w:t>$1.6 billion in other assets including works of art, museum collections and rare book collections.</w:t>
      </w:r>
    </w:p>
    <w:p w:rsidR="00000000" w:rsidRDefault="001F233B" w:rsidP="001F233B">
      <w:pPr>
        <w:numPr>
          <w:ilvl w:val="12"/>
          <w:numId w:val="0"/>
        </w:numPr>
      </w:pPr>
      <w:r>
        <w:t>The Management Reform Program</w:t>
      </w:r>
      <w:r>
        <w:fldChar w:fldCharType="begin"/>
      </w:r>
      <w:r>
        <w:instrText>xe "Management Reform Programme"</w:instrText>
      </w:r>
      <w:r>
        <w:fldChar w:fldCharType="end"/>
      </w:r>
      <w:r>
        <w:t xml:space="preserve"> and recent</w:t>
      </w:r>
      <w:r>
        <w:t xml:space="preserve"> changes to legislation will, for the first time, implement accrual output-based budgeting</w:t>
      </w:r>
      <w:r>
        <w:fldChar w:fldCharType="begin"/>
      </w:r>
      <w:r>
        <w:instrText>xe "Accrual:Output based budgeting"</w:instrText>
      </w:r>
      <w:r>
        <w:fldChar w:fldCharType="end"/>
      </w:r>
      <w:r>
        <w:t xml:space="preserve"> for the Budget Sector. This will result in improved asset management</w:t>
      </w:r>
      <w:r>
        <w:fldChar w:fldCharType="begin"/>
      </w:r>
      <w:r>
        <w:instrText>xe "Asset Management"</w:instrText>
      </w:r>
      <w:r>
        <w:fldChar w:fldCharType="end"/>
      </w:r>
      <w:r>
        <w:t xml:space="preserve"> for the State. The ongoing financial management reforms are designed to sensitise managers to the costs of capital, provide a setting for alternative means of delivering services and provide the basis for sustained fiscal responsibility for the State. </w:t>
      </w:r>
    </w:p>
    <w:p w:rsidR="00000000" w:rsidRDefault="001F233B" w:rsidP="001F233B">
      <w:pPr>
        <w:pStyle w:val="Heading3"/>
        <w:numPr>
          <w:ilvl w:val="12"/>
          <w:numId w:val="0"/>
        </w:numPr>
      </w:pPr>
      <w:r>
        <w:t>Liability management</w:t>
      </w:r>
      <w:r>
        <w:fldChar w:fldCharType="begin"/>
      </w:r>
      <w:r>
        <w:instrText>xe "Liability Mana</w:instrText>
      </w:r>
      <w:r>
        <w:instrText>gement"</w:instrText>
      </w:r>
      <w:r>
        <w:fldChar w:fldCharType="end"/>
      </w:r>
    </w:p>
    <w:p w:rsidR="00000000" w:rsidRDefault="001F233B" w:rsidP="001F233B">
      <w:pPr>
        <w:numPr>
          <w:ilvl w:val="12"/>
          <w:numId w:val="0"/>
        </w:numPr>
      </w:pPr>
      <w:r>
        <w:t>The continued use of privatisation</w:t>
      </w:r>
      <w:r>
        <w:fldChar w:fldCharType="begin"/>
      </w:r>
      <w:r>
        <w:instrText>xe "Privatisation"</w:instrText>
      </w:r>
      <w:r>
        <w:fldChar w:fldCharType="end"/>
      </w:r>
      <w:r>
        <w:t xml:space="preserve"> proceeds and budget surpluses for reduction of net debt and other liabilities has enabled further significant reductions in Victoria’s public sector liabilities, and in its public sector net debt</w:t>
      </w:r>
      <w:r>
        <w:fldChar w:fldCharType="begin"/>
      </w:r>
      <w:r>
        <w:instrText>xe "Public sector net debt"</w:instrText>
      </w:r>
      <w:r>
        <w:fldChar w:fldCharType="end"/>
      </w:r>
      <w:r>
        <w:t xml:space="preserve"> and debt servicing ratios during 1997</w:t>
      </w:r>
      <w:r>
        <w:noBreakHyphen/>
        <w:t>98. As a result, Victoria’s long-term goal of reducing debt and debt servicing ratios to levels consistent with those of other triple-A rated Australian States has now been achieved.</w:t>
      </w:r>
    </w:p>
    <w:p w:rsidR="00000000" w:rsidRDefault="001F233B" w:rsidP="001F233B">
      <w:pPr>
        <w:numPr>
          <w:ilvl w:val="12"/>
          <w:numId w:val="0"/>
        </w:numPr>
      </w:pPr>
      <w:r>
        <w:t>Th</w:t>
      </w:r>
      <w:r>
        <w:t>e ratio of Victoria’s State Government sector net debt to gross state product</w:t>
      </w:r>
      <w:r>
        <w:fldChar w:fldCharType="begin"/>
      </w:r>
      <w:r>
        <w:instrText>xe "Economy:Gross State Products (GSP)"</w:instrText>
      </w:r>
      <w:r>
        <w:fldChar w:fldCharType="end"/>
      </w:r>
      <w:r>
        <w:t xml:space="preserve"> (GSP)</w:t>
      </w:r>
      <w:r>
        <w:fldChar w:fldCharType="begin"/>
      </w:r>
      <w:r>
        <w:instrText>xe "State Government Net Debt to GSP"</w:instrText>
      </w:r>
      <w:r>
        <w:fldChar w:fldCharType="end"/>
      </w:r>
      <w:r>
        <w:t>, estimated to reach 7.3 per cent by 30 June 1998, is now substantially below those of Western Australia and New South Wales, last reported at 30 June 1997 at 12.9 per cent and 10.4 per cent respectively.</w:t>
      </w:r>
    </w:p>
    <w:p w:rsidR="00000000" w:rsidRDefault="001F233B" w:rsidP="001F233B">
      <w:pPr>
        <w:numPr>
          <w:ilvl w:val="12"/>
          <w:numId w:val="0"/>
        </w:numPr>
      </w:pPr>
      <w:r>
        <w:t>Over the past three years, more than 65 per cent of Victoria’s public sector net debt</w:t>
      </w:r>
      <w:r>
        <w:fldChar w:fldCharType="begin"/>
      </w:r>
      <w:r>
        <w:instrText>xe "Public sector net debt"</w:instrText>
      </w:r>
      <w:r>
        <w:fldChar w:fldCharType="end"/>
      </w:r>
      <w:r>
        <w:t xml:space="preserve"> has been repaid. Since 30 Jun</w:t>
      </w:r>
      <w:r>
        <w:t>e 1995, public sector net debt</w:t>
      </w:r>
      <w:r>
        <w:fldChar w:fldCharType="begin"/>
      </w:r>
      <w:r>
        <w:instrText>xe "Public sector net debt"</w:instrText>
      </w:r>
      <w:r>
        <w:fldChar w:fldCharType="end"/>
      </w:r>
      <w:r>
        <w:t xml:space="preserve"> has fallen by $21.4 billion and will fall to an estimated $11.1 billion by 30 June 1998. Public sector net debt has fallen</w:t>
      </w:r>
      <w:r>
        <w:fldChar w:fldCharType="begin"/>
      </w:r>
      <w:r>
        <w:instrText>xe "Public sector net debt"</w:instrText>
      </w:r>
      <w:r>
        <w:fldChar w:fldCharType="end"/>
      </w:r>
      <w:r>
        <w:t xml:space="preserve"> from $7 208 per person in 1995 to only $2 389 per person in 1998: a significant achievement for the community.</w:t>
      </w:r>
    </w:p>
    <w:p w:rsidR="00000000" w:rsidRDefault="001F233B" w:rsidP="001F233B">
      <w:pPr>
        <w:numPr>
          <w:ilvl w:val="12"/>
          <w:numId w:val="0"/>
        </w:numPr>
      </w:pPr>
      <w:r>
        <w:t>Most of the reduction in public sector debt during 1997</w:t>
      </w:r>
      <w:r>
        <w:noBreakHyphen/>
        <w:t xml:space="preserve">98 occurred in the budget sector where net debt </w:t>
      </w:r>
      <w:r>
        <w:fldChar w:fldCharType="begin"/>
      </w:r>
      <w:r>
        <w:instrText>xe "Budget sector net debt"</w:instrText>
      </w:r>
      <w:r>
        <w:fldChar w:fldCharType="end"/>
      </w:r>
      <w:r>
        <w:t>is expected to fall by a net of $1.9 billion after allow</w:t>
      </w:r>
      <w:r>
        <w:t>ing for the assumption of $850 million of debt by the Budget sector from the Metropolitan Water Authorities. Budget sector net debt is expected to fall from $10.6 billion at 30 June 1997 to $8.7 billion by 30 June 1998.</w:t>
      </w:r>
    </w:p>
    <w:p w:rsidR="00000000" w:rsidRDefault="001F233B" w:rsidP="001F233B">
      <w:pPr>
        <w:numPr>
          <w:ilvl w:val="12"/>
          <w:numId w:val="0"/>
        </w:numPr>
      </w:pPr>
      <w:r>
        <w:t>Victoria’s interest burden has also continued to fall. Budget sector interest paid</w:t>
      </w:r>
      <w:r>
        <w:fldChar w:fldCharType="begin"/>
      </w:r>
      <w:r>
        <w:instrText>xe "Budget sector interest paid"</w:instrText>
      </w:r>
      <w:r>
        <w:fldChar w:fldCharType="end"/>
      </w:r>
      <w:r>
        <w:t>, forecast to be $806.3 million in 1998</w:t>
      </w:r>
      <w:r>
        <w:noBreakHyphen/>
        <w:t>99, is projected to absorb just 5.1 per cent of revenue and current grants in 1998</w:t>
      </w:r>
      <w:r>
        <w:noBreakHyphen/>
        <w:t>99, less than half of the 12.4 per cent required in 1</w:t>
      </w:r>
      <w:r>
        <w:t>995</w:t>
      </w:r>
      <w:r>
        <w:noBreakHyphen/>
        <w:t xml:space="preserve">96. </w:t>
      </w:r>
    </w:p>
    <w:p w:rsidR="00000000" w:rsidRDefault="001F233B" w:rsidP="001F233B">
      <w:pPr>
        <w:pStyle w:val="Heading2"/>
        <w:numPr>
          <w:ilvl w:val="12"/>
          <w:numId w:val="0"/>
        </w:numPr>
      </w:pPr>
      <w:bookmarkStart w:id="122" w:name="_Toc417482323"/>
      <w:bookmarkStart w:id="123" w:name="_Toc417552095"/>
      <w:r>
        <w:t>Credit rating</w:t>
      </w:r>
      <w:r>
        <w:fldChar w:fldCharType="begin"/>
      </w:r>
      <w:r>
        <w:instrText>xe "Credit rating"</w:instrText>
      </w:r>
      <w:r>
        <w:fldChar w:fldCharType="end"/>
      </w:r>
      <w:r>
        <w:t xml:space="preserve"> status: Aa1/AA+</w:t>
      </w:r>
      <w:bookmarkEnd w:id="122"/>
      <w:bookmarkEnd w:id="123"/>
    </w:p>
    <w:p w:rsidR="00000000" w:rsidRDefault="001F233B" w:rsidP="001F233B">
      <w:pPr>
        <w:numPr>
          <w:ilvl w:val="12"/>
          <w:numId w:val="0"/>
        </w:numPr>
      </w:pPr>
      <w:r>
        <w:t>Victoria’s current long-term rating of AA+ CreditWatch Positive from S&amp;P</w:t>
      </w:r>
      <w:r>
        <w:fldChar w:fldCharType="begin"/>
      </w:r>
      <w:r>
        <w:instrText>xe "Credit rating:Standard &amp; Poor’s"</w:instrText>
      </w:r>
      <w:r>
        <w:fldChar w:fldCharType="end"/>
      </w:r>
      <w:r>
        <w:t xml:space="preserve"> and Aa1 from Moody’s Investors Service</w:t>
      </w:r>
      <w:r>
        <w:fldChar w:fldCharType="begin"/>
      </w:r>
      <w:r>
        <w:instrText>xe "Credit rating:Moody’s Investors Service"</w:instrText>
      </w:r>
      <w:r>
        <w:fldChar w:fldCharType="end"/>
      </w:r>
      <w:r>
        <w:t>, recognises the substantial fiscal and financial improvements made in Victoria and the Government’s continuing commitment to reform.</w:t>
      </w:r>
    </w:p>
    <w:p w:rsidR="00000000" w:rsidRDefault="001F233B" w:rsidP="001F233B">
      <w:pPr>
        <w:numPr>
          <w:ilvl w:val="12"/>
          <w:numId w:val="0"/>
        </w:numPr>
      </w:pPr>
      <w:r>
        <w:t>Victoria’s ratings are now just one rung below the Government’s objective of triple</w:t>
      </w:r>
      <w:r>
        <w:noBreakHyphen/>
        <w:t>A. Achievement of this rating will depen</w:t>
      </w:r>
      <w:r>
        <w:t>d on the rating agencies’ assessment of the State’s commitment to reform and the ability of the Budget to accommodate cyclical economic downturns.</w:t>
      </w:r>
    </w:p>
    <w:p w:rsidR="00000000" w:rsidRDefault="001F233B" w:rsidP="001F233B">
      <w:pPr>
        <w:numPr>
          <w:ilvl w:val="12"/>
          <w:numId w:val="0"/>
        </w:numPr>
      </w:pPr>
      <w:r>
        <w:t>Chart 6.1 shows the improvement in the ratio of Victoria’s State Government net debt to GSP</w:t>
      </w:r>
      <w:r>
        <w:fldChar w:fldCharType="begin"/>
      </w:r>
      <w:r>
        <w:instrText>xe "State Government Net Debt to GSP"</w:instrText>
      </w:r>
      <w:r>
        <w:fldChar w:fldCharType="end"/>
      </w:r>
      <w:r>
        <w:fldChar w:fldCharType="begin"/>
      </w:r>
      <w:r>
        <w:instrText>xe "State Government net debt to GSP"</w:instrText>
      </w:r>
      <w:r>
        <w:fldChar w:fldCharType="end"/>
      </w:r>
      <w:r>
        <w:fldChar w:fldCharType="begin"/>
      </w:r>
      <w:r>
        <w:instrText>xe "Economy:Gross State Products (GSP)"</w:instrText>
      </w:r>
      <w:r>
        <w:fldChar w:fldCharType="end"/>
      </w:r>
      <w:r>
        <w:t xml:space="preserve"> between 30 June 1997 and 30 June 1998, and compares the current rating status and net debt position as at 30 June 1997 for other Australian States.</w:t>
      </w:r>
    </w:p>
    <w:p w:rsidR="00000000" w:rsidRDefault="001F233B" w:rsidP="001F233B">
      <w:pPr>
        <w:pStyle w:val="Chartheading"/>
        <w:keepNext/>
        <w:numPr>
          <w:ilvl w:val="12"/>
          <w:numId w:val="0"/>
        </w:numPr>
      </w:pPr>
      <w:r>
        <w:t xml:space="preserve">Chart </w:t>
      </w:r>
      <w:r>
        <w:t>6.1: Comparison of State Government Net Debt to Gross State Product</w:t>
      </w:r>
      <w:r>
        <w:fldChar w:fldCharType="begin"/>
      </w:r>
      <w:r>
        <w:instrText>xe "Economy:Gross State Products (GSP)"</w:instrText>
      </w:r>
      <w:r>
        <w:fldChar w:fldCharType="end"/>
      </w:r>
      <w:r>
        <w:t xml:space="preserve"> and Current Australian State Ratings</w:t>
      </w:r>
    </w:p>
    <w:p w:rsidR="00000000" w:rsidRDefault="001F233B" w:rsidP="001F233B">
      <w:pPr>
        <w:numPr>
          <w:ilvl w:val="12"/>
          <w:numId w:val="0"/>
        </w:numPr>
      </w:pPr>
      <w:r>
        <w:rPr>
          <w:noProof/>
          <w:sz w:val="20"/>
        </w:rPr>
        <w:drawing>
          <wp:inline distT="0" distB="0" distL="0" distR="0">
            <wp:extent cx="4486275" cy="2085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86275" cy="2085975"/>
                    </a:xfrm>
                    <a:prstGeom prst="rect">
                      <a:avLst/>
                    </a:prstGeom>
                    <a:noFill/>
                    <a:ln>
                      <a:noFill/>
                    </a:ln>
                  </pic:spPr>
                </pic:pic>
              </a:graphicData>
            </a:graphic>
          </wp:inline>
        </w:drawing>
      </w:r>
    </w:p>
    <w:p w:rsidR="00000000" w:rsidRDefault="001F233B" w:rsidP="001F233B">
      <w:pPr>
        <w:pStyle w:val="Notes"/>
        <w:numPr>
          <w:ilvl w:val="12"/>
          <w:numId w:val="0"/>
        </w:numPr>
      </w:pPr>
      <w:r>
        <w:t>Sources:</w:t>
      </w:r>
      <w:r>
        <w:tab/>
        <w:t>Australian Bureau of Statistics, Cat. No. 5513.0 &amp; Cat. No. 5242.0;</w:t>
      </w:r>
    </w:p>
    <w:p w:rsidR="00000000" w:rsidRDefault="001F233B" w:rsidP="001F233B">
      <w:pPr>
        <w:pStyle w:val="Notes"/>
        <w:numPr>
          <w:ilvl w:val="12"/>
          <w:numId w:val="0"/>
        </w:numPr>
        <w:tabs>
          <w:tab w:val="clear" w:pos="454"/>
          <w:tab w:val="left" w:pos="720"/>
        </w:tabs>
      </w:pPr>
      <w:r>
        <w:t xml:space="preserve"> </w:t>
      </w:r>
      <w:r>
        <w:tab/>
        <w:t>Department of Treasury and Finance.</w:t>
      </w:r>
    </w:p>
    <w:p w:rsidR="00000000" w:rsidRDefault="001F233B" w:rsidP="001F233B">
      <w:pPr>
        <w:pStyle w:val="Notes"/>
        <w:numPr>
          <w:ilvl w:val="12"/>
          <w:numId w:val="0"/>
        </w:numPr>
      </w:pPr>
      <w:r>
        <w:t>Note:</w:t>
      </w:r>
    </w:p>
    <w:p w:rsidR="00000000" w:rsidRDefault="001F233B" w:rsidP="001F233B">
      <w:pPr>
        <w:pStyle w:val="Notes"/>
        <w:numPr>
          <w:ilvl w:val="12"/>
          <w:numId w:val="0"/>
        </w:numPr>
        <w:tabs>
          <w:tab w:val="clear" w:pos="454"/>
          <w:tab w:val="left" w:pos="360"/>
        </w:tabs>
      </w:pPr>
      <w:r>
        <w:t>(a)</w:t>
      </w:r>
      <w:r>
        <w:tab/>
        <w:t>Victoria was placed on CreditWatch Positive on 27 March 1998 by Standard &amp; Poor’s</w:t>
      </w:r>
      <w:r>
        <w:fldChar w:fldCharType="begin"/>
      </w:r>
      <w:r>
        <w:instrText>xe "Credit rating:Standard &amp; Poor’s"</w:instrText>
      </w:r>
      <w:r>
        <w:fldChar w:fldCharType="end"/>
      </w:r>
      <w:r>
        <w:t>.</w:t>
      </w:r>
    </w:p>
    <w:p w:rsidR="00000000" w:rsidRDefault="001F233B" w:rsidP="001F233B">
      <w:pPr>
        <w:numPr>
          <w:ilvl w:val="12"/>
          <w:numId w:val="0"/>
        </w:numPr>
      </w:pPr>
    </w:p>
    <w:p w:rsidR="00000000" w:rsidRDefault="001F233B" w:rsidP="001F233B">
      <w:pPr>
        <w:numPr>
          <w:ilvl w:val="12"/>
          <w:numId w:val="0"/>
        </w:numPr>
      </w:pPr>
      <w:r>
        <w:t>Chart 6.2 shows that the ratio of Victoria’s State Government net debt to GSP</w:t>
      </w:r>
      <w:r>
        <w:fldChar w:fldCharType="begin"/>
      </w:r>
      <w:r>
        <w:instrText>xe "State Government Net Debt to GSP"</w:instrText>
      </w:r>
      <w:r>
        <w:fldChar w:fldCharType="end"/>
      </w:r>
      <w:r>
        <w:fldChar w:fldCharType="begin"/>
      </w:r>
      <w:r>
        <w:instrText>xe "State Government net debt to GSP"</w:instrText>
      </w:r>
      <w:r>
        <w:fldChar w:fldCharType="end"/>
      </w:r>
      <w:r>
        <w:fldChar w:fldCharType="begin"/>
      </w:r>
      <w:r>
        <w:instrText>xe "Economy:Gross State Products (GSP)"</w:instrText>
      </w:r>
      <w:r>
        <w:fldChar w:fldCharType="end"/>
      </w:r>
      <w:r>
        <w:t>, is now well within the range of the triple</w:t>
      </w:r>
      <w:r>
        <w:noBreakHyphen/>
        <w:t>A rated States.</w:t>
      </w:r>
    </w:p>
    <w:p w:rsidR="00000000" w:rsidRDefault="001F233B" w:rsidP="001F233B">
      <w:pPr>
        <w:pStyle w:val="Chartheading"/>
        <w:keepNext/>
        <w:numPr>
          <w:ilvl w:val="12"/>
          <w:numId w:val="0"/>
        </w:numPr>
      </w:pPr>
      <w:r>
        <w:t>Chart 6.2: State Government Net Debt to Gross State Product</w:t>
      </w:r>
      <w:r>
        <w:fldChar w:fldCharType="begin"/>
      </w:r>
      <w:r>
        <w:instrText>xe "Economy:Gross State Products (GSP)"</w:instrText>
      </w:r>
      <w:r>
        <w:fldChar w:fldCharType="end"/>
      </w:r>
      <w:r>
        <w:t xml:space="preserve"> Comparison with triple-A rated States</w:t>
      </w:r>
    </w:p>
    <w:p w:rsidR="00000000" w:rsidRDefault="001F233B" w:rsidP="001F233B">
      <w:pPr>
        <w:numPr>
          <w:ilvl w:val="12"/>
          <w:numId w:val="0"/>
        </w:numPr>
        <w:spacing w:after="0"/>
      </w:pPr>
      <w:r>
        <w:rPr>
          <w:noProof/>
          <w:sz w:val="20"/>
        </w:rPr>
        <w:drawing>
          <wp:inline distT="0" distB="0" distL="0" distR="0">
            <wp:extent cx="4486275" cy="2085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486275" cy="2085975"/>
                    </a:xfrm>
                    <a:prstGeom prst="rect">
                      <a:avLst/>
                    </a:prstGeom>
                    <a:noFill/>
                    <a:ln>
                      <a:noFill/>
                    </a:ln>
                  </pic:spPr>
                </pic:pic>
              </a:graphicData>
            </a:graphic>
          </wp:inline>
        </w:drawing>
      </w:r>
    </w:p>
    <w:p w:rsidR="00000000" w:rsidRDefault="001F233B" w:rsidP="001F233B">
      <w:pPr>
        <w:pStyle w:val="Notes"/>
        <w:numPr>
          <w:ilvl w:val="12"/>
          <w:numId w:val="0"/>
        </w:numPr>
      </w:pPr>
      <w:r>
        <w:t>Sources:</w:t>
      </w:r>
      <w:r>
        <w:tab/>
        <w:t>Australian Bureau of Statistics Cat. No. 5513.0 &amp; Cat. No. 5242.0;</w:t>
      </w:r>
    </w:p>
    <w:p w:rsidR="00000000" w:rsidRDefault="001F233B" w:rsidP="001F233B">
      <w:pPr>
        <w:pStyle w:val="Notes"/>
        <w:numPr>
          <w:ilvl w:val="12"/>
          <w:numId w:val="0"/>
        </w:numPr>
        <w:tabs>
          <w:tab w:val="clear" w:pos="454"/>
          <w:tab w:val="left" w:pos="720"/>
        </w:tabs>
      </w:pPr>
      <w:r>
        <w:tab/>
        <w:t>Department of Treasury and Finance.</w:t>
      </w:r>
    </w:p>
    <w:p w:rsidR="00000000" w:rsidRDefault="001F233B" w:rsidP="001F233B">
      <w:pPr>
        <w:pStyle w:val="Heading2"/>
        <w:numPr>
          <w:ilvl w:val="12"/>
          <w:numId w:val="0"/>
        </w:numPr>
      </w:pPr>
      <w:bookmarkStart w:id="124" w:name="_Toc417482324"/>
      <w:bookmarkStart w:id="125" w:name="_Toc417552096"/>
      <w:r>
        <w:t>Use of privatisation</w:t>
      </w:r>
      <w:r>
        <w:fldChar w:fldCharType="begin"/>
      </w:r>
      <w:r>
        <w:instrText>xe "Privatisation"</w:instrText>
      </w:r>
      <w:r>
        <w:fldChar w:fldCharType="end"/>
      </w:r>
      <w:r>
        <w:t xml:space="preserve"> proceeds</w:t>
      </w:r>
      <w:bookmarkEnd w:id="124"/>
      <w:bookmarkEnd w:id="125"/>
    </w:p>
    <w:p w:rsidR="00000000" w:rsidRDefault="001F233B" w:rsidP="001F233B">
      <w:pPr>
        <w:numPr>
          <w:ilvl w:val="12"/>
          <w:numId w:val="0"/>
        </w:numPr>
      </w:pPr>
      <w:r>
        <w:t>As a result of the sale of PowerNet Victoria</w:t>
      </w:r>
      <w:r>
        <w:fldChar w:fldCharType="begin"/>
      </w:r>
      <w:r>
        <w:instrText>xe "Power Net Victoria"</w:instrText>
      </w:r>
      <w:r>
        <w:fldChar w:fldCharType="end"/>
      </w:r>
      <w:r>
        <w:t xml:space="preserve"> and Southern Hydro</w:t>
      </w:r>
      <w:r>
        <w:fldChar w:fldCharType="begin"/>
      </w:r>
      <w:r>
        <w:instrText>xe "Southern Hydro"</w:instrText>
      </w:r>
      <w:r>
        <w:fldChar w:fldCharType="end"/>
      </w:r>
      <w:r>
        <w:t>, cash proceeds totalling $2 946 million were received from privatisations in 1997</w:t>
      </w:r>
      <w:r>
        <w:noBreakHyphen/>
        <w:t>98. Of this amount, $796 million has been used to repay the debt of the privatised companies held by the Treasury Corporation of Victoria (TCV).</w:t>
      </w:r>
    </w:p>
    <w:p w:rsidR="00000000" w:rsidRDefault="001F233B" w:rsidP="001F233B">
      <w:pPr>
        <w:numPr>
          <w:ilvl w:val="12"/>
          <w:numId w:val="0"/>
        </w:numPr>
      </w:pPr>
      <w:r>
        <w:t>$1 742 million has been used to repay budget sector debt and $63</w:t>
      </w:r>
      <w:r>
        <w:rPr>
          <w:b/>
        </w:rPr>
        <w:t> </w:t>
      </w:r>
      <w:r>
        <w:t>million</w:t>
      </w:r>
      <w:r>
        <w:rPr>
          <w:b/>
        </w:rPr>
        <w:t xml:space="preserve"> </w:t>
      </w:r>
      <w:r>
        <w:t>has been used to meet privatisation</w:t>
      </w:r>
      <w:r>
        <w:fldChar w:fldCharType="begin"/>
      </w:r>
      <w:r>
        <w:instrText>xe "Privatisation"</w:instrText>
      </w:r>
      <w:r>
        <w:fldChar w:fldCharType="end"/>
      </w:r>
      <w:r>
        <w:t xml:space="preserve"> and reform expenses and associated payments to Goulburn Murray Water. The remaining $345 million has been invested</w:t>
      </w:r>
      <w:r>
        <w:t xml:space="preserve"> in liquid financial assets.</w:t>
      </w:r>
    </w:p>
    <w:p w:rsidR="00000000" w:rsidRDefault="001F233B" w:rsidP="001F233B">
      <w:pPr>
        <w:numPr>
          <w:ilvl w:val="12"/>
          <w:numId w:val="0"/>
        </w:numPr>
      </w:pPr>
      <w:r>
        <w:t>The net financial benefit to the budget sector and SECV</w:t>
      </w:r>
      <w:r>
        <w:fldChar w:fldCharType="begin"/>
      </w:r>
      <w:r>
        <w:instrText>xe "SECV"</w:instrText>
      </w:r>
      <w:r>
        <w:fldChar w:fldCharType="end"/>
      </w:r>
      <w:r>
        <w:fldChar w:fldCharType="begin"/>
      </w:r>
      <w:r>
        <w:instrText>xe "State Electricity Commission of Victoria"</w:instrText>
      </w:r>
      <w:r>
        <w:fldChar w:fldCharType="end"/>
      </w:r>
      <w:r>
        <w:t> Shell</w:t>
      </w:r>
      <w:r>
        <w:fldChar w:fldCharType="begin"/>
      </w:r>
      <w:r>
        <w:instrText>xe "Public authority income:SECV Shell"</w:instrText>
      </w:r>
      <w:r>
        <w:fldChar w:fldCharType="end"/>
      </w:r>
      <w:r>
        <w:t>, after adjustments for revenue forgone from privatised entities, is calculated to be around $762 million for 1998</w:t>
      </w:r>
      <w:r>
        <w:noBreakHyphen/>
        <w:t>99.</w:t>
      </w:r>
    </w:p>
    <w:p w:rsidR="00000000" w:rsidRDefault="001F233B" w:rsidP="001F233B">
      <w:pPr>
        <w:numPr>
          <w:ilvl w:val="12"/>
          <w:numId w:val="0"/>
        </w:numPr>
      </w:pPr>
      <w:r>
        <w:t>The forward estimates do not include the use of future expected privatisation</w:t>
      </w:r>
      <w:r>
        <w:fldChar w:fldCharType="begin"/>
      </w:r>
      <w:r>
        <w:instrText>xe "Privatisation"</w:instrText>
      </w:r>
      <w:r>
        <w:fldChar w:fldCharType="end"/>
      </w:r>
      <w:r>
        <w:t xml:space="preserve"> proceeds for the reduction of either debt or other liabilities.</w:t>
      </w:r>
    </w:p>
    <w:p w:rsidR="00000000" w:rsidRDefault="001F233B" w:rsidP="001F233B">
      <w:pPr>
        <w:pStyle w:val="Heading2"/>
        <w:numPr>
          <w:ilvl w:val="12"/>
          <w:numId w:val="0"/>
        </w:numPr>
      </w:pPr>
      <w:bookmarkStart w:id="126" w:name="_Toc417482325"/>
      <w:bookmarkStart w:id="127" w:name="_Toc417552097"/>
      <w:r>
        <w:t>Asset management</w:t>
      </w:r>
      <w:bookmarkEnd w:id="126"/>
      <w:bookmarkEnd w:id="127"/>
      <w:r>
        <w:fldChar w:fldCharType="begin"/>
      </w:r>
      <w:r>
        <w:instrText>xe "Asset Management"</w:instrText>
      </w:r>
      <w:r>
        <w:fldChar w:fldCharType="end"/>
      </w:r>
    </w:p>
    <w:p w:rsidR="00000000" w:rsidRDefault="001F233B" w:rsidP="001F233B">
      <w:pPr>
        <w:numPr>
          <w:ilvl w:val="12"/>
          <w:numId w:val="0"/>
        </w:numPr>
      </w:pPr>
      <w:r>
        <w:t>Si</w:t>
      </w:r>
      <w:r>
        <w:t>nce 1993 a series of management improvement initiatives have been introduced to improve the management of the State’s assets. These were made as part of a long-term strategy based on five principles.</w:t>
      </w:r>
    </w:p>
    <w:p w:rsidR="00000000" w:rsidRDefault="001F233B" w:rsidP="001F233B">
      <w:pPr>
        <w:numPr>
          <w:ilvl w:val="12"/>
          <w:numId w:val="0"/>
        </w:numPr>
      </w:pPr>
      <w:r>
        <w:t>The fundamental principle is that service delivery</w:t>
      </w:r>
      <w:r>
        <w:fldChar w:fldCharType="begin"/>
      </w:r>
      <w:r>
        <w:instrText>xe "Service delivery"</w:instrText>
      </w:r>
      <w:r>
        <w:fldChar w:fldCharType="end"/>
      </w:r>
      <w:r>
        <w:t xml:space="preserve"> needs to guide asset practices and decisions so that the best, most efficient services are provided to taxpayers in ways that most meet their needs. This means public sector managers should have the information and incentives available to</w:t>
      </w:r>
      <w:r>
        <w:t xml:space="preserve"> them to maintain assets adequately or dispose of them depending on the service objectives of the organisation and the needs of its clients.</w:t>
      </w:r>
    </w:p>
    <w:p w:rsidR="00000000" w:rsidRDefault="001F233B" w:rsidP="001F233B">
      <w:pPr>
        <w:numPr>
          <w:ilvl w:val="12"/>
          <w:numId w:val="0"/>
        </w:numPr>
      </w:pPr>
      <w:r>
        <w:t xml:space="preserve">The supporting principles are: </w:t>
      </w:r>
    </w:p>
    <w:p w:rsidR="00000000" w:rsidRDefault="001F233B" w:rsidP="001F233B">
      <w:pPr>
        <w:numPr>
          <w:ilvl w:val="0"/>
          <w:numId w:val="10"/>
        </w:numPr>
      </w:pPr>
      <w:r>
        <w:t xml:space="preserve">that asset planning and management is integrated with corporate and business plans, and budgetary and reporting processes; </w:t>
      </w:r>
    </w:p>
    <w:p w:rsidR="00000000" w:rsidRDefault="001F233B" w:rsidP="001F233B">
      <w:pPr>
        <w:numPr>
          <w:ilvl w:val="0"/>
          <w:numId w:val="10"/>
        </w:numPr>
      </w:pPr>
      <w:r>
        <w:t>that asset management</w:t>
      </w:r>
      <w:r>
        <w:fldChar w:fldCharType="begin"/>
      </w:r>
      <w:r>
        <w:instrText>xe "Asset Management"</w:instrText>
      </w:r>
      <w:r>
        <w:fldChar w:fldCharType="end"/>
      </w:r>
      <w:r>
        <w:t xml:space="preserve"> decisions are based on the evaluation of alternatives, taking into account the full life</w:t>
      </w:r>
      <w:r>
        <w:noBreakHyphen/>
        <w:t xml:space="preserve">cycle costs, benefits and risks of assets; </w:t>
      </w:r>
    </w:p>
    <w:p w:rsidR="00000000" w:rsidRDefault="001F233B" w:rsidP="001F233B">
      <w:pPr>
        <w:numPr>
          <w:ilvl w:val="0"/>
          <w:numId w:val="10"/>
        </w:numPr>
      </w:pPr>
      <w:r>
        <w:t>that ownership, control, accountabili</w:t>
      </w:r>
      <w:r>
        <w:t xml:space="preserve">ty and reporting requirements for assets be established, clearly communicated and implemented; and </w:t>
      </w:r>
    </w:p>
    <w:p w:rsidR="00000000" w:rsidRDefault="001F233B" w:rsidP="001F233B">
      <w:pPr>
        <w:numPr>
          <w:ilvl w:val="0"/>
          <w:numId w:val="10"/>
        </w:numPr>
      </w:pPr>
      <w:r>
        <w:t>that asset management</w:t>
      </w:r>
      <w:r>
        <w:fldChar w:fldCharType="begin"/>
      </w:r>
      <w:r>
        <w:instrText>xe "Asset Management"</w:instrText>
      </w:r>
      <w:r>
        <w:fldChar w:fldCharType="end"/>
      </w:r>
      <w:r>
        <w:t xml:space="preserve"> activities are undertaken within an integrated Government asset management</w:t>
      </w:r>
      <w:r>
        <w:fldChar w:fldCharType="begin"/>
      </w:r>
      <w:r>
        <w:instrText>xe "Asset Management"</w:instrText>
      </w:r>
      <w:r>
        <w:fldChar w:fldCharType="end"/>
      </w:r>
      <w:r>
        <w:t xml:space="preserve"> policy framework.</w:t>
      </w:r>
    </w:p>
    <w:p w:rsidR="00000000" w:rsidRDefault="001F233B">
      <w:pPr>
        <w:pStyle w:val="Heading2"/>
      </w:pPr>
      <w:bookmarkStart w:id="128" w:name="_Toc417482326"/>
      <w:bookmarkStart w:id="129" w:name="_Toc417552098"/>
      <w:r>
        <w:t>Impact of management reform on asset management</w:t>
      </w:r>
      <w:bookmarkEnd w:id="128"/>
      <w:bookmarkEnd w:id="129"/>
      <w:r>
        <w:fldChar w:fldCharType="begin"/>
      </w:r>
      <w:r>
        <w:instrText>xe "Asset Management"</w:instrText>
      </w:r>
      <w:r>
        <w:fldChar w:fldCharType="end"/>
      </w:r>
    </w:p>
    <w:p w:rsidR="00000000" w:rsidRDefault="001F233B">
      <w:r>
        <w:t>A thorough approach to asset management</w:t>
      </w:r>
      <w:r>
        <w:fldChar w:fldCharType="begin"/>
      </w:r>
      <w:r>
        <w:instrText>xe "Asset Management"</w:instrText>
      </w:r>
      <w:r>
        <w:fldChar w:fldCharType="end"/>
      </w:r>
      <w:r>
        <w:t xml:space="preserve"> ensures that both the costs and risks associated with holding assets are assessed.</w:t>
      </w:r>
    </w:p>
    <w:p w:rsidR="00000000" w:rsidRDefault="001F233B">
      <w:r>
        <w:t>The cost of holding and maintainin</w:t>
      </w:r>
      <w:r>
        <w:t>g assets is reflected in the Capital Assets Charge (CAC) charged to budget sector agencies, generally imposed on the written-down values of non-current physical assets. The rate of the CAC has generally been set at 8 per cent for 1998</w:t>
      </w:r>
      <w:r>
        <w:noBreakHyphen/>
        <w:t>99.</w:t>
      </w:r>
    </w:p>
    <w:p w:rsidR="00000000" w:rsidRDefault="001F233B">
      <w:r>
        <w:t>The CAC replaced the Interim Capital Charge that was introduced in the 1994</w:t>
      </w:r>
      <w:r>
        <w:noBreakHyphen/>
        <w:t>95 budget and applied only to new capital expenditure. The cost of capital imposed through the CAC is distributed across outputs</w:t>
      </w:r>
      <w:r>
        <w:fldChar w:fldCharType="begin"/>
      </w:r>
      <w:r>
        <w:instrText>xe "Outputs"</w:instrText>
      </w:r>
      <w:r>
        <w:fldChar w:fldCharType="end"/>
      </w:r>
      <w:r>
        <w:t xml:space="preserve"> funded by Government. In this manner departments will </w:t>
      </w:r>
      <w:r>
        <w:t>be able to benchmark the costs of service against other jurisdictions and sectors. Such comparisons enable reconfiguration of the capital used in the production of these outputs and allow consideration of services being provided by non-public sector agencies.</w:t>
      </w:r>
    </w:p>
    <w:p w:rsidR="00000000" w:rsidRDefault="001F233B">
      <w:r>
        <w:t>Because all of the State’s assets have been recognised, reliably measured and recorded, thorough asset management</w:t>
      </w:r>
      <w:r>
        <w:fldChar w:fldCharType="begin"/>
      </w:r>
      <w:r>
        <w:instrText>xe "Asset Management"</w:instrText>
      </w:r>
      <w:r>
        <w:fldChar w:fldCharType="end"/>
      </w:r>
      <w:r>
        <w:t xml:space="preserve"> can now take place. With robust valuation and depreciation regimes, expenses attributable to depreciation are incor</w:t>
      </w:r>
      <w:r>
        <w:t xml:space="preserve">porated in the cost of production and hence the prices paid by Government for services purchased. By establishing the full cost of services, alternative </w:t>
      </w:r>
      <w:r>
        <w:br w:type="page"/>
        <w:t>methods of providing services can be benchmarked and considered. Full costing is also a prerequisite for implementing a competitive neutrality policy. Capital investment</w:t>
      </w:r>
      <w:r>
        <w:fldChar w:fldCharType="begin"/>
      </w:r>
      <w:r>
        <w:instrText>xe "Economy:Investment"</w:instrText>
      </w:r>
      <w:r>
        <w:fldChar w:fldCharType="end"/>
      </w:r>
      <w:r>
        <w:t xml:space="preserve"> decisions can be better evaluated in relation to their contribution to service delivery</w:t>
      </w:r>
      <w:r>
        <w:fldChar w:fldCharType="begin"/>
      </w:r>
      <w:r>
        <w:instrText>xe "Service delivery"</w:instrText>
      </w:r>
      <w:r>
        <w:fldChar w:fldCharType="end"/>
      </w:r>
      <w:r>
        <w:t xml:space="preserve"> along with full costing of services and the costs of</w:t>
      </w:r>
      <w:r>
        <w:t xml:space="preserve"> assets.</w:t>
      </w:r>
    </w:p>
    <w:p w:rsidR="00000000" w:rsidRDefault="001F233B">
      <w:r>
        <w:t>Monitoring of the asset registers of departments and participating bodies is being undertaken by the Victorian Managed Insurance Authority (VMIA) which was established in 1996 to assist departments identify, quantify and manage risks. By underwriting assets against risk, the VMIA helps the management reform process to attach a cost to carrying assets of a particular type and use.</w:t>
      </w:r>
    </w:p>
    <w:p w:rsidR="00000000" w:rsidRDefault="001F233B">
      <w:pPr>
        <w:pStyle w:val="Heading2"/>
      </w:pPr>
      <w:bookmarkStart w:id="130" w:name="_Toc417482327"/>
      <w:bookmarkStart w:id="131" w:name="_Toc417552099"/>
      <w:r>
        <w:t>Public and budget sector assets</w:t>
      </w:r>
      <w:bookmarkEnd w:id="130"/>
      <w:bookmarkEnd w:id="131"/>
      <w:r>
        <w:fldChar w:fldCharType="begin"/>
      </w:r>
      <w:r>
        <w:instrText>xe "Asset Management:Budget sector assets"</w:instrText>
      </w:r>
      <w:r>
        <w:fldChar w:fldCharType="end"/>
      </w:r>
    </w:p>
    <w:p w:rsidR="00000000" w:rsidRDefault="001F233B">
      <w:r>
        <w:t>During 1996</w:t>
      </w:r>
      <w:r>
        <w:noBreakHyphen/>
        <w:t>97 the State objective was to va</w:t>
      </w:r>
      <w:r>
        <w:t>lue all material non-current physical assets. Written down replacement costs were determined independently by accredited valuers using approved valuation processes in accordance with government policy.</w:t>
      </w:r>
    </w:p>
    <w:p w:rsidR="00000000" w:rsidRDefault="001F233B">
      <w:r>
        <w:t>Charts 6.3 and 6.4 show the asset profiles of the public and budget sectors. As at 30 June 1997, non</w:t>
      </w:r>
      <w:r>
        <w:noBreakHyphen/>
        <w:t>current physical assets for the public sector totalled $53 billion. Of this, the State held $20.5 billion in land and buildings, $18.9 billion in plant and equipment, $12.1 billion in roads and $1.6 billion in</w:t>
      </w:r>
      <w:r>
        <w:t xml:space="preserve"> other assets including works of art, museum collections and rare book collections. Non</w:t>
      </w:r>
      <w:r>
        <w:noBreakHyphen/>
        <w:t>current physical assets for the budget sector totalled $26.3 billion as at 30 June 1997, and comprised primarily roads (47 per cent) and land and buildings (42 per cent).</w:t>
      </w:r>
    </w:p>
    <w:p w:rsidR="00000000" w:rsidRDefault="001F233B">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1"/>
        <w:gridCol w:w="3651"/>
      </w:tblGrid>
      <w:tr w:rsidR="00000000">
        <w:tblPrEx>
          <w:tblCellMar>
            <w:top w:w="0" w:type="dxa"/>
            <w:bottom w:w="0" w:type="dxa"/>
          </w:tblCellMar>
        </w:tblPrEx>
        <w:tc>
          <w:tcPr>
            <w:tcW w:w="3651" w:type="dxa"/>
            <w:tcBorders>
              <w:top w:val="nil"/>
              <w:left w:val="nil"/>
              <w:right w:val="nil"/>
            </w:tcBorders>
          </w:tcPr>
          <w:p w:rsidR="00000000" w:rsidRDefault="001F233B">
            <w:pPr>
              <w:pStyle w:val="Chartheading"/>
              <w:jc w:val="center"/>
            </w:pPr>
            <w:r>
              <w:br w:type="page"/>
            </w:r>
            <w:r>
              <w:br w:type="page"/>
              <w:t>Chart 6.3 Public Sector Assets</w:t>
            </w:r>
            <w:r>
              <w:fldChar w:fldCharType="begin"/>
            </w:r>
            <w:r>
              <w:instrText>xe "Asset Management:Public sector assets"</w:instrText>
            </w:r>
            <w:r>
              <w:fldChar w:fldCharType="end"/>
            </w:r>
          </w:p>
        </w:tc>
        <w:tc>
          <w:tcPr>
            <w:tcW w:w="3651" w:type="dxa"/>
            <w:tcBorders>
              <w:top w:val="nil"/>
              <w:left w:val="nil"/>
              <w:right w:val="nil"/>
            </w:tcBorders>
          </w:tcPr>
          <w:p w:rsidR="00000000" w:rsidRDefault="001F233B">
            <w:pPr>
              <w:pStyle w:val="Chartheading"/>
              <w:jc w:val="center"/>
            </w:pPr>
            <w:r>
              <w:t>Chart 6.4 Budget Sector Assets</w:t>
            </w:r>
            <w:r>
              <w:fldChar w:fldCharType="begin"/>
            </w:r>
            <w:r>
              <w:instrText>xe "Asset Management:Budget sector assets"</w:instrText>
            </w:r>
            <w:r>
              <w:fldChar w:fldCharType="end"/>
            </w:r>
          </w:p>
        </w:tc>
      </w:tr>
      <w:tr w:rsidR="00000000">
        <w:tblPrEx>
          <w:tblCellMar>
            <w:top w:w="0" w:type="dxa"/>
            <w:bottom w:w="0" w:type="dxa"/>
          </w:tblCellMar>
        </w:tblPrEx>
        <w:tc>
          <w:tcPr>
            <w:tcW w:w="3651" w:type="dxa"/>
            <w:tcBorders>
              <w:top w:val="nil"/>
            </w:tcBorders>
          </w:tcPr>
          <w:p w:rsidR="00000000" w:rsidRDefault="001F233B">
            <w:pPr>
              <w:jc w:val="center"/>
            </w:pPr>
            <w:r>
              <w:rPr>
                <w:noProof/>
                <w:sz w:val="20"/>
              </w:rPr>
              <w:drawing>
                <wp:inline distT="0" distB="0" distL="0" distR="0">
                  <wp:extent cx="1981200" cy="2000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cstate="print">
                            <a:extLst>
                              <a:ext uri="{28A0092B-C50C-407E-A947-70E740481C1C}">
                                <a14:useLocalDpi xmlns:a14="http://schemas.microsoft.com/office/drawing/2010/main" val="0"/>
                              </a:ext>
                            </a:extLst>
                          </a:blip>
                          <a:srcRect l="29347" t="7658" r="32764" b="7658"/>
                          <a:stretch>
                            <a:fillRect/>
                          </a:stretch>
                        </pic:blipFill>
                        <pic:spPr bwMode="auto">
                          <a:xfrm>
                            <a:off x="0" y="0"/>
                            <a:ext cx="1981200" cy="2000250"/>
                          </a:xfrm>
                          <a:prstGeom prst="rect">
                            <a:avLst/>
                          </a:prstGeom>
                          <a:noFill/>
                          <a:ln>
                            <a:noFill/>
                          </a:ln>
                        </pic:spPr>
                      </pic:pic>
                    </a:graphicData>
                  </a:graphic>
                </wp:inline>
              </w:drawing>
            </w:r>
          </w:p>
        </w:tc>
        <w:tc>
          <w:tcPr>
            <w:tcW w:w="3651" w:type="dxa"/>
            <w:tcBorders>
              <w:top w:val="nil"/>
            </w:tcBorders>
          </w:tcPr>
          <w:p w:rsidR="00000000" w:rsidRDefault="001F233B">
            <w:pPr>
              <w:jc w:val="center"/>
            </w:pPr>
            <w:r>
              <w:rPr>
                <w:noProof/>
                <w:sz w:val="20"/>
              </w:rPr>
              <w:drawing>
                <wp:inline distT="0" distB="0" distL="0" distR="0">
                  <wp:extent cx="1676400" cy="2085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2" cstate="print">
                            <a:extLst>
                              <a:ext uri="{28A0092B-C50C-407E-A947-70E740481C1C}">
                                <a14:useLocalDpi xmlns:a14="http://schemas.microsoft.com/office/drawing/2010/main" val="0"/>
                              </a:ext>
                            </a:extLst>
                          </a:blip>
                          <a:srcRect l="33400" t="8362" r="33107" b="3461"/>
                          <a:stretch>
                            <a:fillRect/>
                          </a:stretch>
                        </pic:blipFill>
                        <pic:spPr bwMode="auto">
                          <a:xfrm>
                            <a:off x="0" y="0"/>
                            <a:ext cx="1676400" cy="2085975"/>
                          </a:xfrm>
                          <a:prstGeom prst="rect">
                            <a:avLst/>
                          </a:prstGeom>
                          <a:noFill/>
                          <a:ln>
                            <a:noFill/>
                          </a:ln>
                        </pic:spPr>
                      </pic:pic>
                    </a:graphicData>
                  </a:graphic>
                </wp:inline>
              </w:drawing>
            </w:r>
          </w:p>
        </w:tc>
      </w:tr>
    </w:tbl>
    <w:p w:rsidR="00000000" w:rsidRDefault="001F233B">
      <w:pPr>
        <w:pStyle w:val="Source"/>
      </w:pPr>
      <w:r>
        <w:t>Source: Financial Statements for the State of Victoria, 1996</w:t>
      </w:r>
      <w:r>
        <w:noBreakHyphen/>
        <w:t>97.</w:t>
      </w:r>
    </w:p>
    <w:p w:rsidR="00000000" w:rsidRDefault="001F233B">
      <w:pPr>
        <w:pStyle w:val="Heading2"/>
      </w:pPr>
      <w:bookmarkStart w:id="132" w:name="_Toc417482328"/>
      <w:bookmarkStart w:id="133" w:name="_Toc417552100"/>
      <w:r>
        <w:t>Total financial liability st</w:t>
      </w:r>
      <w:r>
        <w:t>atus and outlook</w:t>
      </w:r>
      <w:bookmarkEnd w:id="132"/>
      <w:bookmarkEnd w:id="133"/>
    </w:p>
    <w:p w:rsidR="00000000" w:rsidRDefault="001F233B">
      <w:r>
        <w:t>The main components of the State’s total net financial liabilities are debt and unfunded superannuation liabilities</w:t>
      </w:r>
      <w:r>
        <w:fldChar w:fldCharType="begin"/>
      </w:r>
      <w:r>
        <w:instrText>xe "Superannuation:Unfunded superannuation liabilities"</w:instrText>
      </w:r>
      <w:r>
        <w:fldChar w:fldCharType="end"/>
      </w:r>
      <w:r>
        <w:t>. Other liabilities include payables, accrued expenses and other employee entitlements, less receivables and prepaid expenses (see Table 6.1 and Chart 6.5).</w:t>
      </w:r>
    </w:p>
    <w:p w:rsidR="00000000" w:rsidRDefault="001F233B">
      <w:r>
        <w:t>Victoria’s total net financial liabilities have fallen by 37 per cent, from $53.7 billion at 30 June 1995 to an expected $33.6 billion by 30 June 1998.</w:t>
      </w:r>
    </w:p>
    <w:p w:rsidR="00000000" w:rsidRDefault="001F233B">
      <w:r>
        <w:t>During 1997</w:t>
      </w:r>
      <w:r>
        <w:noBreakHyphen/>
        <w:t>98</w:t>
      </w:r>
      <w:r>
        <w:t>, public sector net debt</w:t>
      </w:r>
      <w:r>
        <w:fldChar w:fldCharType="begin"/>
      </w:r>
      <w:r>
        <w:instrText>xe "Public sector net debt"</w:instrText>
      </w:r>
      <w:r>
        <w:fldChar w:fldCharType="end"/>
      </w:r>
      <w:r>
        <w:t xml:space="preserve"> is estimated to have fallen by $3.2 billion, while superannuation liabilities are estimated to have increased by $0.3 billion. Superannuation liabilities, projected to be $15.9 billion as at 30 June 1998, will exceed public sector net debt</w:t>
      </w:r>
      <w:r>
        <w:fldChar w:fldCharType="begin"/>
      </w:r>
      <w:r>
        <w:instrText>xe "Public sector net debt"</w:instrText>
      </w:r>
      <w:r>
        <w:fldChar w:fldCharType="end"/>
      </w:r>
      <w:r>
        <w:t xml:space="preserve"> obligations of $11.1 billion by $4.8 billion.</w:t>
      </w:r>
    </w:p>
    <w:p w:rsidR="00000000" w:rsidRDefault="001F233B">
      <w:pPr>
        <w:pStyle w:val="Tableheading"/>
        <w:rPr>
          <w:noProof/>
        </w:rPr>
      </w:pPr>
      <w:r>
        <w:br w:type="page"/>
      </w:r>
      <w:bookmarkStart w:id="134" w:name="_Toc417482514"/>
      <w:bookmarkStart w:id="135" w:name="_Toc417552762"/>
      <w:r>
        <w:t>Table 6.1: Public Sector Net Financial Liabilities</w:t>
      </w:r>
      <w:r>
        <w:fldChar w:fldCharType="begin"/>
      </w:r>
      <w:r>
        <w:instrText>xe "Liability management:Public sector net financial liabilities"</w:instrText>
      </w:r>
      <w:r>
        <w:fldChar w:fldCharType="end"/>
      </w:r>
      <w:r>
        <w:rPr>
          <w:i/>
          <w:vertAlign w:val="superscript"/>
        </w:rPr>
        <w:t>(a)</w:t>
      </w:r>
      <w:bookmarkEnd w:id="134"/>
      <w:bookmarkEnd w:id="135"/>
    </w:p>
    <w:tbl>
      <w:tblPr>
        <w:tblW w:w="0" w:type="auto"/>
        <w:tblLayout w:type="fixed"/>
        <w:tblCellMar>
          <w:left w:w="30" w:type="dxa"/>
          <w:right w:w="30" w:type="dxa"/>
        </w:tblCellMar>
        <w:tblLook w:val="0000" w:firstRow="0" w:lastRow="0" w:firstColumn="0" w:lastColumn="0" w:noHBand="0" w:noVBand="0"/>
      </w:tblPr>
      <w:tblGrid>
        <w:gridCol w:w="2190"/>
        <w:gridCol w:w="1"/>
        <w:gridCol w:w="1"/>
        <w:gridCol w:w="1"/>
        <w:gridCol w:w="1"/>
        <w:gridCol w:w="1"/>
        <w:gridCol w:w="820"/>
        <w:gridCol w:w="825"/>
        <w:gridCol w:w="825"/>
        <w:gridCol w:w="825"/>
        <w:gridCol w:w="825"/>
        <w:gridCol w:w="825"/>
      </w:tblGrid>
      <w:tr w:rsidR="00000000">
        <w:tblPrEx>
          <w:tblCellMar>
            <w:top w:w="0" w:type="dxa"/>
            <w:bottom w:w="0" w:type="dxa"/>
          </w:tblCellMar>
        </w:tblPrEx>
        <w:trPr>
          <w:trHeight w:val="260"/>
        </w:trPr>
        <w:tc>
          <w:tcPr>
            <w:tcW w:w="2190" w:type="dxa"/>
          </w:tcPr>
          <w:p w:rsidR="00000000" w:rsidRDefault="001F233B">
            <w:pPr>
              <w:pStyle w:val="Tabletext"/>
            </w:pPr>
          </w:p>
        </w:tc>
        <w:tc>
          <w:tcPr>
            <w:tcW w:w="4950" w:type="dxa"/>
            <w:hMerge w:val="restart"/>
          </w:tcPr>
          <w:p w:rsidR="00000000" w:rsidRDefault="001F233B">
            <w:pPr>
              <w:pStyle w:val="Tabletext"/>
              <w:jc w:val="center"/>
              <w:rPr>
                <w:i/>
              </w:rPr>
            </w:pPr>
            <w:r>
              <w:rPr>
                <w:i/>
              </w:rPr>
              <w:t>As at 30 June</w:t>
            </w: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gridSpan w:val="6"/>
            <w:hMerge/>
          </w:tcPr>
          <w:p w:rsidR="00000000" w:rsidRDefault="001F233B">
            <w:pPr>
              <w:pStyle w:val="Tabletext"/>
              <w:jc w:val="right"/>
            </w:pPr>
          </w:p>
        </w:tc>
      </w:tr>
      <w:tr w:rsidR="00000000">
        <w:tblPrEx>
          <w:tblCellMar>
            <w:top w:w="0" w:type="dxa"/>
            <w:bottom w:w="0" w:type="dxa"/>
          </w:tblCellMar>
        </w:tblPrEx>
        <w:trPr>
          <w:trHeight w:val="260"/>
        </w:trPr>
        <w:tc>
          <w:tcPr>
            <w:tcW w:w="2190" w:type="dxa"/>
            <w:tcBorders>
              <w:top w:val="single" w:sz="6" w:space="0" w:color="auto"/>
            </w:tcBorders>
          </w:tcPr>
          <w:p w:rsidR="00000000" w:rsidRDefault="001F233B">
            <w:pPr>
              <w:pStyle w:val="Tabletext"/>
              <w:jc w:val="right"/>
              <w:rPr>
                <w:i/>
              </w:rPr>
            </w:pPr>
          </w:p>
        </w:tc>
        <w:tc>
          <w:tcPr>
            <w:tcW w:w="825" w:type="dxa"/>
            <w:gridSpan w:val="6"/>
            <w:tcBorders>
              <w:top w:val="single" w:sz="6" w:space="0" w:color="auto"/>
            </w:tcBorders>
          </w:tcPr>
          <w:p w:rsidR="00000000" w:rsidRDefault="001F233B">
            <w:pPr>
              <w:pStyle w:val="Tabletext"/>
              <w:jc w:val="right"/>
              <w:rPr>
                <w:i/>
              </w:rPr>
            </w:pPr>
            <w:r>
              <w:rPr>
                <w:i/>
              </w:rPr>
              <w:t>1997</w:t>
            </w:r>
          </w:p>
        </w:tc>
        <w:tc>
          <w:tcPr>
            <w:tcW w:w="825" w:type="dxa"/>
            <w:tcBorders>
              <w:top w:val="single" w:sz="6" w:space="0" w:color="auto"/>
            </w:tcBorders>
          </w:tcPr>
          <w:p w:rsidR="00000000" w:rsidRDefault="001F233B">
            <w:pPr>
              <w:pStyle w:val="Tabletext"/>
              <w:jc w:val="right"/>
              <w:rPr>
                <w:i/>
              </w:rPr>
            </w:pPr>
            <w:r>
              <w:rPr>
                <w:i/>
              </w:rPr>
              <w:t>1998</w:t>
            </w:r>
          </w:p>
        </w:tc>
        <w:tc>
          <w:tcPr>
            <w:tcW w:w="825" w:type="dxa"/>
            <w:tcBorders>
              <w:top w:val="single" w:sz="6" w:space="0" w:color="auto"/>
            </w:tcBorders>
          </w:tcPr>
          <w:p w:rsidR="00000000" w:rsidRDefault="001F233B">
            <w:pPr>
              <w:pStyle w:val="Tabletext"/>
              <w:jc w:val="right"/>
              <w:rPr>
                <w:i/>
              </w:rPr>
            </w:pPr>
            <w:r>
              <w:rPr>
                <w:i/>
              </w:rPr>
              <w:t>1999</w:t>
            </w:r>
          </w:p>
        </w:tc>
        <w:tc>
          <w:tcPr>
            <w:tcW w:w="825" w:type="dxa"/>
            <w:tcBorders>
              <w:top w:val="single" w:sz="6" w:space="0" w:color="auto"/>
            </w:tcBorders>
          </w:tcPr>
          <w:p w:rsidR="00000000" w:rsidRDefault="001F233B">
            <w:pPr>
              <w:pStyle w:val="Tabletext"/>
              <w:jc w:val="right"/>
              <w:rPr>
                <w:i/>
              </w:rPr>
            </w:pPr>
            <w:r>
              <w:rPr>
                <w:i/>
              </w:rPr>
              <w:t>2000</w:t>
            </w:r>
          </w:p>
        </w:tc>
        <w:tc>
          <w:tcPr>
            <w:tcW w:w="825" w:type="dxa"/>
            <w:tcBorders>
              <w:top w:val="single" w:sz="6" w:space="0" w:color="auto"/>
            </w:tcBorders>
          </w:tcPr>
          <w:p w:rsidR="00000000" w:rsidRDefault="001F233B">
            <w:pPr>
              <w:pStyle w:val="Tabletext"/>
              <w:jc w:val="right"/>
              <w:rPr>
                <w:i/>
              </w:rPr>
            </w:pPr>
            <w:r>
              <w:rPr>
                <w:i/>
              </w:rPr>
              <w:t>2001</w:t>
            </w:r>
          </w:p>
        </w:tc>
        <w:tc>
          <w:tcPr>
            <w:tcW w:w="825" w:type="dxa"/>
            <w:tcBorders>
              <w:top w:val="single" w:sz="6" w:space="0" w:color="auto"/>
            </w:tcBorders>
          </w:tcPr>
          <w:p w:rsidR="00000000" w:rsidRDefault="001F233B">
            <w:pPr>
              <w:pStyle w:val="Tabletext"/>
              <w:jc w:val="right"/>
              <w:rPr>
                <w:i/>
              </w:rPr>
            </w:pPr>
            <w:r>
              <w:rPr>
                <w:i/>
              </w:rPr>
              <w:t>2002</w:t>
            </w:r>
          </w:p>
        </w:tc>
      </w:tr>
      <w:tr w:rsidR="00000000">
        <w:tblPrEx>
          <w:tblCellMar>
            <w:top w:w="0" w:type="dxa"/>
            <w:bottom w:w="0" w:type="dxa"/>
          </w:tblCellMar>
        </w:tblPrEx>
        <w:trPr>
          <w:trHeight w:val="260"/>
        </w:trPr>
        <w:tc>
          <w:tcPr>
            <w:tcW w:w="2190" w:type="dxa"/>
            <w:tcBorders>
              <w:bottom w:val="single" w:sz="6" w:space="0" w:color="auto"/>
            </w:tcBorders>
          </w:tcPr>
          <w:p w:rsidR="00000000" w:rsidRDefault="001F233B">
            <w:pPr>
              <w:pStyle w:val="Tabletext"/>
              <w:jc w:val="right"/>
              <w:rPr>
                <w:i/>
              </w:rPr>
            </w:pPr>
          </w:p>
        </w:tc>
        <w:tc>
          <w:tcPr>
            <w:tcW w:w="825" w:type="dxa"/>
            <w:gridSpan w:val="6"/>
            <w:tcBorders>
              <w:bottom w:val="single" w:sz="6" w:space="0" w:color="auto"/>
            </w:tcBorders>
          </w:tcPr>
          <w:p w:rsidR="00000000" w:rsidRDefault="001F233B">
            <w:pPr>
              <w:pStyle w:val="Tabletext"/>
              <w:jc w:val="right"/>
              <w:rPr>
                <w:i/>
              </w:rPr>
            </w:pPr>
            <w:r>
              <w:rPr>
                <w:i/>
              </w:rPr>
              <w:t>Actual</w:t>
            </w:r>
          </w:p>
        </w:tc>
        <w:tc>
          <w:tcPr>
            <w:tcW w:w="825" w:type="dxa"/>
            <w:tcBorders>
              <w:bottom w:val="single" w:sz="6" w:space="0" w:color="auto"/>
            </w:tcBorders>
          </w:tcPr>
          <w:p w:rsidR="00000000" w:rsidRDefault="001F233B">
            <w:pPr>
              <w:pStyle w:val="Tabletext"/>
              <w:jc w:val="right"/>
              <w:rPr>
                <w:i/>
              </w:rPr>
            </w:pPr>
            <w:r>
              <w:rPr>
                <w:i/>
              </w:rPr>
              <w:t>Estimate</w:t>
            </w:r>
          </w:p>
        </w:tc>
        <w:tc>
          <w:tcPr>
            <w:tcW w:w="825" w:type="dxa"/>
            <w:tcBorders>
              <w:bottom w:val="single" w:sz="6" w:space="0" w:color="auto"/>
            </w:tcBorders>
          </w:tcPr>
          <w:p w:rsidR="00000000" w:rsidRDefault="001F233B">
            <w:pPr>
              <w:pStyle w:val="Tabletext"/>
              <w:jc w:val="right"/>
              <w:rPr>
                <w:i/>
              </w:rPr>
            </w:pPr>
            <w:r>
              <w:rPr>
                <w:i/>
              </w:rPr>
              <w:t>Estimate</w:t>
            </w:r>
          </w:p>
        </w:tc>
        <w:tc>
          <w:tcPr>
            <w:tcW w:w="825" w:type="dxa"/>
            <w:tcBorders>
              <w:bottom w:val="single" w:sz="6" w:space="0" w:color="auto"/>
            </w:tcBorders>
          </w:tcPr>
          <w:p w:rsidR="00000000" w:rsidRDefault="001F233B">
            <w:pPr>
              <w:pStyle w:val="Tabletext"/>
              <w:jc w:val="right"/>
              <w:rPr>
                <w:i/>
              </w:rPr>
            </w:pPr>
            <w:r>
              <w:rPr>
                <w:i/>
              </w:rPr>
              <w:t>Estimate</w:t>
            </w:r>
          </w:p>
        </w:tc>
        <w:tc>
          <w:tcPr>
            <w:tcW w:w="825" w:type="dxa"/>
            <w:tcBorders>
              <w:bottom w:val="single" w:sz="6" w:space="0" w:color="auto"/>
            </w:tcBorders>
          </w:tcPr>
          <w:p w:rsidR="00000000" w:rsidRDefault="001F233B">
            <w:pPr>
              <w:pStyle w:val="Tabletext"/>
              <w:jc w:val="right"/>
              <w:rPr>
                <w:i/>
              </w:rPr>
            </w:pPr>
            <w:r>
              <w:rPr>
                <w:i/>
              </w:rPr>
              <w:t>Estimate</w:t>
            </w:r>
          </w:p>
        </w:tc>
        <w:tc>
          <w:tcPr>
            <w:tcW w:w="825" w:type="dxa"/>
            <w:tcBorders>
              <w:bottom w:val="single" w:sz="6" w:space="0" w:color="auto"/>
            </w:tcBorders>
          </w:tcPr>
          <w:p w:rsidR="00000000" w:rsidRDefault="001F233B">
            <w:pPr>
              <w:pStyle w:val="Tabletext"/>
              <w:jc w:val="right"/>
              <w:rPr>
                <w:i/>
              </w:rPr>
            </w:pPr>
            <w:r>
              <w:rPr>
                <w:i/>
              </w:rPr>
              <w:t>Estimate</w:t>
            </w:r>
          </w:p>
        </w:tc>
      </w:tr>
      <w:tr w:rsidR="00000000">
        <w:tblPrEx>
          <w:tblCellMar>
            <w:top w:w="0" w:type="dxa"/>
            <w:bottom w:w="0" w:type="dxa"/>
          </w:tblCellMar>
        </w:tblPrEx>
        <w:trPr>
          <w:trHeight w:val="260"/>
        </w:trPr>
        <w:tc>
          <w:tcPr>
            <w:tcW w:w="2190" w:type="dxa"/>
          </w:tcPr>
          <w:p w:rsidR="00000000" w:rsidRDefault="001F233B">
            <w:pPr>
              <w:pStyle w:val="Tabletext"/>
            </w:pPr>
          </w:p>
        </w:tc>
        <w:tc>
          <w:tcPr>
            <w:tcW w:w="4950" w:type="dxa"/>
            <w:hMerge w:val="restart"/>
          </w:tcPr>
          <w:p w:rsidR="00000000" w:rsidRDefault="001F233B">
            <w:pPr>
              <w:pStyle w:val="Tabletext"/>
              <w:jc w:val="center"/>
              <w:rPr>
                <w:i/>
              </w:rPr>
            </w:pPr>
            <w:r>
              <w:rPr>
                <w:i/>
              </w:rPr>
              <w:t>$ billion</w:t>
            </w: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gridSpan w:val="6"/>
            <w:hMerge/>
          </w:tcPr>
          <w:p w:rsidR="00000000" w:rsidRDefault="001F233B">
            <w:pPr>
              <w:pStyle w:val="Tabletext"/>
              <w:jc w:val="right"/>
            </w:pPr>
          </w:p>
        </w:tc>
      </w:tr>
      <w:tr w:rsidR="00000000">
        <w:tblPrEx>
          <w:tblCellMar>
            <w:top w:w="0" w:type="dxa"/>
            <w:bottom w:w="0" w:type="dxa"/>
          </w:tblCellMar>
        </w:tblPrEx>
        <w:trPr>
          <w:trHeight w:val="260"/>
        </w:trPr>
        <w:tc>
          <w:tcPr>
            <w:tcW w:w="2190" w:type="dxa"/>
          </w:tcPr>
          <w:p w:rsidR="00000000" w:rsidRDefault="001F233B">
            <w:pPr>
              <w:pStyle w:val="Tabletext"/>
            </w:pPr>
            <w:r>
              <w:t>Public Sector Net Debt</w:t>
            </w:r>
          </w:p>
        </w:tc>
        <w:tc>
          <w:tcPr>
            <w:tcW w:w="825" w:type="dxa"/>
            <w:gridSpan w:val="6"/>
          </w:tcPr>
          <w:p w:rsidR="00000000" w:rsidRDefault="001F233B">
            <w:pPr>
              <w:pStyle w:val="Tabletext"/>
              <w:jc w:val="right"/>
            </w:pPr>
            <w:r>
              <w:t xml:space="preserve">      14.3 </w:t>
            </w:r>
          </w:p>
        </w:tc>
        <w:tc>
          <w:tcPr>
            <w:tcW w:w="825" w:type="dxa"/>
          </w:tcPr>
          <w:p w:rsidR="00000000" w:rsidRDefault="001F233B">
            <w:pPr>
              <w:pStyle w:val="Tabletext"/>
              <w:jc w:val="right"/>
            </w:pPr>
            <w:r>
              <w:t xml:space="preserve">      11.1 </w:t>
            </w:r>
          </w:p>
        </w:tc>
        <w:tc>
          <w:tcPr>
            <w:tcW w:w="825" w:type="dxa"/>
          </w:tcPr>
          <w:p w:rsidR="00000000" w:rsidRDefault="001F233B">
            <w:pPr>
              <w:pStyle w:val="Tabletext"/>
              <w:jc w:val="right"/>
            </w:pPr>
            <w:r>
              <w:t xml:space="preserve">      10.9 </w:t>
            </w:r>
          </w:p>
        </w:tc>
        <w:tc>
          <w:tcPr>
            <w:tcW w:w="825" w:type="dxa"/>
          </w:tcPr>
          <w:p w:rsidR="00000000" w:rsidRDefault="001F233B">
            <w:pPr>
              <w:pStyle w:val="Tabletext"/>
              <w:jc w:val="right"/>
            </w:pPr>
            <w:r>
              <w:t xml:space="preserve">      10.3 </w:t>
            </w:r>
          </w:p>
        </w:tc>
        <w:tc>
          <w:tcPr>
            <w:tcW w:w="825" w:type="dxa"/>
          </w:tcPr>
          <w:p w:rsidR="00000000" w:rsidRDefault="001F233B">
            <w:pPr>
              <w:pStyle w:val="Tabletext"/>
              <w:jc w:val="right"/>
            </w:pPr>
            <w:r>
              <w:t xml:space="preserve">        9.8 </w:t>
            </w:r>
          </w:p>
        </w:tc>
        <w:tc>
          <w:tcPr>
            <w:tcW w:w="825" w:type="dxa"/>
          </w:tcPr>
          <w:p w:rsidR="00000000" w:rsidRDefault="001F233B">
            <w:pPr>
              <w:pStyle w:val="Tabletext"/>
              <w:jc w:val="right"/>
            </w:pPr>
            <w:r>
              <w:t xml:space="preserve">        9.5 </w:t>
            </w:r>
          </w:p>
        </w:tc>
      </w:tr>
      <w:tr w:rsidR="00000000">
        <w:tblPrEx>
          <w:tblCellMar>
            <w:top w:w="0" w:type="dxa"/>
            <w:bottom w:w="0" w:type="dxa"/>
          </w:tblCellMar>
        </w:tblPrEx>
        <w:trPr>
          <w:trHeight w:val="260"/>
        </w:trPr>
        <w:tc>
          <w:tcPr>
            <w:tcW w:w="2190" w:type="dxa"/>
          </w:tcPr>
          <w:p w:rsidR="00000000" w:rsidRDefault="001F233B">
            <w:pPr>
              <w:pStyle w:val="Tabletext"/>
            </w:pPr>
            <w:r>
              <w:t>Unfunded superannuation</w:t>
            </w:r>
          </w:p>
        </w:tc>
        <w:tc>
          <w:tcPr>
            <w:tcW w:w="825" w:type="dxa"/>
            <w:gridSpan w:val="6"/>
          </w:tcPr>
          <w:p w:rsidR="00000000" w:rsidRDefault="001F233B">
            <w:pPr>
              <w:pStyle w:val="Tabletext"/>
              <w:jc w:val="right"/>
            </w:pPr>
            <w:r>
              <w:t xml:space="preserve">      15.6 </w:t>
            </w:r>
          </w:p>
        </w:tc>
        <w:tc>
          <w:tcPr>
            <w:tcW w:w="825" w:type="dxa"/>
          </w:tcPr>
          <w:p w:rsidR="00000000" w:rsidRDefault="001F233B">
            <w:pPr>
              <w:pStyle w:val="Tabletext"/>
              <w:jc w:val="right"/>
            </w:pPr>
            <w:r>
              <w:t xml:space="preserve">      15.9 </w:t>
            </w:r>
          </w:p>
        </w:tc>
        <w:tc>
          <w:tcPr>
            <w:tcW w:w="825" w:type="dxa"/>
          </w:tcPr>
          <w:p w:rsidR="00000000" w:rsidRDefault="001F233B">
            <w:pPr>
              <w:pStyle w:val="Tabletext"/>
              <w:jc w:val="right"/>
            </w:pPr>
            <w:r>
              <w:t xml:space="preserve">      16.1 </w:t>
            </w:r>
          </w:p>
        </w:tc>
        <w:tc>
          <w:tcPr>
            <w:tcW w:w="825" w:type="dxa"/>
          </w:tcPr>
          <w:p w:rsidR="00000000" w:rsidRDefault="001F233B">
            <w:pPr>
              <w:pStyle w:val="Tabletext"/>
              <w:jc w:val="right"/>
            </w:pPr>
            <w:r>
              <w:t xml:space="preserve">      16.4 </w:t>
            </w:r>
          </w:p>
        </w:tc>
        <w:tc>
          <w:tcPr>
            <w:tcW w:w="825" w:type="dxa"/>
          </w:tcPr>
          <w:p w:rsidR="00000000" w:rsidRDefault="001F233B">
            <w:pPr>
              <w:pStyle w:val="Tabletext"/>
              <w:jc w:val="right"/>
            </w:pPr>
            <w:r>
              <w:t xml:space="preserve">      16.6 </w:t>
            </w:r>
          </w:p>
        </w:tc>
        <w:tc>
          <w:tcPr>
            <w:tcW w:w="825" w:type="dxa"/>
          </w:tcPr>
          <w:p w:rsidR="00000000" w:rsidRDefault="001F233B">
            <w:pPr>
              <w:pStyle w:val="Tabletext"/>
              <w:jc w:val="right"/>
            </w:pPr>
            <w:r>
              <w:t xml:space="preserve">      16.7 </w:t>
            </w:r>
          </w:p>
        </w:tc>
      </w:tr>
      <w:tr w:rsidR="00000000">
        <w:tblPrEx>
          <w:tblCellMar>
            <w:top w:w="0" w:type="dxa"/>
            <w:bottom w:w="0" w:type="dxa"/>
          </w:tblCellMar>
        </w:tblPrEx>
        <w:trPr>
          <w:trHeight w:val="260"/>
        </w:trPr>
        <w:tc>
          <w:tcPr>
            <w:tcW w:w="2190" w:type="dxa"/>
          </w:tcPr>
          <w:p w:rsidR="00000000" w:rsidRDefault="001F233B">
            <w:pPr>
              <w:pStyle w:val="Tabletext"/>
            </w:pPr>
            <w:r>
              <w:t>Other</w:t>
            </w:r>
          </w:p>
        </w:tc>
        <w:tc>
          <w:tcPr>
            <w:tcW w:w="825" w:type="dxa"/>
            <w:gridSpan w:val="6"/>
          </w:tcPr>
          <w:p w:rsidR="00000000" w:rsidRDefault="001F233B">
            <w:pPr>
              <w:pStyle w:val="Tabletext"/>
              <w:jc w:val="right"/>
            </w:pPr>
            <w:r>
              <w:t xml:space="preserve">        6.7 </w:t>
            </w:r>
          </w:p>
        </w:tc>
        <w:tc>
          <w:tcPr>
            <w:tcW w:w="825" w:type="dxa"/>
          </w:tcPr>
          <w:p w:rsidR="00000000" w:rsidRDefault="001F233B">
            <w:pPr>
              <w:pStyle w:val="Tabletext"/>
              <w:jc w:val="right"/>
            </w:pPr>
            <w:r>
              <w:t xml:space="preserve">        6.7 </w:t>
            </w:r>
          </w:p>
        </w:tc>
        <w:tc>
          <w:tcPr>
            <w:tcW w:w="825" w:type="dxa"/>
          </w:tcPr>
          <w:p w:rsidR="00000000" w:rsidRDefault="001F233B">
            <w:pPr>
              <w:pStyle w:val="Tabletext"/>
              <w:jc w:val="right"/>
            </w:pPr>
            <w:r>
              <w:t xml:space="preserve">        6.7 </w:t>
            </w:r>
          </w:p>
        </w:tc>
        <w:tc>
          <w:tcPr>
            <w:tcW w:w="825" w:type="dxa"/>
          </w:tcPr>
          <w:p w:rsidR="00000000" w:rsidRDefault="001F233B">
            <w:pPr>
              <w:pStyle w:val="Tabletext"/>
              <w:jc w:val="right"/>
            </w:pPr>
            <w:r>
              <w:t xml:space="preserve">        6.7 </w:t>
            </w:r>
          </w:p>
        </w:tc>
        <w:tc>
          <w:tcPr>
            <w:tcW w:w="825" w:type="dxa"/>
          </w:tcPr>
          <w:p w:rsidR="00000000" w:rsidRDefault="001F233B">
            <w:pPr>
              <w:pStyle w:val="Tabletext"/>
              <w:jc w:val="right"/>
            </w:pPr>
            <w:r>
              <w:t xml:space="preserve">        6.7 </w:t>
            </w:r>
          </w:p>
        </w:tc>
        <w:tc>
          <w:tcPr>
            <w:tcW w:w="825" w:type="dxa"/>
          </w:tcPr>
          <w:p w:rsidR="00000000" w:rsidRDefault="001F233B">
            <w:pPr>
              <w:pStyle w:val="Tabletext"/>
              <w:jc w:val="right"/>
            </w:pPr>
            <w:r>
              <w:t xml:space="preserve">        6.7 </w:t>
            </w:r>
          </w:p>
        </w:tc>
      </w:tr>
      <w:tr w:rsidR="00000000">
        <w:tblPrEx>
          <w:tblCellMar>
            <w:top w:w="0" w:type="dxa"/>
            <w:bottom w:w="0" w:type="dxa"/>
          </w:tblCellMar>
        </w:tblPrEx>
        <w:trPr>
          <w:trHeight w:val="260"/>
        </w:trPr>
        <w:tc>
          <w:tcPr>
            <w:tcW w:w="2190" w:type="dxa"/>
          </w:tcPr>
          <w:p w:rsidR="00000000" w:rsidRDefault="001F233B">
            <w:pPr>
              <w:pStyle w:val="Tabletext"/>
              <w:rPr>
                <w:b/>
              </w:rPr>
            </w:pPr>
            <w:r>
              <w:rPr>
                <w:b/>
              </w:rPr>
              <w:t>Total liabilities</w:t>
            </w:r>
          </w:p>
        </w:tc>
        <w:tc>
          <w:tcPr>
            <w:tcW w:w="825" w:type="dxa"/>
            <w:gridSpan w:val="6"/>
            <w:tcBorders>
              <w:top w:val="single" w:sz="6" w:space="0" w:color="auto"/>
            </w:tcBorders>
          </w:tcPr>
          <w:p w:rsidR="00000000" w:rsidRDefault="001F233B">
            <w:pPr>
              <w:pStyle w:val="Tabletext"/>
              <w:jc w:val="right"/>
              <w:rPr>
                <w:b/>
              </w:rPr>
            </w:pPr>
            <w:r>
              <w:rPr>
                <w:b/>
              </w:rPr>
              <w:t xml:space="preserve">      36.6 </w:t>
            </w:r>
          </w:p>
        </w:tc>
        <w:tc>
          <w:tcPr>
            <w:tcW w:w="825" w:type="dxa"/>
            <w:tcBorders>
              <w:top w:val="single" w:sz="6" w:space="0" w:color="auto"/>
            </w:tcBorders>
          </w:tcPr>
          <w:p w:rsidR="00000000" w:rsidRDefault="001F233B">
            <w:pPr>
              <w:pStyle w:val="Tabletext"/>
              <w:jc w:val="right"/>
              <w:rPr>
                <w:b/>
              </w:rPr>
            </w:pPr>
            <w:r>
              <w:rPr>
                <w:b/>
              </w:rPr>
              <w:t xml:space="preserve">      33.6 </w:t>
            </w:r>
          </w:p>
        </w:tc>
        <w:tc>
          <w:tcPr>
            <w:tcW w:w="825" w:type="dxa"/>
            <w:tcBorders>
              <w:top w:val="single" w:sz="6" w:space="0" w:color="auto"/>
            </w:tcBorders>
          </w:tcPr>
          <w:p w:rsidR="00000000" w:rsidRDefault="001F233B">
            <w:pPr>
              <w:pStyle w:val="Tabletext"/>
              <w:jc w:val="right"/>
              <w:rPr>
                <w:b/>
              </w:rPr>
            </w:pPr>
            <w:r>
              <w:rPr>
                <w:b/>
              </w:rPr>
              <w:t xml:space="preserve">      33.8 </w:t>
            </w:r>
          </w:p>
        </w:tc>
        <w:tc>
          <w:tcPr>
            <w:tcW w:w="825" w:type="dxa"/>
            <w:tcBorders>
              <w:top w:val="single" w:sz="6" w:space="0" w:color="auto"/>
            </w:tcBorders>
          </w:tcPr>
          <w:p w:rsidR="00000000" w:rsidRDefault="001F233B">
            <w:pPr>
              <w:pStyle w:val="Tabletext"/>
              <w:jc w:val="right"/>
              <w:rPr>
                <w:b/>
              </w:rPr>
            </w:pPr>
            <w:r>
              <w:rPr>
                <w:b/>
              </w:rPr>
              <w:t xml:space="preserve">      33.4 </w:t>
            </w:r>
          </w:p>
        </w:tc>
        <w:tc>
          <w:tcPr>
            <w:tcW w:w="825" w:type="dxa"/>
            <w:tcBorders>
              <w:top w:val="single" w:sz="6" w:space="0" w:color="auto"/>
            </w:tcBorders>
          </w:tcPr>
          <w:p w:rsidR="00000000" w:rsidRDefault="001F233B">
            <w:pPr>
              <w:pStyle w:val="Tabletext"/>
              <w:jc w:val="right"/>
              <w:rPr>
                <w:b/>
              </w:rPr>
            </w:pPr>
            <w:r>
              <w:rPr>
                <w:b/>
              </w:rPr>
              <w:t xml:space="preserve">      33.1 </w:t>
            </w:r>
          </w:p>
        </w:tc>
        <w:tc>
          <w:tcPr>
            <w:tcW w:w="825" w:type="dxa"/>
            <w:tcBorders>
              <w:top w:val="single" w:sz="6" w:space="0" w:color="auto"/>
            </w:tcBorders>
          </w:tcPr>
          <w:p w:rsidR="00000000" w:rsidRDefault="001F233B">
            <w:pPr>
              <w:pStyle w:val="Tabletext"/>
              <w:jc w:val="right"/>
              <w:rPr>
                <w:b/>
              </w:rPr>
            </w:pPr>
            <w:r>
              <w:rPr>
                <w:b/>
              </w:rPr>
              <w:t xml:space="preserve">      33.0 </w:t>
            </w:r>
          </w:p>
        </w:tc>
      </w:tr>
      <w:tr w:rsidR="00000000">
        <w:tblPrEx>
          <w:tblCellMar>
            <w:top w:w="0" w:type="dxa"/>
            <w:bottom w:w="0" w:type="dxa"/>
          </w:tblCellMar>
        </w:tblPrEx>
        <w:trPr>
          <w:trHeight w:val="260"/>
        </w:trPr>
        <w:tc>
          <w:tcPr>
            <w:tcW w:w="2190" w:type="dxa"/>
          </w:tcPr>
          <w:p w:rsidR="00000000" w:rsidRDefault="001F233B">
            <w:pPr>
              <w:pStyle w:val="Tabletext"/>
              <w:rPr>
                <w:b/>
              </w:rPr>
            </w:pPr>
          </w:p>
        </w:tc>
        <w:tc>
          <w:tcPr>
            <w:tcW w:w="825" w:type="dxa"/>
            <w:gridSpan w:val="6"/>
          </w:tcPr>
          <w:p w:rsidR="00000000" w:rsidRDefault="001F233B">
            <w:pPr>
              <w:pStyle w:val="Tabletext"/>
              <w:jc w:val="right"/>
              <w:rPr>
                <w:b/>
              </w:rPr>
            </w:pPr>
          </w:p>
        </w:tc>
        <w:tc>
          <w:tcPr>
            <w:tcW w:w="825" w:type="dxa"/>
          </w:tcPr>
          <w:p w:rsidR="00000000" w:rsidRDefault="001F233B">
            <w:pPr>
              <w:pStyle w:val="Tabletext"/>
              <w:jc w:val="right"/>
              <w:rPr>
                <w:b/>
              </w:rPr>
            </w:pPr>
          </w:p>
        </w:tc>
        <w:tc>
          <w:tcPr>
            <w:tcW w:w="825" w:type="dxa"/>
          </w:tcPr>
          <w:p w:rsidR="00000000" w:rsidRDefault="001F233B">
            <w:pPr>
              <w:pStyle w:val="Tabletext"/>
              <w:jc w:val="right"/>
              <w:rPr>
                <w:b/>
              </w:rPr>
            </w:pPr>
          </w:p>
        </w:tc>
        <w:tc>
          <w:tcPr>
            <w:tcW w:w="825" w:type="dxa"/>
          </w:tcPr>
          <w:p w:rsidR="00000000" w:rsidRDefault="001F233B">
            <w:pPr>
              <w:pStyle w:val="Tabletext"/>
              <w:jc w:val="right"/>
              <w:rPr>
                <w:b/>
              </w:rPr>
            </w:pPr>
          </w:p>
        </w:tc>
        <w:tc>
          <w:tcPr>
            <w:tcW w:w="825" w:type="dxa"/>
          </w:tcPr>
          <w:p w:rsidR="00000000" w:rsidRDefault="001F233B">
            <w:pPr>
              <w:pStyle w:val="Tabletext"/>
              <w:jc w:val="right"/>
              <w:rPr>
                <w:b/>
              </w:rPr>
            </w:pPr>
          </w:p>
        </w:tc>
        <w:tc>
          <w:tcPr>
            <w:tcW w:w="825" w:type="dxa"/>
          </w:tcPr>
          <w:p w:rsidR="00000000" w:rsidRDefault="001F233B">
            <w:pPr>
              <w:pStyle w:val="Tabletext"/>
              <w:jc w:val="right"/>
              <w:rPr>
                <w:b/>
              </w:rPr>
            </w:pPr>
          </w:p>
        </w:tc>
      </w:tr>
      <w:tr w:rsidR="00000000">
        <w:tblPrEx>
          <w:tblCellMar>
            <w:top w:w="0" w:type="dxa"/>
            <w:bottom w:w="0" w:type="dxa"/>
          </w:tblCellMar>
        </w:tblPrEx>
        <w:trPr>
          <w:trHeight w:val="260"/>
        </w:trPr>
        <w:tc>
          <w:tcPr>
            <w:tcW w:w="2190" w:type="dxa"/>
          </w:tcPr>
          <w:p w:rsidR="00000000" w:rsidRDefault="001F233B">
            <w:pPr>
              <w:pStyle w:val="Tabletext"/>
            </w:pPr>
          </w:p>
        </w:tc>
        <w:tc>
          <w:tcPr>
            <w:tcW w:w="4950" w:type="dxa"/>
            <w:hMerge w:val="restart"/>
          </w:tcPr>
          <w:p w:rsidR="00000000" w:rsidRDefault="001F233B">
            <w:pPr>
              <w:pStyle w:val="Tabletext"/>
              <w:jc w:val="center"/>
              <w:rPr>
                <w:i/>
                <w:color w:val="000000"/>
              </w:rPr>
            </w:pPr>
            <w:r>
              <w:rPr>
                <w:i/>
                <w:color w:val="000000"/>
              </w:rPr>
              <w:t>per cent</w:t>
            </w: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gridSpan w:val="6"/>
            <w:hMerge/>
          </w:tcPr>
          <w:p w:rsidR="00000000" w:rsidRDefault="001F233B">
            <w:pPr>
              <w:pStyle w:val="Tabletext"/>
              <w:jc w:val="right"/>
            </w:pPr>
          </w:p>
        </w:tc>
      </w:tr>
      <w:tr w:rsidR="00000000">
        <w:tblPrEx>
          <w:tblCellMar>
            <w:top w:w="0" w:type="dxa"/>
            <w:bottom w:w="0" w:type="dxa"/>
          </w:tblCellMar>
        </w:tblPrEx>
        <w:trPr>
          <w:trHeight w:val="260"/>
        </w:trPr>
        <w:tc>
          <w:tcPr>
            <w:tcW w:w="2190" w:type="dxa"/>
            <w:tcBorders>
              <w:bottom w:val="single" w:sz="12" w:space="0" w:color="auto"/>
            </w:tcBorders>
          </w:tcPr>
          <w:p w:rsidR="00000000" w:rsidRDefault="001F233B">
            <w:pPr>
              <w:pStyle w:val="Tabletext"/>
            </w:pPr>
            <w:r>
              <w:t>Liabilities to</w:t>
            </w:r>
            <w:r>
              <w:t xml:space="preserve"> GSP</w:t>
            </w:r>
            <w:r>
              <w:fldChar w:fldCharType="begin"/>
            </w:r>
            <w:r>
              <w:instrText>xe "Economy:Gross State Products (GSP)"</w:instrText>
            </w:r>
            <w:r>
              <w:fldChar w:fldCharType="end"/>
            </w:r>
          </w:p>
        </w:tc>
        <w:tc>
          <w:tcPr>
            <w:tcW w:w="825" w:type="dxa"/>
            <w:gridSpan w:val="6"/>
            <w:tcBorders>
              <w:bottom w:val="single" w:sz="12" w:space="0" w:color="auto"/>
            </w:tcBorders>
          </w:tcPr>
          <w:p w:rsidR="00000000" w:rsidRDefault="001F233B">
            <w:pPr>
              <w:pStyle w:val="Tabletext"/>
              <w:jc w:val="right"/>
            </w:pPr>
            <w:r>
              <w:t xml:space="preserve">      27.7 </w:t>
            </w:r>
          </w:p>
        </w:tc>
        <w:tc>
          <w:tcPr>
            <w:tcW w:w="825" w:type="dxa"/>
            <w:tcBorders>
              <w:bottom w:val="single" w:sz="12" w:space="0" w:color="auto"/>
            </w:tcBorders>
          </w:tcPr>
          <w:p w:rsidR="00000000" w:rsidRDefault="001F233B">
            <w:pPr>
              <w:pStyle w:val="Tabletext"/>
              <w:jc w:val="right"/>
            </w:pPr>
            <w:r>
              <w:t xml:space="preserve">      24.1 </w:t>
            </w:r>
          </w:p>
        </w:tc>
        <w:tc>
          <w:tcPr>
            <w:tcW w:w="825" w:type="dxa"/>
            <w:tcBorders>
              <w:bottom w:val="single" w:sz="12" w:space="0" w:color="auto"/>
            </w:tcBorders>
          </w:tcPr>
          <w:p w:rsidR="00000000" w:rsidRDefault="001F233B">
            <w:pPr>
              <w:pStyle w:val="Tabletext"/>
              <w:jc w:val="right"/>
            </w:pPr>
            <w:r>
              <w:t xml:space="preserve">      22.9 </w:t>
            </w:r>
          </w:p>
        </w:tc>
        <w:tc>
          <w:tcPr>
            <w:tcW w:w="825" w:type="dxa"/>
            <w:tcBorders>
              <w:bottom w:val="single" w:sz="12" w:space="0" w:color="auto"/>
            </w:tcBorders>
          </w:tcPr>
          <w:p w:rsidR="00000000" w:rsidRDefault="001F233B">
            <w:pPr>
              <w:pStyle w:val="Tabletext"/>
              <w:jc w:val="right"/>
            </w:pPr>
            <w:r>
              <w:t xml:space="preserve">      21.5 </w:t>
            </w:r>
          </w:p>
        </w:tc>
        <w:tc>
          <w:tcPr>
            <w:tcW w:w="825" w:type="dxa"/>
            <w:tcBorders>
              <w:bottom w:val="single" w:sz="12" w:space="0" w:color="auto"/>
            </w:tcBorders>
          </w:tcPr>
          <w:p w:rsidR="00000000" w:rsidRDefault="001F233B">
            <w:pPr>
              <w:pStyle w:val="Tabletext"/>
              <w:jc w:val="right"/>
            </w:pPr>
            <w:r>
              <w:t xml:space="preserve">      20.2 </w:t>
            </w:r>
          </w:p>
        </w:tc>
        <w:tc>
          <w:tcPr>
            <w:tcW w:w="825" w:type="dxa"/>
            <w:tcBorders>
              <w:bottom w:val="single" w:sz="12" w:space="0" w:color="auto"/>
            </w:tcBorders>
          </w:tcPr>
          <w:p w:rsidR="00000000" w:rsidRDefault="001F233B">
            <w:pPr>
              <w:pStyle w:val="Tabletext"/>
              <w:jc w:val="right"/>
            </w:pPr>
            <w:r>
              <w:t xml:space="preserve">      19.0 </w:t>
            </w:r>
          </w:p>
        </w:tc>
      </w:tr>
    </w:tbl>
    <w:p w:rsidR="00000000" w:rsidRDefault="001F233B">
      <w:pPr>
        <w:pStyle w:val="Source"/>
      </w:pPr>
      <w:r>
        <w:t>Source: Department of Treasury and Finance.</w:t>
      </w:r>
    </w:p>
    <w:p w:rsidR="00000000" w:rsidRDefault="001F233B">
      <w:pPr>
        <w:pStyle w:val="Notes"/>
      </w:pPr>
      <w:r>
        <w:t>Note:</w:t>
      </w:r>
    </w:p>
    <w:p w:rsidR="00000000" w:rsidRDefault="001F233B">
      <w:pPr>
        <w:pStyle w:val="Notes"/>
        <w:tabs>
          <w:tab w:val="clear" w:pos="454"/>
          <w:tab w:val="left" w:pos="360"/>
        </w:tabs>
      </w:pPr>
      <w:r>
        <w:t>(a)</w:t>
      </w:r>
      <w:r>
        <w:tab/>
        <w:t>Net liabilities equals total liabilities, less financial assets.</w:t>
      </w:r>
    </w:p>
    <w:p w:rsidR="00000000" w:rsidRDefault="001F233B">
      <w:pPr>
        <w:pStyle w:val="Chartheading"/>
        <w:keepNext/>
      </w:pPr>
      <w:r>
        <w:t>Chart 6.5: Public Sector Net Financial Liabilities</w:t>
      </w:r>
      <w:r>
        <w:fldChar w:fldCharType="begin"/>
      </w:r>
      <w:r>
        <w:instrText>xe "Liability Management:Public Sector Net Financial Liabilities"</w:instrText>
      </w:r>
      <w:r>
        <w:fldChar w:fldCharType="end"/>
      </w:r>
      <w:r>
        <w:fldChar w:fldCharType="begin"/>
      </w:r>
      <w:r>
        <w:instrText>xe "Liability management:Public sector net financial liabilities"</w:instrText>
      </w:r>
      <w:r>
        <w:fldChar w:fldCharType="end"/>
      </w:r>
    </w:p>
    <w:p w:rsidR="00000000" w:rsidRDefault="001F233B">
      <w:pPr>
        <w:pStyle w:val="Source"/>
      </w:pPr>
      <w:r>
        <w:rPr>
          <w:noProof/>
          <w:sz w:val="20"/>
        </w:rPr>
        <w:drawing>
          <wp:inline distT="0" distB="0" distL="0" distR="0">
            <wp:extent cx="4486275" cy="2085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486275" cy="2085975"/>
                    </a:xfrm>
                    <a:prstGeom prst="rect">
                      <a:avLst/>
                    </a:prstGeom>
                    <a:noFill/>
                    <a:ln>
                      <a:noFill/>
                    </a:ln>
                  </pic:spPr>
                </pic:pic>
              </a:graphicData>
            </a:graphic>
          </wp:inline>
        </w:drawing>
      </w:r>
      <w:r>
        <w:t>Source: Department of Treasury and Finance.</w:t>
      </w:r>
    </w:p>
    <w:p w:rsidR="00000000" w:rsidRDefault="001F233B"/>
    <w:p w:rsidR="00000000" w:rsidRDefault="001F233B">
      <w:r>
        <w:t>The forward estimates do not include the us</w:t>
      </w:r>
      <w:r>
        <w:t>e of future expected privatisation</w:t>
      </w:r>
      <w:r>
        <w:fldChar w:fldCharType="begin"/>
      </w:r>
      <w:r>
        <w:instrText>xe "Privatisation"</w:instrText>
      </w:r>
      <w:r>
        <w:fldChar w:fldCharType="end"/>
      </w:r>
      <w:r>
        <w:t xml:space="preserve"> proceeds for the reduction of either debt or other liabilities. However, they do include the impact of projected budget surpluses. Over the next four years, with no further privatisations included, the pace of debt reduction will moderate and </w:t>
      </w:r>
      <w:r>
        <w:br w:type="page"/>
        <w:t>will be offset by modest growth in unfunded superannuation liabilities</w:t>
      </w:r>
      <w:r>
        <w:fldChar w:fldCharType="begin"/>
      </w:r>
      <w:r>
        <w:instrText>xe "Superannuation:Unfunded superannuation liabilities"</w:instrText>
      </w:r>
      <w:r>
        <w:fldChar w:fldCharType="end"/>
      </w:r>
      <w:r>
        <w:t>. On this basis, the State’s total net financial liabilities are expected to plateau a</w:t>
      </w:r>
      <w:r>
        <w:t>t around $33.0 billion in the period to June 2002 and will continue to decline as a per cent of GSP</w:t>
      </w:r>
      <w:r>
        <w:fldChar w:fldCharType="begin"/>
      </w:r>
      <w:r>
        <w:instrText>xe "Economy:Gross State Products (GSP)"</w:instrText>
      </w:r>
      <w:r>
        <w:fldChar w:fldCharType="end"/>
      </w:r>
      <w:r>
        <w:t>.</w:t>
      </w:r>
    </w:p>
    <w:p w:rsidR="00000000" w:rsidRDefault="001F233B">
      <w:pPr>
        <w:pStyle w:val="Heading2"/>
      </w:pPr>
      <w:bookmarkStart w:id="136" w:name="_Toc417482329"/>
      <w:bookmarkStart w:id="137" w:name="_Toc417552101"/>
      <w:r>
        <w:t>Debt and interest paid status and outlook</w:t>
      </w:r>
      <w:bookmarkEnd w:id="136"/>
      <w:bookmarkEnd w:id="137"/>
    </w:p>
    <w:p w:rsidR="00000000" w:rsidRDefault="001F233B">
      <w:pPr>
        <w:pStyle w:val="Heading3"/>
      </w:pPr>
      <w:r>
        <w:t>Public sector</w:t>
      </w:r>
    </w:p>
    <w:p w:rsidR="00000000" w:rsidRDefault="001F233B">
      <w:r>
        <w:t>Public sector net debt</w:t>
      </w:r>
      <w:r>
        <w:fldChar w:fldCharType="begin"/>
      </w:r>
      <w:r>
        <w:instrText>xe "Public sector net debt"</w:instrText>
      </w:r>
      <w:r>
        <w:fldChar w:fldCharType="end"/>
      </w:r>
      <w:r>
        <w:t xml:space="preserve"> has declined by more than 65 per cent since 1995 (see Chart 6.6). It will have fallen by $21.4 billion from $32.5 billion at 30 June 1995 to an estimated $11.1 billion by 30 June 1998. Assuming no further privatisations, it is expected to reach $9.5 billion by 3</w:t>
      </w:r>
      <w:r>
        <w:t>0 June 2002.</w:t>
      </w:r>
    </w:p>
    <w:p w:rsidR="00000000" w:rsidRDefault="001F233B">
      <w:pPr>
        <w:pStyle w:val="Chartheading"/>
        <w:keepNext/>
      </w:pPr>
      <w:r>
        <w:t>Chart 6.6: Public Sector Net Debt</w:t>
      </w:r>
      <w:r>
        <w:fldChar w:fldCharType="begin"/>
      </w:r>
      <w:r>
        <w:instrText>xe "Public sector net debt"</w:instrText>
      </w:r>
      <w:r>
        <w:fldChar w:fldCharType="end"/>
      </w:r>
      <w:r>
        <w:rPr>
          <w:i/>
          <w:vertAlign w:val="superscript"/>
        </w:rPr>
        <w:t>(a)</w:t>
      </w:r>
    </w:p>
    <w:p w:rsidR="00000000" w:rsidRDefault="001F233B">
      <w:pPr>
        <w:spacing w:after="0"/>
      </w:pPr>
      <w:r>
        <w:rPr>
          <w:noProof/>
          <w:sz w:val="20"/>
        </w:rPr>
        <w:drawing>
          <wp:inline distT="0" distB="0" distL="0" distR="0">
            <wp:extent cx="4419600" cy="2057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419600" cy="2057400"/>
                    </a:xfrm>
                    <a:prstGeom prst="rect">
                      <a:avLst/>
                    </a:prstGeom>
                    <a:noFill/>
                    <a:ln>
                      <a:noFill/>
                    </a:ln>
                  </pic:spPr>
                </pic:pic>
              </a:graphicData>
            </a:graphic>
          </wp:inline>
        </w:drawing>
      </w:r>
    </w:p>
    <w:p w:rsidR="00000000" w:rsidRDefault="001F233B">
      <w:pPr>
        <w:pStyle w:val="Source"/>
      </w:pPr>
      <w:r>
        <w:t>Source: Department of Treasury and Finance.</w:t>
      </w:r>
    </w:p>
    <w:p w:rsidR="00000000" w:rsidRDefault="001F233B">
      <w:pPr>
        <w:pStyle w:val="Notes"/>
      </w:pPr>
      <w:r>
        <w:t>Note:</w:t>
      </w:r>
    </w:p>
    <w:p w:rsidR="00000000" w:rsidRDefault="001F233B">
      <w:pPr>
        <w:pStyle w:val="Notes"/>
        <w:tabs>
          <w:tab w:val="clear" w:pos="454"/>
          <w:tab w:val="left" w:pos="360"/>
        </w:tabs>
        <w:ind w:left="360" w:hanging="360"/>
      </w:pPr>
      <w:r>
        <w:t>(a)</w:t>
      </w:r>
      <w:r>
        <w:tab/>
        <w:t>Public sector net debt</w:t>
      </w:r>
      <w:r>
        <w:fldChar w:fldCharType="begin"/>
      </w:r>
      <w:r>
        <w:instrText>xe "Public sector net debt"</w:instrText>
      </w:r>
      <w:r>
        <w:fldChar w:fldCharType="end"/>
      </w:r>
      <w:r>
        <w:t xml:space="preserve"> equals budget sector net debt</w:t>
      </w:r>
      <w:r>
        <w:fldChar w:fldCharType="begin"/>
      </w:r>
      <w:r>
        <w:instrText>xe "Budget sector net debt"</w:instrText>
      </w:r>
      <w:r>
        <w:fldChar w:fldCharType="end"/>
      </w:r>
      <w:r>
        <w:t>, plus non</w:t>
      </w:r>
      <w:r>
        <w:noBreakHyphen/>
        <w:t>budget sector net debt, less inter</w:t>
      </w:r>
      <w:r>
        <w:noBreakHyphen/>
        <w:t>sectoral advances.</w:t>
      </w:r>
    </w:p>
    <w:p w:rsidR="00000000" w:rsidRDefault="001F233B">
      <w:pPr>
        <w:pStyle w:val="Notes"/>
      </w:pPr>
    </w:p>
    <w:p w:rsidR="00000000" w:rsidRDefault="001F233B">
      <w:r>
        <w:t>The ratio of public sector net debt to GSP</w:t>
      </w:r>
      <w:r>
        <w:fldChar w:fldCharType="begin"/>
      </w:r>
      <w:r>
        <w:instrText>xe "Public sector net debt:Public sector net debt to GSP"</w:instrText>
      </w:r>
      <w:r>
        <w:fldChar w:fldCharType="end"/>
      </w:r>
      <w:r>
        <w:fldChar w:fldCharType="begin"/>
      </w:r>
      <w:r>
        <w:instrText>xe "Economy:Gross State Products (GSP)"</w:instrText>
      </w:r>
      <w:r>
        <w:fldChar w:fldCharType="end"/>
      </w:r>
      <w:r>
        <w:t xml:space="preserve"> will fall from 10.8 per cent at 30 June 1997, to an estima</w:t>
      </w:r>
      <w:r>
        <w:t>ted 7.9 per cent at 30 June 1998, and is expected to decline to 5.5 per cent by 30 June 2002. Public sector net debt</w:t>
      </w:r>
      <w:r>
        <w:fldChar w:fldCharType="begin"/>
      </w:r>
      <w:r>
        <w:instrText>xe "Public sector net debt"</w:instrText>
      </w:r>
      <w:r>
        <w:fldChar w:fldCharType="end"/>
      </w:r>
      <w:r>
        <w:t xml:space="preserve"> includes the debt of budget and non</w:t>
      </w:r>
      <w:r>
        <w:noBreakHyphen/>
        <w:t>budget sector entities, but excludes the debt of public financial enterprises such as TCV and the Rural Finance Corporation.</w:t>
      </w:r>
    </w:p>
    <w:p w:rsidR="00000000" w:rsidRDefault="001F233B">
      <w:pPr>
        <w:pStyle w:val="Heading3"/>
      </w:pPr>
      <w:r>
        <w:br w:type="page"/>
        <w:t>Budget sector</w:t>
      </w:r>
    </w:p>
    <w:p w:rsidR="00000000" w:rsidRDefault="001F233B">
      <w:r>
        <w:t>The majority of the reduction in public sector debt during 1997</w:t>
      </w:r>
      <w:r>
        <w:noBreakHyphen/>
        <w:t>98 occurred in the budget sector. Budget sector net debt</w:t>
      </w:r>
      <w:r>
        <w:fldChar w:fldCharType="begin"/>
      </w:r>
      <w:r>
        <w:instrText>xe "Budget sector net debt"</w:instrText>
      </w:r>
      <w:r>
        <w:fldChar w:fldCharType="end"/>
      </w:r>
      <w:r>
        <w:t xml:space="preserve"> is expected to fall from $10.6 billion a</w:t>
      </w:r>
      <w:r>
        <w:t>t 30 June 1997 to an estimated $8.7 billion by 30 June 1998 (see Chart 6.7). Assuming no further privatisations, budget sector net debt</w:t>
      </w:r>
      <w:r>
        <w:fldChar w:fldCharType="begin"/>
      </w:r>
      <w:r>
        <w:instrText>xe "Budget sector net debt"</w:instrText>
      </w:r>
      <w:r>
        <w:fldChar w:fldCharType="end"/>
      </w:r>
      <w:r>
        <w:t xml:space="preserve"> is expected to fall to $7.2 billion by 30 June 2002, as a result of estimated cash budget surpluses applied to debt reduction over the forecast period.</w:t>
      </w:r>
    </w:p>
    <w:p w:rsidR="00000000" w:rsidRDefault="001F233B">
      <w:pPr>
        <w:pStyle w:val="Tableheading"/>
        <w:rPr>
          <w:i/>
          <w:noProof/>
        </w:rPr>
      </w:pPr>
      <w:bookmarkStart w:id="138" w:name="_Toc417482515"/>
      <w:bookmarkStart w:id="139" w:name="_Toc417552763"/>
      <w:r>
        <w:t>Table 6.2: Net Debt and Net Debt to Gross State Product</w:t>
      </w:r>
      <w:r>
        <w:fldChar w:fldCharType="begin"/>
      </w:r>
      <w:r>
        <w:instrText>xe "Economy:Gross State Products (GSP)"</w:instrText>
      </w:r>
      <w:r>
        <w:fldChar w:fldCharType="end"/>
      </w:r>
      <w:r>
        <w:t xml:space="preserve"> Ratios</w:t>
      </w:r>
      <w:bookmarkEnd w:id="138"/>
      <w:bookmarkEnd w:id="139"/>
    </w:p>
    <w:tbl>
      <w:tblPr>
        <w:tblW w:w="0" w:type="auto"/>
        <w:tblLayout w:type="fixed"/>
        <w:tblCellMar>
          <w:left w:w="30" w:type="dxa"/>
          <w:right w:w="30" w:type="dxa"/>
        </w:tblCellMar>
        <w:tblLook w:val="0000" w:firstRow="0" w:lastRow="0" w:firstColumn="0" w:lastColumn="0" w:noHBand="0" w:noVBand="0"/>
      </w:tblPr>
      <w:tblGrid>
        <w:gridCol w:w="2640"/>
        <w:gridCol w:w="1"/>
        <w:gridCol w:w="1"/>
        <w:gridCol w:w="1"/>
        <w:gridCol w:w="1"/>
        <w:gridCol w:w="1"/>
        <w:gridCol w:w="760"/>
        <w:gridCol w:w="765"/>
        <w:gridCol w:w="765"/>
        <w:gridCol w:w="765"/>
        <w:gridCol w:w="765"/>
        <w:gridCol w:w="765"/>
      </w:tblGrid>
      <w:tr w:rsidR="00000000">
        <w:tblPrEx>
          <w:tblCellMar>
            <w:top w:w="0" w:type="dxa"/>
            <w:bottom w:w="0" w:type="dxa"/>
          </w:tblCellMar>
        </w:tblPrEx>
        <w:trPr>
          <w:trHeight w:val="260"/>
        </w:trPr>
        <w:tc>
          <w:tcPr>
            <w:tcW w:w="2640" w:type="dxa"/>
          </w:tcPr>
          <w:p w:rsidR="00000000" w:rsidRDefault="001F233B">
            <w:pPr>
              <w:pStyle w:val="Tabletext"/>
            </w:pPr>
          </w:p>
        </w:tc>
        <w:tc>
          <w:tcPr>
            <w:tcW w:w="4590" w:type="dxa"/>
            <w:hMerge w:val="restart"/>
          </w:tcPr>
          <w:p w:rsidR="00000000" w:rsidRDefault="001F233B">
            <w:pPr>
              <w:pStyle w:val="Tabletext"/>
              <w:jc w:val="center"/>
              <w:rPr>
                <w:i/>
              </w:rPr>
            </w:pPr>
            <w:r>
              <w:rPr>
                <w:i/>
              </w:rPr>
              <w:t>As at 30 June</w:t>
            </w: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gridSpan w:val="6"/>
            <w:hMerge/>
          </w:tcPr>
          <w:p w:rsidR="00000000" w:rsidRDefault="001F233B">
            <w:pPr>
              <w:pStyle w:val="Tabletext"/>
              <w:jc w:val="right"/>
            </w:pPr>
          </w:p>
        </w:tc>
      </w:tr>
      <w:tr w:rsidR="00000000">
        <w:tblPrEx>
          <w:tblCellMar>
            <w:top w:w="0" w:type="dxa"/>
            <w:bottom w:w="0" w:type="dxa"/>
          </w:tblCellMar>
        </w:tblPrEx>
        <w:trPr>
          <w:trHeight w:val="260"/>
        </w:trPr>
        <w:tc>
          <w:tcPr>
            <w:tcW w:w="2640" w:type="dxa"/>
            <w:tcBorders>
              <w:top w:val="single" w:sz="6" w:space="0" w:color="auto"/>
            </w:tcBorders>
          </w:tcPr>
          <w:p w:rsidR="00000000" w:rsidRDefault="001F233B">
            <w:pPr>
              <w:pStyle w:val="Tabletext"/>
              <w:jc w:val="right"/>
              <w:rPr>
                <w:i/>
              </w:rPr>
            </w:pPr>
          </w:p>
        </w:tc>
        <w:tc>
          <w:tcPr>
            <w:tcW w:w="765" w:type="dxa"/>
            <w:gridSpan w:val="6"/>
            <w:tcBorders>
              <w:top w:val="single" w:sz="6" w:space="0" w:color="auto"/>
            </w:tcBorders>
          </w:tcPr>
          <w:p w:rsidR="00000000" w:rsidRDefault="001F233B">
            <w:pPr>
              <w:pStyle w:val="Tabletext"/>
              <w:jc w:val="right"/>
              <w:rPr>
                <w:i/>
              </w:rPr>
            </w:pPr>
            <w:r>
              <w:rPr>
                <w:i/>
              </w:rPr>
              <w:t>1997</w:t>
            </w:r>
          </w:p>
        </w:tc>
        <w:tc>
          <w:tcPr>
            <w:tcW w:w="765" w:type="dxa"/>
            <w:tcBorders>
              <w:top w:val="single" w:sz="6" w:space="0" w:color="auto"/>
            </w:tcBorders>
          </w:tcPr>
          <w:p w:rsidR="00000000" w:rsidRDefault="001F233B">
            <w:pPr>
              <w:pStyle w:val="Tabletext"/>
              <w:jc w:val="right"/>
              <w:rPr>
                <w:i/>
              </w:rPr>
            </w:pPr>
            <w:r>
              <w:rPr>
                <w:i/>
              </w:rPr>
              <w:t>1998</w:t>
            </w:r>
          </w:p>
        </w:tc>
        <w:tc>
          <w:tcPr>
            <w:tcW w:w="765" w:type="dxa"/>
            <w:tcBorders>
              <w:top w:val="single" w:sz="6" w:space="0" w:color="auto"/>
            </w:tcBorders>
          </w:tcPr>
          <w:p w:rsidR="00000000" w:rsidRDefault="001F233B">
            <w:pPr>
              <w:pStyle w:val="Tabletext"/>
              <w:jc w:val="right"/>
              <w:rPr>
                <w:i/>
              </w:rPr>
            </w:pPr>
            <w:r>
              <w:rPr>
                <w:i/>
              </w:rPr>
              <w:t>1999</w:t>
            </w:r>
          </w:p>
        </w:tc>
        <w:tc>
          <w:tcPr>
            <w:tcW w:w="765" w:type="dxa"/>
            <w:tcBorders>
              <w:top w:val="single" w:sz="6" w:space="0" w:color="auto"/>
            </w:tcBorders>
          </w:tcPr>
          <w:p w:rsidR="00000000" w:rsidRDefault="001F233B">
            <w:pPr>
              <w:pStyle w:val="Tabletext"/>
              <w:jc w:val="right"/>
              <w:rPr>
                <w:i/>
              </w:rPr>
            </w:pPr>
            <w:r>
              <w:rPr>
                <w:i/>
              </w:rPr>
              <w:t>2000</w:t>
            </w:r>
          </w:p>
        </w:tc>
        <w:tc>
          <w:tcPr>
            <w:tcW w:w="765" w:type="dxa"/>
            <w:tcBorders>
              <w:top w:val="single" w:sz="6" w:space="0" w:color="auto"/>
            </w:tcBorders>
          </w:tcPr>
          <w:p w:rsidR="00000000" w:rsidRDefault="001F233B">
            <w:pPr>
              <w:pStyle w:val="Tabletext"/>
              <w:jc w:val="right"/>
              <w:rPr>
                <w:i/>
              </w:rPr>
            </w:pPr>
            <w:r>
              <w:rPr>
                <w:i/>
              </w:rPr>
              <w:t>2001</w:t>
            </w:r>
          </w:p>
        </w:tc>
        <w:tc>
          <w:tcPr>
            <w:tcW w:w="765" w:type="dxa"/>
            <w:tcBorders>
              <w:top w:val="single" w:sz="6" w:space="0" w:color="auto"/>
            </w:tcBorders>
          </w:tcPr>
          <w:p w:rsidR="00000000" w:rsidRDefault="001F233B">
            <w:pPr>
              <w:pStyle w:val="Tabletext"/>
              <w:jc w:val="right"/>
              <w:rPr>
                <w:i/>
              </w:rPr>
            </w:pPr>
            <w:r>
              <w:rPr>
                <w:i/>
              </w:rPr>
              <w:t>2002</w:t>
            </w:r>
          </w:p>
        </w:tc>
      </w:tr>
      <w:tr w:rsidR="00000000">
        <w:tblPrEx>
          <w:tblCellMar>
            <w:top w:w="0" w:type="dxa"/>
            <w:bottom w:w="0" w:type="dxa"/>
          </w:tblCellMar>
        </w:tblPrEx>
        <w:trPr>
          <w:trHeight w:val="260"/>
        </w:trPr>
        <w:tc>
          <w:tcPr>
            <w:tcW w:w="2640" w:type="dxa"/>
            <w:tcBorders>
              <w:bottom w:val="single" w:sz="6" w:space="0" w:color="auto"/>
            </w:tcBorders>
          </w:tcPr>
          <w:p w:rsidR="00000000" w:rsidRDefault="001F233B">
            <w:pPr>
              <w:pStyle w:val="Tabletext"/>
              <w:jc w:val="right"/>
              <w:rPr>
                <w:i/>
              </w:rPr>
            </w:pPr>
          </w:p>
        </w:tc>
        <w:tc>
          <w:tcPr>
            <w:tcW w:w="765" w:type="dxa"/>
            <w:gridSpan w:val="6"/>
            <w:tcBorders>
              <w:bottom w:val="single" w:sz="6" w:space="0" w:color="auto"/>
            </w:tcBorders>
          </w:tcPr>
          <w:p w:rsidR="00000000" w:rsidRDefault="001F233B">
            <w:pPr>
              <w:pStyle w:val="Tabletext"/>
              <w:jc w:val="right"/>
              <w:rPr>
                <w:i/>
              </w:rPr>
            </w:pPr>
            <w:r>
              <w:rPr>
                <w:i/>
              </w:rPr>
              <w:t>Actual</w:t>
            </w:r>
          </w:p>
        </w:tc>
        <w:tc>
          <w:tcPr>
            <w:tcW w:w="765" w:type="dxa"/>
            <w:tcBorders>
              <w:bottom w:val="single" w:sz="6" w:space="0" w:color="auto"/>
            </w:tcBorders>
          </w:tcPr>
          <w:p w:rsidR="00000000" w:rsidRDefault="001F233B">
            <w:pPr>
              <w:pStyle w:val="Tabletext"/>
              <w:jc w:val="right"/>
              <w:rPr>
                <w:i/>
              </w:rPr>
            </w:pPr>
            <w:r>
              <w:rPr>
                <w:i/>
              </w:rPr>
              <w:t>Estimate</w:t>
            </w:r>
          </w:p>
        </w:tc>
        <w:tc>
          <w:tcPr>
            <w:tcW w:w="765" w:type="dxa"/>
            <w:tcBorders>
              <w:bottom w:val="single" w:sz="6" w:space="0" w:color="auto"/>
            </w:tcBorders>
          </w:tcPr>
          <w:p w:rsidR="00000000" w:rsidRDefault="001F233B">
            <w:pPr>
              <w:pStyle w:val="Tabletext"/>
              <w:jc w:val="right"/>
              <w:rPr>
                <w:i/>
              </w:rPr>
            </w:pPr>
            <w:r>
              <w:rPr>
                <w:i/>
              </w:rPr>
              <w:t>Estimate</w:t>
            </w:r>
          </w:p>
        </w:tc>
        <w:tc>
          <w:tcPr>
            <w:tcW w:w="765" w:type="dxa"/>
            <w:tcBorders>
              <w:bottom w:val="single" w:sz="6" w:space="0" w:color="auto"/>
            </w:tcBorders>
          </w:tcPr>
          <w:p w:rsidR="00000000" w:rsidRDefault="001F233B">
            <w:pPr>
              <w:pStyle w:val="Tabletext"/>
              <w:jc w:val="right"/>
              <w:rPr>
                <w:i/>
              </w:rPr>
            </w:pPr>
            <w:r>
              <w:rPr>
                <w:i/>
              </w:rPr>
              <w:t>Estimate</w:t>
            </w:r>
          </w:p>
        </w:tc>
        <w:tc>
          <w:tcPr>
            <w:tcW w:w="765" w:type="dxa"/>
            <w:tcBorders>
              <w:bottom w:val="single" w:sz="6" w:space="0" w:color="auto"/>
            </w:tcBorders>
          </w:tcPr>
          <w:p w:rsidR="00000000" w:rsidRDefault="001F233B">
            <w:pPr>
              <w:pStyle w:val="Tabletext"/>
              <w:jc w:val="right"/>
              <w:rPr>
                <w:i/>
              </w:rPr>
            </w:pPr>
            <w:r>
              <w:rPr>
                <w:i/>
              </w:rPr>
              <w:t>Est</w:t>
            </w:r>
            <w:r>
              <w:rPr>
                <w:i/>
              </w:rPr>
              <w:t>imate</w:t>
            </w:r>
          </w:p>
        </w:tc>
        <w:tc>
          <w:tcPr>
            <w:tcW w:w="765" w:type="dxa"/>
            <w:tcBorders>
              <w:bottom w:val="single" w:sz="6" w:space="0" w:color="auto"/>
            </w:tcBorders>
          </w:tcPr>
          <w:p w:rsidR="00000000" w:rsidRDefault="001F233B">
            <w:pPr>
              <w:pStyle w:val="Tabletext"/>
              <w:jc w:val="right"/>
              <w:rPr>
                <w:i/>
              </w:rPr>
            </w:pPr>
            <w:r>
              <w:rPr>
                <w:i/>
              </w:rPr>
              <w:t>Estimate</w:t>
            </w:r>
          </w:p>
        </w:tc>
      </w:tr>
      <w:tr w:rsidR="00000000">
        <w:tblPrEx>
          <w:tblCellMar>
            <w:top w:w="0" w:type="dxa"/>
            <w:bottom w:w="0" w:type="dxa"/>
          </w:tblCellMar>
        </w:tblPrEx>
        <w:trPr>
          <w:trHeight w:val="260"/>
        </w:trPr>
        <w:tc>
          <w:tcPr>
            <w:tcW w:w="2640" w:type="dxa"/>
          </w:tcPr>
          <w:p w:rsidR="00000000" w:rsidRDefault="001F233B">
            <w:pPr>
              <w:pStyle w:val="Tabletext"/>
            </w:pPr>
          </w:p>
        </w:tc>
        <w:tc>
          <w:tcPr>
            <w:tcW w:w="4590" w:type="dxa"/>
            <w:hMerge w:val="restart"/>
          </w:tcPr>
          <w:p w:rsidR="00000000" w:rsidRDefault="001F233B">
            <w:pPr>
              <w:pStyle w:val="Tabletext"/>
              <w:jc w:val="center"/>
              <w:rPr>
                <w:i/>
              </w:rPr>
            </w:pPr>
            <w:r>
              <w:rPr>
                <w:i/>
              </w:rPr>
              <w:t>$ billion</w:t>
            </w: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gridSpan w:val="6"/>
            <w:hMerge/>
          </w:tcPr>
          <w:p w:rsidR="00000000" w:rsidRDefault="001F233B">
            <w:pPr>
              <w:pStyle w:val="Tabletext"/>
              <w:jc w:val="right"/>
            </w:pPr>
          </w:p>
        </w:tc>
      </w:tr>
      <w:tr w:rsidR="00000000">
        <w:tblPrEx>
          <w:tblCellMar>
            <w:top w:w="0" w:type="dxa"/>
            <w:bottom w:w="0" w:type="dxa"/>
          </w:tblCellMar>
        </w:tblPrEx>
        <w:trPr>
          <w:trHeight w:val="260"/>
        </w:trPr>
        <w:tc>
          <w:tcPr>
            <w:tcW w:w="2640" w:type="dxa"/>
          </w:tcPr>
          <w:p w:rsidR="00000000" w:rsidRDefault="001F233B">
            <w:pPr>
              <w:pStyle w:val="Tabletext"/>
            </w:pPr>
            <w:r>
              <w:t>Public Sector Net Debt</w:t>
            </w:r>
          </w:p>
        </w:tc>
        <w:tc>
          <w:tcPr>
            <w:tcW w:w="765" w:type="dxa"/>
            <w:gridSpan w:val="6"/>
          </w:tcPr>
          <w:p w:rsidR="00000000" w:rsidRDefault="001F233B">
            <w:pPr>
              <w:pStyle w:val="Tabletext"/>
              <w:jc w:val="right"/>
            </w:pPr>
            <w:r>
              <w:t xml:space="preserve">      14.3 </w:t>
            </w:r>
          </w:p>
        </w:tc>
        <w:tc>
          <w:tcPr>
            <w:tcW w:w="765" w:type="dxa"/>
          </w:tcPr>
          <w:p w:rsidR="00000000" w:rsidRDefault="001F233B">
            <w:pPr>
              <w:pStyle w:val="Tabletext"/>
              <w:jc w:val="right"/>
            </w:pPr>
            <w:r>
              <w:t xml:space="preserve">      11.1 </w:t>
            </w:r>
          </w:p>
        </w:tc>
        <w:tc>
          <w:tcPr>
            <w:tcW w:w="765" w:type="dxa"/>
          </w:tcPr>
          <w:p w:rsidR="00000000" w:rsidRDefault="001F233B">
            <w:pPr>
              <w:pStyle w:val="Tabletext"/>
              <w:jc w:val="right"/>
            </w:pPr>
            <w:r>
              <w:t xml:space="preserve">      10.9 </w:t>
            </w:r>
          </w:p>
        </w:tc>
        <w:tc>
          <w:tcPr>
            <w:tcW w:w="765" w:type="dxa"/>
          </w:tcPr>
          <w:p w:rsidR="00000000" w:rsidRDefault="001F233B">
            <w:pPr>
              <w:pStyle w:val="Tabletext"/>
              <w:jc w:val="right"/>
            </w:pPr>
            <w:r>
              <w:t xml:space="preserve">      10.3 </w:t>
            </w:r>
          </w:p>
        </w:tc>
        <w:tc>
          <w:tcPr>
            <w:tcW w:w="765" w:type="dxa"/>
          </w:tcPr>
          <w:p w:rsidR="00000000" w:rsidRDefault="001F233B">
            <w:pPr>
              <w:pStyle w:val="Tabletext"/>
              <w:jc w:val="right"/>
            </w:pPr>
            <w:r>
              <w:t xml:space="preserve">        9.8 </w:t>
            </w:r>
          </w:p>
        </w:tc>
        <w:tc>
          <w:tcPr>
            <w:tcW w:w="765" w:type="dxa"/>
          </w:tcPr>
          <w:p w:rsidR="00000000" w:rsidRDefault="001F233B">
            <w:pPr>
              <w:pStyle w:val="Tabletext"/>
              <w:jc w:val="right"/>
            </w:pPr>
            <w:r>
              <w:t xml:space="preserve">        9.5 </w:t>
            </w:r>
          </w:p>
        </w:tc>
      </w:tr>
      <w:tr w:rsidR="00000000">
        <w:tblPrEx>
          <w:tblCellMar>
            <w:top w:w="0" w:type="dxa"/>
            <w:bottom w:w="0" w:type="dxa"/>
          </w:tblCellMar>
        </w:tblPrEx>
        <w:trPr>
          <w:trHeight w:val="260"/>
        </w:trPr>
        <w:tc>
          <w:tcPr>
            <w:tcW w:w="2640" w:type="dxa"/>
          </w:tcPr>
          <w:p w:rsidR="00000000" w:rsidRDefault="001F233B">
            <w:pPr>
              <w:pStyle w:val="Tabletext"/>
            </w:pPr>
            <w:r>
              <w:t>Budget Sector Net Debt</w:t>
            </w:r>
            <w:r>
              <w:fldChar w:fldCharType="begin"/>
            </w:r>
            <w:r>
              <w:instrText>xe "Budget sector net debt"</w:instrText>
            </w:r>
            <w:r>
              <w:fldChar w:fldCharType="end"/>
            </w:r>
          </w:p>
        </w:tc>
        <w:tc>
          <w:tcPr>
            <w:tcW w:w="765" w:type="dxa"/>
            <w:gridSpan w:val="6"/>
          </w:tcPr>
          <w:p w:rsidR="00000000" w:rsidRDefault="001F233B">
            <w:pPr>
              <w:pStyle w:val="Tabletext"/>
              <w:jc w:val="right"/>
            </w:pPr>
            <w:r>
              <w:t xml:space="preserve">      10.6 </w:t>
            </w:r>
          </w:p>
        </w:tc>
        <w:tc>
          <w:tcPr>
            <w:tcW w:w="765" w:type="dxa"/>
          </w:tcPr>
          <w:p w:rsidR="00000000" w:rsidRDefault="001F233B">
            <w:pPr>
              <w:pStyle w:val="Tabletext"/>
              <w:jc w:val="right"/>
            </w:pPr>
            <w:r>
              <w:t xml:space="preserve">        8.7 </w:t>
            </w:r>
          </w:p>
        </w:tc>
        <w:tc>
          <w:tcPr>
            <w:tcW w:w="765" w:type="dxa"/>
          </w:tcPr>
          <w:p w:rsidR="00000000" w:rsidRDefault="001F233B">
            <w:pPr>
              <w:pStyle w:val="Tabletext"/>
              <w:jc w:val="right"/>
            </w:pPr>
            <w:r>
              <w:t xml:space="preserve">        8.5 </w:t>
            </w:r>
          </w:p>
        </w:tc>
        <w:tc>
          <w:tcPr>
            <w:tcW w:w="765" w:type="dxa"/>
          </w:tcPr>
          <w:p w:rsidR="00000000" w:rsidRDefault="001F233B">
            <w:pPr>
              <w:pStyle w:val="Tabletext"/>
              <w:jc w:val="right"/>
            </w:pPr>
            <w:r>
              <w:t xml:space="preserve">        7.9 </w:t>
            </w:r>
          </w:p>
        </w:tc>
        <w:tc>
          <w:tcPr>
            <w:tcW w:w="765" w:type="dxa"/>
          </w:tcPr>
          <w:p w:rsidR="00000000" w:rsidRDefault="001F233B">
            <w:pPr>
              <w:pStyle w:val="Tabletext"/>
              <w:jc w:val="right"/>
            </w:pPr>
            <w:r>
              <w:t xml:space="preserve">        7.4 </w:t>
            </w:r>
          </w:p>
        </w:tc>
        <w:tc>
          <w:tcPr>
            <w:tcW w:w="765" w:type="dxa"/>
          </w:tcPr>
          <w:p w:rsidR="00000000" w:rsidRDefault="001F233B">
            <w:pPr>
              <w:pStyle w:val="Tabletext"/>
              <w:jc w:val="right"/>
            </w:pPr>
            <w:r>
              <w:t xml:space="preserve">        7.2 </w:t>
            </w:r>
          </w:p>
        </w:tc>
      </w:tr>
      <w:tr w:rsidR="00000000">
        <w:tblPrEx>
          <w:tblCellMar>
            <w:top w:w="0" w:type="dxa"/>
            <w:bottom w:w="0" w:type="dxa"/>
          </w:tblCellMar>
        </w:tblPrEx>
        <w:trPr>
          <w:trHeight w:val="260"/>
        </w:trPr>
        <w:tc>
          <w:tcPr>
            <w:tcW w:w="2640" w:type="dxa"/>
          </w:tcPr>
          <w:p w:rsidR="00000000" w:rsidRDefault="001F233B">
            <w:pPr>
              <w:pStyle w:val="Tabletext"/>
            </w:pPr>
          </w:p>
        </w:tc>
        <w:tc>
          <w:tcPr>
            <w:tcW w:w="4590" w:type="dxa"/>
            <w:hMerge w:val="restart"/>
          </w:tcPr>
          <w:p w:rsidR="00000000" w:rsidRDefault="001F233B">
            <w:pPr>
              <w:pStyle w:val="Tabletext"/>
              <w:jc w:val="center"/>
              <w:rPr>
                <w:i/>
                <w:color w:val="000000"/>
              </w:rPr>
            </w:pPr>
            <w:r>
              <w:rPr>
                <w:i/>
                <w:color w:val="000000"/>
              </w:rPr>
              <w:t>per cent</w:t>
            </w: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gridSpan w:val="6"/>
            <w:hMerge/>
          </w:tcPr>
          <w:p w:rsidR="00000000" w:rsidRDefault="001F233B">
            <w:pPr>
              <w:pStyle w:val="Tabletext"/>
              <w:jc w:val="right"/>
            </w:pPr>
          </w:p>
        </w:tc>
      </w:tr>
      <w:tr w:rsidR="00000000">
        <w:tblPrEx>
          <w:tblCellMar>
            <w:top w:w="0" w:type="dxa"/>
            <w:bottom w:w="0" w:type="dxa"/>
          </w:tblCellMar>
        </w:tblPrEx>
        <w:trPr>
          <w:trHeight w:val="260"/>
        </w:trPr>
        <w:tc>
          <w:tcPr>
            <w:tcW w:w="2640" w:type="dxa"/>
          </w:tcPr>
          <w:p w:rsidR="00000000" w:rsidRDefault="001F233B">
            <w:pPr>
              <w:pStyle w:val="Tabletext"/>
            </w:pPr>
            <w:r>
              <w:t>Public Sector Net Debt to GSP</w:t>
            </w:r>
            <w:r>
              <w:fldChar w:fldCharType="begin"/>
            </w:r>
            <w:r>
              <w:instrText>xe "Public sector net debt:Public sector net debt to GSP"</w:instrText>
            </w:r>
            <w:r>
              <w:fldChar w:fldCharType="end"/>
            </w:r>
          </w:p>
        </w:tc>
        <w:tc>
          <w:tcPr>
            <w:tcW w:w="765" w:type="dxa"/>
            <w:gridSpan w:val="6"/>
          </w:tcPr>
          <w:p w:rsidR="00000000" w:rsidRDefault="001F233B">
            <w:pPr>
              <w:pStyle w:val="Tabletext"/>
              <w:jc w:val="right"/>
            </w:pPr>
            <w:r>
              <w:t xml:space="preserve">      10.8 </w:t>
            </w:r>
          </w:p>
        </w:tc>
        <w:tc>
          <w:tcPr>
            <w:tcW w:w="765" w:type="dxa"/>
          </w:tcPr>
          <w:p w:rsidR="00000000" w:rsidRDefault="001F233B">
            <w:pPr>
              <w:pStyle w:val="Tabletext"/>
              <w:jc w:val="right"/>
            </w:pPr>
            <w:r>
              <w:t xml:space="preserve">        7.9 </w:t>
            </w:r>
          </w:p>
        </w:tc>
        <w:tc>
          <w:tcPr>
            <w:tcW w:w="765" w:type="dxa"/>
          </w:tcPr>
          <w:p w:rsidR="00000000" w:rsidRDefault="001F233B">
            <w:pPr>
              <w:pStyle w:val="Tabletext"/>
              <w:jc w:val="right"/>
            </w:pPr>
            <w:r>
              <w:t xml:space="preserve">        7.4 </w:t>
            </w:r>
          </w:p>
        </w:tc>
        <w:tc>
          <w:tcPr>
            <w:tcW w:w="765" w:type="dxa"/>
          </w:tcPr>
          <w:p w:rsidR="00000000" w:rsidRDefault="001F233B">
            <w:pPr>
              <w:pStyle w:val="Tabletext"/>
              <w:jc w:val="right"/>
            </w:pPr>
            <w:r>
              <w:t xml:space="preserve">        6.6 </w:t>
            </w:r>
          </w:p>
        </w:tc>
        <w:tc>
          <w:tcPr>
            <w:tcW w:w="765" w:type="dxa"/>
          </w:tcPr>
          <w:p w:rsidR="00000000" w:rsidRDefault="001F233B">
            <w:pPr>
              <w:pStyle w:val="Tabletext"/>
              <w:jc w:val="right"/>
            </w:pPr>
            <w:r>
              <w:t xml:space="preserve">        6.0 </w:t>
            </w:r>
          </w:p>
        </w:tc>
        <w:tc>
          <w:tcPr>
            <w:tcW w:w="765" w:type="dxa"/>
          </w:tcPr>
          <w:p w:rsidR="00000000" w:rsidRDefault="001F233B">
            <w:pPr>
              <w:pStyle w:val="Tabletext"/>
              <w:jc w:val="right"/>
            </w:pPr>
            <w:r>
              <w:t xml:space="preserve">        5.5 </w:t>
            </w:r>
          </w:p>
        </w:tc>
      </w:tr>
      <w:tr w:rsidR="00000000">
        <w:tblPrEx>
          <w:tblCellMar>
            <w:top w:w="0" w:type="dxa"/>
            <w:bottom w:w="0" w:type="dxa"/>
          </w:tblCellMar>
        </w:tblPrEx>
        <w:trPr>
          <w:trHeight w:val="260"/>
        </w:trPr>
        <w:tc>
          <w:tcPr>
            <w:tcW w:w="2640" w:type="dxa"/>
            <w:tcBorders>
              <w:bottom w:val="single" w:sz="12" w:space="0" w:color="auto"/>
            </w:tcBorders>
          </w:tcPr>
          <w:p w:rsidR="00000000" w:rsidRDefault="001F233B">
            <w:pPr>
              <w:pStyle w:val="Tabletext"/>
            </w:pPr>
            <w:r>
              <w:t>Budget Sector Net Debt</w:t>
            </w:r>
            <w:r>
              <w:fldChar w:fldCharType="begin"/>
            </w:r>
            <w:r>
              <w:instrText>xe "Budget sector net debt"</w:instrText>
            </w:r>
            <w:r>
              <w:fldChar w:fldCharType="end"/>
            </w:r>
            <w:r>
              <w:t xml:space="preserve"> to GSP</w:t>
            </w:r>
            <w:r>
              <w:fldChar w:fldCharType="begin"/>
            </w:r>
            <w:r>
              <w:instrText>xe "Budge</w:instrText>
            </w:r>
            <w:r>
              <w:instrText>t sector net debt:Budget sector net debt to GSP"</w:instrText>
            </w:r>
            <w:r>
              <w:fldChar w:fldCharType="end"/>
            </w:r>
          </w:p>
        </w:tc>
        <w:tc>
          <w:tcPr>
            <w:tcW w:w="765" w:type="dxa"/>
            <w:gridSpan w:val="6"/>
            <w:tcBorders>
              <w:bottom w:val="single" w:sz="12" w:space="0" w:color="auto"/>
            </w:tcBorders>
          </w:tcPr>
          <w:p w:rsidR="00000000" w:rsidRDefault="001F233B">
            <w:pPr>
              <w:pStyle w:val="Tabletext"/>
              <w:jc w:val="right"/>
            </w:pPr>
            <w:r>
              <w:t xml:space="preserve">        8.0 </w:t>
            </w:r>
          </w:p>
        </w:tc>
        <w:tc>
          <w:tcPr>
            <w:tcW w:w="765" w:type="dxa"/>
            <w:tcBorders>
              <w:bottom w:val="single" w:sz="12" w:space="0" w:color="auto"/>
            </w:tcBorders>
          </w:tcPr>
          <w:p w:rsidR="00000000" w:rsidRDefault="001F233B">
            <w:pPr>
              <w:pStyle w:val="Tabletext"/>
              <w:jc w:val="right"/>
            </w:pPr>
            <w:r>
              <w:t xml:space="preserve">        6.2 </w:t>
            </w:r>
          </w:p>
        </w:tc>
        <w:tc>
          <w:tcPr>
            <w:tcW w:w="765" w:type="dxa"/>
            <w:tcBorders>
              <w:bottom w:val="single" w:sz="12" w:space="0" w:color="auto"/>
            </w:tcBorders>
          </w:tcPr>
          <w:p w:rsidR="00000000" w:rsidRDefault="001F233B">
            <w:pPr>
              <w:pStyle w:val="Tabletext"/>
              <w:jc w:val="right"/>
            </w:pPr>
            <w:r>
              <w:t xml:space="preserve">        5.8 </w:t>
            </w:r>
          </w:p>
        </w:tc>
        <w:tc>
          <w:tcPr>
            <w:tcW w:w="765" w:type="dxa"/>
            <w:tcBorders>
              <w:bottom w:val="single" w:sz="12" w:space="0" w:color="auto"/>
            </w:tcBorders>
          </w:tcPr>
          <w:p w:rsidR="00000000" w:rsidRDefault="001F233B">
            <w:pPr>
              <w:pStyle w:val="Tabletext"/>
              <w:jc w:val="right"/>
            </w:pPr>
            <w:r>
              <w:t xml:space="preserve">        5.1 </w:t>
            </w:r>
          </w:p>
        </w:tc>
        <w:tc>
          <w:tcPr>
            <w:tcW w:w="765" w:type="dxa"/>
            <w:tcBorders>
              <w:bottom w:val="single" w:sz="12" w:space="0" w:color="auto"/>
            </w:tcBorders>
          </w:tcPr>
          <w:p w:rsidR="00000000" w:rsidRDefault="001F233B">
            <w:pPr>
              <w:pStyle w:val="Tabletext"/>
              <w:jc w:val="right"/>
            </w:pPr>
            <w:r>
              <w:t xml:space="preserve">        4.5 </w:t>
            </w:r>
          </w:p>
        </w:tc>
        <w:tc>
          <w:tcPr>
            <w:tcW w:w="765" w:type="dxa"/>
            <w:tcBorders>
              <w:bottom w:val="single" w:sz="12" w:space="0" w:color="auto"/>
            </w:tcBorders>
          </w:tcPr>
          <w:p w:rsidR="00000000" w:rsidRDefault="001F233B">
            <w:pPr>
              <w:pStyle w:val="Tabletext"/>
              <w:jc w:val="right"/>
            </w:pPr>
            <w:r>
              <w:t xml:space="preserve">        4.1 </w:t>
            </w:r>
          </w:p>
        </w:tc>
      </w:tr>
    </w:tbl>
    <w:p w:rsidR="00000000" w:rsidRDefault="001F233B">
      <w:pPr>
        <w:pStyle w:val="Notes"/>
      </w:pPr>
      <w:r>
        <w:t>Source: Department of Treasury and Finance.</w:t>
      </w:r>
    </w:p>
    <w:p w:rsidR="00000000" w:rsidRDefault="001F233B"/>
    <w:p w:rsidR="00000000" w:rsidRDefault="001F233B">
      <w:r>
        <w:t>The ratio of budget sector net debt</w:t>
      </w:r>
      <w:r>
        <w:fldChar w:fldCharType="begin"/>
      </w:r>
      <w:r>
        <w:instrText>xe "Budget sector net debt"</w:instrText>
      </w:r>
      <w:r>
        <w:fldChar w:fldCharType="end"/>
      </w:r>
      <w:r>
        <w:t xml:space="preserve"> to GSP</w:t>
      </w:r>
      <w:r>
        <w:fldChar w:fldCharType="begin"/>
      </w:r>
      <w:r>
        <w:instrText>xe "Budget sector net debt:Budget sector net debt to GSP"</w:instrText>
      </w:r>
      <w:r>
        <w:fldChar w:fldCharType="end"/>
      </w:r>
      <w:r>
        <w:fldChar w:fldCharType="begin"/>
      </w:r>
      <w:r>
        <w:instrText>xe "Economy:Gross State Products (GSP)"</w:instrText>
      </w:r>
      <w:r>
        <w:fldChar w:fldCharType="end"/>
      </w:r>
      <w:r>
        <w:t xml:space="preserve"> should fall from 6.2 per cent at 30 June 1998, to 4.1 per cent by 30 June 2002 (see Table 6.2).</w:t>
      </w:r>
    </w:p>
    <w:p w:rsidR="00000000" w:rsidRDefault="001F233B">
      <w:pPr>
        <w:pStyle w:val="Chartheading"/>
        <w:keepNext/>
      </w:pPr>
      <w:r>
        <w:t>Chart 6.7: Budget Sector Net Debt</w:t>
      </w:r>
      <w:r>
        <w:fldChar w:fldCharType="begin"/>
      </w:r>
      <w:r>
        <w:instrText>xe "Budget sector net debt"</w:instrText>
      </w:r>
      <w:r>
        <w:fldChar w:fldCharType="end"/>
      </w:r>
    </w:p>
    <w:p w:rsidR="00000000" w:rsidRDefault="001F233B">
      <w:pPr>
        <w:pStyle w:val="Source"/>
      </w:pPr>
      <w:r>
        <w:rPr>
          <w:noProof/>
          <w:sz w:val="20"/>
        </w:rPr>
        <w:drawing>
          <wp:inline distT="0" distB="0" distL="0" distR="0">
            <wp:extent cx="4486275" cy="2085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486275" cy="2085975"/>
                    </a:xfrm>
                    <a:prstGeom prst="rect">
                      <a:avLst/>
                    </a:prstGeom>
                    <a:noFill/>
                    <a:ln>
                      <a:noFill/>
                    </a:ln>
                  </pic:spPr>
                </pic:pic>
              </a:graphicData>
            </a:graphic>
          </wp:inline>
        </w:drawing>
      </w:r>
      <w:r>
        <w:t>Source</w:t>
      </w:r>
      <w:r>
        <w:t>: Department of Treasury and Finance.</w:t>
      </w:r>
    </w:p>
    <w:p w:rsidR="00000000" w:rsidRDefault="001F233B">
      <w:r>
        <w:t>Budget sector interest payments should fall from an estimated $821.3 million in 1997</w:t>
      </w:r>
      <w:r>
        <w:noBreakHyphen/>
        <w:t>98 to $806.3 million in 1998</w:t>
      </w:r>
      <w:r>
        <w:noBreakHyphen/>
        <w:t>99 as a result of the significant debt reductions achieved (see Table 6.3 and Chart 6.8). Interest, as a percentage of cash revenue and current grants, is expected to remain constant at 5.1 per cent in 1997</w:t>
      </w:r>
      <w:r>
        <w:noBreakHyphen/>
        <w:t>98 and 1998</w:t>
      </w:r>
      <w:r>
        <w:noBreakHyphen/>
        <w:t>99 and is expected to fall to 4.0 per cent by 2001</w:t>
      </w:r>
      <w:r>
        <w:noBreakHyphen/>
        <w:t>02.</w:t>
      </w:r>
    </w:p>
    <w:p w:rsidR="00000000" w:rsidRDefault="001F233B">
      <w:r>
        <w:t>On an accrual basis, budget sector interest expense for 1997</w:t>
      </w:r>
      <w:r>
        <w:noBreakHyphen/>
        <w:t>98 is estimated to be $82</w:t>
      </w:r>
      <w:r>
        <w:t>1.3 million and is forecast to fall to $806.3 million for 1998</w:t>
      </w:r>
      <w:r>
        <w:noBreakHyphen/>
        <w:t>99. Interest expense as a percentage of total accrual revenue is estimated to fall from 4.4 per cent in 1997</w:t>
      </w:r>
      <w:r>
        <w:noBreakHyphen/>
        <w:t>98 to 4.3 per cent in 1998</w:t>
      </w:r>
      <w:r>
        <w:noBreakHyphen/>
        <w:t>99.</w:t>
      </w:r>
    </w:p>
    <w:p w:rsidR="00000000" w:rsidRDefault="001F233B">
      <w:pPr>
        <w:pStyle w:val="Tableheading"/>
        <w:rPr>
          <w:i/>
          <w:noProof/>
        </w:rPr>
      </w:pPr>
      <w:bookmarkStart w:id="140" w:name="_Toc417482516"/>
      <w:bookmarkStart w:id="141" w:name="_Toc417552764"/>
      <w:r>
        <w:t xml:space="preserve">Table 6.3: Budget Sector Interest Payments </w:t>
      </w:r>
      <w:r>
        <w:rPr>
          <w:b w:val="0"/>
          <w:i/>
          <w:sz w:val="16"/>
          <w:vertAlign w:val="superscript"/>
        </w:rPr>
        <w:t>(a)</w:t>
      </w:r>
      <w:bookmarkEnd w:id="140"/>
      <w:bookmarkEnd w:id="141"/>
    </w:p>
    <w:tbl>
      <w:tblPr>
        <w:tblW w:w="0" w:type="auto"/>
        <w:tblLayout w:type="fixed"/>
        <w:tblCellMar>
          <w:left w:w="30" w:type="dxa"/>
          <w:right w:w="30" w:type="dxa"/>
        </w:tblCellMar>
        <w:tblLook w:val="0000" w:firstRow="0" w:lastRow="0" w:firstColumn="0" w:lastColumn="0" w:noHBand="0" w:noVBand="0"/>
      </w:tblPr>
      <w:tblGrid>
        <w:gridCol w:w="2460"/>
        <w:gridCol w:w="1"/>
        <w:gridCol w:w="1"/>
        <w:gridCol w:w="1"/>
        <w:gridCol w:w="1"/>
        <w:gridCol w:w="1"/>
        <w:gridCol w:w="775"/>
        <w:gridCol w:w="780"/>
        <w:gridCol w:w="780"/>
        <w:gridCol w:w="780"/>
        <w:gridCol w:w="780"/>
        <w:gridCol w:w="781"/>
      </w:tblGrid>
      <w:tr w:rsidR="00000000">
        <w:tblPrEx>
          <w:tblCellMar>
            <w:top w:w="0" w:type="dxa"/>
            <w:bottom w:w="0" w:type="dxa"/>
          </w:tblCellMar>
        </w:tblPrEx>
        <w:trPr>
          <w:trHeight w:val="260"/>
        </w:trPr>
        <w:tc>
          <w:tcPr>
            <w:tcW w:w="2460" w:type="dxa"/>
          </w:tcPr>
          <w:p w:rsidR="00000000" w:rsidRDefault="001F233B">
            <w:pPr>
              <w:pStyle w:val="Tabletext"/>
            </w:pPr>
          </w:p>
        </w:tc>
        <w:tc>
          <w:tcPr>
            <w:tcW w:w="4681" w:type="dxa"/>
            <w:hMerge w:val="restart"/>
          </w:tcPr>
          <w:p w:rsidR="00000000" w:rsidRDefault="001F233B">
            <w:pPr>
              <w:pStyle w:val="Tabletext"/>
              <w:jc w:val="center"/>
              <w:rPr>
                <w:i/>
              </w:rPr>
            </w:pPr>
            <w:r>
              <w:rPr>
                <w:i/>
              </w:rPr>
              <w:t>Financial year ending 30 June</w:t>
            </w: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gridSpan w:val="6"/>
            <w:hMerge/>
          </w:tcPr>
          <w:p w:rsidR="00000000" w:rsidRDefault="001F233B">
            <w:pPr>
              <w:pStyle w:val="Tabletext"/>
              <w:jc w:val="right"/>
            </w:pPr>
          </w:p>
        </w:tc>
      </w:tr>
      <w:tr w:rsidR="00000000">
        <w:tblPrEx>
          <w:tblCellMar>
            <w:top w:w="0" w:type="dxa"/>
            <w:bottom w:w="0" w:type="dxa"/>
          </w:tblCellMar>
        </w:tblPrEx>
        <w:trPr>
          <w:trHeight w:val="260"/>
        </w:trPr>
        <w:tc>
          <w:tcPr>
            <w:tcW w:w="2460" w:type="dxa"/>
            <w:tcBorders>
              <w:top w:val="single" w:sz="6" w:space="0" w:color="auto"/>
            </w:tcBorders>
          </w:tcPr>
          <w:p w:rsidR="00000000" w:rsidRDefault="001F233B">
            <w:pPr>
              <w:pStyle w:val="Tabletext"/>
              <w:rPr>
                <w:i/>
              </w:rPr>
            </w:pPr>
          </w:p>
        </w:tc>
        <w:tc>
          <w:tcPr>
            <w:tcW w:w="780" w:type="dxa"/>
            <w:gridSpan w:val="6"/>
            <w:tcBorders>
              <w:top w:val="single" w:sz="6" w:space="0" w:color="auto"/>
            </w:tcBorders>
          </w:tcPr>
          <w:p w:rsidR="00000000" w:rsidRDefault="001F233B">
            <w:pPr>
              <w:pStyle w:val="Tabletext"/>
              <w:jc w:val="right"/>
              <w:rPr>
                <w:i/>
              </w:rPr>
            </w:pPr>
            <w:r>
              <w:rPr>
                <w:i/>
              </w:rPr>
              <w:t>1997</w:t>
            </w:r>
          </w:p>
        </w:tc>
        <w:tc>
          <w:tcPr>
            <w:tcW w:w="780" w:type="dxa"/>
            <w:tcBorders>
              <w:top w:val="single" w:sz="6" w:space="0" w:color="auto"/>
            </w:tcBorders>
          </w:tcPr>
          <w:p w:rsidR="00000000" w:rsidRDefault="001F233B">
            <w:pPr>
              <w:pStyle w:val="Tabletext"/>
              <w:jc w:val="right"/>
              <w:rPr>
                <w:i/>
              </w:rPr>
            </w:pPr>
            <w:r>
              <w:rPr>
                <w:i/>
              </w:rPr>
              <w:t>1998</w:t>
            </w:r>
          </w:p>
        </w:tc>
        <w:tc>
          <w:tcPr>
            <w:tcW w:w="780" w:type="dxa"/>
            <w:tcBorders>
              <w:top w:val="single" w:sz="6" w:space="0" w:color="auto"/>
            </w:tcBorders>
          </w:tcPr>
          <w:p w:rsidR="00000000" w:rsidRDefault="001F233B">
            <w:pPr>
              <w:pStyle w:val="Tabletext"/>
              <w:jc w:val="right"/>
              <w:rPr>
                <w:i/>
              </w:rPr>
            </w:pPr>
            <w:r>
              <w:rPr>
                <w:i/>
              </w:rPr>
              <w:t>1999</w:t>
            </w:r>
          </w:p>
        </w:tc>
        <w:tc>
          <w:tcPr>
            <w:tcW w:w="780" w:type="dxa"/>
            <w:tcBorders>
              <w:top w:val="single" w:sz="6" w:space="0" w:color="auto"/>
            </w:tcBorders>
          </w:tcPr>
          <w:p w:rsidR="00000000" w:rsidRDefault="001F233B">
            <w:pPr>
              <w:pStyle w:val="Tabletext"/>
              <w:jc w:val="right"/>
              <w:rPr>
                <w:i/>
              </w:rPr>
            </w:pPr>
            <w:r>
              <w:rPr>
                <w:i/>
              </w:rPr>
              <w:t>2000</w:t>
            </w:r>
          </w:p>
        </w:tc>
        <w:tc>
          <w:tcPr>
            <w:tcW w:w="780" w:type="dxa"/>
            <w:tcBorders>
              <w:top w:val="single" w:sz="6" w:space="0" w:color="auto"/>
            </w:tcBorders>
          </w:tcPr>
          <w:p w:rsidR="00000000" w:rsidRDefault="001F233B">
            <w:pPr>
              <w:pStyle w:val="Tabletext"/>
              <w:jc w:val="right"/>
              <w:rPr>
                <w:i/>
              </w:rPr>
            </w:pPr>
            <w:r>
              <w:rPr>
                <w:i/>
              </w:rPr>
              <w:t>2001</w:t>
            </w:r>
          </w:p>
        </w:tc>
        <w:tc>
          <w:tcPr>
            <w:tcW w:w="781" w:type="dxa"/>
            <w:tcBorders>
              <w:top w:val="single" w:sz="6" w:space="0" w:color="auto"/>
            </w:tcBorders>
          </w:tcPr>
          <w:p w:rsidR="00000000" w:rsidRDefault="001F233B">
            <w:pPr>
              <w:pStyle w:val="Tabletext"/>
              <w:jc w:val="right"/>
              <w:rPr>
                <w:i/>
              </w:rPr>
            </w:pPr>
            <w:r>
              <w:rPr>
                <w:i/>
              </w:rPr>
              <w:t>2002</w:t>
            </w:r>
          </w:p>
        </w:tc>
      </w:tr>
      <w:tr w:rsidR="00000000">
        <w:tblPrEx>
          <w:tblCellMar>
            <w:top w:w="0" w:type="dxa"/>
            <w:bottom w:w="0" w:type="dxa"/>
          </w:tblCellMar>
        </w:tblPrEx>
        <w:trPr>
          <w:trHeight w:val="260"/>
        </w:trPr>
        <w:tc>
          <w:tcPr>
            <w:tcW w:w="2460" w:type="dxa"/>
            <w:tcBorders>
              <w:bottom w:val="single" w:sz="6" w:space="0" w:color="auto"/>
            </w:tcBorders>
          </w:tcPr>
          <w:p w:rsidR="00000000" w:rsidRDefault="001F233B">
            <w:pPr>
              <w:pStyle w:val="Tabletext"/>
              <w:rPr>
                <w:i/>
              </w:rPr>
            </w:pPr>
          </w:p>
        </w:tc>
        <w:tc>
          <w:tcPr>
            <w:tcW w:w="780" w:type="dxa"/>
            <w:gridSpan w:val="6"/>
            <w:tcBorders>
              <w:bottom w:val="single" w:sz="6" w:space="0" w:color="auto"/>
            </w:tcBorders>
          </w:tcPr>
          <w:p w:rsidR="00000000" w:rsidRDefault="001F233B">
            <w:pPr>
              <w:pStyle w:val="Tabletext"/>
              <w:jc w:val="right"/>
              <w:rPr>
                <w:i/>
              </w:rPr>
            </w:pPr>
            <w:r>
              <w:rPr>
                <w:i/>
              </w:rPr>
              <w:t>Actual</w:t>
            </w:r>
          </w:p>
        </w:tc>
        <w:tc>
          <w:tcPr>
            <w:tcW w:w="780" w:type="dxa"/>
            <w:tcBorders>
              <w:bottom w:val="single" w:sz="6" w:space="0" w:color="auto"/>
            </w:tcBorders>
          </w:tcPr>
          <w:p w:rsidR="00000000" w:rsidRDefault="001F233B">
            <w:pPr>
              <w:pStyle w:val="Tabletext"/>
              <w:jc w:val="right"/>
              <w:rPr>
                <w:i/>
              </w:rPr>
            </w:pPr>
            <w:r>
              <w:rPr>
                <w:i/>
              </w:rPr>
              <w:t>Estimate</w:t>
            </w:r>
          </w:p>
        </w:tc>
        <w:tc>
          <w:tcPr>
            <w:tcW w:w="780" w:type="dxa"/>
            <w:tcBorders>
              <w:bottom w:val="single" w:sz="6" w:space="0" w:color="auto"/>
            </w:tcBorders>
          </w:tcPr>
          <w:p w:rsidR="00000000" w:rsidRDefault="001F233B">
            <w:pPr>
              <w:pStyle w:val="Tabletext"/>
              <w:jc w:val="right"/>
              <w:rPr>
                <w:i/>
              </w:rPr>
            </w:pPr>
            <w:r>
              <w:rPr>
                <w:i/>
              </w:rPr>
              <w:t>Estimate</w:t>
            </w:r>
          </w:p>
        </w:tc>
        <w:tc>
          <w:tcPr>
            <w:tcW w:w="780" w:type="dxa"/>
            <w:tcBorders>
              <w:bottom w:val="single" w:sz="6" w:space="0" w:color="auto"/>
            </w:tcBorders>
          </w:tcPr>
          <w:p w:rsidR="00000000" w:rsidRDefault="001F233B">
            <w:pPr>
              <w:pStyle w:val="Tabletext"/>
              <w:jc w:val="right"/>
              <w:rPr>
                <w:i/>
              </w:rPr>
            </w:pPr>
            <w:r>
              <w:rPr>
                <w:i/>
              </w:rPr>
              <w:t>Estimate</w:t>
            </w:r>
          </w:p>
        </w:tc>
        <w:tc>
          <w:tcPr>
            <w:tcW w:w="780" w:type="dxa"/>
            <w:tcBorders>
              <w:bottom w:val="single" w:sz="6" w:space="0" w:color="auto"/>
            </w:tcBorders>
          </w:tcPr>
          <w:p w:rsidR="00000000" w:rsidRDefault="001F233B">
            <w:pPr>
              <w:pStyle w:val="Tabletext"/>
              <w:jc w:val="right"/>
              <w:rPr>
                <w:i/>
              </w:rPr>
            </w:pPr>
            <w:r>
              <w:rPr>
                <w:i/>
              </w:rPr>
              <w:t>Estimate</w:t>
            </w:r>
          </w:p>
        </w:tc>
        <w:tc>
          <w:tcPr>
            <w:tcW w:w="781" w:type="dxa"/>
            <w:tcBorders>
              <w:bottom w:val="single" w:sz="6" w:space="0" w:color="auto"/>
            </w:tcBorders>
          </w:tcPr>
          <w:p w:rsidR="00000000" w:rsidRDefault="001F233B">
            <w:pPr>
              <w:pStyle w:val="Tabletext"/>
              <w:jc w:val="right"/>
              <w:rPr>
                <w:i/>
              </w:rPr>
            </w:pPr>
            <w:r>
              <w:rPr>
                <w:i/>
              </w:rPr>
              <w:t>Estimate</w:t>
            </w:r>
          </w:p>
        </w:tc>
      </w:tr>
      <w:tr w:rsidR="00000000">
        <w:tblPrEx>
          <w:tblCellMar>
            <w:top w:w="0" w:type="dxa"/>
            <w:bottom w:w="0" w:type="dxa"/>
          </w:tblCellMar>
        </w:tblPrEx>
        <w:trPr>
          <w:trHeight w:val="260"/>
        </w:trPr>
        <w:tc>
          <w:tcPr>
            <w:tcW w:w="2460" w:type="dxa"/>
          </w:tcPr>
          <w:p w:rsidR="00000000" w:rsidRDefault="001F233B">
            <w:pPr>
              <w:pStyle w:val="Tabletext"/>
            </w:pPr>
          </w:p>
        </w:tc>
        <w:tc>
          <w:tcPr>
            <w:tcW w:w="4681" w:type="dxa"/>
            <w:hMerge w:val="restart"/>
          </w:tcPr>
          <w:p w:rsidR="00000000" w:rsidRDefault="001F233B">
            <w:pPr>
              <w:pStyle w:val="Tabletext"/>
              <w:jc w:val="center"/>
              <w:rPr>
                <w:i/>
              </w:rPr>
            </w:pPr>
            <w:r>
              <w:rPr>
                <w:i/>
              </w:rPr>
              <w:t>$ million</w:t>
            </w: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gridSpan w:val="6"/>
            <w:hMerge/>
          </w:tcPr>
          <w:p w:rsidR="00000000" w:rsidRDefault="001F233B">
            <w:pPr>
              <w:pStyle w:val="Tabletext"/>
              <w:jc w:val="right"/>
            </w:pPr>
          </w:p>
        </w:tc>
      </w:tr>
      <w:tr w:rsidR="00000000">
        <w:tblPrEx>
          <w:tblCellMar>
            <w:top w:w="0" w:type="dxa"/>
            <w:bottom w:w="0" w:type="dxa"/>
          </w:tblCellMar>
        </w:tblPrEx>
        <w:trPr>
          <w:trHeight w:val="260"/>
        </w:trPr>
        <w:tc>
          <w:tcPr>
            <w:tcW w:w="2460" w:type="dxa"/>
          </w:tcPr>
          <w:p w:rsidR="00000000" w:rsidRDefault="001F233B">
            <w:pPr>
              <w:pStyle w:val="Tabletext"/>
              <w:rPr>
                <w:color w:val="000000"/>
              </w:rPr>
            </w:pPr>
            <w:r>
              <w:t>Interest Paid</w:t>
            </w:r>
            <w:r>
              <w:rPr>
                <w:color w:val="000000"/>
              </w:rPr>
              <w:t xml:space="preserve"> (cash)</w:t>
            </w:r>
          </w:p>
        </w:tc>
        <w:tc>
          <w:tcPr>
            <w:tcW w:w="780" w:type="dxa"/>
            <w:gridSpan w:val="6"/>
          </w:tcPr>
          <w:p w:rsidR="00000000" w:rsidRDefault="001F233B">
            <w:pPr>
              <w:pStyle w:val="Tabletext"/>
              <w:jc w:val="right"/>
            </w:pPr>
            <w:r>
              <w:t>1 400.5</w:t>
            </w:r>
          </w:p>
        </w:tc>
        <w:tc>
          <w:tcPr>
            <w:tcW w:w="780" w:type="dxa"/>
          </w:tcPr>
          <w:p w:rsidR="00000000" w:rsidRDefault="001F233B">
            <w:pPr>
              <w:pStyle w:val="Tabletext"/>
              <w:jc w:val="right"/>
              <w:rPr>
                <w:color w:val="000000"/>
              </w:rPr>
            </w:pPr>
            <w:r>
              <w:t xml:space="preserve"> </w:t>
            </w:r>
            <w:r>
              <w:rPr>
                <w:color w:val="000000"/>
              </w:rPr>
              <w:t>821.3</w:t>
            </w:r>
          </w:p>
        </w:tc>
        <w:tc>
          <w:tcPr>
            <w:tcW w:w="780" w:type="dxa"/>
          </w:tcPr>
          <w:p w:rsidR="00000000" w:rsidRDefault="001F233B">
            <w:pPr>
              <w:pStyle w:val="Tabletext"/>
              <w:jc w:val="right"/>
              <w:rPr>
                <w:color w:val="000000"/>
              </w:rPr>
            </w:pPr>
            <w:r>
              <w:t xml:space="preserve"> </w:t>
            </w:r>
            <w:r>
              <w:rPr>
                <w:color w:val="000000"/>
              </w:rPr>
              <w:t>806.3</w:t>
            </w:r>
          </w:p>
        </w:tc>
        <w:tc>
          <w:tcPr>
            <w:tcW w:w="780" w:type="dxa"/>
          </w:tcPr>
          <w:p w:rsidR="00000000" w:rsidRDefault="001F233B">
            <w:pPr>
              <w:pStyle w:val="Tabletext"/>
              <w:jc w:val="right"/>
              <w:rPr>
                <w:color w:val="000000"/>
              </w:rPr>
            </w:pPr>
            <w:r>
              <w:t xml:space="preserve"> </w:t>
            </w:r>
            <w:r>
              <w:rPr>
                <w:color w:val="000000"/>
              </w:rPr>
              <w:t>754.6</w:t>
            </w:r>
          </w:p>
        </w:tc>
        <w:tc>
          <w:tcPr>
            <w:tcW w:w="780" w:type="dxa"/>
          </w:tcPr>
          <w:p w:rsidR="00000000" w:rsidRDefault="001F233B">
            <w:pPr>
              <w:pStyle w:val="Tabletext"/>
              <w:jc w:val="right"/>
              <w:rPr>
                <w:color w:val="000000"/>
              </w:rPr>
            </w:pPr>
            <w:r>
              <w:t xml:space="preserve"> </w:t>
            </w:r>
            <w:r>
              <w:rPr>
                <w:color w:val="000000"/>
              </w:rPr>
              <w:t>706.4</w:t>
            </w:r>
          </w:p>
        </w:tc>
        <w:tc>
          <w:tcPr>
            <w:tcW w:w="781" w:type="dxa"/>
          </w:tcPr>
          <w:p w:rsidR="00000000" w:rsidRDefault="001F233B">
            <w:pPr>
              <w:pStyle w:val="Tabletext"/>
              <w:jc w:val="right"/>
              <w:rPr>
                <w:color w:val="000000"/>
              </w:rPr>
            </w:pPr>
            <w:r>
              <w:t xml:space="preserve"> </w:t>
            </w:r>
            <w:r>
              <w:rPr>
                <w:color w:val="000000"/>
              </w:rPr>
              <w:t>684.2</w:t>
            </w:r>
          </w:p>
        </w:tc>
      </w:tr>
      <w:tr w:rsidR="00000000">
        <w:tblPrEx>
          <w:tblCellMar>
            <w:top w:w="0" w:type="dxa"/>
            <w:bottom w:w="0" w:type="dxa"/>
          </w:tblCellMar>
        </w:tblPrEx>
        <w:trPr>
          <w:trHeight w:val="260"/>
        </w:trPr>
        <w:tc>
          <w:tcPr>
            <w:tcW w:w="2460" w:type="dxa"/>
          </w:tcPr>
          <w:p w:rsidR="00000000" w:rsidRDefault="001F233B">
            <w:pPr>
              <w:pStyle w:val="Tabletext"/>
            </w:pPr>
          </w:p>
        </w:tc>
        <w:tc>
          <w:tcPr>
            <w:tcW w:w="4681" w:type="dxa"/>
            <w:hMerge w:val="restart"/>
          </w:tcPr>
          <w:p w:rsidR="00000000" w:rsidRDefault="001F233B">
            <w:pPr>
              <w:pStyle w:val="Tabletext"/>
              <w:jc w:val="center"/>
              <w:rPr>
                <w:i/>
                <w:color w:val="000000"/>
              </w:rPr>
            </w:pPr>
            <w:r>
              <w:rPr>
                <w:i/>
                <w:color w:val="000000"/>
              </w:rPr>
              <w:t>per cent</w:t>
            </w: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gridSpan w:val="6"/>
            <w:hMerge/>
          </w:tcPr>
          <w:p w:rsidR="00000000" w:rsidRDefault="001F233B">
            <w:pPr>
              <w:pStyle w:val="Tabletext"/>
              <w:jc w:val="right"/>
            </w:pPr>
          </w:p>
        </w:tc>
      </w:tr>
      <w:tr w:rsidR="00000000">
        <w:tblPrEx>
          <w:tblCellMar>
            <w:top w:w="0" w:type="dxa"/>
            <w:bottom w:w="0" w:type="dxa"/>
          </w:tblCellMar>
        </w:tblPrEx>
        <w:trPr>
          <w:trHeight w:val="260"/>
        </w:trPr>
        <w:tc>
          <w:tcPr>
            <w:tcW w:w="2460" w:type="dxa"/>
          </w:tcPr>
          <w:p w:rsidR="00000000" w:rsidRDefault="001F233B">
            <w:pPr>
              <w:pStyle w:val="Tabletext"/>
            </w:pPr>
            <w:r>
              <w:t>Ratio of interest paid to cash</w:t>
            </w:r>
          </w:p>
        </w:tc>
        <w:tc>
          <w:tcPr>
            <w:tcW w:w="780" w:type="dxa"/>
            <w:gridSpan w:val="6"/>
          </w:tcPr>
          <w:p w:rsidR="00000000" w:rsidRDefault="001F233B">
            <w:pPr>
              <w:pStyle w:val="Tabletext"/>
              <w:jc w:val="right"/>
              <w:rPr>
                <w:i/>
              </w:rPr>
            </w:pPr>
          </w:p>
        </w:tc>
        <w:tc>
          <w:tcPr>
            <w:tcW w:w="780" w:type="dxa"/>
          </w:tcPr>
          <w:p w:rsidR="00000000" w:rsidRDefault="001F233B">
            <w:pPr>
              <w:pStyle w:val="Tabletext"/>
              <w:jc w:val="right"/>
            </w:pPr>
          </w:p>
        </w:tc>
        <w:tc>
          <w:tcPr>
            <w:tcW w:w="780" w:type="dxa"/>
          </w:tcPr>
          <w:p w:rsidR="00000000" w:rsidRDefault="001F233B">
            <w:pPr>
              <w:pStyle w:val="Tabletext"/>
              <w:jc w:val="right"/>
            </w:pPr>
          </w:p>
        </w:tc>
        <w:tc>
          <w:tcPr>
            <w:tcW w:w="780" w:type="dxa"/>
          </w:tcPr>
          <w:p w:rsidR="00000000" w:rsidRDefault="001F233B">
            <w:pPr>
              <w:pStyle w:val="Tabletext"/>
              <w:jc w:val="right"/>
            </w:pPr>
          </w:p>
        </w:tc>
        <w:tc>
          <w:tcPr>
            <w:tcW w:w="780" w:type="dxa"/>
          </w:tcPr>
          <w:p w:rsidR="00000000" w:rsidRDefault="001F233B">
            <w:pPr>
              <w:pStyle w:val="Tabletext"/>
              <w:jc w:val="right"/>
            </w:pPr>
          </w:p>
        </w:tc>
        <w:tc>
          <w:tcPr>
            <w:tcW w:w="781" w:type="dxa"/>
          </w:tcPr>
          <w:p w:rsidR="00000000" w:rsidRDefault="001F233B">
            <w:pPr>
              <w:pStyle w:val="Tabletext"/>
              <w:jc w:val="right"/>
            </w:pPr>
          </w:p>
        </w:tc>
      </w:tr>
      <w:tr w:rsidR="00000000">
        <w:tblPrEx>
          <w:tblCellMar>
            <w:top w:w="0" w:type="dxa"/>
            <w:bottom w:w="0" w:type="dxa"/>
          </w:tblCellMar>
        </w:tblPrEx>
        <w:trPr>
          <w:trHeight w:val="260"/>
        </w:trPr>
        <w:tc>
          <w:tcPr>
            <w:tcW w:w="2460" w:type="dxa"/>
            <w:tcBorders>
              <w:bottom w:val="single" w:sz="12" w:space="0" w:color="auto"/>
            </w:tcBorders>
          </w:tcPr>
          <w:p w:rsidR="00000000" w:rsidRDefault="001F233B">
            <w:pPr>
              <w:pStyle w:val="Tabletext"/>
            </w:pPr>
            <w:r>
              <w:t>rev</w:t>
            </w:r>
            <w:r>
              <w:t>enue and current grants</w:t>
            </w:r>
            <w:r>
              <w:rPr>
                <w:i/>
                <w:sz w:val="16"/>
                <w:vertAlign w:val="superscript"/>
              </w:rPr>
              <w:t>(b)</w:t>
            </w:r>
          </w:p>
        </w:tc>
        <w:tc>
          <w:tcPr>
            <w:tcW w:w="780" w:type="dxa"/>
            <w:gridSpan w:val="6"/>
            <w:tcBorders>
              <w:bottom w:val="single" w:sz="12" w:space="0" w:color="auto"/>
            </w:tcBorders>
          </w:tcPr>
          <w:p w:rsidR="00000000" w:rsidRDefault="001F233B">
            <w:pPr>
              <w:pStyle w:val="Tabletext"/>
              <w:jc w:val="right"/>
              <w:rPr>
                <w:color w:val="000000"/>
              </w:rPr>
            </w:pPr>
            <w:r>
              <w:t xml:space="preserve">     </w:t>
            </w:r>
            <w:r>
              <w:rPr>
                <w:color w:val="000000"/>
              </w:rPr>
              <w:t xml:space="preserve">8.3 </w:t>
            </w:r>
          </w:p>
        </w:tc>
        <w:tc>
          <w:tcPr>
            <w:tcW w:w="780" w:type="dxa"/>
            <w:tcBorders>
              <w:bottom w:val="single" w:sz="12" w:space="0" w:color="auto"/>
            </w:tcBorders>
          </w:tcPr>
          <w:p w:rsidR="00000000" w:rsidRDefault="001F233B">
            <w:pPr>
              <w:pStyle w:val="Tabletext"/>
              <w:jc w:val="right"/>
              <w:rPr>
                <w:color w:val="000000"/>
              </w:rPr>
            </w:pPr>
            <w:r>
              <w:t xml:space="preserve">         </w:t>
            </w:r>
            <w:r>
              <w:rPr>
                <w:color w:val="000000"/>
              </w:rPr>
              <w:t xml:space="preserve">5.1 </w:t>
            </w:r>
          </w:p>
        </w:tc>
        <w:tc>
          <w:tcPr>
            <w:tcW w:w="780" w:type="dxa"/>
            <w:tcBorders>
              <w:bottom w:val="single" w:sz="12" w:space="0" w:color="auto"/>
            </w:tcBorders>
          </w:tcPr>
          <w:p w:rsidR="00000000" w:rsidRDefault="001F233B">
            <w:pPr>
              <w:pStyle w:val="Tabletext"/>
              <w:jc w:val="right"/>
              <w:rPr>
                <w:color w:val="000000"/>
              </w:rPr>
            </w:pPr>
            <w:r>
              <w:t xml:space="preserve">         </w:t>
            </w:r>
            <w:r>
              <w:rPr>
                <w:color w:val="000000"/>
              </w:rPr>
              <w:t xml:space="preserve">5.1 </w:t>
            </w:r>
          </w:p>
        </w:tc>
        <w:tc>
          <w:tcPr>
            <w:tcW w:w="780" w:type="dxa"/>
            <w:tcBorders>
              <w:bottom w:val="single" w:sz="12" w:space="0" w:color="auto"/>
            </w:tcBorders>
          </w:tcPr>
          <w:p w:rsidR="00000000" w:rsidRDefault="001F233B">
            <w:pPr>
              <w:pStyle w:val="Tabletext"/>
              <w:jc w:val="right"/>
              <w:rPr>
                <w:color w:val="000000"/>
              </w:rPr>
            </w:pPr>
            <w:r>
              <w:t xml:space="preserve">         </w:t>
            </w:r>
            <w:r>
              <w:rPr>
                <w:color w:val="000000"/>
              </w:rPr>
              <w:t xml:space="preserve">4.6 </w:t>
            </w:r>
          </w:p>
        </w:tc>
        <w:tc>
          <w:tcPr>
            <w:tcW w:w="780" w:type="dxa"/>
            <w:tcBorders>
              <w:bottom w:val="single" w:sz="12" w:space="0" w:color="auto"/>
            </w:tcBorders>
          </w:tcPr>
          <w:p w:rsidR="00000000" w:rsidRDefault="001F233B">
            <w:pPr>
              <w:pStyle w:val="Tabletext"/>
              <w:jc w:val="right"/>
              <w:rPr>
                <w:color w:val="000000"/>
              </w:rPr>
            </w:pPr>
            <w:r>
              <w:t xml:space="preserve">         </w:t>
            </w:r>
            <w:r>
              <w:rPr>
                <w:color w:val="000000"/>
              </w:rPr>
              <w:t xml:space="preserve">4.2 </w:t>
            </w:r>
          </w:p>
        </w:tc>
        <w:tc>
          <w:tcPr>
            <w:tcW w:w="781" w:type="dxa"/>
            <w:tcBorders>
              <w:bottom w:val="single" w:sz="12" w:space="0" w:color="auto"/>
            </w:tcBorders>
          </w:tcPr>
          <w:p w:rsidR="00000000" w:rsidRDefault="001F233B">
            <w:pPr>
              <w:pStyle w:val="Tabletext"/>
              <w:jc w:val="right"/>
              <w:rPr>
                <w:color w:val="000000"/>
              </w:rPr>
            </w:pPr>
            <w:r>
              <w:t xml:space="preserve">         </w:t>
            </w:r>
            <w:r>
              <w:rPr>
                <w:color w:val="000000"/>
              </w:rPr>
              <w:t xml:space="preserve">4.0 </w:t>
            </w:r>
          </w:p>
        </w:tc>
      </w:tr>
    </w:tbl>
    <w:p w:rsidR="00000000" w:rsidRDefault="001F233B">
      <w:pPr>
        <w:pStyle w:val="Notes"/>
      </w:pPr>
      <w:r>
        <w:t>Source: Department of Treasury and Finance.</w:t>
      </w:r>
    </w:p>
    <w:p w:rsidR="00000000" w:rsidRDefault="001F233B">
      <w:pPr>
        <w:pStyle w:val="Notes"/>
      </w:pPr>
      <w:r>
        <w:t>Note:</w:t>
      </w:r>
    </w:p>
    <w:p w:rsidR="00000000" w:rsidRDefault="001F233B" w:rsidP="001F233B">
      <w:pPr>
        <w:pStyle w:val="Notes"/>
        <w:numPr>
          <w:ilvl w:val="0"/>
          <w:numId w:val="11"/>
        </w:numPr>
        <w:tabs>
          <w:tab w:val="left" w:pos="360"/>
        </w:tabs>
      </w:pPr>
      <w:r>
        <w:t>In future years, the ratios will be calculated on an accrual basis.</w:t>
      </w:r>
    </w:p>
    <w:p w:rsidR="00000000" w:rsidRDefault="001F233B" w:rsidP="001F233B">
      <w:pPr>
        <w:pStyle w:val="Notes"/>
        <w:numPr>
          <w:ilvl w:val="0"/>
          <w:numId w:val="11"/>
        </w:numPr>
        <w:tabs>
          <w:tab w:val="left" w:pos="360"/>
        </w:tabs>
      </w:pPr>
      <w:r>
        <w:t>Revenue and current grants exclude grants for on</w:t>
      </w:r>
      <w:r>
        <w:noBreakHyphen/>
        <w:t>passing.</w:t>
      </w:r>
    </w:p>
    <w:p w:rsidR="00000000" w:rsidRDefault="001F233B">
      <w:pPr>
        <w:pStyle w:val="Chartheading"/>
        <w:keepNext/>
        <w:keepLines/>
      </w:pPr>
      <w:r>
        <w:t>Chart 6.8: Budget Sector Interest Payments</w:t>
      </w:r>
    </w:p>
    <w:p w:rsidR="00000000" w:rsidRDefault="001F233B">
      <w:pPr>
        <w:pStyle w:val="Source"/>
      </w:pPr>
      <w:r>
        <w:rPr>
          <w:noProof/>
          <w:sz w:val="20"/>
        </w:rPr>
        <w:drawing>
          <wp:inline distT="0" distB="0" distL="0" distR="0">
            <wp:extent cx="4486275" cy="2085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486275" cy="2085975"/>
                    </a:xfrm>
                    <a:prstGeom prst="rect">
                      <a:avLst/>
                    </a:prstGeom>
                    <a:noFill/>
                    <a:ln>
                      <a:noFill/>
                    </a:ln>
                  </pic:spPr>
                </pic:pic>
              </a:graphicData>
            </a:graphic>
          </wp:inline>
        </w:drawing>
      </w:r>
      <w:r>
        <w:t>Source: Department of Treasury and Finance.</w:t>
      </w:r>
    </w:p>
    <w:p w:rsidR="00000000" w:rsidRDefault="001F233B">
      <w:pPr>
        <w:pStyle w:val="Chartheading"/>
        <w:keepNext/>
      </w:pPr>
      <w:r>
        <w:t>Chart 6.9: Victorian Borrowing Margins</w:t>
      </w:r>
      <w:r>
        <w:fldChar w:fldCharType="begin"/>
      </w:r>
      <w:r>
        <w:instrText>xe "Victorian borrowing margins"</w:instrText>
      </w:r>
      <w:r>
        <w:fldChar w:fldCharType="end"/>
      </w:r>
      <w:r>
        <w:fldChar w:fldCharType="begin"/>
      </w:r>
      <w:r>
        <w:instrText>xe "Treasury Corporation of Victoria:Victorian borrowing margins"</w:instrText>
      </w:r>
      <w:r>
        <w:fldChar w:fldCharType="end"/>
      </w:r>
      <w:r>
        <w:t xml:space="preserve"> </w:t>
      </w:r>
      <w:r>
        <w:t>Over Commonwealth and New South Wales Ten</w:t>
      </w:r>
      <w:r>
        <w:noBreakHyphen/>
        <w:t>Year Bonds</w:t>
      </w:r>
    </w:p>
    <w:p w:rsidR="00000000" w:rsidRDefault="001F233B">
      <w:pPr>
        <w:pStyle w:val="Source"/>
      </w:pPr>
      <w:r>
        <w:rPr>
          <w:noProof/>
          <w:sz w:val="20"/>
        </w:rPr>
        <w:drawing>
          <wp:inline distT="0" distB="0" distL="0" distR="0">
            <wp:extent cx="4486275" cy="2085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86275" cy="2085975"/>
                    </a:xfrm>
                    <a:prstGeom prst="rect">
                      <a:avLst/>
                    </a:prstGeom>
                    <a:noFill/>
                    <a:ln>
                      <a:noFill/>
                    </a:ln>
                  </pic:spPr>
                </pic:pic>
              </a:graphicData>
            </a:graphic>
          </wp:inline>
        </w:drawing>
      </w:r>
      <w:r>
        <w:t>Source: Bloomberg.</w:t>
      </w:r>
    </w:p>
    <w:p w:rsidR="00000000" w:rsidRDefault="001F233B">
      <w:r>
        <w:t>A significant benefit of the reduction in Victoria’s debt has been the lower borrowing margins achieved by TCV</w:t>
      </w:r>
      <w:r>
        <w:fldChar w:fldCharType="begin"/>
      </w:r>
      <w:r>
        <w:instrText>xe "Treasury Corporation of Victoria"</w:instrText>
      </w:r>
      <w:r>
        <w:fldChar w:fldCharType="end"/>
      </w:r>
      <w:r>
        <w:t xml:space="preserve"> over the past two years. This reduction is best demonstrated by comparing the margin between the yields of Victorian ten</w:t>
      </w:r>
      <w:r>
        <w:noBreakHyphen/>
        <w:t>year bonds and those of Commonwealth and New South Wales ten-year bonds (see Chart 6.9). Since August 1996, Victoria’s borrowing margins have been maintained in a stabl</w:t>
      </w:r>
      <w:r>
        <w:t>e range of 15 to 30 basis points over Commonwealth ten</w:t>
      </w:r>
      <w:r>
        <w:noBreakHyphen/>
        <w:t>year bonds, and zero to five basis points under New South Wales ten</w:t>
      </w:r>
      <w:r>
        <w:noBreakHyphen/>
        <w:t>year bonds. This represents strong evidence of the financial market’s support for the State’s program to improve its financial management.</w:t>
      </w:r>
    </w:p>
    <w:p w:rsidR="00000000" w:rsidRDefault="001F233B">
      <w:pPr>
        <w:pStyle w:val="Heading2"/>
      </w:pPr>
      <w:bookmarkStart w:id="142" w:name="_Toc417482330"/>
      <w:bookmarkStart w:id="143" w:name="_Toc417552102"/>
      <w:r>
        <w:t>Liability management</w:t>
      </w:r>
      <w:bookmarkEnd w:id="142"/>
      <w:bookmarkEnd w:id="143"/>
    </w:p>
    <w:p w:rsidR="00000000" w:rsidRDefault="001F233B">
      <w:pPr>
        <w:pStyle w:val="Heading3"/>
      </w:pPr>
      <w:r>
        <w:t>Budget Sector Debt Portfolio</w:t>
      </w:r>
      <w:r>
        <w:fldChar w:fldCharType="begin"/>
      </w:r>
      <w:r>
        <w:instrText>xe "Budget sector debt portfolio"</w:instrText>
      </w:r>
      <w:r>
        <w:fldChar w:fldCharType="end"/>
      </w:r>
    </w:p>
    <w:p w:rsidR="00000000" w:rsidRDefault="001F233B">
      <w:r>
        <w:t>Management of the Budget Sector Debt Portfolio</w:t>
      </w:r>
      <w:r>
        <w:fldChar w:fldCharType="begin"/>
      </w:r>
      <w:r>
        <w:instrText>xe "Budget sector debt portfolio"</w:instrText>
      </w:r>
      <w:r>
        <w:fldChar w:fldCharType="end"/>
      </w:r>
      <w:r>
        <w:t xml:space="preserve"> continues to be based on the key objectives of:</w:t>
      </w:r>
    </w:p>
    <w:p w:rsidR="00000000" w:rsidRDefault="001F233B" w:rsidP="001F233B">
      <w:pPr>
        <w:pStyle w:val="BulletText"/>
        <w:numPr>
          <w:ilvl w:val="0"/>
          <w:numId w:val="1"/>
        </w:numPr>
      </w:pPr>
      <w:r>
        <w:t>achieving relative certainty of int</w:t>
      </w:r>
      <w:r>
        <w:t>erest costs while minimising net borrowing costs;</w:t>
      </w:r>
    </w:p>
    <w:p w:rsidR="00000000" w:rsidRDefault="001F233B" w:rsidP="001F233B">
      <w:pPr>
        <w:pStyle w:val="BulletText"/>
        <w:numPr>
          <w:ilvl w:val="0"/>
          <w:numId w:val="1"/>
        </w:numPr>
      </w:pPr>
      <w:r>
        <w:t>minimising refinancing risk; and</w:t>
      </w:r>
    </w:p>
    <w:p w:rsidR="00000000" w:rsidRDefault="001F233B" w:rsidP="001F233B">
      <w:pPr>
        <w:pStyle w:val="BulletText"/>
        <w:numPr>
          <w:ilvl w:val="0"/>
          <w:numId w:val="1"/>
        </w:numPr>
      </w:pPr>
      <w:r>
        <w:t>managing, in a conservative manner, the financial and operational risks of the budget sector treasury operations.</w:t>
      </w:r>
    </w:p>
    <w:p w:rsidR="00000000" w:rsidRDefault="001F233B">
      <w:r>
        <w:t>Future budget sector debt management activities will continue to focus on increasing the flexibility and lengthening the maturity of the funding facilities provided by TCV.</w:t>
      </w:r>
    </w:p>
    <w:p w:rsidR="00000000" w:rsidRDefault="001F233B">
      <w:pPr>
        <w:pStyle w:val="Heading2"/>
      </w:pPr>
      <w:bookmarkStart w:id="144" w:name="_Toc417482331"/>
      <w:bookmarkStart w:id="145" w:name="_Toc417552103"/>
      <w:r>
        <w:t>Risk reduction through management of structured financing</w:t>
      </w:r>
      <w:r>
        <w:fldChar w:fldCharType="begin"/>
      </w:r>
      <w:r>
        <w:instrText>xe "Structured financing"</w:instrText>
      </w:r>
      <w:r>
        <w:fldChar w:fldCharType="end"/>
      </w:r>
      <w:r>
        <w:t xml:space="preserve"> facilities</w:t>
      </w:r>
      <w:bookmarkEnd w:id="144"/>
      <w:bookmarkEnd w:id="145"/>
    </w:p>
    <w:p w:rsidR="00000000" w:rsidRDefault="001F233B">
      <w:r>
        <w:t xml:space="preserve">An important element of the State’s liability </w:t>
      </w:r>
      <w:r>
        <w:t>management</w:t>
      </w:r>
      <w:r>
        <w:fldChar w:fldCharType="begin"/>
      </w:r>
      <w:r>
        <w:instrText>xe "Liability Management"</w:instrText>
      </w:r>
      <w:r>
        <w:fldChar w:fldCharType="end"/>
      </w:r>
      <w:r>
        <w:t xml:space="preserve"> policy continues to be the reduction of significant contingent liabilities associated with indemnities and other support mechanisms provided by government in various structured financing</w:t>
      </w:r>
      <w:r>
        <w:fldChar w:fldCharType="begin"/>
      </w:r>
      <w:r>
        <w:instrText>xe "Structured financing"</w:instrText>
      </w:r>
      <w:r>
        <w:fldChar w:fldCharType="end"/>
      </w:r>
      <w:r>
        <w:t xml:space="preserve"> transactions.</w:t>
      </w:r>
    </w:p>
    <w:p w:rsidR="00000000" w:rsidRDefault="001F233B">
      <w:r>
        <w:t>During 1997</w:t>
      </w:r>
      <w:r>
        <w:noBreakHyphen/>
        <w:t>98 an important focus of this activity was the assessment of indemnity claims and associated issues arising from the termination of the World Congress Centre</w:t>
      </w:r>
      <w:r>
        <w:fldChar w:fldCharType="begin"/>
      </w:r>
      <w:r>
        <w:instrText>xe "Structured financing:World Congress Centre"</w:instrText>
      </w:r>
      <w:r>
        <w:fldChar w:fldCharType="end"/>
      </w:r>
      <w:r>
        <w:t xml:space="preserve"> financial arrangements. In </w:t>
      </w:r>
      <w:r>
        <w:t>addition, the termination by TCV</w:t>
      </w:r>
      <w:r>
        <w:fldChar w:fldCharType="begin"/>
      </w:r>
      <w:r>
        <w:instrText>xe "Treasury Corporation of Victoria"</w:instrText>
      </w:r>
      <w:r>
        <w:fldChar w:fldCharType="end"/>
      </w:r>
      <w:r>
        <w:t xml:space="preserve"> in 1996 of a Gold Loan borrowing transaction provided by the FAI Group</w:t>
      </w:r>
      <w:r>
        <w:fldChar w:fldCharType="begin"/>
      </w:r>
      <w:r>
        <w:instrText>xe "Structured financing:FAI Group"</w:instrText>
      </w:r>
      <w:r>
        <w:fldChar w:fldCharType="end"/>
      </w:r>
      <w:r>
        <w:t xml:space="preserve"> of companies in 1987, has been the subject of litigation. The case, </w:t>
      </w:r>
      <w:r>
        <w:rPr>
          <w:i/>
        </w:rPr>
        <w:t>TCV</w:t>
      </w:r>
      <w:r>
        <w:rPr>
          <w:i/>
        </w:rPr>
        <w:fldChar w:fldCharType="begin"/>
      </w:r>
      <w:r>
        <w:instrText>xe "</w:instrText>
      </w:r>
      <w:r>
        <w:rPr>
          <w:i/>
        </w:rPr>
        <w:instrText>Treasury Corporation of Victoria</w:instrText>
      </w:r>
      <w:r>
        <w:instrText>"</w:instrText>
      </w:r>
      <w:r>
        <w:rPr>
          <w:i/>
        </w:rPr>
        <w:fldChar w:fldCharType="end"/>
      </w:r>
      <w:r>
        <w:rPr>
          <w:i/>
        </w:rPr>
        <w:t xml:space="preserve"> vs Victorian Bullion Securities and others </w:t>
      </w:r>
      <w:r>
        <w:t xml:space="preserve">was heard in the Supreme Court of Victoria before Mr Justice Mandie from 9 February to 2 March 1998. The case was adjourned, </w:t>
      </w:r>
      <w:r>
        <w:rPr>
          <w:i/>
        </w:rPr>
        <w:t xml:space="preserve">sine die, </w:t>
      </w:r>
      <w:r>
        <w:t>while the Judge is preparing his judgement,</w:t>
      </w:r>
      <w:r>
        <w:t xml:space="preserve"> which could be completed by early May 1998.</w:t>
      </w:r>
    </w:p>
    <w:p w:rsidR="00000000" w:rsidRDefault="001F233B">
      <w:r>
        <w:t>Currently under review is the annuity loan transaction entered into between TCV and the FAI group in 1986 which is subject to State indemnities and has received an adverse Part IVA taxation assessment.</w:t>
      </w:r>
    </w:p>
    <w:p w:rsidR="00000000" w:rsidRDefault="001F233B">
      <w:r>
        <w:t>The financing and leasing arrangements for the Monash Medical Centre</w:t>
      </w:r>
      <w:r>
        <w:fldChar w:fldCharType="begin"/>
      </w:r>
      <w:r>
        <w:instrText>xe "Structured financing:Monash Medical Centre"</w:instrText>
      </w:r>
      <w:r>
        <w:fldChar w:fldCharType="end"/>
      </w:r>
      <w:r>
        <w:t>, entered into between 1983 and 1987, are also being reviewed and legal advice is being sought. A decision on the future management of this transact</w:t>
      </w:r>
      <w:r>
        <w:t>ion will be made when the review is completed.</w:t>
      </w:r>
    </w:p>
    <w:p w:rsidR="00000000" w:rsidRDefault="001F233B">
      <w:pPr>
        <w:pStyle w:val="Heading2"/>
      </w:pPr>
      <w:bookmarkStart w:id="146" w:name="_Toc417482332"/>
      <w:bookmarkStart w:id="147" w:name="_Toc417552104"/>
      <w:r>
        <w:t>Superannuation status and outlook</w:t>
      </w:r>
      <w:bookmarkEnd w:id="146"/>
      <w:bookmarkEnd w:id="147"/>
    </w:p>
    <w:p w:rsidR="00000000" w:rsidRDefault="001F233B">
      <w:r>
        <w:t xml:space="preserve">The ‘unfunded liability’ of a superannuation scheme represents the </w:t>
      </w:r>
      <w:r>
        <w:rPr>
          <w:i/>
        </w:rPr>
        <w:t>present</w:t>
      </w:r>
      <w:r>
        <w:t xml:space="preserve"> value of future benefits that its members have accrued during </w:t>
      </w:r>
      <w:r>
        <w:rPr>
          <w:i/>
        </w:rPr>
        <w:t>past</w:t>
      </w:r>
      <w:r>
        <w:t xml:space="preserve"> service. Unfunded liabilities have arisen in public sector superannuation schemes because the State’s share of superannuation costs have not been contributed as benefits accrue, but only when a benefit is actually paid. This is known as the ‘emerging cost’ payment basis.</w:t>
      </w:r>
    </w:p>
    <w:p w:rsidR="00000000" w:rsidRDefault="001F233B">
      <w:r>
        <w:t>From November 199</w:t>
      </w:r>
      <w:r>
        <w:t>5, budget sector departments and agencies assumed responsibility for meeting the accruing superannuation cost through payments from their annual budget. The costs of prior service, however, remain the responsibility of the State. The prior service costs are currently funded via an annual ‘top</w:t>
      </w:r>
      <w:r>
        <w:noBreakHyphen/>
        <w:t>up’ payment that is based on the level of benefit payments which are expected to be made each year.</w:t>
      </w:r>
    </w:p>
    <w:p w:rsidR="00000000" w:rsidRDefault="001F233B">
      <w:pPr>
        <w:pStyle w:val="Heading3"/>
      </w:pPr>
      <w:r>
        <w:t>Unfunded superannuation liabilities</w:t>
      </w:r>
      <w:r>
        <w:fldChar w:fldCharType="begin"/>
      </w:r>
      <w:r>
        <w:instrText>xe "Superannuation:Unfunded superannuation liabilities"</w:instrText>
      </w:r>
      <w:r>
        <w:fldChar w:fldCharType="end"/>
      </w:r>
    </w:p>
    <w:p w:rsidR="00000000" w:rsidRDefault="001F233B">
      <w:r>
        <w:t xml:space="preserve">The unfunded liabilities </w:t>
      </w:r>
      <w:r>
        <w:t>shown in the following charts represent the total unfunded liabilities of Victoria’s public sector superannuation schemes. This liability is expected to increase marginally from $15.6 billion as at 30 June 1997 to $15.9 billion by 30 June 1998 (see Chart 6.10).</w:t>
      </w:r>
    </w:p>
    <w:p w:rsidR="00000000" w:rsidRDefault="001F233B">
      <w:r>
        <w:t>As at 30 June 1998, the State’s share of the total unfunded superannuation liabilities</w:t>
      </w:r>
      <w:r>
        <w:fldChar w:fldCharType="begin"/>
      </w:r>
      <w:r>
        <w:instrText>xe "Superannuation:Unfunded superannuation liabilities"</w:instrText>
      </w:r>
      <w:r>
        <w:fldChar w:fldCharType="end"/>
      </w:r>
      <w:r>
        <w:t xml:space="preserve"> is expected to be $15.3 billion compared with $15.2 billion as at 30 June 1997. This is because some of th</w:t>
      </w:r>
      <w:r>
        <w:t>ese liabilities are expected to be funded from sources external to the State public sector (e.g. by universities).</w:t>
      </w:r>
    </w:p>
    <w:p w:rsidR="00000000" w:rsidRDefault="001F233B">
      <w:r>
        <w:t>Following a recent review of cost</w:t>
      </w:r>
      <w:r>
        <w:noBreakHyphen/>
        <w:t>sharing arrangements between the Commonwealth and the State on superannuation funding of universities, unfunded liabilities totalling approximately $200 million have been passed from the State to the Commonwealth during 1997</w:t>
      </w:r>
      <w:r>
        <w:noBreakHyphen/>
        <w:t>98.</w:t>
      </w:r>
    </w:p>
    <w:p w:rsidR="00000000" w:rsidRDefault="001F233B">
      <w:pPr>
        <w:pStyle w:val="Chartheading"/>
        <w:keepNext/>
      </w:pPr>
      <w:r>
        <w:t>Chart 6.10: Unfunded Superannuation Liabilities</w:t>
      </w:r>
      <w:r>
        <w:fldChar w:fldCharType="begin"/>
      </w:r>
      <w:r>
        <w:instrText>xe "Superannuation:Unfunded superannuation liabilities"</w:instrText>
      </w:r>
      <w:r>
        <w:fldChar w:fldCharType="end"/>
      </w:r>
    </w:p>
    <w:p w:rsidR="00000000" w:rsidRDefault="001F233B">
      <w:pPr>
        <w:pStyle w:val="Source"/>
      </w:pPr>
      <w:r>
        <w:rPr>
          <w:noProof/>
          <w:sz w:val="20"/>
        </w:rPr>
        <w:drawing>
          <wp:inline distT="0" distB="0" distL="0" distR="0">
            <wp:extent cx="4486275" cy="2085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486275" cy="2085975"/>
                    </a:xfrm>
                    <a:prstGeom prst="rect">
                      <a:avLst/>
                    </a:prstGeom>
                    <a:noFill/>
                    <a:ln>
                      <a:noFill/>
                    </a:ln>
                  </pic:spPr>
                </pic:pic>
              </a:graphicData>
            </a:graphic>
          </wp:inline>
        </w:drawing>
      </w:r>
      <w:r>
        <w:t>Source: Department of Treasu</w:t>
      </w:r>
      <w:r>
        <w:t>ry and Finance.</w:t>
      </w:r>
    </w:p>
    <w:p w:rsidR="00000000" w:rsidRDefault="001F233B">
      <w:r>
        <w:t>On the assumption that emerging costs will continue to be funded, the unfunded liability associated with State defined benefit schemes is expected to grow on a nominal basis over the forward estimates period to around $16.7 billion by 30 June 2002 (see Table 6.1).</w:t>
      </w:r>
    </w:p>
    <w:p w:rsidR="00000000" w:rsidRDefault="001F233B">
      <w:r>
        <w:br w:type="page"/>
        <w:t>However, the expected fall in t</w:t>
      </w:r>
      <w:r>
        <w:fldChar w:fldCharType="begin"/>
      </w:r>
      <w:r>
        <w:instrText>xe "Superannuation:Unfunded superannuation liabilities to GSP"</w:instrText>
      </w:r>
      <w:r>
        <w:fldChar w:fldCharType="end"/>
      </w:r>
      <w:r>
        <w:t>he ratio of unfunded superannuation liabilities to GSP</w:t>
      </w:r>
      <w:r>
        <w:fldChar w:fldCharType="begin"/>
      </w:r>
      <w:r>
        <w:instrText>xe "Economy:Gross State Products (GSP)"</w:instrText>
      </w:r>
      <w:r>
        <w:fldChar w:fldCharType="end"/>
      </w:r>
      <w:r>
        <w:t xml:space="preserve"> from 11.3 per cent as at 30 June 1998 t</w:t>
      </w:r>
      <w:r>
        <w:t>o 9.6 per cent as at 30 June 2002, shows that the growth in nominal unfunded superannuation liabilities</w:t>
      </w:r>
      <w:r>
        <w:fldChar w:fldCharType="begin"/>
      </w:r>
      <w:r>
        <w:instrText>xe "Superannuation:Unfunded superannuation liabilities"</w:instrText>
      </w:r>
      <w:r>
        <w:fldChar w:fldCharType="end"/>
      </w:r>
      <w:r>
        <w:t xml:space="preserve"> will be less rapid than the growth in nominal GSP.</w:t>
      </w:r>
    </w:p>
    <w:p w:rsidR="00000000" w:rsidRDefault="001F233B">
      <w:r>
        <w:t>Chart 6.11 shows that, on an unchanged policy basis, the level of unfunded superannuation liabilities</w:t>
      </w:r>
      <w:r>
        <w:fldChar w:fldCharType="begin"/>
      </w:r>
      <w:r>
        <w:instrText>xe "Superannuation:Unfunded superannuation liabilities"</w:instrText>
      </w:r>
      <w:r>
        <w:fldChar w:fldCharType="end"/>
      </w:r>
      <w:r>
        <w:t>, measured in real terms (1997 dollars), is expected to fall from 1999</w:t>
      </w:r>
      <w:r>
        <w:noBreakHyphen/>
        <w:t>00 as the impact of previous reforms take effect.</w:t>
      </w:r>
    </w:p>
    <w:p w:rsidR="00000000" w:rsidRDefault="001F233B">
      <w:pPr>
        <w:pStyle w:val="Chartheading"/>
        <w:keepNext/>
        <w:keepLines/>
      </w:pPr>
      <w:r>
        <w:t xml:space="preserve">Chart 6.11: Unfunded </w:t>
      </w:r>
      <w:r>
        <w:t>Superannuation Liabilities</w:t>
      </w:r>
      <w:r>
        <w:fldChar w:fldCharType="begin"/>
      </w:r>
      <w:r>
        <w:instrText>xe "Superannuation:Unfunded superannuation liabilities"</w:instrText>
      </w:r>
      <w:r>
        <w:fldChar w:fldCharType="end"/>
      </w:r>
      <w:r>
        <w:t xml:space="preserve"> </w:t>
      </w:r>
      <w:r>
        <w:noBreakHyphen/>
        <w:t xml:space="preserve"> Long</w:t>
      </w:r>
      <w:r>
        <w:noBreakHyphen/>
        <w:t>Term Projection (1997 Dollars)</w:t>
      </w:r>
    </w:p>
    <w:p w:rsidR="00000000" w:rsidRDefault="001F233B">
      <w:pPr>
        <w:pStyle w:val="Source"/>
      </w:pPr>
      <w:r>
        <w:rPr>
          <w:noProof/>
          <w:sz w:val="20"/>
        </w:rPr>
        <w:drawing>
          <wp:inline distT="0" distB="0" distL="0" distR="0">
            <wp:extent cx="4486275" cy="21145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486275" cy="2114550"/>
                    </a:xfrm>
                    <a:prstGeom prst="rect">
                      <a:avLst/>
                    </a:prstGeom>
                    <a:noFill/>
                    <a:ln>
                      <a:noFill/>
                    </a:ln>
                  </pic:spPr>
                </pic:pic>
              </a:graphicData>
            </a:graphic>
          </wp:inline>
        </w:drawing>
      </w:r>
      <w:r>
        <w:t>Source: Department of Treasury and Finance.</w:t>
      </w:r>
    </w:p>
    <w:p w:rsidR="00000000" w:rsidRDefault="001F233B">
      <w:pPr>
        <w:pStyle w:val="Heading3"/>
      </w:pPr>
      <w:r>
        <w:t>Budget superannuation cash outlays</w:t>
      </w:r>
    </w:p>
    <w:p w:rsidR="00000000" w:rsidRDefault="001F233B">
      <w:r>
        <w:t>Projected budget superannuation cash outlays are based on the actual liabilities expected to be paid out each year. The actual cash payments, are determined by the number of public sector employees who have left budget sector departments and agencies, their age, years of superannuation membership and salary l</w:t>
      </w:r>
      <w:r>
        <w:t>evels at the time of exit. Total budget superannuation cash outlays are expected to increase from $1 250.2 million in 1997–98 to $1 686.4 million</w:t>
      </w:r>
      <w:r>
        <w:rPr>
          <w:b/>
        </w:rPr>
        <w:t xml:space="preserve"> </w:t>
      </w:r>
      <w:r>
        <w:t>in 1998</w:t>
      </w:r>
      <w:r>
        <w:noBreakHyphen/>
        <w:t>99 as a result of superannuation payments associated with the privatisation</w:t>
      </w:r>
      <w:r>
        <w:fldChar w:fldCharType="begin"/>
      </w:r>
      <w:r>
        <w:instrText>xe "Privatisation"</w:instrText>
      </w:r>
      <w:r>
        <w:fldChar w:fldCharType="end"/>
      </w:r>
      <w:r>
        <w:t xml:space="preserve"> of the PTC and the growth in minimum contributions from 6 per cent to 7 per cent, pursuant to Commonwealth legislation (see Table 6.4 and Chart 6.12).</w:t>
      </w:r>
    </w:p>
    <w:p w:rsidR="00000000" w:rsidRDefault="001F233B">
      <w:pPr>
        <w:pStyle w:val="Chartheading"/>
        <w:keepNext/>
        <w:keepLines/>
        <w:rPr>
          <w:i/>
          <w:vertAlign w:val="superscript"/>
        </w:rPr>
      </w:pPr>
      <w:r>
        <w:t>Chart 6.12: Budget superannuation cash outlays</w:t>
      </w:r>
      <w:r>
        <w:rPr>
          <w:i/>
          <w:vertAlign w:val="superscript"/>
        </w:rPr>
        <w:t>(a)</w:t>
      </w:r>
    </w:p>
    <w:p w:rsidR="00000000" w:rsidRDefault="001F233B">
      <w:pPr>
        <w:pStyle w:val="Source"/>
      </w:pPr>
      <w:r>
        <w:rPr>
          <w:noProof/>
          <w:sz w:val="20"/>
        </w:rPr>
        <w:drawing>
          <wp:inline distT="0" distB="0" distL="0" distR="0">
            <wp:extent cx="4486275" cy="2085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486275" cy="2085975"/>
                    </a:xfrm>
                    <a:prstGeom prst="rect">
                      <a:avLst/>
                    </a:prstGeom>
                    <a:noFill/>
                    <a:ln>
                      <a:noFill/>
                    </a:ln>
                  </pic:spPr>
                </pic:pic>
              </a:graphicData>
            </a:graphic>
          </wp:inline>
        </w:drawing>
      </w:r>
      <w:r>
        <w:t>Source: Department of Treasury and Finance.</w:t>
      </w:r>
    </w:p>
    <w:p w:rsidR="00000000" w:rsidRDefault="001F233B">
      <w:pPr>
        <w:pStyle w:val="Notes"/>
      </w:pPr>
      <w:r>
        <w:t xml:space="preserve">Note: </w:t>
      </w:r>
    </w:p>
    <w:p w:rsidR="00000000" w:rsidRDefault="001F233B">
      <w:pPr>
        <w:pStyle w:val="Notes"/>
        <w:tabs>
          <w:tab w:val="clear" w:pos="454"/>
          <w:tab w:val="left" w:pos="360"/>
        </w:tabs>
        <w:ind w:left="360" w:hanging="360"/>
      </w:pPr>
      <w:r>
        <w:t>(a)</w:t>
      </w:r>
      <w:r>
        <w:tab/>
        <w:t>Exclu</w:t>
      </w:r>
      <w:r>
        <w:t>des payment of $1.4 billion in deferred superannuation employer contributions in 1993</w:t>
      </w:r>
      <w:r>
        <w:noBreakHyphen/>
        <w:t>94.</w:t>
      </w:r>
    </w:p>
    <w:p w:rsidR="00000000" w:rsidRDefault="001F233B">
      <w:pPr>
        <w:pStyle w:val="Tableheading"/>
        <w:rPr>
          <w:rFonts w:ascii="Times New Roman" w:hAnsi="Times New Roman"/>
          <w:b w:val="0"/>
          <w:i/>
          <w:noProof/>
          <w:sz w:val="16"/>
          <w:vertAlign w:val="superscript"/>
        </w:rPr>
      </w:pPr>
      <w:bookmarkStart w:id="148" w:name="_Toc417482517"/>
      <w:bookmarkStart w:id="149" w:name="_Toc417552765"/>
      <w:r>
        <w:t>Table 6.4: Budget superannuation cash outlays</w:t>
      </w:r>
      <w:r>
        <w:rPr>
          <w:b w:val="0"/>
          <w:i/>
          <w:sz w:val="16"/>
          <w:vertAlign w:val="superscript"/>
        </w:rPr>
        <w:t>(a)</w:t>
      </w:r>
      <w:bookmarkEnd w:id="148"/>
      <w:bookmarkEnd w:id="149"/>
    </w:p>
    <w:tbl>
      <w:tblPr>
        <w:tblW w:w="0" w:type="auto"/>
        <w:tblLayout w:type="fixed"/>
        <w:tblCellMar>
          <w:left w:w="30" w:type="dxa"/>
          <w:right w:w="30" w:type="dxa"/>
        </w:tblCellMar>
        <w:tblLook w:val="0000" w:firstRow="0" w:lastRow="0" w:firstColumn="0" w:lastColumn="0" w:noHBand="0" w:noVBand="0"/>
      </w:tblPr>
      <w:tblGrid>
        <w:gridCol w:w="2460"/>
        <w:gridCol w:w="1"/>
        <w:gridCol w:w="1"/>
        <w:gridCol w:w="1"/>
        <w:gridCol w:w="1"/>
        <w:gridCol w:w="1"/>
        <w:gridCol w:w="775"/>
        <w:gridCol w:w="780"/>
        <w:gridCol w:w="780"/>
        <w:gridCol w:w="780"/>
        <w:gridCol w:w="780"/>
        <w:gridCol w:w="780"/>
      </w:tblGrid>
      <w:tr w:rsidR="00000000">
        <w:tblPrEx>
          <w:tblCellMar>
            <w:top w:w="0" w:type="dxa"/>
            <w:bottom w:w="0" w:type="dxa"/>
          </w:tblCellMar>
        </w:tblPrEx>
        <w:trPr>
          <w:trHeight w:val="260"/>
        </w:trPr>
        <w:tc>
          <w:tcPr>
            <w:tcW w:w="2460" w:type="dxa"/>
          </w:tcPr>
          <w:p w:rsidR="00000000" w:rsidRDefault="001F233B">
            <w:pPr>
              <w:pStyle w:val="Tabletext"/>
            </w:pPr>
          </w:p>
        </w:tc>
        <w:tc>
          <w:tcPr>
            <w:tcW w:w="4680" w:type="dxa"/>
            <w:hMerge w:val="restart"/>
          </w:tcPr>
          <w:p w:rsidR="00000000" w:rsidRDefault="001F233B">
            <w:pPr>
              <w:pStyle w:val="Tabletext"/>
              <w:jc w:val="center"/>
              <w:rPr>
                <w:i/>
              </w:rPr>
            </w:pPr>
            <w:r>
              <w:rPr>
                <w:i/>
              </w:rPr>
              <w:t>Financial year ending 30 June</w:t>
            </w: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gridSpan w:val="6"/>
            <w:hMerge/>
          </w:tcPr>
          <w:p w:rsidR="00000000" w:rsidRDefault="001F233B">
            <w:pPr>
              <w:pStyle w:val="Tabletext"/>
              <w:jc w:val="right"/>
            </w:pPr>
          </w:p>
        </w:tc>
      </w:tr>
      <w:tr w:rsidR="00000000">
        <w:tblPrEx>
          <w:tblCellMar>
            <w:top w:w="0" w:type="dxa"/>
            <w:bottom w:w="0" w:type="dxa"/>
          </w:tblCellMar>
        </w:tblPrEx>
        <w:trPr>
          <w:trHeight w:val="260"/>
        </w:trPr>
        <w:tc>
          <w:tcPr>
            <w:tcW w:w="2460" w:type="dxa"/>
            <w:tcBorders>
              <w:top w:val="single" w:sz="6" w:space="0" w:color="auto"/>
            </w:tcBorders>
          </w:tcPr>
          <w:p w:rsidR="00000000" w:rsidRDefault="001F233B">
            <w:pPr>
              <w:pStyle w:val="Tabletext"/>
              <w:rPr>
                <w:i/>
              </w:rPr>
            </w:pPr>
          </w:p>
        </w:tc>
        <w:tc>
          <w:tcPr>
            <w:tcW w:w="780" w:type="dxa"/>
            <w:gridSpan w:val="6"/>
            <w:tcBorders>
              <w:top w:val="single" w:sz="6" w:space="0" w:color="auto"/>
            </w:tcBorders>
          </w:tcPr>
          <w:p w:rsidR="00000000" w:rsidRDefault="001F233B">
            <w:pPr>
              <w:pStyle w:val="Tabletext"/>
              <w:jc w:val="right"/>
              <w:rPr>
                <w:i/>
              </w:rPr>
            </w:pPr>
            <w:r>
              <w:rPr>
                <w:i/>
              </w:rPr>
              <w:t>1997</w:t>
            </w:r>
          </w:p>
        </w:tc>
        <w:tc>
          <w:tcPr>
            <w:tcW w:w="780" w:type="dxa"/>
            <w:tcBorders>
              <w:top w:val="single" w:sz="6" w:space="0" w:color="auto"/>
            </w:tcBorders>
          </w:tcPr>
          <w:p w:rsidR="00000000" w:rsidRDefault="001F233B">
            <w:pPr>
              <w:pStyle w:val="Tabletext"/>
              <w:jc w:val="right"/>
              <w:rPr>
                <w:i/>
              </w:rPr>
            </w:pPr>
            <w:r>
              <w:rPr>
                <w:i/>
              </w:rPr>
              <w:t>1998</w:t>
            </w:r>
          </w:p>
        </w:tc>
        <w:tc>
          <w:tcPr>
            <w:tcW w:w="780" w:type="dxa"/>
            <w:tcBorders>
              <w:top w:val="single" w:sz="6" w:space="0" w:color="auto"/>
            </w:tcBorders>
          </w:tcPr>
          <w:p w:rsidR="00000000" w:rsidRDefault="001F233B">
            <w:pPr>
              <w:pStyle w:val="Tabletext"/>
              <w:jc w:val="right"/>
              <w:rPr>
                <w:i/>
              </w:rPr>
            </w:pPr>
            <w:r>
              <w:rPr>
                <w:i/>
              </w:rPr>
              <w:t>1999</w:t>
            </w:r>
          </w:p>
        </w:tc>
        <w:tc>
          <w:tcPr>
            <w:tcW w:w="780" w:type="dxa"/>
            <w:tcBorders>
              <w:top w:val="single" w:sz="6" w:space="0" w:color="auto"/>
            </w:tcBorders>
          </w:tcPr>
          <w:p w:rsidR="00000000" w:rsidRDefault="001F233B">
            <w:pPr>
              <w:pStyle w:val="Tabletext"/>
              <w:jc w:val="right"/>
              <w:rPr>
                <w:i/>
              </w:rPr>
            </w:pPr>
            <w:r>
              <w:rPr>
                <w:i/>
              </w:rPr>
              <w:t>2000</w:t>
            </w:r>
          </w:p>
        </w:tc>
        <w:tc>
          <w:tcPr>
            <w:tcW w:w="780" w:type="dxa"/>
            <w:tcBorders>
              <w:top w:val="single" w:sz="6" w:space="0" w:color="auto"/>
            </w:tcBorders>
          </w:tcPr>
          <w:p w:rsidR="00000000" w:rsidRDefault="001F233B">
            <w:pPr>
              <w:pStyle w:val="Tabletext"/>
              <w:jc w:val="right"/>
              <w:rPr>
                <w:i/>
              </w:rPr>
            </w:pPr>
            <w:r>
              <w:rPr>
                <w:i/>
              </w:rPr>
              <w:t>2001</w:t>
            </w:r>
          </w:p>
        </w:tc>
        <w:tc>
          <w:tcPr>
            <w:tcW w:w="780" w:type="dxa"/>
            <w:tcBorders>
              <w:top w:val="single" w:sz="6" w:space="0" w:color="auto"/>
            </w:tcBorders>
          </w:tcPr>
          <w:p w:rsidR="00000000" w:rsidRDefault="001F233B">
            <w:pPr>
              <w:pStyle w:val="Tabletext"/>
              <w:jc w:val="right"/>
              <w:rPr>
                <w:i/>
              </w:rPr>
            </w:pPr>
            <w:r>
              <w:rPr>
                <w:i/>
              </w:rPr>
              <w:t>2002</w:t>
            </w:r>
          </w:p>
        </w:tc>
      </w:tr>
      <w:tr w:rsidR="00000000">
        <w:tblPrEx>
          <w:tblCellMar>
            <w:top w:w="0" w:type="dxa"/>
            <w:bottom w:w="0" w:type="dxa"/>
          </w:tblCellMar>
        </w:tblPrEx>
        <w:trPr>
          <w:trHeight w:val="260"/>
        </w:trPr>
        <w:tc>
          <w:tcPr>
            <w:tcW w:w="2460" w:type="dxa"/>
            <w:tcBorders>
              <w:bottom w:val="single" w:sz="6" w:space="0" w:color="auto"/>
            </w:tcBorders>
          </w:tcPr>
          <w:p w:rsidR="00000000" w:rsidRDefault="001F233B">
            <w:pPr>
              <w:pStyle w:val="Tabletext"/>
              <w:rPr>
                <w:i/>
              </w:rPr>
            </w:pPr>
          </w:p>
        </w:tc>
        <w:tc>
          <w:tcPr>
            <w:tcW w:w="780" w:type="dxa"/>
            <w:gridSpan w:val="6"/>
            <w:tcBorders>
              <w:bottom w:val="single" w:sz="6" w:space="0" w:color="auto"/>
            </w:tcBorders>
          </w:tcPr>
          <w:p w:rsidR="00000000" w:rsidRDefault="001F233B">
            <w:pPr>
              <w:pStyle w:val="Tabletext"/>
              <w:jc w:val="right"/>
              <w:rPr>
                <w:i/>
              </w:rPr>
            </w:pPr>
            <w:r>
              <w:rPr>
                <w:i/>
              </w:rPr>
              <w:t>Actual</w:t>
            </w:r>
          </w:p>
        </w:tc>
        <w:tc>
          <w:tcPr>
            <w:tcW w:w="780" w:type="dxa"/>
            <w:tcBorders>
              <w:bottom w:val="single" w:sz="6" w:space="0" w:color="auto"/>
            </w:tcBorders>
          </w:tcPr>
          <w:p w:rsidR="00000000" w:rsidRDefault="001F233B">
            <w:pPr>
              <w:pStyle w:val="Tabletext"/>
              <w:jc w:val="right"/>
              <w:rPr>
                <w:i/>
              </w:rPr>
            </w:pPr>
            <w:r>
              <w:rPr>
                <w:i/>
              </w:rPr>
              <w:t>Estimate</w:t>
            </w:r>
          </w:p>
        </w:tc>
        <w:tc>
          <w:tcPr>
            <w:tcW w:w="780" w:type="dxa"/>
            <w:tcBorders>
              <w:bottom w:val="single" w:sz="6" w:space="0" w:color="auto"/>
            </w:tcBorders>
          </w:tcPr>
          <w:p w:rsidR="00000000" w:rsidRDefault="001F233B">
            <w:pPr>
              <w:pStyle w:val="Tabletext"/>
              <w:jc w:val="right"/>
              <w:rPr>
                <w:i/>
              </w:rPr>
            </w:pPr>
            <w:r>
              <w:rPr>
                <w:i/>
              </w:rPr>
              <w:t>Estimate</w:t>
            </w:r>
          </w:p>
        </w:tc>
        <w:tc>
          <w:tcPr>
            <w:tcW w:w="780" w:type="dxa"/>
            <w:tcBorders>
              <w:bottom w:val="single" w:sz="6" w:space="0" w:color="auto"/>
            </w:tcBorders>
          </w:tcPr>
          <w:p w:rsidR="00000000" w:rsidRDefault="001F233B">
            <w:pPr>
              <w:pStyle w:val="Tabletext"/>
              <w:jc w:val="right"/>
              <w:rPr>
                <w:i/>
              </w:rPr>
            </w:pPr>
            <w:r>
              <w:rPr>
                <w:i/>
              </w:rPr>
              <w:t>Estimate</w:t>
            </w:r>
          </w:p>
        </w:tc>
        <w:tc>
          <w:tcPr>
            <w:tcW w:w="780" w:type="dxa"/>
            <w:tcBorders>
              <w:bottom w:val="single" w:sz="6" w:space="0" w:color="auto"/>
            </w:tcBorders>
          </w:tcPr>
          <w:p w:rsidR="00000000" w:rsidRDefault="001F233B">
            <w:pPr>
              <w:pStyle w:val="Tabletext"/>
              <w:jc w:val="right"/>
              <w:rPr>
                <w:i/>
              </w:rPr>
            </w:pPr>
            <w:r>
              <w:rPr>
                <w:i/>
              </w:rPr>
              <w:t>Estimate</w:t>
            </w:r>
          </w:p>
        </w:tc>
        <w:tc>
          <w:tcPr>
            <w:tcW w:w="780" w:type="dxa"/>
            <w:tcBorders>
              <w:bottom w:val="single" w:sz="6" w:space="0" w:color="auto"/>
            </w:tcBorders>
          </w:tcPr>
          <w:p w:rsidR="00000000" w:rsidRDefault="001F233B">
            <w:pPr>
              <w:pStyle w:val="Tabletext"/>
              <w:jc w:val="right"/>
              <w:rPr>
                <w:i/>
              </w:rPr>
            </w:pPr>
            <w:r>
              <w:rPr>
                <w:i/>
              </w:rPr>
              <w:t>Estimate</w:t>
            </w:r>
          </w:p>
        </w:tc>
      </w:tr>
      <w:tr w:rsidR="00000000">
        <w:tblPrEx>
          <w:tblCellMar>
            <w:top w:w="0" w:type="dxa"/>
            <w:bottom w:w="0" w:type="dxa"/>
          </w:tblCellMar>
        </w:tblPrEx>
        <w:trPr>
          <w:trHeight w:val="260"/>
        </w:trPr>
        <w:tc>
          <w:tcPr>
            <w:tcW w:w="2460" w:type="dxa"/>
          </w:tcPr>
          <w:p w:rsidR="00000000" w:rsidRDefault="001F233B">
            <w:pPr>
              <w:pStyle w:val="Tabletext"/>
            </w:pPr>
          </w:p>
        </w:tc>
        <w:tc>
          <w:tcPr>
            <w:tcW w:w="4680" w:type="dxa"/>
            <w:hMerge w:val="restart"/>
          </w:tcPr>
          <w:p w:rsidR="00000000" w:rsidRDefault="001F233B">
            <w:pPr>
              <w:pStyle w:val="Tabletext"/>
              <w:jc w:val="center"/>
              <w:rPr>
                <w:i/>
              </w:rPr>
            </w:pPr>
            <w:r>
              <w:rPr>
                <w:i/>
              </w:rPr>
              <w:t>$ million</w:t>
            </w: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gridSpan w:val="6"/>
            <w:hMerge/>
          </w:tcPr>
          <w:p w:rsidR="00000000" w:rsidRDefault="001F233B">
            <w:pPr>
              <w:pStyle w:val="Tabletext"/>
              <w:jc w:val="right"/>
            </w:pPr>
          </w:p>
        </w:tc>
      </w:tr>
      <w:tr w:rsidR="00000000">
        <w:tblPrEx>
          <w:tblCellMar>
            <w:top w:w="0" w:type="dxa"/>
            <w:bottom w:w="0" w:type="dxa"/>
          </w:tblCellMar>
        </w:tblPrEx>
        <w:trPr>
          <w:trHeight w:val="260"/>
        </w:trPr>
        <w:tc>
          <w:tcPr>
            <w:tcW w:w="2460" w:type="dxa"/>
          </w:tcPr>
          <w:p w:rsidR="00000000" w:rsidRDefault="001F233B">
            <w:pPr>
              <w:pStyle w:val="Tabletext"/>
            </w:pPr>
            <w:r>
              <w:t>Superannuation cash outlays</w:t>
            </w:r>
          </w:p>
        </w:tc>
        <w:tc>
          <w:tcPr>
            <w:tcW w:w="780" w:type="dxa"/>
            <w:gridSpan w:val="6"/>
          </w:tcPr>
          <w:p w:rsidR="00000000" w:rsidRDefault="001F233B">
            <w:pPr>
              <w:pStyle w:val="Tabletext"/>
              <w:jc w:val="right"/>
            </w:pPr>
            <w:r>
              <w:t>1 128.0</w:t>
            </w:r>
          </w:p>
        </w:tc>
        <w:tc>
          <w:tcPr>
            <w:tcW w:w="780" w:type="dxa"/>
          </w:tcPr>
          <w:p w:rsidR="00000000" w:rsidRDefault="001F233B">
            <w:pPr>
              <w:pStyle w:val="Tabletext"/>
              <w:jc w:val="right"/>
            </w:pPr>
            <w:r>
              <w:t>1 250.2</w:t>
            </w:r>
          </w:p>
        </w:tc>
        <w:tc>
          <w:tcPr>
            <w:tcW w:w="780" w:type="dxa"/>
          </w:tcPr>
          <w:p w:rsidR="00000000" w:rsidRDefault="001F233B">
            <w:pPr>
              <w:pStyle w:val="Tabletext"/>
              <w:jc w:val="right"/>
            </w:pPr>
            <w:r>
              <w:t>1 686.4</w:t>
            </w:r>
          </w:p>
        </w:tc>
        <w:tc>
          <w:tcPr>
            <w:tcW w:w="780" w:type="dxa"/>
          </w:tcPr>
          <w:p w:rsidR="00000000" w:rsidRDefault="001F233B">
            <w:pPr>
              <w:pStyle w:val="Tabletext"/>
              <w:jc w:val="right"/>
            </w:pPr>
            <w:r>
              <w:t>1 427.9</w:t>
            </w:r>
          </w:p>
        </w:tc>
        <w:tc>
          <w:tcPr>
            <w:tcW w:w="780" w:type="dxa"/>
          </w:tcPr>
          <w:p w:rsidR="00000000" w:rsidRDefault="001F233B">
            <w:pPr>
              <w:pStyle w:val="Tabletext"/>
              <w:jc w:val="right"/>
            </w:pPr>
            <w:r>
              <w:t>1 549.4</w:t>
            </w:r>
          </w:p>
        </w:tc>
        <w:tc>
          <w:tcPr>
            <w:tcW w:w="780" w:type="dxa"/>
          </w:tcPr>
          <w:p w:rsidR="00000000" w:rsidRDefault="001F233B">
            <w:pPr>
              <w:pStyle w:val="Tabletext"/>
              <w:jc w:val="right"/>
            </w:pPr>
            <w:r>
              <w:t>1 638.8</w:t>
            </w:r>
          </w:p>
        </w:tc>
      </w:tr>
      <w:tr w:rsidR="00000000">
        <w:tblPrEx>
          <w:tblCellMar>
            <w:top w:w="0" w:type="dxa"/>
            <w:bottom w:w="0" w:type="dxa"/>
          </w:tblCellMar>
        </w:tblPrEx>
        <w:trPr>
          <w:trHeight w:val="260"/>
        </w:trPr>
        <w:tc>
          <w:tcPr>
            <w:tcW w:w="2460" w:type="dxa"/>
          </w:tcPr>
          <w:p w:rsidR="00000000" w:rsidRDefault="001F233B">
            <w:pPr>
              <w:pStyle w:val="Tabletext"/>
            </w:pPr>
          </w:p>
        </w:tc>
        <w:tc>
          <w:tcPr>
            <w:tcW w:w="4680" w:type="dxa"/>
            <w:hMerge w:val="restart"/>
          </w:tcPr>
          <w:p w:rsidR="00000000" w:rsidRDefault="001F233B">
            <w:pPr>
              <w:pStyle w:val="Tabletext"/>
              <w:jc w:val="center"/>
              <w:rPr>
                <w:i/>
                <w:color w:val="000000"/>
              </w:rPr>
            </w:pPr>
            <w:r>
              <w:rPr>
                <w:i/>
              </w:rPr>
              <w:t>per</w:t>
            </w:r>
            <w:r>
              <w:rPr>
                <w:i/>
                <w:color w:val="000000"/>
              </w:rPr>
              <w:t xml:space="preserve"> cent</w:t>
            </w: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hMerge/>
          </w:tcPr>
          <w:p w:rsidR="00000000" w:rsidRDefault="001F233B">
            <w:pPr>
              <w:pStyle w:val="Tabletext"/>
              <w:jc w:val="right"/>
            </w:pPr>
          </w:p>
        </w:tc>
        <w:tc>
          <w:tcPr>
            <w:gridSpan w:val="6"/>
            <w:hMerge/>
          </w:tcPr>
          <w:p w:rsidR="00000000" w:rsidRDefault="001F233B">
            <w:pPr>
              <w:pStyle w:val="Tabletext"/>
              <w:jc w:val="right"/>
            </w:pPr>
          </w:p>
        </w:tc>
      </w:tr>
      <w:tr w:rsidR="00000000">
        <w:tblPrEx>
          <w:tblCellMar>
            <w:top w:w="0" w:type="dxa"/>
            <w:bottom w:w="0" w:type="dxa"/>
          </w:tblCellMar>
        </w:tblPrEx>
        <w:trPr>
          <w:trHeight w:val="260"/>
        </w:trPr>
        <w:tc>
          <w:tcPr>
            <w:tcW w:w="2460" w:type="dxa"/>
          </w:tcPr>
          <w:p w:rsidR="00000000" w:rsidRDefault="001F233B">
            <w:pPr>
              <w:pStyle w:val="Tabletext"/>
            </w:pPr>
            <w:r>
              <w:t>Ratio of superannuation cash</w:t>
            </w:r>
          </w:p>
        </w:tc>
        <w:tc>
          <w:tcPr>
            <w:tcW w:w="780" w:type="dxa"/>
            <w:gridSpan w:val="6"/>
          </w:tcPr>
          <w:p w:rsidR="00000000" w:rsidRDefault="001F233B">
            <w:pPr>
              <w:pStyle w:val="Tabletext"/>
              <w:jc w:val="right"/>
              <w:rPr>
                <w:i/>
              </w:rPr>
            </w:pPr>
          </w:p>
        </w:tc>
        <w:tc>
          <w:tcPr>
            <w:tcW w:w="780" w:type="dxa"/>
          </w:tcPr>
          <w:p w:rsidR="00000000" w:rsidRDefault="001F233B">
            <w:pPr>
              <w:pStyle w:val="Tabletext"/>
              <w:jc w:val="right"/>
            </w:pPr>
          </w:p>
        </w:tc>
        <w:tc>
          <w:tcPr>
            <w:tcW w:w="780" w:type="dxa"/>
          </w:tcPr>
          <w:p w:rsidR="00000000" w:rsidRDefault="001F233B">
            <w:pPr>
              <w:pStyle w:val="Tabletext"/>
              <w:jc w:val="right"/>
            </w:pPr>
          </w:p>
        </w:tc>
        <w:tc>
          <w:tcPr>
            <w:tcW w:w="780" w:type="dxa"/>
          </w:tcPr>
          <w:p w:rsidR="00000000" w:rsidRDefault="001F233B">
            <w:pPr>
              <w:pStyle w:val="Tabletext"/>
              <w:jc w:val="right"/>
            </w:pPr>
          </w:p>
        </w:tc>
        <w:tc>
          <w:tcPr>
            <w:tcW w:w="780" w:type="dxa"/>
          </w:tcPr>
          <w:p w:rsidR="00000000" w:rsidRDefault="001F233B">
            <w:pPr>
              <w:pStyle w:val="Tabletext"/>
              <w:jc w:val="right"/>
            </w:pPr>
          </w:p>
        </w:tc>
        <w:tc>
          <w:tcPr>
            <w:tcW w:w="780" w:type="dxa"/>
          </w:tcPr>
          <w:p w:rsidR="00000000" w:rsidRDefault="001F233B">
            <w:pPr>
              <w:pStyle w:val="Tabletext"/>
              <w:jc w:val="right"/>
            </w:pPr>
          </w:p>
        </w:tc>
      </w:tr>
      <w:tr w:rsidR="00000000">
        <w:tblPrEx>
          <w:tblCellMar>
            <w:top w:w="0" w:type="dxa"/>
            <w:bottom w:w="0" w:type="dxa"/>
          </w:tblCellMar>
        </w:tblPrEx>
        <w:trPr>
          <w:trHeight w:val="260"/>
        </w:trPr>
        <w:tc>
          <w:tcPr>
            <w:tcW w:w="2460" w:type="dxa"/>
          </w:tcPr>
          <w:p w:rsidR="00000000" w:rsidRDefault="001F233B">
            <w:pPr>
              <w:pStyle w:val="Tabletext"/>
            </w:pPr>
            <w:r>
              <w:t>outlays to cash revenue and</w:t>
            </w:r>
          </w:p>
        </w:tc>
        <w:tc>
          <w:tcPr>
            <w:tcW w:w="780" w:type="dxa"/>
            <w:gridSpan w:val="6"/>
          </w:tcPr>
          <w:p w:rsidR="00000000" w:rsidRDefault="001F233B">
            <w:pPr>
              <w:pStyle w:val="Tabletext"/>
              <w:jc w:val="right"/>
              <w:rPr>
                <w:i/>
              </w:rPr>
            </w:pPr>
          </w:p>
        </w:tc>
        <w:tc>
          <w:tcPr>
            <w:tcW w:w="780" w:type="dxa"/>
          </w:tcPr>
          <w:p w:rsidR="00000000" w:rsidRDefault="001F233B">
            <w:pPr>
              <w:pStyle w:val="Tabletext"/>
              <w:jc w:val="right"/>
            </w:pPr>
          </w:p>
        </w:tc>
        <w:tc>
          <w:tcPr>
            <w:tcW w:w="780" w:type="dxa"/>
          </w:tcPr>
          <w:p w:rsidR="00000000" w:rsidRDefault="001F233B">
            <w:pPr>
              <w:pStyle w:val="Tabletext"/>
              <w:jc w:val="right"/>
            </w:pPr>
          </w:p>
        </w:tc>
        <w:tc>
          <w:tcPr>
            <w:tcW w:w="780" w:type="dxa"/>
          </w:tcPr>
          <w:p w:rsidR="00000000" w:rsidRDefault="001F233B">
            <w:pPr>
              <w:pStyle w:val="Tabletext"/>
              <w:jc w:val="right"/>
            </w:pPr>
          </w:p>
        </w:tc>
        <w:tc>
          <w:tcPr>
            <w:tcW w:w="780" w:type="dxa"/>
          </w:tcPr>
          <w:p w:rsidR="00000000" w:rsidRDefault="001F233B">
            <w:pPr>
              <w:pStyle w:val="Tabletext"/>
              <w:jc w:val="right"/>
            </w:pPr>
          </w:p>
        </w:tc>
        <w:tc>
          <w:tcPr>
            <w:tcW w:w="780" w:type="dxa"/>
          </w:tcPr>
          <w:p w:rsidR="00000000" w:rsidRDefault="001F233B">
            <w:pPr>
              <w:pStyle w:val="Tabletext"/>
              <w:jc w:val="right"/>
            </w:pPr>
          </w:p>
        </w:tc>
      </w:tr>
      <w:tr w:rsidR="00000000">
        <w:tblPrEx>
          <w:tblCellMar>
            <w:top w:w="0" w:type="dxa"/>
            <w:bottom w:w="0" w:type="dxa"/>
          </w:tblCellMar>
        </w:tblPrEx>
        <w:trPr>
          <w:trHeight w:val="260"/>
        </w:trPr>
        <w:tc>
          <w:tcPr>
            <w:tcW w:w="2460" w:type="dxa"/>
            <w:tcBorders>
              <w:bottom w:val="single" w:sz="12" w:space="0" w:color="auto"/>
            </w:tcBorders>
          </w:tcPr>
          <w:p w:rsidR="00000000" w:rsidRDefault="001F233B">
            <w:pPr>
              <w:pStyle w:val="Tabletext"/>
            </w:pPr>
            <w:r>
              <w:t>current grants</w:t>
            </w:r>
            <w:r>
              <w:rPr>
                <w:i/>
                <w:sz w:val="16"/>
                <w:vertAlign w:val="superscript"/>
              </w:rPr>
              <w:t>(b)</w:t>
            </w:r>
          </w:p>
        </w:tc>
        <w:tc>
          <w:tcPr>
            <w:tcW w:w="780" w:type="dxa"/>
            <w:gridSpan w:val="6"/>
            <w:tcBorders>
              <w:bottom w:val="single" w:sz="12" w:space="0" w:color="auto"/>
            </w:tcBorders>
          </w:tcPr>
          <w:p w:rsidR="00000000" w:rsidRDefault="001F233B">
            <w:pPr>
              <w:pStyle w:val="Tabletext"/>
              <w:jc w:val="right"/>
            </w:pPr>
            <w:r>
              <w:t xml:space="preserve">       6.7 </w:t>
            </w:r>
          </w:p>
        </w:tc>
        <w:tc>
          <w:tcPr>
            <w:tcW w:w="780" w:type="dxa"/>
            <w:tcBorders>
              <w:bottom w:val="single" w:sz="12" w:space="0" w:color="auto"/>
            </w:tcBorders>
          </w:tcPr>
          <w:p w:rsidR="00000000" w:rsidRDefault="001F233B">
            <w:pPr>
              <w:pStyle w:val="Tabletext"/>
              <w:jc w:val="right"/>
            </w:pPr>
            <w:r>
              <w:t xml:space="preserve">       7.8 </w:t>
            </w:r>
          </w:p>
        </w:tc>
        <w:tc>
          <w:tcPr>
            <w:tcW w:w="780" w:type="dxa"/>
            <w:tcBorders>
              <w:bottom w:val="single" w:sz="12" w:space="0" w:color="auto"/>
            </w:tcBorders>
          </w:tcPr>
          <w:p w:rsidR="00000000" w:rsidRDefault="001F233B">
            <w:pPr>
              <w:pStyle w:val="Tabletext"/>
              <w:jc w:val="right"/>
            </w:pPr>
            <w:r>
              <w:t xml:space="preserve">     10.6 </w:t>
            </w:r>
          </w:p>
        </w:tc>
        <w:tc>
          <w:tcPr>
            <w:tcW w:w="780" w:type="dxa"/>
            <w:tcBorders>
              <w:bottom w:val="single" w:sz="12" w:space="0" w:color="auto"/>
            </w:tcBorders>
          </w:tcPr>
          <w:p w:rsidR="00000000" w:rsidRDefault="001F233B">
            <w:pPr>
              <w:pStyle w:val="Tabletext"/>
              <w:jc w:val="right"/>
            </w:pPr>
            <w:r>
              <w:t xml:space="preserve">       8.8 </w:t>
            </w:r>
          </w:p>
        </w:tc>
        <w:tc>
          <w:tcPr>
            <w:tcW w:w="780" w:type="dxa"/>
            <w:tcBorders>
              <w:bottom w:val="single" w:sz="12" w:space="0" w:color="auto"/>
            </w:tcBorders>
          </w:tcPr>
          <w:p w:rsidR="00000000" w:rsidRDefault="001F233B">
            <w:pPr>
              <w:pStyle w:val="Tabletext"/>
              <w:jc w:val="right"/>
            </w:pPr>
            <w:r>
              <w:t xml:space="preserve">    </w:t>
            </w:r>
            <w:r>
              <w:t xml:space="preserve">   9.3 </w:t>
            </w:r>
          </w:p>
        </w:tc>
        <w:tc>
          <w:tcPr>
            <w:tcW w:w="780" w:type="dxa"/>
            <w:tcBorders>
              <w:bottom w:val="single" w:sz="12" w:space="0" w:color="auto"/>
            </w:tcBorders>
          </w:tcPr>
          <w:p w:rsidR="00000000" w:rsidRDefault="001F233B">
            <w:pPr>
              <w:pStyle w:val="Tabletext"/>
              <w:jc w:val="right"/>
            </w:pPr>
            <w:r>
              <w:t xml:space="preserve">       9.7 </w:t>
            </w:r>
          </w:p>
        </w:tc>
      </w:tr>
    </w:tbl>
    <w:p w:rsidR="00000000" w:rsidRDefault="001F233B">
      <w:pPr>
        <w:pStyle w:val="Notes"/>
      </w:pPr>
      <w:r>
        <w:t>Source: Department of Treasury and Finance.</w:t>
      </w:r>
    </w:p>
    <w:p w:rsidR="00000000" w:rsidRDefault="001F233B">
      <w:pPr>
        <w:pStyle w:val="Notes"/>
      </w:pPr>
      <w:r>
        <w:t>Note:</w:t>
      </w:r>
    </w:p>
    <w:p w:rsidR="00000000" w:rsidRDefault="001F233B">
      <w:pPr>
        <w:pStyle w:val="Notes"/>
        <w:tabs>
          <w:tab w:val="clear" w:pos="454"/>
          <w:tab w:val="left" w:pos="360"/>
        </w:tabs>
      </w:pPr>
      <w:r>
        <w:t>(a)</w:t>
      </w:r>
      <w:r>
        <w:tab/>
        <w:t>In future years, the ratios will be calculated on an accrual basis.</w:t>
      </w:r>
    </w:p>
    <w:p w:rsidR="00000000" w:rsidRDefault="001F233B">
      <w:pPr>
        <w:pStyle w:val="Notes"/>
        <w:tabs>
          <w:tab w:val="left" w:pos="360"/>
        </w:tabs>
      </w:pPr>
      <w:r>
        <w:t>(b)</w:t>
      </w:r>
      <w:r>
        <w:tab/>
        <w:t>Revenue and current grants exclude grants for on</w:t>
      </w:r>
      <w:r>
        <w:noBreakHyphen/>
        <w:t>passing.</w:t>
      </w:r>
    </w:p>
    <w:p w:rsidR="00000000" w:rsidRDefault="001F233B">
      <w:pPr>
        <w:pStyle w:val="Notes"/>
      </w:pPr>
    </w:p>
    <w:p w:rsidR="00000000" w:rsidRDefault="001F233B">
      <w:r>
        <w:t>The ratio of superannuation cash outlays to cash revenue and current grants</w:t>
      </w:r>
      <w:r>
        <w:fldChar w:fldCharType="begin"/>
      </w:r>
      <w:r>
        <w:instrText>xe "Superannuation:Ratio of superannuation outlays to revenue and current grants"</w:instrText>
      </w:r>
      <w:r>
        <w:fldChar w:fldCharType="end"/>
      </w:r>
      <w:r>
        <w:t xml:space="preserve"> is expected to increase from 7.8 per cent in 1997</w:t>
      </w:r>
      <w:r>
        <w:noBreakHyphen/>
        <w:t>98 to 9.7 per cent in 2001</w:t>
      </w:r>
      <w:r>
        <w:noBreakHyphen/>
        <w:t>02 (excluding the one</w:t>
      </w:r>
      <w:r>
        <w:noBreakHyphen/>
        <w:t>off payment to PTC in 1998</w:t>
      </w:r>
      <w:r>
        <w:noBreakHyphen/>
        <w:t xml:space="preserve">99) over the forward </w:t>
      </w:r>
      <w:r>
        <w:t>estimates period. The increase in the ratio of superannuation cash outlays to cash revenue and current grants over this period reflects both the increasing average age of the public sector workforce covered by defined benefit schemes and a higher proportion of members entering retirement.</w:t>
      </w:r>
    </w:p>
    <w:p w:rsidR="00000000" w:rsidRDefault="001F233B">
      <w:r>
        <w:t>On an accruals basis, superannuation expenditure for 1997</w:t>
      </w:r>
      <w:r>
        <w:noBreakHyphen/>
        <w:t>98 is estimated to be $1 500.2 million and 8.0 per cent of total accrual revenue. For 1998</w:t>
      </w:r>
      <w:r>
        <w:noBreakHyphen/>
        <w:t>99 this is forecast to be $1 622.4 million and 8.6 per cent of accrual re</w:t>
      </w:r>
      <w:r>
        <w:t>venue.</w:t>
      </w:r>
    </w:p>
    <w:p w:rsidR="00000000" w:rsidRDefault="001F233B">
      <w:pPr>
        <w:pStyle w:val="Heading2"/>
      </w:pPr>
      <w:bookmarkStart w:id="150" w:name="_Toc417482333"/>
      <w:bookmarkStart w:id="151" w:name="_Toc417552105"/>
      <w:r>
        <w:t>SECV</w:t>
      </w:r>
      <w:r>
        <w:fldChar w:fldCharType="begin"/>
      </w:r>
      <w:r>
        <w:instrText>xe "SECV"</w:instrText>
      </w:r>
      <w:r>
        <w:fldChar w:fldCharType="end"/>
      </w:r>
      <w:r>
        <w:fldChar w:fldCharType="begin"/>
      </w:r>
      <w:r>
        <w:instrText>xe "State Electricity Commission of Victoria"</w:instrText>
      </w:r>
      <w:r>
        <w:fldChar w:fldCharType="end"/>
      </w:r>
      <w:r>
        <w:t xml:space="preserve"> liabilities</w:t>
      </w:r>
      <w:bookmarkEnd w:id="150"/>
      <w:bookmarkEnd w:id="151"/>
    </w:p>
    <w:p w:rsidR="00000000" w:rsidRDefault="001F233B">
      <w:r>
        <w:t>The Government is continuing to restructure or extinguish a number of long</w:t>
      </w:r>
      <w:r>
        <w:noBreakHyphen/>
        <w:t>term liabilities residing with the SECV</w:t>
      </w:r>
      <w:r>
        <w:fldChar w:fldCharType="begin"/>
      </w:r>
      <w:r>
        <w:instrText>xe "SECV"</w:instrText>
      </w:r>
      <w:r>
        <w:fldChar w:fldCharType="end"/>
      </w:r>
      <w:r>
        <w:fldChar w:fldCharType="begin"/>
      </w:r>
      <w:r>
        <w:instrText>xe "State Electricity Commission of Victoria"</w:instrText>
      </w:r>
      <w:r>
        <w:fldChar w:fldCharType="end"/>
      </w:r>
      <w:r>
        <w:t xml:space="preserve"> Shell</w:t>
      </w:r>
      <w:r>
        <w:fldChar w:fldCharType="begin"/>
      </w:r>
      <w:r>
        <w:instrText>xe "Public authority income:SECV Shell"</w:instrText>
      </w:r>
      <w:r>
        <w:fldChar w:fldCharType="end"/>
      </w:r>
      <w:r>
        <w:t xml:space="preserve"> which arose from arrangements entered into prior to the electricity</w:t>
      </w:r>
      <w:r>
        <w:fldChar w:fldCharType="begin"/>
      </w:r>
      <w:r>
        <w:instrText>xe "Electricity"</w:instrText>
      </w:r>
      <w:r>
        <w:fldChar w:fldCharType="end"/>
      </w:r>
      <w:r>
        <w:t xml:space="preserve"> industry reform program. </w:t>
      </w:r>
    </w:p>
    <w:p w:rsidR="00000000" w:rsidRDefault="001F233B">
      <w:r>
        <w:t>Contracts between the previous government and Alcoa to supply electricity</w:t>
      </w:r>
      <w:r>
        <w:fldChar w:fldCharType="begin"/>
      </w:r>
      <w:r>
        <w:instrText>xe "Electricity"</w:instrText>
      </w:r>
      <w:r>
        <w:fldChar w:fldCharType="end"/>
      </w:r>
      <w:r>
        <w:t xml:space="preserve"> to the</w:t>
      </w:r>
      <w:r>
        <w:t xml:space="preserve"> Portland and Point Henry aluminium smelters, and the cost of supplying under these contracts, constitute the remaining material liability.</w:t>
      </w:r>
    </w:p>
    <w:p w:rsidR="00000000" w:rsidRDefault="001F233B">
      <w:r>
        <w:t>The difference between the cost of power to SECV</w:t>
      </w:r>
      <w:r>
        <w:fldChar w:fldCharType="begin"/>
      </w:r>
      <w:r>
        <w:instrText>xe "SECV"</w:instrText>
      </w:r>
      <w:r>
        <w:fldChar w:fldCharType="end"/>
      </w:r>
      <w:r>
        <w:fldChar w:fldCharType="begin"/>
      </w:r>
      <w:r>
        <w:instrText>xe "State Electricity Commission of Victoria"</w:instrText>
      </w:r>
      <w:r>
        <w:fldChar w:fldCharType="end"/>
      </w:r>
      <w:r>
        <w:t xml:space="preserve"> and payments by smelters had previously been funded from the budget. A number of measures have now been taken to reduce or offset the losses under the contracts with SECV. As a result, from July 1998 the Budget subsidy to the SECV will be terminated, improving the </w:t>
      </w:r>
      <w:r>
        <w:t>Budget by $209 million.</w:t>
      </w:r>
    </w:p>
    <w:p w:rsidR="00000000" w:rsidRDefault="001F233B">
      <w:pPr>
        <w:sectPr w:rsidR="00000000">
          <w:headerReference w:type="even" r:id="rId71"/>
          <w:footerReference w:type="even" r:id="rId72"/>
          <w:footerReference w:type="default" r:id="rId73"/>
          <w:type w:val="continuous"/>
          <w:pgSz w:w="11907" w:h="16840" w:code="9"/>
          <w:pgMar w:top="1440" w:right="3402" w:bottom="4082" w:left="1418" w:header="720" w:footer="4253" w:gutter="0"/>
          <w:cols w:space="720"/>
        </w:sectPr>
      </w:pPr>
    </w:p>
    <w:p w:rsidR="00000000" w:rsidRDefault="001F233B">
      <w:pPr>
        <w:sectPr w:rsidR="00000000">
          <w:headerReference w:type="even" r:id="rId74"/>
          <w:footerReference w:type="even" r:id="rId75"/>
          <w:footerReference w:type="default" r:id="rId76"/>
          <w:type w:val="continuous"/>
          <w:pgSz w:w="11907" w:h="16840" w:code="9"/>
          <w:pgMar w:top="1440" w:right="3402" w:bottom="4082" w:left="1418" w:header="720" w:footer="4253" w:gutter="0"/>
          <w:cols w:space="720"/>
        </w:sectPr>
      </w:pPr>
      <w:r>
        <w:br w:type="page"/>
      </w:r>
    </w:p>
    <w:p w:rsidR="00000000" w:rsidRDefault="001F233B">
      <w:pPr>
        <w:pStyle w:val="Heading1"/>
      </w:pPr>
      <w:bookmarkStart w:id="152" w:name="_Toc417482334"/>
      <w:bookmarkStart w:id="153" w:name="_Toc417552106"/>
      <w:r>
        <w:t>Chapter 7: Economic Outlook</w:t>
      </w:r>
      <w:bookmarkEnd w:id="152"/>
      <w:bookmarkEnd w:id="153"/>
    </w:p>
    <w:p w:rsidR="00000000" w:rsidRDefault="001F233B">
      <w:r>
        <w:t>From the low point of recession in the early 1990s the Victorian economy has now experienced six years of continuous growth. Over this period, gross state product</w:t>
      </w:r>
      <w:r>
        <w:fldChar w:fldCharType="begin"/>
      </w:r>
      <w:r>
        <w:instrText>xe "Economy:Gross State Products (GSP)"</w:instrText>
      </w:r>
      <w:r>
        <w:fldChar w:fldCharType="end"/>
      </w:r>
      <w:r>
        <w:t xml:space="preserve"> has grown by almost 25 per cent, private business investment</w:t>
      </w:r>
      <w:r>
        <w:fldChar w:fldCharType="begin"/>
      </w:r>
      <w:r>
        <w:instrText>xe "Economy:Investment"</w:instrText>
      </w:r>
      <w:r>
        <w:fldChar w:fldCharType="end"/>
      </w:r>
      <w:r>
        <w:t xml:space="preserve"> has more than doubled, employment</w:t>
      </w:r>
      <w:r>
        <w:fldChar w:fldCharType="begin"/>
      </w:r>
      <w:r>
        <w:instrText>xe "Economy:Employment"</w:instrText>
      </w:r>
      <w:r>
        <w:fldChar w:fldCharType="end"/>
      </w:r>
      <w:r>
        <w:t xml:space="preserve"> has increased by more than 200 000 persons, and the trend unemployment</w:t>
      </w:r>
      <w:r>
        <w:fldChar w:fldCharType="begin"/>
      </w:r>
      <w:r>
        <w:instrText>xe "Economy:Unemployment"</w:instrText>
      </w:r>
      <w:r>
        <w:fldChar w:fldCharType="end"/>
      </w:r>
      <w:r>
        <w:t xml:space="preserve"> rate has f</w:t>
      </w:r>
      <w:r>
        <w:t>allen from a peak of 12.5 per cent in mid</w:t>
      </w:r>
      <w:r>
        <w:noBreakHyphen/>
        <w:t>1993 to just over 8 per cent.</w:t>
      </w:r>
    </w:p>
    <w:p w:rsidR="00000000" w:rsidRDefault="001F233B">
      <w:r>
        <w:t>Introduction of structural reforms by the Government has improved the competitiveness</w:t>
      </w:r>
      <w:r>
        <w:fldChar w:fldCharType="begin"/>
      </w:r>
      <w:r>
        <w:instrText>xe "Competitiveness"</w:instrText>
      </w:r>
      <w:r>
        <w:fldChar w:fldCharType="end"/>
      </w:r>
      <w:r>
        <w:t xml:space="preserve"> of Victorian businesses and resulted in Victoria’s strong productivity</w:t>
      </w:r>
      <w:r>
        <w:fldChar w:fldCharType="begin"/>
      </w:r>
      <w:r>
        <w:instrText>xe "Economy:Productivity"</w:instrText>
      </w:r>
      <w:r>
        <w:fldChar w:fldCharType="end"/>
      </w:r>
      <w:r>
        <w:t xml:space="preserve"> growth relative to Australia as a whole. Victoria has, for example, replaced Queensland as Australia’s third largest exporter of merchandise. The opportunities created by these reforms have attracted financial and human resources, wit</w:t>
      </w:r>
      <w:r>
        <w:t>h business investment</w:t>
      </w:r>
      <w:r>
        <w:fldChar w:fldCharType="begin"/>
      </w:r>
      <w:r>
        <w:instrText>xe "Economy:Investment"</w:instrText>
      </w:r>
      <w:r>
        <w:fldChar w:fldCharType="end"/>
      </w:r>
      <w:r>
        <w:t xml:space="preserve"> rising strongly and population</w:t>
      </w:r>
      <w:r>
        <w:fldChar w:fldCharType="begin"/>
      </w:r>
      <w:r>
        <w:instrText>xe "Economy:Population"</w:instrText>
      </w:r>
      <w:r>
        <w:fldChar w:fldCharType="end"/>
      </w:r>
      <w:r>
        <w:t xml:space="preserve"> losses to other States dropping from a peak of almost 30 000 in 1993</w:t>
      </w:r>
      <w:r>
        <w:noBreakHyphen/>
        <w:t>94, to under 3 000 in 1997.</w:t>
      </w:r>
    </w:p>
    <w:p w:rsidR="00000000" w:rsidRDefault="001F233B">
      <w:pPr>
        <w:pStyle w:val="Heading2"/>
      </w:pPr>
      <w:bookmarkStart w:id="154" w:name="_Toc417482335"/>
      <w:bookmarkStart w:id="155" w:name="_Toc417552107"/>
      <w:r>
        <w:t>Recent economic trends</w:t>
      </w:r>
      <w:bookmarkEnd w:id="154"/>
      <w:bookmarkEnd w:id="155"/>
    </w:p>
    <w:p w:rsidR="00000000" w:rsidRDefault="001F233B">
      <w:r>
        <w:t>Victoria experienced a surge in demand in 1997, well in advance of the pick</w:t>
      </w:r>
      <w:r>
        <w:noBreakHyphen/>
        <w:t>up at the national level (see Chart 7.1). Annual growth in trend state final demand</w:t>
      </w:r>
      <w:r>
        <w:fldChar w:fldCharType="begin"/>
      </w:r>
      <w:r>
        <w:instrText>xe "Economy:State final demand"</w:instrText>
      </w:r>
      <w:r>
        <w:fldChar w:fldCharType="end"/>
      </w:r>
      <w:r>
        <w:t xml:space="preserve"> rose from around 4.5 per cent in 1996 to peak at 7.3 per cent during 1996</w:t>
      </w:r>
      <w:r>
        <w:noBreakHyphen/>
        <w:t>97. Consumer spending</w:t>
      </w:r>
      <w:r>
        <w:fldChar w:fldCharType="begin"/>
      </w:r>
      <w:r>
        <w:instrText>xe "Economy:Consumer spending"</w:instrText>
      </w:r>
      <w:r>
        <w:fldChar w:fldCharType="end"/>
      </w:r>
      <w:r>
        <w:t xml:space="preserve"> grew strongly and was supported by a cyclical upswing in the housing sector and a strong rise in private business investment</w:t>
      </w:r>
      <w:r>
        <w:fldChar w:fldCharType="begin"/>
      </w:r>
      <w:r>
        <w:instrText>xe "Economy:Investment"</w:instrText>
      </w:r>
      <w:r>
        <w:fldChar w:fldCharType="end"/>
      </w:r>
      <w:r>
        <w:t>.</w:t>
      </w:r>
    </w:p>
    <w:p w:rsidR="00000000" w:rsidRDefault="001F233B">
      <w:r>
        <w:t>Both demand growth and private business investment</w:t>
      </w:r>
      <w:r>
        <w:fldChar w:fldCharType="begin"/>
      </w:r>
      <w:r>
        <w:instrText>xe "Economy:Investment"</w:instrText>
      </w:r>
      <w:r>
        <w:fldChar w:fldCharType="end"/>
      </w:r>
      <w:r>
        <w:t xml:space="preserve"> eased in Victoria in the second half of 1997. However, demand growth was still running at around 4 per cent per annum, being supported by strong growth in consumer spending</w:t>
      </w:r>
      <w:r>
        <w:fldChar w:fldCharType="begin"/>
      </w:r>
      <w:r>
        <w:instrText>xe "Economy:Consumer spending"</w:instrText>
      </w:r>
      <w:r>
        <w:fldChar w:fldCharType="end"/>
      </w:r>
      <w:r>
        <w:t xml:space="preserve"> and housing investment.</w:t>
      </w:r>
    </w:p>
    <w:p w:rsidR="00000000" w:rsidRDefault="001F233B">
      <w:r>
        <w:t>At the same time, Victor</w:t>
      </w:r>
      <w:r>
        <w:t>ian and national labour market conditions improved significantly (see Chart 7.1). Between July 1997 and March 1998, Victorian employment</w:t>
      </w:r>
      <w:r>
        <w:fldChar w:fldCharType="begin"/>
      </w:r>
      <w:r>
        <w:instrText>xe "Economy:Employment"</w:instrText>
      </w:r>
      <w:r>
        <w:fldChar w:fldCharType="end"/>
      </w:r>
      <w:r>
        <w:t xml:space="preserve"> rose steadily, by an average of around 5000 persons per month. Trend Victorian employment reached its highest level on record in March 1998 (2 131 200 persons). </w:t>
      </w:r>
    </w:p>
    <w:p w:rsidR="00000000" w:rsidRDefault="001F233B">
      <w:pPr>
        <w:pStyle w:val="Chartheading"/>
        <w:keepNext/>
        <w:keepLines/>
      </w:pPr>
      <w:r>
        <w:t>Chart 7.1: Activity Indicators</w:t>
      </w:r>
      <w:r>
        <w:rPr>
          <w:i/>
          <w:vertAlign w:val="superscript"/>
        </w:rPr>
        <w:t>(a)(b)</w:t>
      </w:r>
    </w:p>
    <w:p w:rsidR="00000000" w:rsidRDefault="001F233B">
      <w:pPr>
        <w:pStyle w:val="Source"/>
        <w:tabs>
          <w:tab w:val="left" w:pos="720"/>
        </w:tabs>
        <w:spacing w:after="0"/>
        <w:rPr>
          <w:i w:val="0"/>
          <w:sz w:val="22"/>
        </w:rPr>
      </w:pPr>
      <w:r>
        <w:rPr>
          <w:i w:val="0"/>
          <w:noProof/>
          <w:sz w:val="20"/>
        </w:rPr>
        <w:drawing>
          <wp:inline distT="0" distB="0" distL="0" distR="0">
            <wp:extent cx="4400550" cy="2486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400550" cy="2486025"/>
                    </a:xfrm>
                    <a:prstGeom prst="rect">
                      <a:avLst/>
                    </a:prstGeom>
                    <a:noFill/>
                    <a:ln>
                      <a:noFill/>
                    </a:ln>
                  </pic:spPr>
                </pic:pic>
              </a:graphicData>
            </a:graphic>
          </wp:inline>
        </w:drawing>
      </w:r>
      <w:r>
        <w:rPr>
          <w:i w:val="0"/>
          <w:noProof/>
          <w:sz w:val="20"/>
        </w:rPr>
        <w:drawing>
          <wp:inline distT="0" distB="0" distL="0" distR="0">
            <wp:extent cx="4400550" cy="24860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400550" cy="2486025"/>
                    </a:xfrm>
                    <a:prstGeom prst="rect">
                      <a:avLst/>
                    </a:prstGeom>
                    <a:noFill/>
                    <a:ln>
                      <a:noFill/>
                    </a:ln>
                  </pic:spPr>
                </pic:pic>
              </a:graphicData>
            </a:graphic>
          </wp:inline>
        </w:drawing>
      </w:r>
    </w:p>
    <w:p w:rsidR="00000000" w:rsidRDefault="001F233B">
      <w:pPr>
        <w:pStyle w:val="Source"/>
        <w:tabs>
          <w:tab w:val="left" w:pos="720"/>
        </w:tabs>
        <w:spacing w:after="0"/>
        <w:ind w:left="720" w:hanging="720"/>
      </w:pPr>
      <w:r>
        <w:t>Sources:</w:t>
      </w:r>
      <w:r>
        <w:tab/>
        <w:t>Australian Bureau of Statistics, Cat. No. 5206.0, Prod. No. 5206.0.40.001 and Cat. No. 6202.0.</w:t>
      </w:r>
    </w:p>
    <w:p w:rsidR="00000000" w:rsidRDefault="001F233B">
      <w:pPr>
        <w:pStyle w:val="Notes"/>
        <w:spacing w:before="120"/>
      </w:pPr>
      <w:r>
        <w:t>Note:</w:t>
      </w:r>
    </w:p>
    <w:p w:rsidR="00000000" w:rsidRDefault="001F233B" w:rsidP="001F233B">
      <w:pPr>
        <w:pStyle w:val="Notes"/>
        <w:numPr>
          <w:ilvl w:val="0"/>
          <w:numId w:val="12"/>
        </w:numPr>
        <w:tabs>
          <w:tab w:val="clear" w:pos="454"/>
          <w:tab w:val="left" w:pos="450"/>
        </w:tabs>
      </w:pPr>
      <w:r>
        <w:t>Trend data.</w:t>
      </w:r>
    </w:p>
    <w:p w:rsidR="00000000" w:rsidRDefault="001F233B" w:rsidP="001F233B">
      <w:pPr>
        <w:pStyle w:val="Notes"/>
        <w:numPr>
          <w:ilvl w:val="0"/>
          <w:numId w:val="12"/>
        </w:numPr>
        <w:tabs>
          <w:tab w:val="clear" w:pos="454"/>
          <w:tab w:val="left" w:pos="450"/>
        </w:tabs>
      </w:pPr>
      <w:r>
        <w:t xml:space="preserve">Latest state and domestic </w:t>
      </w:r>
      <w:r>
        <w:t>final demand data are as at December quarter 1997.</w:t>
      </w:r>
    </w:p>
    <w:p w:rsidR="00000000" w:rsidRDefault="001F233B">
      <w:pPr>
        <w:pStyle w:val="Notes"/>
      </w:pPr>
    </w:p>
    <w:p w:rsidR="00000000" w:rsidRDefault="001F233B">
      <w:r>
        <w:t>Progressive improvement in Victoria’s economic conditions has helped reverse population</w:t>
      </w:r>
      <w:r>
        <w:fldChar w:fldCharType="begin"/>
      </w:r>
      <w:r>
        <w:instrText>xe "Economy:Population"</w:instrText>
      </w:r>
      <w:r>
        <w:fldChar w:fldCharType="end"/>
      </w:r>
      <w:r>
        <w:t xml:space="preserve"> losses to other States. In the December quarter 1997, Victoria was estimated to have gained net population from other States for the first time since this measure was recorded in 1980 (see Chart 7.2).</w:t>
      </w:r>
    </w:p>
    <w:p w:rsidR="00000000" w:rsidRDefault="001F233B">
      <w:pPr>
        <w:pStyle w:val="Chartheading"/>
        <w:keepNext/>
      </w:pPr>
      <w:r>
        <w:t>Chart 7.2: Net Interstate Migration to Victoria</w:t>
      </w:r>
    </w:p>
    <w:p w:rsidR="00000000" w:rsidRDefault="001F233B">
      <w:pPr>
        <w:rPr>
          <w:i/>
          <w:sz w:val="18"/>
        </w:rPr>
      </w:pPr>
      <w:r>
        <w:rPr>
          <w:noProof/>
          <w:sz w:val="20"/>
        </w:rPr>
        <w:drawing>
          <wp:inline distT="0" distB="0" distL="0" distR="0">
            <wp:extent cx="4476750" cy="2400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476750" cy="2400300"/>
                    </a:xfrm>
                    <a:prstGeom prst="rect">
                      <a:avLst/>
                    </a:prstGeom>
                    <a:noFill/>
                    <a:ln>
                      <a:noFill/>
                    </a:ln>
                  </pic:spPr>
                </pic:pic>
              </a:graphicData>
            </a:graphic>
          </wp:inline>
        </w:drawing>
      </w:r>
      <w:r>
        <w:rPr>
          <w:i/>
          <w:sz w:val="18"/>
        </w:rPr>
        <w:t>Source: Australian Bureau of Statistics, Cat. No. 3101.0.</w:t>
      </w:r>
    </w:p>
    <w:p w:rsidR="00000000" w:rsidRDefault="001F233B">
      <w:pPr>
        <w:pStyle w:val="Heading2"/>
      </w:pPr>
      <w:bookmarkStart w:id="156" w:name="_Toc417482336"/>
      <w:bookmarkStart w:id="157" w:name="_Toc417552108"/>
      <w:r>
        <w:t>The impact of recent developments in Ea</w:t>
      </w:r>
      <w:r>
        <w:t>st Asia</w:t>
      </w:r>
      <w:bookmarkEnd w:id="156"/>
      <w:bookmarkEnd w:id="157"/>
      <w:r>
        <w:fldChar w:fldCharType="begin"/>
      </w:r>
      <w:r>
        <w:instrText>xe "Economy:East Asia"</w:instrText>
      </w:r>
      <w:r>
        <w:fldChar w:fldCharType="end"/>
      </w:r>
    </w:p>
    <w:p w:rsidR="00000000" w:rsidRDefault="001F233B">
      <w:r>
        <w:t>The outlook for the Victorian and national economies remains uncertain in light of the financial and economic disturbances affecting East Asia</w:t>
      </w:r>
      <w:r>
        <w:fldChar w:fldCharType="begin"/>
      </w:r>
      <w:r>
        <w:instrText>xe "Economy:East Asia"</w:instrText>
      </w:r>
      <w:r>
        <w:fldChar w:fldCharType="end"/>
      </w:r>
      <w:r>
        <w:t>. While there is likely to be a contractionary impact on East Asian demand for Australian exports</w:t>
      </w:r>
      <w:r>
        <w:fldChar w:fldCharType="begin"/>
      </w:r>
      <w:r>
        <w:instrText>xe "Economy:Exports"</w:instrText>
      </w:r>
      <w:r>
        <w:fldChar w:fldCharType="end"/>
      </w:r>
      <w:r>
        <w:t>, Victoria is unlikely to be more severely affected by the East Asian slowdown than the rest of Australia.</w:t>
      </w:r>
    </w:p>
    <w:p w:rsidR="00000000" w:rsidRDefault="001F233B">
      <w:r>
        <w:t>Following relatively subdued growth of around just over 4 per cent in 1997, private fore</w:t>
      </w:r>
      <w:r>
        <w:t>casters now expect South</w:t>
      </w:r>
      <w:r>
        <w:noBreakHyphen/>
        <w:t>East Asia</w:t>
      </w:r>
      <w:r>
        <w:fldChar w:fldCharType="begin"/>
      </w:r>
      <w:r>
        <w:instrText>xe "Asia"</w:instrText>
      </w:r>
      <w:r>
        <w:fldChar w:fldCharType="end"/>
      </w:r>
      <w:r>
        <w:t xml:space="preserve"> to be in recession in 1998. Growth in North</w:t>
      </w:r>
      <w:r>
        <w:noBreakHyphen/>
        <w:t>East Asia (outside Japan) is expected to decline from over 7 per cent in 1997 to around 4½ per cent in 1998, mainly due to economic difficulties being experienced by South Korea. In Japan, another year of little or no growth is expected, and government attempts to stimulate its economy are yet to have a significant impact.</w:t>
      </w:r>
    </w:p>
    <w:p w:rsidR="00000000" w:rsidRDefault="001F233B">
      <w:r>
        <w:t>Lower East Asian</w:t>
      </w:r>
      <w:r>
        <w:fldChar w:fldCharType="begin"/>
      </w:r>
      <w:r>
        <w:instrText>xe "Economy:East Asia"</w:instrText>
      </w:r>
      <w:r>
        <w:fldChar w:fldCharType="end"/>
      </w:r>
      <w:r>
        <w:t xml:space="preserve"> economic activity may also place downward pressure on gl</w:t>
      </w:r>
      <w:r>
        <w:t>obal commodity prices. Mineral prices (in US dollars) have been declining since the middle of 1997 and the advances in rural commodity prices in the first half of 1997 have largely dissipated.</w:t>
      </w:r>
    </w:p>
    <w:p w:rsidR="00000000" w:rsidRDefault="001F233B">
      <w:r>
        <w:br w:type="page"/>
        <w:t>In 1996</w:t>
      </w:r>
      <w:r>
        <w:noBreakHyphen/>
        <w:t>97, East Asia</w:t>
      </w:r>
      <w:r>
        <w:fldChar w:fldCharType="begin"/>
      </w:r>
      <w:r>
        <w:instrText>xe "Economy:East Asia"</w:instrText>
      </w:r>
      <w:r>
        <w:fldChar w:fldCharType="end"/>
      </w:r>
      <w:r>
        <w:t xml:space="preserve"> and Japan accounted for almost 60 per cent of Australia’s merchandise exports</w:t>
      </w:r>
      <w:r>
        <w:fldChar w:fldCharType="begin"/>
      </w:r>
      <w:r>
        <w:instrText>xe "Economy:Exports"</w:instrText>
      </w:r>
      <w:r>
        <w:fldChar w:fldCharType="end"/>
      </w:r>
      <w:r>
        <w:t>, and for a little over half of those from Victoria. In 1995</w:t>
      </w:r>
      <w:r>
        <w:noBreakHyphen/>
        <w:t>96, East Asia</w:t>
      </w:r>
      <w:r>
        <w:fldChar w:fldCharType="begin"/>
      </w:r>
      <w:r>
        <w:instrText>xe "Asia"</w:instrText>
      </w:r>
      <w:r>
        <w:fldChar w:fldCharType="end"/>
      </w:r>
      <w:r>
        <w:t xml:space="preserve"> and Japan also accounted for around 45 per cent of Australia’s exports of services.</w:t>
      </w:r>
    </w:p>
    <w:p w:rsidR="00000000" w:rsidRDefault="001F233B">
      <w:r>
        <w:t>Vic</w:t>
      </w:r>
      <w:r>
        <w:t>toria’s exposure to the most vulnerable economies in East Asia</w:t>
      </w:r>
      <w:r>
        <w:fldChar w:fldCharType="begin"/>
      </w:r>
      <w:r>
        <w:instrText>xe "Economy:East Asia"</w:instrText>
      </w:r>
      <w:r>
        <w:fldChar w:fldCharType="end"/>
      </w:r>
      <w:r>
        <w:t>, those of South</w:t>
      </w:r>
      <w:r>
        <w:noBreakHyphen/>
        <w:t>East Asia</w:t>
      </w:r>
      <w:r>
        <w:fldChar w:fldCharType="begin"/>
      </w:r>
      <w:r>
        <w:instrText>xe "Asia"</w:instrText>
      </w:r>
      <w:r>
        <w:fldChar w:fldCharType="end"/>
      </w:r>
      <w:r>
        <w:t xml:space="preserve"> and South Korea, is about the same as for Australia as a whole. In 1996</w:t>
      </w:r>
      <w:r>
        <w:noBreakHyphen/>
        <w:t>97, demand for Victorian merchandise exports</w:t>
      </w:r>
      <w:r>
        <w:fldChar w:fldCharType="begin"/>
      </w:r>
      <w:r>
        <w:instrText>xe "Economy:Exports"</w:instrText>
      </w:r>
      <w:r>
        <w:fldChar w:fldCharType="end"/>
      </w:r>
      <w:r>
        <w:t xml:space="preserve"> from these regions comprised 3.7 per cent of Victorian GSP</w:t>
      </w:r>
      <w:r>
        <w:fldChar w:fldCharType="begin"/>
      </w:r>
      <w:r>
        <w:instrText>xe "Economy:Gross State Products (GSP)"</w:instrText>
      </w:r>
      <w:r>
        <w:fldChar w:fldCharType="end"/>
      </w:r>
      <w:r>
        <w:t>, a similar proportion to that for Australia as a whole.</w:t>
      </w:r>
    </w:p>
    <w:p w:rsidR="00000000" w:rsidRDefault="001F233B">
      <w:r>
        <w:t>Processed food, machinery, and some raw materials are among Victorian merchandise exports</w:t>
      </w:r>
      <w:r>
        <w:fldChar w:fldCharType="begin"/>
      </w:r>
      <w:r>
        <w:instrText xml:space="preserve">xe </w:instrText>
      </w:r>
      <w:r>
        <w:instrText>"Economy:Exports"</w:instrText>
      </w:r>
      <w:r>
        <w:fldChar w:fldCharType="end"/>
      </w:r>
      <w:r>
        <w:t xml:space="preserve"> most likely to be affected by a slowdown in East Asia</w:t>
      </w:r>
      <w:r>
        <w:fldChar w:fldCharType="begin"/>
      </w:r>
      <w:r>
        <w:instrText>xe "Economy:East Asia"</w:instrText>
      </w:r>
      <w:r>
        <w:fldChar w:fldCharType="end"/>
      </w:r>
      <w:r>
        <w:t>. However, the Asian economic slowdown has yet to be reflected in overall Victorian export earnings. The eight months ending February 1998 compared with the same period last year, saw Victorian merchandise exports to South</w:t>
      </w:r>
      <w:r>
        <w:noBreakHyphen/>
        <w:t>East Asia</w:t>
      </w:r>
      <w:r>
        <w:fldChar w:fldCharType="begin"/>
      </w:r>
      <w:r>
        <w:instrText>xe "Asia"</w:instrText>
      </w:r>
      <w:r>
        <w:fldChar w:fldCharType="end"/>
      </w:r>
      <w:r>
        <w:t xml:space="preserve"> and South Korea fall by one</w:t>
      </w:r>
      <w:r>
        <w:noBreakHyphen/>
        <w:t>sixth, but Victorian exports to all other East Asian countries (including Japan) and the rest of the world actually increased in the same period</w:t>
      </w:r>
      <w:r>
        <w:t xml:space="preserve"> (see Chart 7.3). A significant decline in gold exports to South Korea was largely offset by increased gold exports to other Asian countries, notably Hong Kong. In assessing the economic impact on the State, it should be noted that much of Victoria’s gold exports are mined outside the State.</w:t>
      </w:r>
    </w:p>
    <w:p w:rsidR="00000000" w:rsidRDefault="001F233B">
      <w:r>
        <w:t>Turning to earnings from the exports</w:t>
      </w:r>
      <w:r>
        <w:fldChar w:fldCharType="begin"/>
      </w:r>
      <w:r>
        <w:instrText>xe "Economy:Exports"</w:instrText>
      </w:r>
      <w:r>
        <w:fldChar w:fldCharType="end"/>
      </w:r>
      <w:r>
        <w:t xml:space="preserve"> of services, Victoria should be less affected on average than other States by any downturn in international tourism</w:t>
      </w:r>
      <w:r>
        <w:fldChar w:fldCharType="begin"/>
      </w:r>
      <w:r>
        <w:instrText>xe "Tourism"</w:instrText>
      </w:r>
      <w:r>
        <w:fldChar w:fldCharType="end"/>
      </w:r>
      <w:r>
        <w:t xml:space="preserve"> from East Asia</w:t>
      </w:r>
      <w:r>
        <w:fldChar w:fldCharType="begin"/>
      </w:r>
      <w:r>
        <w:instrText>xe "Economy:Eas</w:instrText>
      </w:r>
      <w:r>
        <w:instrText>t Asia"</w:instrText>
      </w:r>
      <w:r>
        <w:fldChar w:fldCharType="end"/>
      </w:r>
      <w:r>
        <w:t>. Total short</w:t>
      </w:r>
      <w:r>
        <w:noBreakHyphen/>
        <w:t>term international visitor arrivals to Victoria in 1997 were around 14 per cent of the national total, and Victoria’s share of international visitor nights in 1996</w:t>
      </w:r>
      <w:r>
        <w:noBreakHyphen/>
        <w:t xml:space="preserve">97 was around 19 per cent. </w:t>
      </w:r>
    </w:p>
    <w:p w:rsidR="00000000" w:rsidRDefault="001F233B">
      <w:r>
        <w:t>Victorian educational institutions appear to have a similar degree of reliance on overseas students, particularly from the vulnerable East Asia</w:t>
      </w:r>
      <w:r>
        <w:fldChar w:fldCharType="begin"/>
      </w:r>
      <w:r>
        <w:instrText>xe "Economy:East Asia"</w:instrText>
      </w:r>
      <w:r>
        <w:fldChar w:fldCharType="end"/>
      </w:r>
      <w:r>
        <w:t>n countries, as the national average. In 1997, 26 per cent of overseas students in Australia, and only about 15 per cent of South K</w:t>
      </w:r>
      <w:r>
        <w:t>orean students, studied in Victoria. Students from Malaysia and Singapore, however, tended to be more heavily represented in Victoria than elsewhere.</w:t>
      </w:r>
    </w:p>
    <w:p w:rsidR="00000000" w:rsidRDefault="001F233B"/>
    <w:p w:rsidR="00000000" w:rsidRDefault="001F233B">
      <w:pPr>
        <w:pStyle w:val="Chartheading"/>
        <w:keepNext/>
        <w:keepLines/>
      </w:pPr>
      <w:r>
        <w:t>Chart 7.3: International Merchandise Exports</w:t>
      </w:r>
      <w:r>
        <w:fldChar w:fldCharType="begin"/>
      </w:r>
      <w:r>
        <w:instrText>xe "Economy:Exports"</w:instrText>
      </w:r>
      <w:r>
        <w:fldChar w:fldCharType="end"/>
      </w:r>
      <w:r>
        <w:t xml:space="preserve"> from Victoria</w:t>
      </w:r>
    </w:p>
    <w:p w:rsidR="00000000" w:rsidRDefault="001F233B">
      <w:pPr>
        <w:rPr>
          <w:i/>
          <w:sz w:val="18"/>
        </w:rPr>
      </w:pPr>
      <w:r>
        <w:rPr>
          <w:noProof/>
          <w:sz w:val="20"/>
        </w:rPr>
        <w:drawing>
          <wp:inline distT="0" distB="0" distL="0" distR="0">
            <wp:extent cx="4476750" cy="2533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476750" cy="2533650"/>
                    </a:xfrm>
                    <a:prstGeom prst="rect">
                      <a:avLst/>
                    </a:prstGeom>
                    <a:noFill/>
                    <a:ln>
                      <a:noFill/>
                    </a:ln>
                  </pic:spPr>
                </pic:pic>
              </a:graphicData>
            </a:graphic>
          </wp:inline>
        </w:drawing>
      </w:r>
      <w:r>
        <w:rPr>
          <w:i/>
          <w:sz w:val="18"/>
        </w:rPr>
        <w:t>Source: Unpublished Australian Bureau of Statistics foreign trade data.</w:t>
      </w:r>
    </w:p>
    <w:p w:rsidR="00000000" w:rsidRDefault="001F233B">
      <w:pPr>
        <w:rPr>
          <w:i/>
          <w:sz w:val="18"/>
        </w:rPr>
      </w:pPr>
    </w:p>
    <w:p w:rsidR="00000000" w:rsidRDefault="001F233B">
      <w:r>
        <w:t>The adverse impact on growth elsewhere in Australia is likely to result in reduced interstate exports</w:t>
      </w:r>
      <w:r>
        <w:fldChar w:fldCharType="begin"/>
      </w:r>
      <w:r>
        <w:instrText>xe "Economy:Exports"</w:instrText>
      </w:r>
      <w:r>
        <w:fldChar w:fldCharType="end"/>
      </w:r>
      <w:r>
        <w:t xml:space="preserve"> and income for Victoria. The East Asia</w:t>
      </w:r>
      <w:r>
        <w:fldChar w:fldCharType="begin"/>
      </w:r>
      <w:r>
        <w:instrText>xe "Economy:East Asia"</w:instrText>
      </w:r>
      <w:r>
        <w:fldChar w:fldCharType="end"/>
      </w:r>
      <w:r>
        <w:t>n currency realignme</w:t>
      </w:r>
      <w:r>
        <w:t>nts also mean that there is greater scope for cheaper imports into Australia from the region.</w:t>
      </w:r>
    </w:p>
    <w:p w:rsidR="00000000" w:rsidRDefault="001F233B">
      <w:pPr>
        <w:pStyle w:val="Heading2"/>
      </w:pPr>
      <w:bookmarkStart w:id="158" w:name="_Toc417482337"/>
      <w:bookmarkStart w:id="159" w:name="_Toc417552109"/>
      <w:r>
        <w:t>Economic outlook</w:t>
      </w:r>
      <w:bookmarkEnd w:id="158"/>
      <w:bookmarkEnd w:id="159"/>
    </w:p>
    <w:p w:rsidR="00000000" w:rsidRDefault="001F233B">
      <w:r>
        <w:t>This section discusses the economic projections for Victoria and Australia over the forward estimates period (see Table 7.1).</w:t>
      </w:r>
    </w:p>
    <w:p w:rsidR="00000000" w:rsidRDefault="001F233B">
      <w:pPr>
        <w:pStyle w:val="Heading3"/>
      </w:pPr>
      <w:r>
        <w:t>The short</w:t>
      </w:r>
      <w:r>
        <w:noBreakHyphen/>
        <w:t>term outlook</w:t>
      </w:r>
    </w:p>
    <w:p w:rsidR="00000000" w:rsidRDefault="001F233B">
      <w:r>
        <w:t>The recent momentum in Victorian consumer spending</w:t>
      </w:r>
      <w:r>
        <w:fldChar w:fldCharType="begin"/>
      </w:r>
      <w:r>
        <w:instrText>xe "Economy:Consumer spending"</w:instrText>
      </w:r>
      <w:r>
        <w:fldChar w:fldCharType="end"/>
      </w:r>
      <w:r>
        <w:t xml:space="preserve"> is expected to continue into the first half of 1998 based on the improvement in the labour market. The pick</w:t>
      </w:r>
      <w:r>
        <w:noBreakHyphen/>
        <w:t xml:space="preserve">up in construction on new dwellings and additions may add to </w:t>
      </w:r>
      <w:r>
        <w:t>the demand for household equipment and furnishings.</w:t>
      </w:r>
    </w:p>
    <w:p w:rsidR="00000000" w:rsidRDefault="001F233B">
      <w:pPr>
        <w:pStyle w:val="Tableheading"/>
        <w:keepNext/>
        <w:rPr>
          <w:vertAlign w:val="superscript"/>
        </w:rPr>
      </w:pPr>
      <w:r>
        <w:br w:type="page"/>
      </w:r>
      <w:bookmarkStart w:id="160" w:name="_Toc417482518"/>
      <w:bookmarkStart w:id="161" w:name="_Toc417552766"/>
      <w:r>
        <w:t xml:space="preserve">Table 7.1: Victorian Economic Projections </w:t>
      </w:r>
      <w:r>
        <w:rPr>
          <w:i/>
          <w:vertAlign w:val="superscript"/>
        </w:rPr>
        <w:t>(a)</w:t>
      </w:r>
      <w:bookmarkEnd w:id="160"/>
      <w:bookmarkEnd w:id="161"/>
    </w:p>
    <w:tbl>
      <w:tblPr>
        <w:tblW w:w="0" w:type="auto"/>
        <w:tblLayout w:type="fixed"/>
        <w:tblCellMar>
          <w:left w:w="28" w:type="dxa"/>
          <w:right w:w="28" w:type="dxa"/>
        </w:tblCellMar>
        <w:tblLook w:val="0000" w:firstRow="0" w:lastRow="0" w:firstColumn="0" w:lastColumn="0" w:noHBand="0" w:noVBand="0"/>
      </w:tblPr>
      <w:tblGrid>
        <w:gridCol w:w="3005"/>
        <w:gridCol w:w="811"/>
        <w:gridCol w:w="227"/>
        <w:gridCol w:w="811"/>
        <w:gridCol w:w="227"/>
        <w:gridCol w:w="811"/>
        <w:gridCol w:w="227"/>
        <w:gridCol w:w="811"/>
        <w:gridCol w:w="227"/>
      </w:tblGrid>
      <w:tr w:rsidR="00000000">
        <w:tblPrEx>
          <w:tblCellMar>
            <w:top w:w="0" w:type="dxa"/>
            <w:bottom w:w="0" w:type="dxa"/>
          </w:tblCellMar>
        </w:tblPrEx>
        <w:tc>
          <w:tcPr>
            <w:tcW w:w="3005" w:type="dxa"/>
            <w:tcBorders>
              <w:top w:val="single" w:sz="6" w:space="0" w:color="auto"/>
            </w:tcBorders>
          </w:tcPr>
          <w:p w:rsidR="00000000" w:rsidRDefault="001F233B">
            <w:pPr>
              <w:pStyle w:val="Tabletext"/>
              <w:rPr>
                <w:i/>
              </w:rPr>
            </w:pPr>
          </w:p>
        </w:tc>
        <w:tc>
          <w:tcPr>
            <w:tcW w:w="4150" w:type="dxa"/>
            <w:gridSpan w:val="8"/>
            <w:tcBorders>
              <w:top w:val="single" w:sz="6" w:space="0" w:color="auto"/>
            </w:tcBorders>
          </w:tcPr>
          <w:p w:rsidR="00000000" w:rsidRDefault="001F233B">
            <w:pPr>
              <w:pStyle w:val="Tabletextheading"/>
              <w:jc w:val="center"/>
              <w:rPr>
                <w:b w:val="0"/>
                <w:i/>
              </w:rPr>
            </w:pPr>
            <w:r>
              <w:rPr>
                <w:b w:val="0"/>
                <w:i/>
              </w:rPr>
              <w:t>Forecasts</w:t>
            </w:r>
            <w:r>
              <w:rPr>
                <w:b w:val="0"/>
                <w:i/>
              </w:rPr>
              <w:fldChar w:fldCharType="begin"/>
            </w:r>
            <w:r>
              <w:rPr>
                <w:b w:val="0"/>
                <w:i/>
              </w:rPr>
              <w:instrText>xe "Economy:Forecasts"</w:instrText>
            </w:r>
            <w:r>
              <w:rPr>
                <w:b w:val="0"/>
                <w:i/>
              </w:rPr>
              <w:fldChar w:fldCharType="end"/>
            </w:r>
          </w:p>
        </w:tc>
      </w:tr>
      <w:tr w:rsidR="00000000">
        <w:tblPrEx>
          <w:tblCellMar>
            <w:top w:w="0" w:type="dxa"/>
            <w:bottom w:w="0" w:type="dxa"/>
          </w:tblCellMar>
        </w:tblPrEx>
        <w:tc>
          <w:tcPr>
            <w:tcW w:w="3005" w:type="dxa"/>
            <w:tcBorders>
              <w:bottom w:val="single" w:sz="6" w:space="0" w:color="auto"/>
            </w:tcBorders>
          </w:tcPr>
          <w:p w:rsidR="00000000" w:rsidRDefault="001F233B">
            <w:pPr>
              <w:pStyle w:val="Tabletext"/>
              <w:rPr>
                <w:i/>
              </w:rPr>
            </w:pPr>
          </w:p>
        </w:tc>
        <w:tc>
          <w:tcPr>
            <w:tcW w:w="1038" w:type="dxa"/>
            <w:gridSpan w:val="2"/>
            <w:tcBorders>
              <w:bottom w:val="single" w:sz="6" w:space="0" w:color="auto"/>
            </w:tcBorders>
          </w:tcPr>
          <w:p w:rsidR="00000000" w:rsidRDefault="001F233B">
            <w:pPr>
              <w:pStyle w:val="Tabletextheading"/>
              <w:rPr>
                <w:b w:val="0"/>
                <w:i/>
              </w:rPr>
            </w:pPr>
            <w:r>
              <w:rPr>
                <w:b w:val="0"/>
                <w:i/>
              </w:rPr>
              <w:t>1997</w:t>
            </w:r>
            <w:r>
              <w:rPr>
                <w:b w:val="0"/>
                <w:i/>
              </w:rPr>
              <w:noBreakHyphen/>
              <w:t>98</w:t>
            </w:r>
          </w:p>
        </w:tc>
        <w:tc>
          <w:tcPr>
            <w:tcW w:w="1038" w:type="dxa"/>
            <w:gridSpan w:val="2"/>
            <w:tcBorders>
              <w:bottom w:val="single" w:sz="6" w:space="0" w:color="auto"/>
            </w:tcBorders>
          </w:tcPr>
          <w:p w:rsidR="00000000" w:rsidRDefault="001F233B">
            <w:pPr>
              <w:pStyle w:val="Tabletextheading"/>
              <w:rPr>
                <w:b w:val="0"/>
                <w:i/>
              </w:rPr>
            </w:pPr>
            <w:r>
              <w:rPr>
                <w:b w:val="0"/>
                <w:i/>
              </w:rPr>
              <w:t>1998</w:t>
            </w:r>
            <w:r>
              <w:rPr>
                <w:b w:val="0"/>
                <w:i/>
              </w:rPr>
              <w:noBreakHyphen/>
              <w:t>99</w:t>
            </w:r>
          </w:p>
        </w:tc>
        <w:tc>
          <w:tcPr>
            <w:tcW w:w="1038" w:type="dxa"/>
            <w:gridSpan w:val="2"/>
            <w:tcBorders>
              <w:bottom w:val="single" w:sz="6" w:space="0" w:color="auto"/>
            </w:tcBorders>
          </w:tcPr>
          <w:p w:rsidR="00000000" w:rsidRDefault="001F233B">
            <w:pPr>
              <w:pStyle w:val="Tabletextheading"/>
              <w:rPr>
                <w:b w:val="0"/>
                <w:i/>
              </w:rPr>
            </w:pPr>
            <w:r>
              <w:rPr>
                <w:b w:val="0"/>
                <w:i/>
              </w:rPr>
              <w:t>1999</w:t>
            </w:r>
            <w:r>
              <w:rPr>
                <w:b w:val="0"/>
                <w:i/>
              </w:rPr>
              <w:noBreakHyphen/>
              <w:t>00</w:t>
            </w:r>
          </w:p>
        </w:tc>
        <w:tc>
          <w:tcPr>
            <w:tcW w:w="1038" w:type="dxa"/>
            <w:gridSpan w:val="2"/>
            <w:tcBorders>
              <w:bottom w:val="single" w:sz="6" w:space="0" w:color="auto"/>
            </w:tcBorders>
          </w:tcPr>
          <w:p w:rsidR="00000000" w:rsidRDefault="001F233B">
            <w:pPr>
              <w:pStyle w:val="Tabletextheading"/>
              <w:rPr>
                <w:b w:val="0"/>
                <w:i/>
              </w:rPr>
            </w:pPr>
            <w:r>
              <w:rPr>
                <w:b w:val="0"/>
                <w:i/>
              </w:rPr>
              <w:t>2000</w:t>
            </w:r>
            <w:r>
              <w:rPr>
                <w:b w:val="0"/>
                <w:i/>
              </w:rPr>
              <w:noBreakHyphen/>
              <w:t>01</w:t>
            </w:r>
          </w:p>
          <w:p w:rsidR="00000000" w:rsidRDefault="001F233B">
            <w:pPr>
              <w:pStyle w:val="Tabletextheading"/>
              <w:rPr>
                <w:b w:val="0"/>
                <w:i/>
              </w:rPr>
            </w:pPr>
            <w:r>
              <w:rPr>
                <w:b w:val="0"/>
                <w:i/>
              </w:rPr>
              <w:t xml:space="preserve"> to 2001</w:t>
            </w:r>
            <w:r>
              <w:rPr>
                <w:b w:val="0"/>
                <w:i/>
              </w:rPr>
              <w:noBreakHyphen/>
              <w:t>02 (average)</w:t>
            </w:r>
          </w:p>
        </w:tc>
      </w:tr>
      <w:tr w:rsidR="00000000">
        <w:tblPrEx>
          <w:tblCellMar>
            <w:top w:w="0" w:type="dxa"/>
            <w:bottom w:w="0" w:type="dxa"/>
          </w:tblCellMar>
        </w:tblPrEx>
        <w:trPr>
          <w:trHeight w:val="320"/>
        </w:trPr>
        <w:tc>
          <w:tcPr>
            <w:tcW w:w="3005" w:type="dxa"/>
          </w:tcPr>
          <w:p w:rsidR="00000000" w:rsidRDefault="001F233B">
            <w:pPr>
              <w:pStyle w:val="Tabletext"/>
            </w:pPr>
            <w:r>
              <w:t>Gross state product</w:t>
            </w:r>
          </w:p>
        </w:tc>
        <w:tc>
          <w:tcPr>
            <w:tcW w:w="811" w:type="dxa"/>
          </w:tcPr>
          <w:p w:rsidR="00000000" w:rsidRDefault="001F233B">
            <w:pPr>
              <w:pStyle w:val="TableofFigures"/>
            </w:pPr>
            <w:r>
              <w:t>3</w:t>
            </w:r>
          </w:p>
        </w:tc>
        <w:tc>
          <w:tcPr>
            <w:tcW w:w="227" w:type="dxa"/>
          </w:tcPr>
          <w:p w:rsidR="00000000" w:rsidRDefault="001F233B">
            <w:pPr>
              <w:pStyle w:val="TableofFigures"/>
            </w:pPr>
            <w:r>
              <w:t>½</w:t>
            </w:r>
          </w:p>
        </w:tc>
        <w:tc>
          <w:tcPr>
            <w:tcW w:w="811" w:type="dxa"/>
          </w:tcPr>
          <w:p w:rsidR="00000000" w:rsidRDefault="001F233B">
            <w:pPr>
              <w:pStyle w:val="TableofFigures"/>
            </w:pPr>
            <w:r>
              <w:t>2</w:t>
            </w:r>
          </w:p>
        </w:tc>
        <w:tc>
          <w:tcPr>
            <w:tcW w:w="227" w:type="dxa"/>
          </w:tcPr>
          <w:p w:rsidR="00000000" w:rsidRDefault="001F233B">
            <w:pPr>
              <w:pStyle w:val="TableofFigures"/>
            </w:pPr>
            <w:r>
              <w:t>¾</w:t>
            </w:r>
          </w:p>
        </w:tc>
        <w:tc>
          <w:tcPr>
            <w:tcW w:w="811" w:type="dxa"/>
          </w:tcPr>
          <w:p w:rsidR="00000000" w:rsidRDefault="001F233B">
            <w:pPr>
              <w:pStyle w:val="TableofFigures"/>
            </w:pPr>
            <w:r>
              <w:t>2</w:t>
            </w:r>
          </w:p>
        </w:tc>
        <w:tc>
          <w:tcPr>
            <w:tcW w:w="227" w:type="dxa"/>
          </w:tcPr>
          <w:p w:rsidR="00000000" w:rsidRDefault="001F233B">
            <w:pPr>
              <w:pStyle w:val="TableofFigures"/>
            </w:pPr>
            <w:r>
              <w:t>¾</w:t>
            </w:r>
          </w:p>
        </w:tc>
        <w:tc>
          <w:tcPr>
            <w:tcW w:w="811" w:type="dxa"/>
          </w:tcPr>
          <w:p w:rsidR="00000000" w:rsidRDefault="001F233B">
            <w:pPr>
              <w:pStyle w:val="TableofFigures"/>
            </w:pPr>
            <w:r>
              <w:t>3</w:t>
            </w:r>
          </w:p>
        </w:tc>
        <w:tc>
          <w:tcPr>
            <w:tcW w:w="227" w:type="dxa"/>
          </w:tcPr>
          <w:p w:rsidR="00000000" w:rsidRDefault="001F233B">
            <w:pPr>
              <w:pStyle w:val="TableofFigures"/>
            </w:pPr>
          </w:p>
        </w:tc>
      </w:tr>
      <w:tr w:rsidR="00000000">
        <w:tblPrEx>
          <w:tblCellMar>
            <w:top w:w="0" w:type="dxa"/>
            <w:bottom w:w="0" w:type="dxa"/>
          </w:tblCellMar>
        </w:tblPrEx>
        <w:trPr>
          <w:trHeight w:val="320"/>
        </w:trPr>
        <w:tc>
          <w:tcPr>
            <w:tcW w:w="3005" w:type="dxa"/>
          </w:tcPr>
          <w:p w:rsidR="00000000" w:rsidRDefault="001F233B">
            <w:pPr>
              <w:pStyle w:val="Tabletext"/>
            </w:pPr>
            <w:r>
              <w:t>Employment</w:t>
            </w:r>
            <w:r>
              <w:fldChar w:fldCharType="begin"/>
            </w:r>
            <w:r>
              <w:instrText>xe "Economy:Employment"</w:instrText>
            </w:r>
            <w:r>
              <w:fldChar w:fldCharType="end"/>
            </w:r>
          </w:p>
        </w:tc>
        <w:tc>
          <w:tcPr>
            <w:tcW w:w="811" w:type="dxa"/>
          </w:tcPr>
          <w:p w:rsidR="00000000" w:rsidRDefault="001F233B">
            <w:pPr>
              <w:pStyle w:val="TableofFigures"/>
            </w:pPr>
            <w:r>
              <w:t>1</w:t>
            </w:r>
          </w:p>
        </w:tc>
        <w:tc>
          <w:tcPr>
            <w:tcW w:w="227" w:type="dxa"/>
          </w:tcPr>
          <w:p w:rsidR="00000000" w:rsidRDefault="001F233B">
            <w:pPr>
              <w:pStyle w:val="TableofFigures"/>
            </w:pPr>
            <w:r>
              <w:t>¼</w:t>
            </w:r>
          </w:p>
        </w:tc>
        <w:tc>
          <w:tcPr>
            <w:tcW w:w="811" w:type="dxa"/>
          </w:tcPr>
          <w:p w:rsidR="00000000" w:rsidRDefault="001F233B">
            <w:pPr>
              <w:pStyle w:val="TableofFigures"/>
            </w:pPr>
            <w:r>
              <w:t>1</w:t>
            </w:r>
          </w:p>
        </w:tc>
        <w:tc>
          <w:tcPr>
            <w:tcW w:w="227" w:type="dxa"/>
          </w:tcPr>
          <w:p w:rsidR="00000000" w:rsidRDefault="001F233B">
            <w:pPr>
              <w:pStyle w:val="TableofFigures"/>
            </w:pPr>
            <w:r>
              <w:t>½</w:t>
            </w:r>
          </w:p>
        </w:tc>
        <w:tc>
          <w:tcPr>
            <w:tcW w:w="811" w:type="dxa"/>
          </w:tcPr>
          <w:p w:rsidR="00000000" w:rsidRDefault="001F233B">
            <w:pPr>
              <w:pStyle w:val="TableofFigures"/>
            </w:pPr>
            <w:r>
              <w:t>1</w:t>
            </w:r>
          </w:p>
        </w:tc>
        <w:tc>
          <w:tcPr>
            <w:tcW w:w="227" w:type="dxa"/>
          </w:tcPr>
          <w:p w:rsidR="00000000" w:rsidRDefault="001F233B">
            <w:pPr>
              <w:pStyle w:val="TableofFigures"/>
            </w:pPr>
            <w:r>
              <w:t>½</w:t>
            </w:r>
          </w:p>
        </w:tc>
        <w:tc>
          <w:tcPr>
            <w:tcW w:w="811" w:type="dxa"/>
          </w:tcPr>
          <w:p w:rsidR="00000000" w:rsidRDefault="001F233B">
            <w:pPr>
              <w:pStyle w:val="TableofFigures"/>
            </w:pPr>
            <w:r>
              <w:t>1</w:t>
            </w:r>
          </w:p>
        </w:tc>
        <w:tc>
          <w:tcPr>
            <w:tcW w:w="227" w:type="dxa"/>
          </w:tcPr>
          <w:p w:rsidR="00000000" w:rsidRDefault="001F233B">
            <w:pPr>
              <w:pStyle w:val="TableofFigures"/>
            </w:pPr>
            <w:r>
              <w:t>½</w:t>
            </w:r>
          </w:p>
        </w:tc>
      </w:tr>
      <w:tr w:rsidR="00000000">
        <w:tblPrEx>
          <w:tblCellMar>
            <w:top w:w="0" w:type="dxa"/>
            <w:bottom w:w="0" w:type="dxa"/>
          </w:tblCellMar>
        </w:tblPrEx>
        <w:trPr>
          <w:trHeight w:val="320"/>
        </w:trPr>
        <w:tc>
          <w:tcPr>
            <w:tcW w:w="3005" w:type="dxa"/>
          </w:tcPr>
          <w:p w:rsidR="00000000" w:rsidRDefault="001F233B">
            <w:pPr>
              <w:pStyle w:val="Tabletext"/>
            </w:pPr>
            <w:r>
              <w:t>Unemployment</w:t>
            </w:r>
            <w:r>
              <w:fldChar w:fldCharType="begin"/>
            </w:r>
            <w:r>
              <w:instrText>xe "Economy:Unemployment"</w:instrText>
            </w:r>
            <w:r>
              <w:fldChar w:fldCharType="end"/>
            </w:r>
            <w:r>
              <w:t xml:space="preserve"> rate (per cent) </w:t>
            </w:r>
            <w:r>
              <w:rPr>
                <w:i/>
                <w:sz w:val="16"/>
                <w:vertAlign w:val="superscript"/>
              </w:rPr>
              <w:t>(b)</w:t>
            </w:r>
          </w:p>
        </w:tc>
        <w:tc>
          <w:tcPr>
            <w:tcW w:w="811" w:type="dxa"/>
          </w:tcPr>
          <w:p w:rsidR="00000000" w:rsidRDefault="001F233B">
            <w:pPr>
              <w:pStyle w:val="TableofFigures"/>
            </w:pPr>
            <w:r>
              <w:t>8</w:t>
            </w:r>
          </w:p>
        </w:tc>
        <w:tc>
          <w:tcPr>
            <w:tcW w:w="227" w:type="dxa"/>
          </w:tcPr>
          <w:p w:rsidR="00000000" w:rsidRDefault="001F233B">
            <w:pPr>
              <w:pStyle w:val="TableofFigures"/>
            </w:pPr>
            <w:r>
              <w:t>¼</w:t>
            </w:r>
          </w:p>
        </w:tc>
        <w:tc>
          <w:tcPr>
            <w:tcW w:w="811" w:type="dxa"/>
          </w:tcPr>
          <w:p w:rsidR="00000000" w:rsidRDefault="001F233B">
            <w:pPr>
              <w:pStyle w:val="TableofFigures"/>
            </w:pPr>
            <w:r>
              <w:t>8</w:t>
            </w:r>
          </w:p>
        </w:tc>
        <w:tc>
          <w:tcPr>
            <w:tcW w:w="227" w:type="dxa"/>
          </w:tcPr>
          <w:p w:rsidR="00000000" w:rsidRDefault="001F233B">
            <w:pPr>
              <w:pStyle w:val="TableofFigures"/>
            </w:pPr>
            <w:r>
              <w:t>¼</w:t>
            </w:r>
          </w:p>
        </w:tc>
        <w:tc>
          <w:tcPr>
            <w:tcW w:w="811" w:type="dxa"/>
          </w:tcPr>
          <w:p w:rsidR="00000000" w:rsidRDefault="001F233B">
            <w:pPr>
              <w:pStyle w:val="TableofFigures"/>
            </w:pPr>
            <w:r>
              <w:t>8</w:t>
            </w:r>
          </w:p>
        </w:tc>
        <w:tc>
          <w:tcPr>
            <w:tcW w:w="227" w:type="dxa"/>
          </w:tcPr>
          <w:p w:rsidR="00000000" w:rsidRDefault="001F233B">
            <w:pPr>
              <w:pStyle w:val="TableofFigures"/>
            </w:pPr>
          </w:p>
        </w:tc>
        <w:tc>
          <w:tcPr>
            <w:tcW w:w="811" w:type="dxa"/>
          </w:tcPr>
          <w:p w:rsidR="00000000" w:rsidRDefault="001F233B">
            <w:pPr>
              <w:pStyle w:val="TableofFigures"/>
            </w:pPr>
            <w:r>
              <w:t>8</w:t>
            </w:r>
          </w:p>
        </w:tc>
        <w:tc>
          <w:tcPr>
            <w:tcW w:w="227" w:type="dxa"/>
          </w:tcPr>
          <w:p w:rsidR="00000000" w:rsidRDefault="001F233B">
            <w:pPr>
              <w:pStyle w:val="TableofFigures"/>
            </w:pPr>
          </w:p>
        </w:tc>
      </w:tr>
      <w:tr w:rsidR="00000000">
        <w:tblPrEx>
          <w:tblCellMar>
            <w:top w:w="0" w:type="dxa"/>
            <w:bottom w:w="0" w:type="dxa"/>
          </w:tblCellMar>
        </w:tblPrEx>
        <w:trPr>
          <w:trHeight w:val="320"/>
        </w:trPr>
        <w:tc>
          <w:tcPr>
            <w:tcW w:w="3005" w:type="dxa"/>
          </w:tcPr>
          <w:p w:rsidR="00000000" w:rsidRDefault="001F233B">
            <w:pPr>
              <w:pStyle w:val="Tabletext"/>
            </w:pPr>
            <w:r>
              <w:t>Participation rate</w:t>
            </w:r>
          </w:p>
        </w:tc>
        <w:tc>
          <w:tcPr>
            <w:tcW w:w="811" w:type="dxa"/>
          </w:tcPr>
          <w:p w:rsidR="00000000" w:rsidRDefault="001F233B">
            <w:pPr>
              <w:pStyle w:val="TableofFigures"/>
            </w:pPr>
            <w:r>
              <w:t>63</w:t>
            </w:r>
          </w:p>
        </w:tc>
        <w:tc>
          <w:tcPr>
            <w:tcW w:w="227" w:type="dxa"/>
          </w:tcPr>
          <w:p w:rsidR="00000000" w:rsidRDefault="001F233B">
            <w:pPr>
              <w:pStyle w:val="TableofFigures"/>
            </w:pPr>
            <w:r>
              <w:t>¼</w:t>
            </w:r>
          </w:p>
        </w:tc>
        <w:tc>
          <w:tcPr>
            <w:tcW w:w="811" w:type="dxa"/>
          </w:tcPr>
          <w:p w:rsidR="00000000" w:rsidRDefault="001F233B">
            <w:pPr>
              <w:pStyle w:val="TableofFigures"/>
            </w:pPr>
            <w:r>
              <w:t>63</w:t>
            </w:r>
          </w:p>
        </w:tc>
        <w:tc>
          <w:tcPr>
            <w:tcW w:w="227" w:type="dxa"/>
          </w:tcPr>
          <w:p w:rsidR="00000000" w:rsidRDefault="001F233B">
            <w:pPr>
              <w:pStyle w:val="TableofFigures"/>
            </w:pPr>
            <w:r>
              <w:t>½</w:t>
            </w:r>
          </w:p>
        </w:tc>
        <w:tc>
          <w:tcPr>
            <w:tcW w:w="811" w:type="dxa"/>
          </w:tcPr>
          <w:p w:rsidR="00000000" w:rsidRDefault="001F233B">
            <w:pPr>
              <w:pStyle w:val="TableofFigures"/>
            </w:pPr>
            <w:r>
              <w:t>63</w:t>
            </w:r>
          </w:p>
        </w:tc>
        <w:tc>
          <w:tcPr>
            <w:tcW w:w="227" w:type="dxa"/>
          </w:tcPr>
          <w:p w:rsidR="00000000" w:rsidRDefault="001F233B">
            <w:pPr>
              <w:pStyle w:val="TableofFigures"/>
            </w:pPr>
            <w:r>
              <w:t>¾</w:t>
            </w:r>
          </w:p>
        </w:tc>
        <w:tc>
          <w:tcPr>
            <w:tcW w:w="811" w:type="dxa"/>
          </w:tcPr>
          <w:p w:rsidR="00000000" w:rsidRDefault="001F233B">
            <w:pPr>
              <w:pStyle w:val="TableofFigures"/>
            </w:pPr>
            <w:r>
              <w:t>64</w:t>
            </w:r>
          </w:p>
        </w:tc>
        <w:tc>
          <w:tcPr>
            <w:tcW w:w="227" w:type="dxa"/>
          </w:tcPr>
          <w:p w:rsidR="00000000" w:rsidRDefault="001F233B">
            <w:pPr>
              <w:pStyle w:val="TableofFigures"/>
            </w:pPr>
            <w:r>
              <w:t>¼</w:t>
            </w:r>
          </w:p>
        </w:tc>
      </w:tr>
      <w:tr w:rsidR="00000000">
        <w:tblPrEx>
          <w:tblCellMar>
            <w:top w:w="0" w:type="dxa"/>
            <w:bottom w:w="0" w:type="dxa"/>
          </w:tblCellMar>
        </w:tblPrEx>
        <w:trPr>
          <w:trHeight w:val="320"/>
        </w:trPr>
        <w:tc>
          <w:tcPr>
            <w:tcW w:w="3005" w:type="dxa"/>
          </w:tcPr>
          <w:p w:rsidR="00000000" w:rsidRDefault="001F233B">
            <w:pPr>
              <w:pStyle w:val="Tabletext"/>
            </w:pPr>
            <w:r>
              <w:t>Consumer price index</w:t>
            </w:r>
          </w:p>
        </w:tc>
        <w:tc>
          <w:tcPr>
            <w:tcW w:w="811" w:type="dxa"/>
          </w:tcPr>
          <w:p w:rsidR="00000000" w:rsidRDefault="001F233B">
            <w:pPr>
              <w:pStyle w:val="TableofFigures"/>
            </w:pPr>
          </w:p>
        </w:tc>
        <w:tc>
          <w:tcPr>
            <w:tcW w:w="227" w:type="dxa"/>
          </w:tcPr>
          <w:p w:rsidR="00000000" w:rsidRDefault="001F233B">
            <w:pPr>
              <w:pStyle w:val="TableofFigures"/>
            </w:pPr>
            <w:r>
              <w:t>¼</w:t>
            </w:r>
          </w:p>
        </w:tc>
        <w:tc>
          <w:tcPr>
            <w:tcW w:w="811" w:type="dxa"/>
          </w:tcPr>
          <w:p w:rsidR="00000000" w:rsidRDefault="001F233B">
            <w:pPr>
              <w:pStyle w:val="TableofFigures"/>
            </w:pPr>
            <w:r>
              <w:t>2</w:t>
            </w:r>
          </w:p>
        </w:tc>
        <w:tc>
          <w:tcPr>
            <w:tcW w:w="227" w:type="dxa"/>
          </w:tcPr>
          <w:p w:rsidR="00000000" w:rsidRDefault="001F233B">
            <w:pPr>
              <w:pStyle w:val="TableofFigures"/>
            </w:pPr>
            <w:r>
              <w:t>½</w:t>
            </w:r>
          </w:p>
        </w:tc>
        <w:tc>
          <w:tcPr>
            <w:tcW w:w="811" w:type="dxa"/>
          </w:tcPr>
          <w:p w:rsidR="00000000" w:rsidRDefault="001F233B">
            <w:pPr>
              <w:pStyle w:val="TableofFigures"/>
            </w:pPr>
            <w:r>
              <w:t>2</w:t>
            </w:r>
          </w:p>
        </w:tc>
        <w:tc>
          <w:tcPr>
            <w:tcW w:w="227" w:type="dxa"/>
          </w:tcPr>
          <w:p w:rsidR="00000000" w:rsidRDefault="001F233B">
            <w:pPr>
              <w:pStyle w:val="TableofFigures"/>
            </w:pPr>
            <w:r>
              <w:t>½</w:t>
            </w:r>
          </w:p>
        </w:tc>
        <w:tc>
          <w:tcPr>
            <w:tcW w:w="811" w:type="dxa"/>
          </w:tcPr>
          <w:p w:rsidR="00000000" w:rsidRDefault="001F233B">
            <w:pPr>
              <w:pStyle w:val="TableofFigures"/>
            </w:pPr>
            <w:r>
              <w:t>2</w:t>
            </w:r>
          </w:p>
        </w:tc>
        <w:tc>
          <w:tcPr>
            <w:tcW w:w="227" w:type="dxa"/>
          </w:tcPr>
          <w:p w:rsidR="00000000" w:rsidRDefault="001F233B">
            <w:pPr>
              <w:pStyle w:val="TableofFigures"/>
            </w:pPr>
            <w:r>
              <w:t>½</w:t>
            </w:r>
          </w:p>
        </w:tc>
      </w:tr>
      <w:tr w:rsidR="00000000">
        <w:tblPrEx>
          <w:tblCellMar>
            <w:top w:w="0" w:type="dxa"/>
            <w:bottom w:w="0" w:type="dxa"/>
          </w:tblCellMar>
        </w:tblPrEx>
        <w:trPr>
          <w:trHeight w:val="320"/>
        </w:trPr>
        <w:tc>
          <w:tcPr>
            <w:tcW w:w="3005" w:type="dxa"/>
          </w:tcPr>
          <w:p w:rsidR="00000000" w:rsidRDefault="001F233B">
            <w:pPr>
              <w:pStyle w:val="Tabletext"/>
            </w:pPr>
            <w:r>
              <w:t xml:space="preserve">Average weekly earnings </w:t>
            </w:r>
            <w:r>
              <w:rPr>
                <w:i/>
                <w:sz w:val="16"/>
                <w:vertAlign w:val="superscript"/>
              </w:rPr>
              <w:t>(c)</w:t>
            </w:r>
          </w:p>
        </w:tc>
        <w:tc>
          <w:tcPr>
            <w:tcW w:w="811" w:type="dxa"/>
          </w:tcPr>
          <w:p w:rsidR="00000000" w:rsidRDefault="001F233B">
            <w:pPr>
              <w:pStyle w:val="TableofFigures"/>
            </w:pPr>
            <w:r>
              <w:t>4</w:t>
            </w:r>
          </w:p>
        </w:tc>
        <w:tc>
          <w:tcPr>
            <w:tcW w:w="227" w:type="dxa"/>
          </w:tcPr>
          <w:p w:rsidR="00000000" w:rsidRDefault="001F233B">
            <w:pPr>
              <w:pStyle w:val="TableofFigures"/>
            </w:pPr>
          </w:p>
        </w:tc>
        <w:tc>
          <w:tcPr>
            <w:tcW w:w="811" w:type="dxa"/>
          </w:tcPr>
          <w:p w:rsidR="00000000" w:rsidRDefault="001F233B">
            <w:pPr>
              <w:pStyle w:val="TableofFigures"/>
            </w:pPr>
            <w:r>
              <w:t>3</w:t>
            </w:r>
          </w:p>
        </w:tc>
        <w:tc>
          <w:tcPr>
            <w:tcW w:w="227" w:type="dxa"/>
          </w:tcPr>
          <w:p w:rsidR="00000000" w:rsidRDefault="001F233B">
            <w:pPr>
              <w:pStyle w:val="TableofFigures"/>
            </w:pPr>
            <w:r>
              <w:t>½</w:t>
            </w:r>
          </w:p>
        </w:tc>
        <w:tc>
          <w:tcPr>
            <w:tcW w:w="811" w:type="dxa"/>
          </w:tcPr>
          <w:p w:rsidR="00000000" w:rsidRDefault="001F233B">
            <w:pPr>
              <w:pStyle w:val="TableofFigures"/>
            </w:pPr>
            <w:r>
              <w:t>3</w:t>
            </w:r>
          </w:p>
        </w:tc>
        <w:tc>
          <w:tcPr>
            <w:tcW w:w="227" w:type="dxa"/>
          </w:tcPr>
          <w:p w:rsidR="00000000" w:rsidRDefault="001F233B">
            <w:pPr>
              <w:pStyle w:val="TableofFigures"/>
            </w:pPr>
            <w:r>
              <w:t>½</w:t>
            </w:r>
          </w:p>
        </w:tc>
        <w:tc>
          <w:tcPr>
            <w:tcW w:w="811" w:type="dxa"/>
          </w:tcPr>
          <w:p w:rsidR="00000000" w:rsidRDefault="001F233B">
            <w:pPr>
              <w:pStyle w:val="TableofFigures"/>
            </w:pPr>
            <w:r>
              <w:t>3</w:t>
            </w:r>
          </w:p>
        </w:tc>
        <w:tc>
          <w:tcPr>
            <w:tcW w:w="227" w:type="dxa"/>
          </w:tcPr>
          <w:p w:rsidR="00000000" w:rsidRDefault="001F233B">
            <w:pPr>
              <w:pStyle w:val="TableofFigures"/>
            </w:pPr>
            <w:r>
              <w:t>½</w:t>
            </w:r>
          </w:p>
        </w:tc>
      </w:tr>
      <w:tr w:rsidR="00000000">
        <w:tblPrEx>
          <w:tblCellMar>
            <w:top w:w="0" w:type="dxa"/>
            <w:bottom w:w="0" w:type="dxa"/>
          </w:tblCellMar>
        </w:tblPrEx>
        <w:trPr>
          <w:trHeight w:val="320"/>
        </w:trPr>
        <w:tc>
          <w:tcPr>
            <w:tcW w:w="3005" w:type="dxa"/>
            <w:tcBorders>
              <w:bottom w:val="single" w:sz="12" w:space="0" w:color="auto"/>
            </w:tcBorders>
          </w:tcPr>
          <w:p w:rsidR="00000000" w:rsidRDefault="001F233B">
            <w:pPr>
              <w:pStyle w:val="Tabletext"/>
            </w:pPr>
            <w:r>
              <w:t>Population</w:t>
            </w:r>
            <w:r>
              <w:fldChar w:fldCharType="begin"/>
            </w:r>
            <w:r>
              <w:instrText>xe "Economy:Population"</w:instrText>
            </w:r>
            <w:r>
              <w:fldChar w:fldCharType="end"/>
            </w:r>
          </w:p>
        </w:tc>
        <w:tc>
          <w:tcPr>
            <w:tcW w:w="811" w:type="dxa"/>
            <w:tcBorders>
              <w:bottom w:val="single" w:sz="12" w:space="0" w:color="auto"/>
            </w:tcBorders>
          </w:tcPr>
          <w:p w:rsidR="00000000" w:rsidRDefault="001F233B">
            <w:pPr>
              <w:pStyle w:val="TableofFigures"/>
            </w:pPr>
            <w:r>
              <w:t>1</w:t>
            </w:r>
          </w:p>
        </w:tc>
        <w:tc>
          <w:tcPr>
            <w:tcW w:w="227" w:type="dxa"/>
            <w:tcBorders>
              <w:bottom w:val="single" w:sz="12" w:space="0" w:color="auto"/>
            </w:tcBorders>
          </w:tcPr>
          <w:p w:rsidR="00000000" w:rsidRDefault="001F233B">
            <w:pPr>
              <w:pStyle w:val="TableofFigures"/>
            </w:pPr>
          </w:p>
        </w:tc>
        <w:tc>
          <w:tcPr>
            <w:tcW w:w="811" w:type="dxa"/>
            <w:tcBorders>
              <w:bottom w:val="single" w:sz="12" w:space="0" w:color="auto"/>
            </w:tcBorders>
          </w:tcPr>
          <w:p w:rsidR="00000000" w:rsidRDefault="001F233B">
            <w:pPr>
              <w:pStyle w:val="TableofFigures"/>
            </w:pPr>
          </w:p>
        </w:tc>
        <w:tc>
          <w:tcPr>
            <w:tcW w:w="227" w:type="dxa"/>
            <w:tcBorders>
              <w:bottom w:val="single" w:sz="12" w:space="0" w:color="auto"/>
            </w:tcBorders>
          </w:tcPr>
          <w:p w:rsidR="00000000" w:rsidRDefault="001F233B">
            <w:pPr>
              <w:pStyle w:val="TableofFigures"/>
            </w:pPr>
            <w:r>
              <w:t>¾</w:t>
            </w:r>
          </w:p>
        </w:tc>
        <w:tc>
          <w:tcPr>
            <w:tcW w:w="811" w:type="dxa"/>
            <w:tcBorders>
              <w:bottom w:val="single" w:sz="12" w:space="0" w:color="auto"/>
            </w:tcBorders>
          </w:tcPr>
          <w:p w:rsidR="00000000" w:rsidRDefault="001F233B">
            <w:pPr>
              <w:pStyle w:val="TableofFigures"/>
            </w:pPr>
          </w:p>
        </w:tc>
        <w:tc>
          <w:tcPr>
            <w:tcW w:w="227" w:type="dxa"/>
            <w:tcBorders>
              <w:bottom w:val="single" w:sz="12" w:space="0" w:color="auto"/>
            </w:tcBorders>
          </w:tcPr>
          <w:p w:rsidR="00000000" w:rsidRDefault="001F233B">
            <w:pPr>
              <w:pStyle w:val="TableofFigures"/>
            </w:pPr>
            <w:r>
              <w:t>¾</w:t>
            </w:r>
          </w:p>
        </w:tc>
        <w:tc>
          <w:tcPr>
            <w:tcW w:w="811" w:type="dxa"/>
            <w:tcBorders>
              <w:bottom w:val="single" w:sz="12" w:space="0" w:color="auto"/>
            </w:tcBorders>
          </w:tcPr>
          <w:p w:rsidR="00000000" w:rsidRDefault="001F233B">
            <w:pPr>
              <w:pStyle w:val="TableofFigures"/>
            </w:pPr>
          </w:p>
        </w:tc>
        <w:tc>
          <w:tcPr>
            <w:tcW w:w="227" w:type="dxa"/>
            <w:tcBorders>
              <w:bottom w:val="single" w:sz="12" w:space="0" w:color="auto"/>
            </w:tcBorders>
          </w:tcPr>
          <w:p w:rsidR="00000000" w:rsidRDefault="001F233B">
            <w:pPr>
              <w:pStyle w:val="TableofFigures"/>
            </w:pPr>
            <w:r>
              <w:t>¾</w:t>
            </w:r>
          </w:p>
        </w:tc>
      </w:tr>
    </w:tbl>
    <w:p w:rsidR="00000000" w:rsidRDefault="001F233B">
      <w:pPr>
        <w:pStyle w:val="Source"/>
      </w:pPr>
      <w:r>
        <w:t>Source: Department of Treasury and Finance.</w:t>
      </w:r>
    </w:p>
    <w:p w:rsidR="00000000" w:rsidRDefault="001F233B">
      <w:pPr>
        <w:pStyle w:val="Notes"/>
      </w:pPr>
      <w:r>
        <w:t>Notes:</w:t>
      </w:r>
    </w:p>
    <w:p w:rsidR="00000000" w:rsidRDefault="001F233B">
      <w:pPr>
        <w:pStyle w:val="Notes"/>
        <w:tabs>
          <w:tab w:val="clear" w:pos="454"/>
          <w:tab w:val="left" w:pos="360"/>
        </w:tabs>
      </w:pPr>
      <w:r>
        <w:t>(a)</w:t>
      </w:r>
      <w:r>
        <w:tab/>
        <w:t>Per cent change on preceding year unless otherwise indicated.</w:t>
      </w:r>
    </w:p>
    <w:p w:rsidR="00000000" w:rsidRDefault="001F233B">
      <w:pPr>
        <w:pStyle w:val="Notes"/>
        <w:tabs>
          <w:tab w:val="clear" w:pos="454"/>
          <w:tab w:val="left" w:pos="360"/>
        </w:tabs>
      </w:pPr>
      <w:r>
        <w:t>(b)</w:t>
      </w:r>
      <w:r>
        <w:tab/>
        <w:t>Estimate for June quarter.</w:t>
      </w:r>
    </w:p>
    <w:p w:rsidR="00000000" w:rsidRDefault="001F233B">
      <w:pPr>
        <w:pStyle w:val="Notes"/>
        <w:tabs>
          <w:tab w:val="clear" w:pos="454"/>
          <w:tab w:val="left" w:pos="360"/>
        </w:tabs>
      </w:pPr>
      <w:r>
        <w:t>(c)</w:t>
      </w:r>
      <w:r>
        <w:tab/>
        <w:t>Average weekly ordinary time earnings (AWOTE).</w:t>
      </w:r>
    </w:p>
    <w:p w:rsidR="00000000" w:rsidRDefault="001F233B"/>
    <w:p w:rsidR="00000000" w:rsidRDefault="001F233B">
      <w:r>
        <w:t>Output of the Victorian economy is expected to grow by 3½ per cent in 1997</w:t>
      </w:r>
      <w:r>
        <w:noBreakHyphen/>
        <w:t>98, compared with 2.1 per cent in the previous year. State final demand</w:t>
      </w:r>
      <w:r>
        <w:fldChar w:fldCharType="begin"/>
      </w:r>
      <w:r>
        <w:instrText>xe "Economy:State final demand"</w:instrText>
      </w:r>
      <w:r>
        <w:fldChar w:fldCharType="end"/>
      </w:r>
      <w:r>
        <w:t xml:space="preserve"> is also projected to grow by 3</w:t>
      </w:r>
      <w:r>
        <w:rPr>
          <w:rFonts w:ascii="Arial" w:hAnsi="Arial"/>
          <w:sz w:val="18"/>
        </w:rPr>
        <w:t>½</w:t>
      </w:r>
      <w:r>
        <w:t> per cent in 1997</w:t>
      </w:r>
      <w:r>
        <w:noBreakHyphen/>
        <w:t>98, compared with 5.9 per cent in 1996</w:t>
      </w:r>
      <w:r>
        <w:noBreakHyphen/>
        <w:t xml:space="preserve">97. </w:t>
      </w:r>
    </w:p>
    <w:p w:rsidR="00000000" w:rsidRDefault="001F233B">
      <w:r>
        <w:t>Forward indicators suggest</w:t>
      </w:r>
      <w:r>
        <w:t xml:space="preserve"> that the improvement in Victorian labour market conditions evident in the second half of 1997 is likely to continue over the next few months. The ABS job vacancy series has increased strongly over the past year. The ANZ employment</w:t>
      </w:r>
      <w:r>
        <w:fldChar w:fldCharType="begin"/>
      </w:r>
      <w:r>
        <w:instrText>xe "Economy:Employment"</w:instrText>
      </w:r>
      <w:r>
        <w:fldChar w:fldCharType="end"/>
      </w:r>
      <w:r>
        <w:t xml:space="preserve"> advertisement series has stabilised at a relatively high level in recent months.</w:t>
      </w:r>
    </w:p>
    <w:p w:rsidR="00000000" w:rsidRDefault="001F233B">
      <w:r>
        <w:t>Employment</w:t>
      </w:r>
      <w:r>
        <w:fldChar w:fldCharType="begin"/>
      </w:r>
      <w:r>
        <w:instrText>xe "Economy:Employment"</w:instrText>
      </w:r>
      <w:r>
        <w:fldChar w:fldCharType="end"/>
      </w:r>
      <w:r>
        <w:t xml:space="preserve"> growth in 1997</w:t>
      </w:r>
      <w:r>
        <w:noBreakHyphen/>
        <w:t>98 is projected to be 1¼ per cent, broadly in line with growth in 1996</w:t>
      </w:r>
      <w:r>
        <w:noBreakHyphen/>
        <w:t>97. This relatively weak year</w:t>
      </w:r>
      <w:r>
        <w:noBreakHyphen/>
        <w:t>average growth in empl</w:t>
      </w:r>
      <w:r>
        <w:t>oyment reflects the low base from which it has been growing since mid</w:t>
      </w:r>
      <w:r>
        <w:noBreakHyphen/>
        <w:t>1997. Labour force participation is expected to be slightly lower than in the previous year. The unemployment</w:t>
      </w:r>
      <w:r>
        <w:fldChar w:fldCharType="begin"/>
      </w:r>
      <w:r>
        <w:instrText>xe "Economy:Unemployment"</w:instrText>
      </w:r>
      <w:r>
        <w:fldChar w:fldCharType="end"/>
      </w:r>
      <w:r>
        <w:t xml:space="preserve"> rate is projected to remain around 8¼ per cent by June 1998. </w:t>
      </w:r>
    </w:p>
    <w:p w:rsidR="00000000" w:rsidRDefault="001F233B">
      <w:r>
        <w:t>The slowdown in East Asia</w:t>
      </w:r>
      <w:r>
        <w:fldChar w:fldCharType="begin"/>
      </w:r>
      <w:r>
        <w:instrText>xe "Economy:East Asia"</w:instrText>
      </w:r>
      <w:r>
        <w:fldChar w:fldCharType="end"/>
      </w:r>
      <w:r>
        <w:t xml:space="preserve"> is likely to be more evident in the outcomes for 1998</w:t>
      </w:r>
      <w:r>
        <w:noBreakHyphen/>
        <w:t>99. More moderate growth in consumer spending</w:t>
      </w:r>
      <w:r>
        <w:fldChar w:fldCharType="begin"/>
      </w:r>
      <w:r>
        <w:instrText>xe "Economy:Consumer spending"</w:instrText>
      </w:r>
      <w:r>
        <w:fldChar w:fldCharType="end"/>
      </w:r>
      <w:r>
        <w:t xml:space="preserve"> should contribute to GSP</w:t>
      </w:r>
      <w:r>
        <w:fldChar w:fldCharType="begin"/>
      </w:r>
      <w:r>
        <w:instrText>xe "Economy:Gross State Products (GS</w:instrText>
      </w:r>
      <w:r>
        <w:instrText>P)"</w:instrText>
      </w:r>
      <w:r>
        <w:fldChar w:fldCharType="end"/>
      </w:r>
      <w:r>
        <w:t xml:space="preserve"> growth of 2¾ per cent and growth in state final demand</w:t>
      </w:r>
      <w:r>
        <w:fldChar w:fldCharType="begin"/>
      </w:r>
      <w:r>
        <w:instrText>xe "Economy:State final demand"</w:instrText>
      </w:r>
      <w:r>
        <w:fldChar w:fldCharType="end"/>
      </w:r>
      <w:r>
        <w:t xml:space="preserve"> of around 3 per cent. Employment</w:t>
      </w:r>
      <w:r>
        <w:fldChar w:fldCharType="begin"/>
      </w:r>
      <w:r>
        <w:instrText>xe "Economy:Employment"</w:instrText>
      </w:r>
      <w:r>
        <w:fldChar w:fldCharType="end"/>
      </w:r>
      <w:r>
        <w:t xml:space="preserve"> is projected to grow by around 1½ per cent. With labour market conditions relatively subdued, labour force participation is assumed to remain broadly unchanged, yielding little change in the unemployment</w:t>
      </w:r>
      <w:r>
        <w:fldChar w:fldCharType="begin"/>
      </w:r>
      <w:r>
        <w:instrText>xe "Economy:Unemployment"</w:instrText>
      </w:r>
      <w:r>
        <w:fldChar w:fldCharType="end"/>
      </w:r>
      <w:r>
        <w:t xml:space="preserve"> rate.</w:t>
      </w:r>
    </w:p>
    <w:p w:rsidR="00000000" w:rsidRDefault="001F233B">
      <w:r>
        <w:t>There are indications that consumer spending</w:t>
      </w:r>
      <w:r>
        <w:fldChar w:fldCharType="begin"/>
      </w:r>
      <w:r>
        <w:instrText>xe "Economy:Consumer spending"</w:instrText>
      </w:r>
      <w:r>
        <w:fldChar w:fldCharType="end"/>
      </w:r>
      <w:r>
        <w:t xml:space="preserve"> growth is starting to ease. Retail turnover has</w:t>
      </w:r>
      <w:r>
        <w:t xml:space="preserve"> been declining since December and new motor vehicle registrations appear to be approaching a peak. According to the April Westpac</w:t>
      </w:r>
      <w:r>
        <w:noBreakHyphen/>
        <w:t>Melbourne Institute index of consumer sentiment, there has been an increase in the number of consumers expecting economic conditions to deteriorate over the next 12 months.</w:t>
      </w:r>
    </w:p>
    <w:p w:rsidR="00000000" w:rsidRDefault="001F233B">
      <w:r>
        <w:t>Consumer spending</w:t>
      </w:r>
      <w:r>
        <w:fldChar w:fldCharType="begin"/>
      </w:r>
      <w:r>
        <w:instrText>xe "Economy:Consumer spending"</w:instrText>
      </w:r>
      <w:r>
        <w:fldChar w:fldCharType="end"/>
      </w:r>
      <w:r>
        <w:t xml:space="preserve"> growth should ease during the second half of 1998 as the East Asia</w:t>
      </w:r>
      <w:r>
        <w:fldChar w:fldCharType="begin"/>
      </w:r>
      <w:r>
        <w:instrText>xe "Economy:East Asia"</w:instrText>
      </w:r>
      <w:r>
        <w:fldChar w:fldCharType="end"/>
      </w:r>
      <w:r>
        <w:t>n slowdown begins to affect growth in incomes in Victoria and elsewh</w:t>
      </w:r>
      <w:r>
        <w:t>ere in Australia. A number of other factors are likely to have a moderating effect on domestic spending, such as the housing and business investment</w:t>
      </w:r>
      <w:r>
        <w:fldChar w:fldCharType="begin"/>
      </w:r>
      <w:r>
        <w:instrText>xe "Economy:Investment"</w:instrText>
      </w:r>
      <w:r>
        <w:fldChar w:fldCharType="end"/>
      </w:r>
      <w:r>
        <w:t xml:space="preserve"> cycles, and moderate growth in public sector demand.</w:t>
      </w:r>
    </w:p>
    <w:p w:rsidR="00000000" w:rsidRDefault="001F233B">
      <w:r>
        <w:t>Although housing commencements grew strongly during 1997, the latest data for housing approvals suggest housing activity in Victoria could reach a plateau in the middle of 1998 (see Chart 7.4).</w:t>
      </w:r>
    </w:p>
    <w:p w:rsidR="00000000" w:rsidRDefault="001F233B">
      <w:r>
        <w:t>The estimated value of non</w:t>
      </w:r>
      <w:r>
        <w:noBreakHyphen/>
        <w:t>residential building and engineering construction work yet to be</w:t>
      </w:r>
      <w:r>
        <w:t xml:space="preserve"> done is high by historical standards, and is likely to be supported by the continuation of City Link and the commencement of the Docklands project</w:t>
      </w:r>
      <w:r>
        <w:fldChar w:fldCharType="begin"/>
      </w:r>
      <w:r>
        <w:instrText>xe "Docklands project"</w:instrText>
      </w:r>
      <w:r>
        <w:fldChar w:fldCharType="end"/>
      </w:r>
      <w:r>
        <w:t>. Recent levels of underlying business fixed investment</w:t>
      </w:r>
      <w:r>
        <w:fldChar w:fldCharType="begin"/>
      </w:r>
      <w:r>
        <w:instrText>xe "Economy:Investment"</w:instrText>
      </w:r>
      <w:r>
        <w:fldChar w:fldCharType="end"/>
      </w:r>
      <w:r>
        <w:t xml:space="preserve"> relative to GSP</w:t>
      </w:r>
      <w:r>
        <w:fldChar w:fldCharType="begin"/>
      </w:r>
      <w:r>
        <w:instrText>xe "Economy:Gross State Products (GSP)"</w:instrText>
      </w:r>
      <w:r>
        <w:fldChar w:fldCharType="end"/>
      </w:r>
      <w:r>
        <w:t xml:space="preserve"> reflect the timing of activity on large projects. Investment is projected to ease by the end of 1998</w:t>
      </w:r>
      <w:r>
        <w:noBreakHyphen/>
        <w:t>99.</w:t>
      </w:r>
    </w:p>
    <w:p w:rsidR="00000000" w:rsidRDefault="001F233B">
      <w:r>
        <w:t>A number of major investment</w:t>
      </w:r>
      <w:r>
        <w:fldChar w:fldCharType="begin"/>
      </w:r>
      <w:r>
        <w:instrText>xe "Economy:Investment"</w:instrText>
      </w:r>
      <w:r>
        <w:fldChar w:fldCharType="end"/>
      </w:r>
      <w:r>
        <w:t xml:space="preserve"> projects are under way. Work on the first st</w:t>
      </w:r>
      <w:r>
        <w:t>age of the $2 billion</w:t>
      </w:r>
      <w:r>
        <w:noBreakHyphen/>
        <w:t>plus Docklands project</w:t>
      </w:r>
      <w:r>
        <w:fldChar w:fldCharType="begin"/>
      </w:r>
      <w:r>
        <w:instrText>xe "Docklands project"</w:instrText>
      </w:r>
      <w:r>
        <w:fldChar w:fldCharType="end"/>
      </w:r>
      <w:r>
        <w:t xml:space="preserve"> — the Docklands Stadium — has commenced. Toyota recently announced plans to upgrade its Altona plant to produce a new vehicle, involving up to $1 billion in expenditure. Other recently announced major projects reported by Business Victoria include: </w:t>
      </w:r>
    </w:p>
    <w:p w:rsidR="00000000" w:rsidRDefault="001F233B" w:rsidP="001F233B">
      <w:pPr>
        <w:pStyle w:val="BulletText"/>
        <w:numPr>
          <w:ilvl w:val="0"/>
          <w:numId w:val="1"/>
        </w:numPr>
      </w:pPr>
      <w:r>
        <w:t>the doubling of the capacity of the Mars Confectionery plant in Ballarat;</w:t>
      </w:r>
    </w:p>
    <w:p w:rsidR="00000000" w:rsidRDefault="001F233B" w:rsidP="001F233B">
      <w:pPr>
        <w:pStyle w:val="BulletText"/>
        <w:numPr>
          <w:ilvl w:val="0"/>
          <w:numId w:val="1"/>
        </w:numPr>
      </w:pPr>
      <w:r>
        <w:t>the expansion of braking systems production by Robert Bosch at Clayton;</w:t>
      </w:r>
    </w:p>
    <w:p w:rsidR="00000000" w:rsidRDefault="001F233B" w:rsidP="001F233B">
      <w:pPr>
        <w:pStyle w:val="BulletText"/>
        <w:numPr>
          <w:ilvl w:val="0"/>
          <w:numId w:val="1"/>
        </w:numPr>
      </w:pPr>
      <w:r>
        <w:t>the expansion of the Bremer Wollkammerei Geelon</w:t>
      </w:r>
      <w:r>
        <w:t>g Wool Combing plant;</w:t>
      </w:r>
    </w:p>
    <w:p w:rsidR="00000000" w:rsidRDefault="001F233B" w:rsidP="001F233B">
      <w:pPr>
        <w:pStyle w:val="BulletText"/>
        <w:numPr>
          <w:ilvl w:val="0"/>
          <w:numId w:val="1"/>
        </w:numPr>
      </w:pPr>
      <w:r>
        <w:t xml:space="preserve">the establishment of a colour printing plant in Sunshine by Diamond Press Holdings; and </w:t>
      </w:r>
    </w:p>
    <w:p w:rsidR="00000000" w:rsidRDefault="001F233B" w:rsidP="001F233B">
      <w:pPr>
        <w:pStyle w:val="BulletText"/>
        <w:numPr>
          <w:ilvl w:val="0"/>
          <w:numId w:val="1"/>
        </w:numPr>
      </w:pPr>
      <w:r>
        <w:t>the proposed replacement of a chlorine</w:t>
      </w:r>
      <w:r>
        <w:noBreakHyphen/>
        <w:t xml:space="preserve">alkali plant by Orica. </w:t>
      </w:r>
    </w:p>
    <w:p w:rsidR="00000000" w:rsidRDefault="001F233B">
      <w:r>
        <w:t>Telstra has announced the establishment, by the year 2000, of a Global Network Operations Centre to manage its domestic, international and offshore networks. This will involve the relocation of 540 interstate staff to Melbourne.</w:t>
      </w:r>
    </w:p>
    <w:p w:rsidR="00000000" w:rsidRDefault="001F233B">
      <w:pPr>
        <w:pStyle w:val="Chartheading"/>
        <w:keepNext/>
      </w:pPr>
      <w:r>
        <w:t>Chart 7.4: Forward Indicators — Dwelling and Non</w:t>
      </w:r>
      <w:r>
        <w:noBreakHyphen/>
        <w:t>dwelling Construction</w:t>
      </w:r>
    </w:p>
    <w:p w:rsidR="00000000" w:rsidRDefault="001F233B">
      <w:pPr>
        <w:pStyle w:val="Source"/>
        <w:spacing w:after="0"/>
        <w:rPr>
          <w:noProof/>
        </w:rPr>
      </w:pPr>
      <w:r>
        <w:rPr>
          <w:noProof/>
          <w:sz w:val="20"/>
        </w:rPr>
        <w:drawing>
          <wp:inline distT="0" distB="0" distL="0" distR="0">
            <wp:extent cx="4400550" cy="2486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400550" cy="2486025"/>
                    </a:xfrm>
                    <a:prstGeom prst="rect">
                      <a:avLst/>
                    </a:prstGeom>
                    <a:noFill/>
                    <a:ln>
                      <a:noFill/>
                    </a:ln>
                  </pic:spPr>
                </pic:pic>
              </a:graphicData>
            </a:graphic>
          </wp:inline>
        </w:drawing>
      </w:r>
    </w:p>
    <w:p w:rsidR="00000000" w:rsidRDefault="001F233B">
      <w:pPr>
        <w:pStyle w:val="Source"/>
        <w:spacing w:after="0"/>
        <w:rPr>
          <w:noProof/>
        </w:rPr>
      </w:pPr>
    </w:p>
    <w:p w:rsidR="00000000" w:rsidRDefault="001F233B">
      <w:pPr>
        <w:pStyle w:val="Source"/>
        <w:spacing w:after="0"/>
        <w:rPr>
          <w:noProof/>
        </w:rPr>
      </w:pPr>
    </w:p>
    <w:p w:rsidR="00000000" w:rsidRDefault="001F233B">
      <w:pPr>
        <w:pStyle w:val="Source"/>
        <w:spacing w:after="0"/>
        <w:rPr>
          <w:noProof/>
        </w:rPr>
      </w:pPr>
      <w:r>
        <w:rPr>
          <w:noProof/>
          <w:sz w:val="20"/>
        </w:rPr>
        <w:drawing>
          <wp:inline distT="0" distB="0" distL="0" distR="0">
            <wp:extent cx="4400550" cy="24860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400550" cy="2486025"/>
                    </a:xfrm>
                    <a:prstGeom prst="rect">
                      <a:avLst/>
                    </a:prstGeom>
                    <a:noFill/>
                    <a:ln>
                      <a:noFill/>
                    </a:ln>
                  </pic:spPr>
                </pic:pic>
              </a:graphicData>
            </a:graphic>
          </wp:inline>
        </w:drawing>
      </w:r>
    </w:p>
    <w:p w:rsidR="00000000" w:rsidRDefault="001F233B">
      <w:pPr>
        <w:pStyle w:val="Source"/>
        <w:spacing w:after="0"/>
        <w:ind w:left="720" w:hanging="720"/>
      </w:pPr>
      <w:r>
        <w:t>Sources:</w:t>
      </w:r>
      <w:r>
        <w:tab/>
        <w:t>Australian Bureau of St</w:t>
      </w:r>
      <w:r>
        <w:t>atistics, Cat. No. 8731.0, Cat. No. 8750.0, Cat. No. 8752.0 and Cat. No. 8762.0.</w:t>
      </w:r>
    </w:p>
    <w:p w:rsidR="00000000" w:rsidRDefault="001F233B">
      <w:r>
        <w:br w:type="page"/>
        <w:t>Public final demand is expected to grow modestly in Victoria during 1998</w:t>
      </w:r>
      <w:r>
        <w:noBreakHyphen/>
        <w:t>99.</w:t>
      </w:r>
    </w:p>
    <w:p w:rsidR="00000000" w:rsidRDefault="001F233B">
      <w:r>
        <w:t>As discussed earlier, the contribution to growth from net exports</w:t>
      </w:r>
      <w:r>
        <w:fldChar w:fldCharType="begin"/>
      </w:r>
      <w:r>
        <w:instrText>xe "Economy:Exports"</w:instrText>
      </w:r>
      <w:r>
        <w:fldChar w:fldCharType="end"/>
      </w:r>
      <w:r>
        <w:t xml:space="preserve"> is likely to be dampened in the wake of the East Asia</w:t>
      </w:r>
      <w:r>
        <w:fldChar w:fldCharType="begin"/>
      </w:r>
      <w:r>
        <w:instrText>xe "Economy:East Asia"</w:instrText>
      </w:r>
      <w:r>
        <w:fldChar w:fldCharType="end"/>
      </w:r>
      <w:r>
        <w:t>n economic slowdown.</w:t>
      </w:r>
    </w:p>
    <w:p w:rsidR="00000000" w:rsidRDefault="001F233B">
      <w:r>
        <w:t xml:space="preserve">Victorian respondents to the ABS </w:t>
      </w:r>
      <w:r>
        <w:rPr>
          <w:i/>
        </w:rPr>
        <w:t>Australian Business Expectations Survey</w:t>
      </w:r>
      <w:r>
        <w:t xml:space="preserve"> have forecast a rise in manufacturing</w:t>
      </w:r>
      <w:r>
        <w:fldChar w:fldCharType="begin"/>
      </w:r>
      <w:r>
        <w:instrText>xe "Economy:Manufacturing"</w:instrText>
      </w:r>
      <w:r>
        <w:fldChar w:fldCharType="end"/>
      </w:r>
      <w:r>
        <w:t xml:space="preserve"> sales over the 12 months to </w:t>
      </w:r>
      <w:r>
        <w:t xml:space="preserve">March 1999, with demand partly being met through further destocking. Increased capital expenditure is also expected. </w:t>
      </w:r>
    </w:p>
    <w:p w:rsidR="00000000" w:rsidRDefault="001F233B">
      <w:r>
        <w:t>Prospects for the farm sector</w:t>
      </w:r>
      <w:r>
        <w:fldChar w:fldCharType="begin"/>
      </w:r>
      <w:r>
        <w:instrText>xe "Economy:Farm sector"</w:instrText>
      </w:r>
      <w:r>
        <w:fldChar w:fldCharType="end"/>
      </w:r>
      <w:r>
        <w:t xml:space="preserve"> are likely to be influenced by seasonal conditions and the impact of East Asia</w:t>
      </w:r>
      <w:r>
        <w:fldChar w:fldCharType="begin"/>
      </w:r>
      <w:r>
        <w:instrText>xe "Economy:East Asia"</w:instrText>
      </w:r>
      <w:r>
        <w:fldChar w:fldCharType="end"/>
      </w:r>
      <w:r>
        <w:t>n economic conditions. Over the past year, the Victorian farm sector has suffered from the strong El Niño effect and, more recently, a slowdown in Asian demand. Dry conditions in the State contributed to lower grain production in 1997</w:t>
      </w:r>
      <w:r>
        <w:noBreakHyphen/>
        <w:t>9</w:t>
      </w:r>
      <w:r>
        <w:t>8. Victorian wheat production is likely to decline by about one</w:t>
      </w:r>
      <w:r>
        <w:noBreakHyphen/>
        <w:t>third on the previous season (but still be around the average level of the past five years). The Victorian barley crop is expected to fall by one</w:t>
      </w:r>
      <w:r>
        <w:noBreakHyphen/>
        <w:t>quarter in 1997</w:t>
      </w:r>
      <w:r>
        <w:noBreakHyphen/>
        <w:t>98 and Victorian wool production has declined as flock sizes have been reduced. Exports</w:t>
      </w:r>
      <w:r>
        <w:fldChar w:fldCharType="begin"/>
      </w:r>
      <w:r>
        <w:instrText>xe "Economy:Exports"</w:instrText>
      </w:r>
      <w:r>
        <w:fldChar w:fldCharType="end"/>
      </w:r>
      <w:r>
        <w:t xml:space="preserve"> of nearly all fruit and vegetables have declined as East Asian consumers switch to local produce. However, most climate models predict that the strong El Niño pattern will diss</w:t>
      </w:r>
      <w:r>
        <w:t>ipate by mid</w:t>
      </w:r>
      <w:r>
        <w:noBreakHyphen/>
        <w:t>1998.</w:t>
      </w:r>
    </w:p>
    <w:p w:rsidR="00000000" w:rsidRDefault="001F233B">
      <w:r>
        <w:t>About two</w:t>
      </w:r>
      <w:r>
        <w:noBreakHyphen/>
        <w:t>thirds of Victorian milk production is exported and international spot prices for skim and whole milk powder should remain relatively low in 1998</w:t>
      </w:r>
      <w:r>
        <w:noBreakHyphen/>
        <w:t>99. Victorian wool production in 1998</w:t>
      </w:r>
      <w:r>
        <w:noBreakHyphen/>
        <w:t>99 is expected to reach its lowest point in the past decade following poor seasonal conditions. Lamb prices should become lower over the next few years in the face of rising supply in Australia and stronger competition from New Zealand in export markets.</w:t>
      </w:r>
    </w:p>
    <w:p w:rsidR="00000000" w:rsidRDefault="001F233B">
      <w:r>
        <w:t>The Victorian wine industry is expected to g</w:t>
      </w:r>
      <w:r>
        <w:t>row strongly and increases in wine exports</w:t>
      </w:r>
      <w:r>
        <w:fldChar w:fldCharType="begin"/>
      </w:r>
      <w:r>
        <w:instrText>xe "Economy:Exports"</w:instrText>
      </w:r>
      <w:r>
        <w:fldChar w:fldCharType="end"/>
      </w:r>
      <w:r>
        <w:t xml:space="preserve"> are likely to continue. Victoria should remain a major supplier of high quality young beef for Australian domestic markets and will be less affected than the northern States by the disruption to live cattle exports to Indonesia and the Philippines.</w:t>
      </w:r>
    </w:p>
    <w:p w:rsidR="00000000" w:rsidRDefault="001F233B">
      <w:r>
        <w:t>The effects of the decline in export demand in South</w:t>
      </w:r>
      <w:r>
        <w:noBreakHyphen/>
        <w:t>East Asia</w:t>
      </w:r>
      <w:r>
        <w:fldChar w:fldCharType="begin"/>
      </w:r>
      <w:r>
        <w:instrText>xe "Asia"</w:instrText>
      </w:r>
      <w:r>
        <w:fldChar w:fldCharType="end"/>
      </w:r>
      <w:r>
        <w:t xml:space="preserve"> have been somewhat offset by currency movements which have favoured Australia’s competitive position in these markets.</w:t>
      </w:r>
    </w:p>
    <w:p w:rsidR="00000000" w:rsidRDefault="001F233B">
      <w:r>
        <w:t>Price</w:t>
      </w:r>
      <w:r>
        <w:t xml:space="preserve"> inflation</w:t>
      </w:r>
      <w:r>
        <w:fldChar w:fldCharType="begin"/>
      </w:r>
      <w:r>
        <w:instrText>xe "Economy:Inflation"</w:instrText>
      </w:r>
      <w:r>
        <w:fldChar w:fldCharType="end"/>
      </w:r>
      <w:r>
        <w:t xml:space="preserve"> as reflected by the consumer price index (CPI) is slowing from 1.3 per cent in 1996</w:t>
      </w:r>
      <w:r>
        <w:noBreakHyphen/>
        <w:t>97 to an expected ¼ per cent in 1997</w:t>
      </w:r>
      <w:r>
        <w:noBreakHyphen/>
        <w:t>98, mainly due to reductions in mortgage interest rates. Mortgage interest and consumer credit charges will be removed from the CPI in the September quarter 1998. CPI inflation is projected to drift up to around 2½ per cent per annum in 1998</w:t>
      </w:r>
      <w:r>
        <w:noBreakHyphen/>
        <w:t>99 and beyond. This is in line with the Reserve Bank’s 2 to 3 per cent target range for underlying inflation.</w:t>
      </w:r>
    </w:p>
    <w:p w:rsidR="00000000" w:rsidRDefault="001F233B">
      <w:r>
        <w:t>Vict</w:t>
      </w:r>
      <w:r>
        <w:t>orian average weekly ordinary time earnings are expected to grow by around 4 per cent in 1997</w:t>
      </w:r>
      <w:r>
        <w:noBreakHyphen/>
        <w:t>98, and by around 3½ per cent in 1998</w:t>
      </w:r>
      <w:r>
        <w:noBreakHyphen/>
        <w:t>99 and subsequent years.</w:t>
      </w:r>
    </w:p>
    <w:p w:rsidR="00000000" w:rsidRDefault="001F233B">
      <w:pPr>
        <w:pStyle w:val="Heading3"/>
      </w:pPr>
      <w:r>
        <w:t>The medium</w:t>
      </w:r>
      <w:r>
        <w:noBreakHyphen/>
        <w:t>term outlook</w:t>
      </w:r>
    </w:p>
    <w:p w:rsidR="00000000" w:rsidRDefault="001F233B">
      <w:r>
        <w:t>Looking beyond the 1998</w:t>
      </w:r>
      <w:r>
        <w:noBreakHyphen/>
        <w:t>99 Budget year, forward estimates are predicated upon a return of Victorian economic growth</w:t>
      </w:r>
      <w:r>
        <w:fldChar w:fldCharType="begin"/>
      </w:r>
      <w:r>
        <w:instrText>xe "Economic growth"</w:instrText>
      </w:r>
      <w:r>
        <w:fldChar w:fldCharType="end"/>
      </w:r>
      <w:r>
        <w:t xml:space="preserve"> to 3 per cent per annum by early next century. Assumptions underpinning this medium-term growth outlook include: </w:t>
      </w:r>
    </w:p>
    <w:p w:rsidR="00000000" w:rsidRDefault="001F233B" w:rsidP="001F233B">
      <w:pPr>
        <w:pStyle w:val="BulletText"/>
        <w:numPr>
          <w:ilvl w:val="0"/>
          <w:numId w:val="1"/>
        </w:numPr>
      </w:pPr>
      <w:r>
        <w:t>annual population</w:t>
      </w:r>
      <w:r>
        <w:fldChar w:fldCharType="begin"/>
      </w:r>
      <w:r>
        <w:instrText>xe "Economy:Population"</w:instrText>
      </w:r>
      <w:r>
        <w:fldChar w:fldCharType="end"/>
      </w:r>
      <w:r>
        <w:t xml:space="preserve"> growth of ¾ to 1 per cent; </w:t>
      </w:r>
    </w:p>
    <w:p w:rsidR="00000000" w:rsidRDefault="001F233B" w:rsidP="001F233B">
      <w:pPr>
        <w:pStyle w:val="BulletText"/>
        <w:numPr>
          <w:ilvl w:val="0"/>
          <w:numId w:val="1"/>
        </w:numPr>
      </w:pPr>
      <w:r>
        <w:t>annual p</w:t>
      </w:r>
      <w:r>
        <w:t>roductivity</w:t>
      </w:r>
      <w:r>
        <w:fldChar w:fldCharType="begin"/>
      </w:r>
      <w:r>
        <w:instrText>xe "Economy:Productivity"</w:instrText>
      </w:r>
      <w:r>
        <w:fldChar w:fldCharType="end"/>
      </w:r>
      <w:r>
        <w:t xml:space="preserve"> growth of about 1½ per cent; and </w:t>
      </w:r>
    </w:p>
    <w:p w:rsidR="00000000" w:rsidRDefault="001F233B" w:rsidP="001F233B">
      <w:pPr>
        <w:pStyle w:val="BulletText"/>
        <w:numPr>
          <w:ilvl w:val="0"/>
          <w:numId w:val="1"/>
        </w:numPr>
      </w:pPr>
      <w:r>
        <w:t xml:space="preserve">a small additional contribution from an increasing labour force participation rate. </w:t>
      </w:r>
    </w:p>
    <w:p w:rsidR="00000000" w:rsidRDefault="001F233B">
      <w:r>
        <w:t>This medium-term outlook for Victoria implies an unemployment</w:t>
      </w:r>
      <w:r>
        <w:fldChar w:fldCharType="begin"/>
      </w:r>
      <w:r>
        <w:instrText>xe "Economy:Unemployment"</w:instrText>
      </w:r>
      <w:r>
        <w:fldChar w:fldCharType="end"/>
      </w:r>
      <w:r>
        <w:t xml:space="preserve"> rate of around 8 per cent at the turn of the century. </w:t>
      </w:r>
    </w:p>
    <w:p w:rsidR="00000000" w:rsidRDefault="001F233B">
      <w:pPr>
        <w:pStyle w:val="Heading2"/>
      </w:pPr>
      <w:bookmarkStart w:id="162" w:name="_Toc417482338"/>
      <w:bookmarkStart w:id="163" w:name="_Toc417552110"/>
      <w:r>
        <w:t>Structural change</w:t>
      </w:r>
      <w:bookmarkEnd w:id="162"/>
      <w:bookmarkEnd w:id="163"/>
      <w:r>
        <w:fldChar w:fldCharType="begin"/>
      </w:r>
      <w:r>
        <w:instrText>xe "Economy:Structural change"</w:instrText>
      </w:r>
      <w:r>
        <w:fldChar w:fldCharType="end"/>
      </w:r>
    </w:p>
    <w:p w:rsidR="00000000" w:rsidRDefault="001F233B">
      <w:r>
        <w:t>Throughout the 1990s, the Victorian economy has responded to opportunities created by rapid change in information technology and telecommunications, strong grow</w:t>
      </w:r>
      <w:r>
        <w:t>th in global demand for many types of services, and rising living standards in Asia</w:t>
      </w:r>
      <w:r>
        <w:fldChar w:fldCharType="begin"/>
      </w:r>
      <w:r>
        <w:instrText>xe "Asia"</w:instrText>
      </w:r>
      <w:r>
        <w:fldChar w:fldCharType="end"/>
      </w:r>
      <w:r>
        <w:t>. These responses have been aided by Victorian Government competition reforms aimed at creating a flexible, competitive economy, and ensuring an efficient government sector which provides quality services at least cost to consumers and to business.</w:t>
      </w:r>
    </w:p>
    <w:p w:rsidR="00000000" w:rsidRDefault="001F233B">
      <w:r>
        <w:t>This section discusses the extent of recent structural change</w:t>
      </w:r>
      <w:r>
        <w:fldChar w:fldCharType="begin"/>
      </w:r>
      <w:r>
        <w:instrText>xe "Economy:Structural change"</w:instrText>
      </w:r>
      <w:r>
        <w:fldChar w:fldCharType="end"/>
      </w:r>
      <w:r>
        <w:t xml:space="preserve"> that has occurred in Victoria and highlights the significant improvement in</w:t>
      </w:r>
      <w:r>
        <w:t xml:space="preserve"> labour productivity</w:t>
      </w:r>
      <w:r>
        <w:fldChar w:fldCharType="begin"/>
      </w:r>
      <w:r>
        <w:instrText>xe "Economy:Productivity"</w:instrText>
      </w:r>
      <w:r>
        <w:fldChar w:fldCharType="end"/>
      </w:r>
      <w:r>
        <w:t xml:space="preserve"> in this State compared with the national average. See Chapter 8,</w:t>
      </w:r>
      <w:r>
        <w:rPr>
          <w:i/>
        </w:rPr>
        <w:t xml:space="preserve"> Competitive Victoria</w:t>
      </w:r>
      <w:r>
        <w:t>, for detailed discussion of competition reforms and the benefits of reform.</w:t>
      </w:r>
    </w:p>
    <w:p w:rsidR="00000000" w:rsidRDefault="001F233B">
      <w:pPr>
        <w:pStyle w:val="Heading3"/>
      </w:pPr>
      <w:r>
        <w:t>The extent of structural change</w:t>
      </w:r>
      <w:r>
        <w:fldChar w:fldCharType="begin"/>
      </w:r>
      <w:r>
        <w:instrText>xe "Economy:Structural change"</w:instrText>
      </w:r>
      <w:r>
        <w:fldChar w:fldCharType="end"/>
      </w:r>
    </w:p>
    <w:p w:rsidR="00000000" w:rsidRDefault="001F233B">
      <w:r>
        <w:t>During the early 1990s, Victoria’s growth occurred mainly in the commercial services sector, which includes finance, insurance, property, business, cultural, recreational and personal services and wholesale and retail trade. Meanwhile, th</w:t>
      </w:r>
      <w:r>
        <w:t>e manufacturing</w:t>
      </w:r>
      <w:r>
        <w:fldChar w:fldCharType="begin"/>
      </w:r>
      <w:r>
        <w:instrText>xe "Economy:Manufacturing"</w:instrText>
      </w:r>
      <w:r>
        <w:fldChar w:fldCharType="end"/>
      </w:r>
      <w:r>
        <w:t xml:space="preserve"> sector has declined in relative importance. The strength of employment</w:t>
      </w:r>
      <w:r>
        <w:fldChar w:fldCharType="begin"/>
      </w:r>
      <w:r>
        <w:instrText>xe "Economy:Employment"</w:instrText>
      </w:r>
      <w:r>
        <w:fldChar w:fldCharType="end"/>
      </w:r>
      <w:r>
        <w:t xml:space="preserve"> growth in Victorian’s commercial services sector during the 1990s, as compared with the rest of Australia, is shown in Chart 7.5. During the same period, Victorian employment growth has been much more restrained in the infrastructure</w:t>
      </w:r>
      <w:r>
        <w:fldChar w:fldCharType="begin"/>
      </w:r>
      <w:r>
        <w:instrText>xe "Economy:Infrastructure"</w:instrText>
      </w:r>
      <w:r>
        <w:fldChar w:fldCharType="end"/>
      </w:r>
      <w:r>
        <w:t xml:space="preserve"> services sectors, where reforms have led to efficiency improvements, and in the community services sector, wh</w:t>
      </w:r>
      <w:r>
        <w:t>ere service delivery</w:t>
      </w:r>
      <w:r>
        <w:fldChar w:fldCharType="begin"/>
      </w:r>
      <w:r>
        <w:instrText>xe "Service delivery"</w:instrText>
      </w:r>
      <w:r>
        <w:fldChar w:fldCharType="end"/>
      </w:r>
      <w:r>
        <w:t xml:space="preserve"> has been rationalised.</w:t>
      </w:r>
    </w:p>
    <w:p w:rsidR="00000000" w:rsidRDefault="001F233B">
      <w:pPr>
        <w:pStyle w:val="Chartheading"/>
        <w:keepNext/>
      </w:pPr>
      <w:r>
        <w:t>Chart 7.5: Employment</w:t>
      </w:r>
      <w:r>
        <w:fldChar w:fldCharType="begin"/>
      </w:r>
      <w:r>
        <w:instrText>xe "Economy:Employment"</w:instrText>
      </w:r>
      <w:r>
        <w:fldChar w:fldCharType="end"/>
      </w:r>
      <w:r>
        <w:t xml:space="preserve"> Growth by Major Industry Group — Victoria and Rest of Australia, 1991</w:t>
      </w:r>
      <w:r>
        <w:noBreakHyphen/>
        <w:t>92 to 1996</w:t>
      </w:r>
      <w:r>
        <w:noBreakHyphen/>
        <w:t>97</w:t>
      </w:r>
    </w:p>
    <w:p w:rsidR="00000000" w:rsidRDefault="001F233B">
      <w:pPr>
        <w:rPr>
          <w:i/>
          <w:sz w:val="18"/>
        </w:rPr>
      </w:pPr>
      <w:r>
        <w:rPr>
          <w:noProof/>
          <w:sz w:val="20"/>
        </w:rPr>
        <w:drawing>
          <wp:inline distT="0" distB="0" distL="0" distR="0">
            <wp:extent cx="4476750" cy="2076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476750" cy="2076450"/>
                    </a:xfrm>
                    <a:prstGeom prst="rect">
                      <a:avLst/>
                    </a:prstGeom>
                    <a:noFill/>
                    <a:ln>
                      <a:noFill/>
                    </a:ln>
                  </pic:spPr>
                </pic:pic>
              </a:graphicData>
            </a:graphic>
          </wp:inline>
        </w:drawing>
      </w:r>
      <w:r>
        <w:rPr>
          <w:i/>
          <w:sz w:val="18"/>
        </w:rPr>
        <w:t>Source: Australian Bureau of Statistics, Cat. No. 6203.0.</w:t>
      </w:r>
    </w:p>
    <w:p w:rsidR="00000000" w:rsidRDefault="001F233B"/>
    <w:p w:rsidR="00000000" w:rsidRDefault="001F233B">
      <w:r>
        <w:t>To some extent, services employment</w:t>
      </w:r>
      <w:r>
        <w:fldChar w:fldCharType="begin"/>
      </w:r>
      <w:r>
        <w:instrText>xe "Economy:Employment"</w:instrText>
      </w:r>
      <w:r>
        <w:fldChar w:fldCharType="end"/>
      </w:r>
      <w:r>
        <w:t xml:space="preserve"> has grown more strongly because functions previously performed within manufacturing</w:t>
      </w:r>
      <w:r>
        <w:fldChar w:fldCharType="begin"/>
      </w:r>
      <w:r>
        <w:instrText>xe "Economy:Manufacturing"</w:instrText>
      </w:r>
      <w:r>
        <w:fldChar w:fldCharType="end"/>
      </w:r>
      <w:r>
        <w:t xml:space="preserve"> firms and by community service establishments have been outsourced to businesses </w:t>
      </w:r>
      <w:r>
        <w:t>in the services sector. In many cases, the incentive to do so has been the search for increased productivity</w:t>
      </w:r>
      <w:r>
        <w:fldChar w:fldCharType="begin"/>
      </w:r>
      <w:r>
        <w:instrText>xe "Economy:Productivity"</w:instrText>
      </w:r>
      <w:r>
        <w:fldChar w:fldCharType="end"/>
      </w:r>
      <w:r>
        <w:t xml:space="preserve"> and efficiency in such areas as accounting and financial services and property management, or in the provision of community services.</w:t>
      </w:r>
    </w:p>
    <w:p w:rsidR="00000000" w:rsidRDefault="001F233B">
      <w:r>
        <w:t>But there has also been an ongoing trend for the demand for services to run ahead of the demand for manufactured goods. This has been a global trend which has been evident in the strong growth in overseas and interstate tourism</w:t>
      </w:r>
      <w:r>
        <w:fldChar w:fldCharType="begin"/>
      </w:r>
      <w:r>
        <w:instrText>xe "Tourism"</w:instrText>
      </w:r>
      <w:r>
        <w:fldChar w:fldCharType="end"/>
      </w:r>
      <w:r>
        <w:t>,</w:t>
      </w:r>
      <w:r>
        <w:t xml:space="preserve"> in enrolments by overseas students at Victorian tertiary institutions, and in anecdotal evidence of increased exports</w:t>
      </w:r>
      <w:r>
        <w:fldChar w:fldCharType="begin"/>
      </w:r>
      <w:r>
        <w:instrText>xe "Economy:Exports"</w:instrText>
      </w:r>
      <w:r>
        <w:fldChar w:fldCharType="end"/>
      </w:r>
      <w:r>
        <w:t xml:space="preserve"> of professional services.</w:t>
      </w:r>
    </w:p>
    <w:p w:rsidR="00000000" w:rsidRDefault="001F233B">
      <w:r>
        <w:t>The growth of commercial services employment</w:t>
      </w:r>
      <w:r>
        <w:fldChar w:fldCharType="begin"/>
      </w:r>
      <w:r>
        <w:instrText>xe "Economy:Employment"</w:instrText>
      </w:r>
      <w:r>
        <w:fldChar w:fldCharType="end"/>
      </w:r>
      <w:r>
        <w:t xml:space="preserve"> has occurred despite the rationalisation of employment in the finance sector.</w:t>
      </w:r>
    </w:p>
    <w:p w:rsidR="00000000" w:rsidRDefault="001F233B">
      <w:r>
        <w:t>Victorian Government policy has focused on removing impediments that prevent businesses responding to new opportunities. Wide</w:t>
      </w:r>
      <w:r>
        <w:noBreakHyphen/>
        <w:t>ranging economic reforms that have contributed to this flexibility incl</w:t>
      </w:r>
      <w:r>
        <w:t>ude the introduction of competition in the provision of infrastructure</w:t>
      </w:r>
      <w:r>
        <w:fldChar w:fldCharType="begin"/>
      </w:r>
      <w:r>
        <w:instrText>xe "Economy:Infrastructure"</w:instrText>
      </w:r>
      <w:r>
        <w:fldChar w:fldCharType="end"/>
      </w:r>
      <w:r>
        <w:t xml:space="preserve"> services (such as the electricity</w:t>
      </w:r>
      <w:r>
        <w:fldChar w:fldCharType="begin"/>
      </w:r>
      <w:r>
        <w:instrText>xe "Electricity"</w:instrText>
      </w:r>
      <w:r>
        <w:fldChar w:fldCharType="end"/>
      </w:r>
      <w:r>
        <w:t>, gas</w:t>
      </w:r>
      <w:r>
        <w:fldChar w:fldCharType="begin"/>
      </w:r>
      <w:r>
        <w:instrText>xe "Gas"</w:instrText>
      </w:r>
      <w:r>
        <w:fldChar w:fldCharType="end"/>
      </w:r>
      <w:r>
        <w:t>, ports and road transport</w:t>
      </w:r>
      <w:r>
        <w:fldChar w:fldCharType="begin"/>
      </w:r>
      <w:r>
        <w:instrText>xe "Transport"</w:instrText>
      </w:r>
      <w:r>
        <w:fldChar w:fldCharType="end"/>
      </w:r>
      <w:r>
        <w:t xml:space="preserve"> industries), and in providing electricity customers with a choice of supplier.</w:t>
      </w:r>
    </w:p>
    <w:p w:rsidR="00000000" w:rsidRDefault="001F233B">
      <w:r>
        <w:t>The reforms are also delivering lower utility prices and improved service quality in these areas. Water supply pricing reforms, involving the adoption of a user</w:t>
      </w:r>
      <w:r>
        <w:noBreakHyphen/>
        <w:t>pays approach, are expected to lead to a majority of businesses</w:t>
      </w:r>
      <w:r>
        <w:t xml:space="preserve"> receiving lower prices. The privatisation</w:t>
      </w:r>
      <w:r>
        <w:fldChar w:fldCharType="begin"/>
      </w:r>
      <w:r>
        <w:instrText>xe "Privatisation"</w:instrText>
      </w:r>
      <w:r>
        <w:fldChar w:fldCharType="end"/>
      </w:r>
      <w:r>
        <w:t xml:space="preserve"> of public transport</w:t>
      </w:r>
      <w:r>
        <w:fldChar w:fldCharType="begin"/>
      </w:r>
      <w:r>
        <w:instrText>xe "Transport"</w:instrText>
      </w:r>
      <w:r>
        <w:fldChar w:fldCharType="end"/>
      </w:r>
      <w:r>
        <w:t xml:space="preserve"> is also expected to improve services and reduce costs.</w:t>
      </w:r>
    </w:p>
    <w:p w:rsidR="00000000" w:rsidRDefault="001F233B">
      <w:r>
        <w:t>Workers’ compensation arrangements have been reformed and have led to improvements in workplace safety, higher rates of return to work and savings in excess of $500 million to Victorian businesses.</w:t>
      </w:r>
    </w:p>
    <w:p w:rsidR="00000000" w:rsidRDefault="001F233B">
      <w:r>
        <w:t>In the industrial relations area, Victoria referred its powers to the Commonwealth to create a single industrial relations system for Victoria under the Commonw</w:t>
      </w:r>
      <w:r>
        <w:t xml:space="preserve">ealth </w:t>
      </w:r>
      <w:r>
        <w:rPr>
          <w:i/>
        </w:rPr>
        <w:t>Workplace Relations Act 1996</w:t>
      </w:r>
      <w:r>
        <w:t>.</w:t>
      </w:r>
    </w:p>
    <w:p w:rsidR="00000000" w:rsidRDefault="001F233B">
      <w:r>
        <w:t>Industry policy has also played a role by promoting and facilitating investment</w:t>
      </w:r>
      <w:r>
        <w:fldChar w:fldCharType="begin"/>
      </w:r>
      <w:r>
        <w:instrText>xe "Economy:Investment"</w:instrText>
      </w:r>
      <w:r>
        <w:fldChar w:fldCharType="end"/>
      </w:r>
      <w:r>
        <w:t>, reducing the regulatory burden on business (including the deregulation of retail shopping hours), shifting from input</w:t>
      </w:r>
      <w:r>
        <w:noBreakHyphen/>
        <w:t>based to output</w:t>
      </w:r>
      <w:r>
        <w:noBreakHyphen/>
        <w:t>based environmental controls, and providing fundamental research and development and enabling technologies. The development of an education</w:t>
      </w:r>
      <w:r>
        <w:fldChar w:fldCharType="begin"/>
      </w:r>
      <w:r>
        <w:instrText>xe "Education"</w:instrText>
      </w:r>
      <w:r>
        <w:fldChar w:fldCharType="end"/>
      </w:r>
      <w:r>
        <w:t xml:space="preserve"> and training system capable of enhancing workforce skills has also been importan</w:t>
      </w:r>
      <w:r>
        <w:t>t.</w:t>
      </w:r>
    </w:p>
    <w:p w:rsidR="00000000" w:rsidRDefault="001F233B">
      <w:pPr>
        <w:pStyle w:val="Heading3"/>
      </w:pPr>
      <w:r>
        <w:t>The impact of reform on competitiveness</w:t>
      </w:r>
      <w:r>
        <w:fldChar w:fldCharType="begin"/>
      </w:r>
      <w:r>
        <w:instrText>xe "Competitiveness"</w:instrText>
      </w:r>
      <w:r>
        <w:fldChar w:fldCharType="end"/>
      </w:r>
    </w:p>
    <w:p w:rsidR="00000000" w:rsidRDefault="001F233B">
      <w:r>
        <w:t>Structural reform has been instrumental in improving the competitiveness</w:t>
      </w:r>
      <w:r>
        <w:fldChar w:fldCharType="begin"/>
      </w:r>
      <w:r>
        <w:instrText>xe "Competitiveness"</w:instrText>
      </w:r>
      <w:r>
        <w:fldChar w:fldCharType="end"/>
      </w:r>
      <w:r>
        <w:t xml:space="preserve"> of Victorian businesses, and this has been demonstrated by the strength of Victoria’s recent export performance. During the 1990s, Victoria moved from fourth to third highest overseas exporter of merchandise (behind New South Wales and Western Australia). International export growth has been based heavily on elaborately transformed manufactures (whic</w:t>
      </w:r>
      <w:r>
        <w:t>h have grown much more rapidly here than elsewhere in Australia) and food products (see Chart 7.6).</w:t>
      </w:r>
    </w:p>
    <w:p w:rsidR="00000000" w:rsidRDefault="001F233B">
      <w:pPr>
        <w:pStyle w:val="Chartheading"/>
        <w:keepNext/>
        <w:keepLines/>
        <w:spacing w:before="0" w:after="0"/>
      </w:pPr>
      <w:r>
        <w:br w:type="page"/>
        <w:t>Chart 7.6: International Merchandise Exports</w:t>
      </w:r>
      <w:r>
        <w:fldChar w:fldCharType="begin"/>
      </w:r>
      <w:r>
        <w:instrText>xe "Economy:Exports"</w:instrText>
      </w:r>
      <w:r>
        <w:fldChar w:fldCharType="end"/>
      </w:r>
      <w:r>
        <w:t>, 1991</w:t>
      </w:r>
      <w:r>
        <w:noBreakHyphen/>
        <w:t>92 to 1996</w:t>
      </w:r>
      <w:r>
        <w:noBreakHyphen/>
        <w:t>97, percentage change</w:t>
      </w:r>
    </w:p>
    <w:p w:rsidR="00000000" w:rsidRDefault="001F233B">
      <w:pPr>
        <w:spacing w:after="0"/>
      </w:pPr>
      <w:r>
        <w:rPr>
          <w:noProof/>
          <w:sz w:val="20"/>
        </w:rPr>
        <w:drawing>
          <wp:inline distT="0" distB="0" distL="0" distR="0">
            <wp:extent cx="4400550" cy="2486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00550" cy="2486025"/>
                    </a:xfrm>
                    <a:prstGeom prst="rect">
                      <a:avLst/>
                    </a:prstGeom>
                    <a:noFill/>
                    <a:ln>
                      <a:noFill/>
                    </a:ln>
                  </pic:spPr>
                </pic:pic>
              </a:graphicData>
            </a:graphic>
          </wp:inline>
        </w:drawing>
      </w:r>
    </w:p>
    <w:p w:rsidR="00000000" w:rsidRDefault="001F233B">
      <w:pPr>
        <w:pStyle w:val="Source"/>
      </w:pPr>
      <w:r>
        <w:t>Source: Department of Foreign Affairs and Trade unpublished data.</w:t>
      </w:r>
    </w:p>
    <w:p w:rsidR="00000000" w:rsidRDefault="001F233B">
      <w:pPr>
        <w:pStyle w:val="Chartheading"/>
        <w:keepNext/>
        <w:spacing w:after="0"/>
      </w:pPr>
      <w:r>
        <w:t>Chart 7.7: Labour Productivity</w:t>
      </w:r>
      <w:r>
        <w:fldChar w:fldCharType="begin"/>
      </w:r>
      <w:r>
        <w:instrText>xe "Economy:Productivity"</w:instrText>
      </w:r>
      <w:r>
        <w:fldChar w:fldCharType="end"/>
      </w:r>
      <w:r>
        <w:t xml:space="preserve"> — Victoria, Australia, United States, United Kingdom and New Zealand </w:t>
      </w:r>
      <w:r>
        <w:rPr>
          <w:i/>
          <w:vertAlign w:val="superscript"/>
        </w:rPr>
        <w:t>(a)</w:t>
      </w:r>
    </w:p>
    <w:p w:rsidR="00000000" w:rsidRDefault="001F233B">
      <w:pPr>
        <w:pStyle w:val="Source"/>
        <w:spacing w:after="0"/>
        <w:jc w:val="left"/>
        <w:rPr>
          <w:noProof/>
        </w:rPr>
      </w:pPr>
      <w:r>
        <w:rPr>
          <w:noProof/>
          <w:sz w:val="20"/>
        </w:rPr>
        <w:drawing>
          <wp:inline distT="0" distB="0" distL="0" distR="0">
            <wp:extent cx="4400550" cy="24860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400550" cy="2486025"/>
                    </a:xfrm>
                    <a:prstGeom prst="rect">
                      <a:avLst/>
                    </a:prstGeom>
                    <a:noFill/>
                    <a:ln>
                      <a:noFill/>
                    </a:ln>
                  </pic:spPr>
                </pic:pic>
              </a:graphicData>
            </a:graphic>
          </wp:inline>
        </w:drawing>
      </w:r>
    </w:p>
    <w:p w:rsidR="00000000" w:rsidRDefault="001F233B">
      <w:pPr>
        <w:pStyle w:val="Source"/>
        <w:tabs>
          <w:tab w:val="left" w:pos="720"/>
        </w:tabs>
        <w:ind w:left="720" w:hanging="720"/>
      </w:pPr>
      <w:r>
        <w:t>Sources:</w:t>
      </w:r>
      <w:r>
        <w:tab/>
        <w:t>Australian Bureau of Statistics, Cat. No. 5206.0 and Prod. No. 5206.0.40.001; International Mon</w:t>
      </w:r>
      <w:r>
        <w:t>etary Fund, International Financial Statistics.</w:t>
      </w:r>
    </w:p>
    <w:p w:rsidR="00000000" w:rsidRDefault="001F233B">
      <w:pPr>
        <w:pStyle w:val="Notes"/>
      </w:pPr>
      <w:r>
        <w:t>Note:</w:t>
      </w:r>
    </w:p>
    <w:p w:rsidR="00000000" w:rsidRDefault="001F233B">
      <w:pPr>
        <w:pStyle w:val="Notes"/>
        <w:tabs>
          <w:tab w:val="clear" w:pos="454"/>
          <w:tab w:val="left" w:pos="360"/>
        </w:tabs>
        <w:ind w:left="360" w:hanging="360"/>
      </w:pPr>
      <w:r>
        <w:t>(a)</w:t>
      </w:r>
      <w:r>
        <w:tab/>
        <w:t>Gross domestic product at 1990 prices per employed person. US employment</w:t>
      </w:r>
      <w:r>
        <w:fldChar w:fldCharType="begin"/>
      </w:r>
      <w:r>
        <w:instrText>xe "Economy:Employment"</w:instrText>
      </w:r>
      <w:r>
        <w:fldChar w:fldCharType="end"/>
      </w:r>
      <w:r>
        <w:t xml:space="preserve"> adjusted for 1994 methodological changes using estimates from US Bureau of Labor Statistics.</w:t>
      </w:r>
    </w:p>
    <w:p w:rsidR="00000000" w:rsidRDefault="001F233B">
      <w:pPr>
        <w:pStyle w:val="Notes"/>
      </w:pPr>
    </w:p>
    <w:p w:rsidR="00000000" w:rsidRDefault="001F233B">
      <w:r>
        <w:t>Since 1991</w:t>
      </w:r>
      <w:r>
        <w:noBreakHyphen/>
        <w:t>92, Victoria has experienced relatively strong productivity</w:t>
      </w:r>
      <w:r>
        <w:fldChar w:fldCharType="begin"/>
      </w:r>
      <w:r>
        <w:instrText>xe "Economy:Productivity"</w:instrText>
      </w:r>
      <w:r>
        <w:fldChar w:fldCharType="end"/>
      </w:r>
      <w:r>
        <w:t xml:space="preserve"> growth compared with the rest of Australia. This is evident in its relative labour productivity performance, which has outstripped the United States and New Zealand</w:t>
      </w:r>
      <w:r>
        <w:t>, and has kept pace with that of the United Kingdom (see Chart 7.7).</w:t>
      </w:r>
    </w:p>
    <w:p w:rsidR="00000000" w:rsidRDefault="001F233B">
      <w:r>
        <w:t>There are strong indications that this improvement in Victorian productivity</w:t>
      </w:r>
      <w:r>
        <w:fldChar w:fldCharType="begin"/>
      </w:r>
      <w:r>
        <w:instrText>xe "Economy:Productivity"</w:instrText>
      </w:r>
      <w:r>
        <w:fldChar w:fldCharType="end"/>
      </w:r>
      <w:r>
        <w:t xml:space="preserve"> has been largely associated with the structural reform process, rather than other factors.</w:t>
      </w:r>
    </w:p>
    <w:p w:rsidR="00000000" w:rsidRDefault="001F233B">
      <w:r>
        <w:t>First, Victoria’s strong labour productivity</w:t>
      </w:r>
      <w:r>
        <w:fldChar w:fldCharType="begin"/>
      </w:r>
      <w:r>
        <w:instrText>xe "Economy:Productivity"</w:instrText>
      </w:r>
      <w:r>
        <w:fldChar w:fldCharType="end"/>
      </w:r>
      <w:r>
        <w:t xml:space="preserve"> performance does not appear to have resulted from a relatively higher growth rate in its stock of buildings and equipment compared with other States. The Melbourne Institute of</w:t>
      </w:r>
      <w:r>
        <w:t xml:space="preserve"> Applied Economic and Social Research estimates that, among the Australian States, the contribution to growth in Victoria from improvements in total factor productivity (that is, after allowing for changes in physical capital as well as labour) was second only to that of Western Australia in the first half of the 1990s.</w:t>
      </w:r>
    </w:p>
    <w:p w:rsidR="00000000" w:rsidRDefault="001F233B">
      <w:r>
        <w:t>Second, Victoria’s productivity</w:t>
      </w:r>
      <w:r>
        <w:fldChar w:fldCharType="begin"/>
      </w:r>
      <w:r>
        <w:instrText>xe "Economy:Productivity"</w:instrText>
      </w:r>
      <w:r>
        <w:fldChar w:fldCharType="end"/>
      </w:r>
      <w:r>
        <w:t xml:space="preserve"> gains have not relied on the discovery and exploitation of new mineral resources, which are likely to have been an important explan</w:t>
      </w:r>
      <w:r>
        <w:t>ation for the productivity gains in resource</w:t>
      </w:r>
      <w:r>
        <w:noBreakHyphen/>
        <w:t>rich States such as Western Australia. Excluding the mining sector, Victoria’s labour productivity performance may have outstripped Western Australia’s and most of the other major States (see Chart 7.8).</w:t>
      </w:r>
    </w:p>
    <w:p w:rsidR="00000000" w:rsidRDefault="001F233B">
      <w:r>
        <w:t>Third, there is evidence that structural reforms have been important in improving the overall productivity</w:t>
      </w:r>
      <w:r>
        <w:fldChar w:fldCharType="begin"/>
      </w:r>
      <w:r>
        <w:instrText>xe "Economy:Productivity"</w:instrText>
      </w:r>
      <w:r>
        <w:fldChar w:fldCharType="end"/>
      </w:r>
      <w:r>
        <w:t xml:space="preserve"> performances of individual sectors in the national economy. Industry Commission research indicates that transport</w:t>
      </w:r>
      <w:r>
        <w:fldChar w:fldCharType="begin"/>
      </w:r>
      <w:r>
        <w:instrText>xe "Transport"</w:instrText>
      </w:r>
      <w:r>
        <w:fldChar w:fldCharType="end"/>
      </w:r>
      <w:r>
        <w:t xml:space="preserve"> and utilities have made the most rapid improvements in multifactor productivity in the market sector of the national economy since the late 1980s. The Commission noted the role of increased competitive pressures in the improved productivity performances in these sectors during the 1990s. Victoria’s competitive reforms in such areas as utilities are therefore likely to have contributed to marked improvements in their efficiency. These, in turn, can be expected to generate benefits for utility customers in t</w:t>
      </w:r>
      <w:r>
        <w:t>he form of lower prices (see Chapter 8 for more detail).</w:t>
      </w:r>
    </w:p>
    <w:p w:rsidR="00000000" w:rsidRDefault="001F233B">
      <w:r>
        <w:t>The structural reform process continues through such measures as the restructuring of the water industry, the privatisation</w:t>
      </w:r>
      <w:r>
        <w:fldChar w:fldCharType="begin"/>
      </w:r>
      <w:r>
        <w:instrText>xe "Privatisation"</w:instrText>
      </w:r>
      <w:r>
        <w:fldChar w:fldCharType="end"/>
      </w:r>
      <w:r>
        <w:t xml:space="preserve"> of the gas</w:t>
      </w:r>
      <w:r>
        <w:fldChar w:fldCharType="begin"/>
      </w:r>
      <w:r>
        <w:instrText>xe "Gas"</w:instrText>
      </w:r>
      <w:r>
        <w:fldChar w:fldCharType="end"/>
      </w:r>
      <w:r>
        <w:t xml:space="preserve"> industry</w:t>
      </w:r>
      <w:r>
        <w:fldChar w:fldCharType="begin"/>
      </w:r>
      <w:r>
        <w:instrText>xe "Public authority income:Gas industry"</w:instrText>
      </w:r>
      <w:r>
        <w:fldChar w:fldCharType="end"/>
      </w:r>
      <w:r>
        <w:t xml:space="preserve"> and of all public transport services</w:t>
      </w:r>
      <w:r>
        <w:fldChar w:fldCharType="begin"/>
      </w:r>
      <w:r>
        <w:instrText>xe "Department of Infrastructure:Public transport services"</w:instrText>
      </w:r>
      <w:r>
        <w:fldChar w:fldCharType="end"/>
      </w:r>
      <w:r>
        <w:t>, and the restructuring of health</w:t>
      </w:r>
      <w:r>
        <w:fldChar w:fldCharType="begin"/>
      </w:r>
      <w:r>
        <w:instrText>xe "Health"</w:instrText>
      </w:r>
      <w:r>
        <w:fldChar w:fldCharType="end"/>
      </w:r>
      <w:r>
        <w:t xml:space="preserve"> services. Chapter 8 contains a detailed discussion of these reforms and their benefits.</w:t>
      </w:r>
    </w:p>
    <w:p w:rsidR="00000000" w:rsidRDefault="001F233B">
      <w:pPr>
        <w:pStyle w:val="Chartheading"/>
        <w:keepNext/>
      </w:pPr>
      <w:r>
        <w:t>Chart </w:t>
      </w:r>
      <w:r>
        <w:t>7.8: Gross Product at Factor Cost per Employed Person, excluding Mining, 1991</w:t>
      </w:r>
      <w:r>
        <w:noBreakHyphen/>
        <w:t>92 to 1995</w:t>
      </w:r>
      <w:r>
        <w:noBreakHyphen/>
        <w:t>96, percentage change</w:t>
      </w:r>
      <w:r>
        <w:rPr>
          <w:i/>
          <w:vertAlign w:val="superscript"/>
        </w:rPr>
        <w:t>(a)</w:t>
      </w:r>
    </w:p>
    <w:p w:rsidR="00000000" w:rsidRDefault="001F233B">
      <w:pPr>
        <w:pStyle w:val="Source"/>
      </w:pPr>
      <w:r>
        <w:rPr>
          <w:noProof/>
          <w:sz w:val="20"/>
        </w:rPr>
        <w:drawing>
          <wp:inline distT="0" distB="0" distL="0" distR="0">
            <wp:extent cx="4476750" cy="25336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476750" cy="2533650"/>
                    </a:xfrm>
                    <a:prstGeom prst="rect">
                      <a:avLst/>
                    </a:prstGeom>
                    <a:noFill/>
                    <a:ln>
                      <a:noFill/>
                    </a:ln>
                  </pic:spPr>
                </pic:pic>
              </a:graphicData>
            </a:graphic>
          </wp:inline>
        </w:drawing>
      </w:r>
      <w:r>
        <w:t>Sources: Australian Bureau of Statistics, Cat. No. 5220.0 and Cat. No. 6203.0.</w:t>
      </w:r>
    </w:p>
    <w:p w:rsidR="00000000" w:rsidRDefault="001F233B">
      <w:pPr>
        <w:pStyle w:val="Notes"/>
      </w:pPr>
      <w:r>
        <w:t>Note:</w:t>
      </w:r>
    </w:p>
    <w:p w:rsidR="00000000" w:rsidRDefault="001F233B">
      <w:pPr>
        <w:pStyle w:val="Notes"/>
        <w:ind w:left="454" w:hanging="454"/>
        <w:jc w:val="both"/>
      </w:pPr>
      <w:r>
        <w:t>(a)</w:t>
      </w:r>
      <w:r>
        <w:tab/>
        <w:t>Percentage change in gross product at factor cost excluding ownership of dwellings and mining industries divided by employed persons excluding mining industry.</w:t>
      </w:r>
    </w:p>
    <w:p w:rsidR="00000000" w:rsidRDefault="001F233B">
      <w:pPr>
        <w:pStyle w:val="Notes"/>
        <w:ind w:left="454" w:hanging="454"/>
        <w:jc w:val="both"/>
      </w:pPr>
      <w:r>
        <w:tab/>
        <w:t>Note that changes in gross product at factor cost arise from changes in both the quantity of production and its price (unlike Chart 7.7 which is af</w:t>
      </w:r>
      <w:r>
        <w:t>fected only by changes in the quantity of production). This affects the reliability of Chart 7.7 as an indicator of productivity</w:t>
      </w:r>
      <w:r>
        <w:fldChar w:fldCharType="begin"/>
      </w:r>
      <w:r>
        <w:instrText>xe "Economy:Productivity"</w:instrText>
      </w:r>
      <w:r>
        <w:fldChar w:fldCharType="end"/>
      </w:r>
      <w:r>
        <w:t xml:space="preserve"> movements.</w:t>
      </w:r>
    </w:p>
    <w:p w:rsidR="00000000" w:rsidRDefault="001F233B"/>
    <w:p w:rsidR="00000000" w:rsidRDefault="001F233B">
      <w:pPr>
        <w:sectPr w:rsidR="00000000">
          <w:headerReference w:type="even" r:id="rId87"/>
          <w:footerReference w:type="even" r:id="rId88"/>
          <w:footerReference w:type="default" r:id="rId89"/>
          <w:type w:val="oddPage"/>
          <w:pgSz w:w="11907" w:h="16840" w:code="9"/>
          <w:pgMar w:top="1440" w:right="3398" w:bottom="4075" w:left="1411" w:header="720" w:footer="4248" w:gutter="0"/>
          <w:cols w:space="720"/>
        </w:sectPr>
      </w:pPr>
    </w:p>
    <w:p w:rsidR="00000000" w:rsidRDefault="001F233B">
      <w:pPr>
        <w:pStyle w:val="Heading1"/>
        <w:rPr>
          <w:sz w:val="24"/>
        </w:rPr>
      </w:pPr>
      <w:bookmarkStart w:id="164" w:name="_Toc417482339"/>
      <w:r>
        <w:br w:type="page"/>
      </w:r>
      <w:bookmarkStart w:id="165" w:name="_Toc417552111"/>
      <w:r>
        <w:t>Chapter 8: Competitive Victoria</w:t>
      </w:r>
      <w:bookmarkEnd w:id="164"/>
      <w:bookmarkEnd w:id="165"/>
    </w:p>
    <w:p w:rsidR="00000000" w:rsidRDefault="001F233B">
      <w:pPr>
        <w:rPr>
          <w:b/>
          <w:u w:val="single"/>
        </w:rPr>
      </w:pPr>
      <w:r>
        <w:t>In 1998</w:t>
      </w:r>
      <w:r>
        <w:noBreakHyphen/>
        <w:t>99, the Government will further advance its program to achieve a Competitive Victoria. This Chapter outlines: the rationale for the Government’s reforms and their benefits; how competition is being achieved; reforms to government business enterprises (GBEs) made to date; the likely future direction of</w:t>
      </w:r>
      <w:r>
        <w:t xml:space="preserve"> reforms; and the Government’s key National Competition Policy</w:t>
      </w:r>
      <w:r>
        <w:fldChar w:fldCharType="begin"/>
      </w:r>
      <w:r>
        <w:instrText>xe "Competition:National Competition Policy"</w:instrText>
      </w:r>
      <w:r>
        <w:fldChar w:fldCharType="end"/>
      </w:r>
      <w:r>
        <w:t xml:space="preserve"> commitments.</w:t>
      </w:r>
    </w:p>
    <w:p w:rsidR="00000000" w:rsidRDefault="001F233B">
      <w:pPr>
        <w:pStyle w:val="Heading2"/>
      </w:pPr>
      <w:bookmarkStart w:id="166" w:name="_Toc417482340"/>
      <w:bookmarkStart w:id="167" w:name="_Toc417552112"/>
      <w:r>
        <w:t xml:space="preserve">Overview </w:t>
      </w:r>
      <w:r>
        <w:noBreakHyphen/>
        <w:t xml:space="preserve"> why reform?</w:t>
      </w:r>
      <w:bookmarkEnd w:id="166"/>
      <w:bookmarkEnd w:id="167"/>
    </w:p>
    <w:p w:rsidR="00000000" w:rsidRDefault="001F233B">
      <w:r>
        <w:t xml:space="preserve">The Government’s objective is to lift the economic performance of the State, making it a better place to live, to invest and to do business, and thereby improve living standards for all Victorians. </w:t>
      </w:r>
    </w:p>
    <w:p w:rsidR="00000000" w:rsidRDefault="001F233B">
      <w:r>
        <w:t>It aims to do this by creating a world</w:t>
      </w:r>
      <w:r>
        <w:noBreakHyphen/>
        <w:t>class competitive business environment which provides growing opportunities for investment</w:t>
      </w:r>
      <w:r>
        <w:fldChar w:fldCharType="begin"/>
      </w:r>
      <w:r>
        <w:instrText>xe "Economy:Investment"</w:instrText>
      </w:r>
      <w:r>
        <w:fldChar w:fldCharType="end"/>
      </w:r>
      <w:r>
        <w:t xml:space="preserve"> and the creat</w:t>
      </w:r>
      <w:r>
        <w:t>ion of jobs, and by implementing reforms which will deliver low</w:t>
      </w:r>
      <w:r>
        <w:noBreakHyphen/>
        <w:t>cost, quality services that are responsive to the needs of the community.</w:t>
      </w:r>
    </w:p>
    <w:p w:rsidR="00000000" w:rsidRDefault="001F233B">
      <w:r>
        <w:t>The Victorian Government influences economic activity in three main areas:</w:t>
      </w:r>
    </w:p>
    <w:p w:rsidR="00000000" w:rsidRDefault="001F233B" w:rsidP="001F233B">
      <w:pPr>
        <w:pStyle w:val="BulletText"/>
        <w:numPr>
          <w:ilvl w:val="0"/>
          <w:numId w:val="1"/>
        </w:numPr>
      </w:pPr>
      <w:r>
        <w:t>as an owner and operator of GBEs responsible for providing services such as water, sewerage, gas</w:t>
      </w:r>
      <w:r>
        <w:fldChar w:fldCharType="begin"/>
      </w:r>
      <w:r>
        <w:instrText>xe "Gas"</w:instrText>
      </w:r>
      <w:r>
        <w:fldChar w:fldCharType="end"/>
      </w:r>
      <w:r>
        <w:t xml:space="preserve"> and public transport</w:t>
      </w:r>
      <w:r>
        <w:fldChar w:fldCharType="begin"/>
      </w:r>
      <w:r>
        <w:instrText>xe "Transport"</w:instrText>
      </w:r>
      <w:r>
        <w:fldChar w:fldCharType="end"/>
      </w:r>
      <w:r>
        <w:t>;</w:t>
      </w:r>
    </w:p>
    <w:p w:rsidR="00000000" w:rsidRDefault="001F233B" w:rsidP="001F233B">
      <w:pPr>
        <w:pStyle w:val="BulletText"/>
        <w:numPr>
          <w:ilvl w:val="0"/>
          <w:numId w:val="1"/>
        </w:numPr>
      </w:pPr>
      <w:r>
        <w:t>as the funder and/or provider of budget sector services such as health</w:t>
      </w:r>
      <w:r>
        <w:fldChar w:fldCharType="begin"/>
      </w:r>
      <w:r>
        <w:instrText>xe "Health"</w:instrText>
      </w:r>
      <w:r>
        <w:fldChar w:fldCharType="end"/>
      </w:r>
      <w:r>
        <w:t>, education</w:t>
      </w:r>
      <w:r>
        <w:fldChar w:fldCharType="begin"/>
      </w:r>
      <w:r>
        <w:instrText>xe "Education"</w:instrText>
      </w:r>
      <w:r>
        <w:fldChar w:fldCharType="end"/>
      </w:r>
      <w:r>
        <w:t xml:space="preserve"> and justice; and</w:t>
      </w:r>
    </w:p>
    <w:p w:rsidR="00000000" w:rsidRDefault="001F233B" w:rsidP="001F233B">
      <w:pPr>
        <w:pStyle w:val="BulletText"/>
        <w:numPr>
          <w:ilvl w:val="0"/>
          <w:numId w:val="1"/>
        </w:numPr>
      </w:pPr>
      <w:r>
        <w:t xml:space="preserve">as a regulator of private </w:t>
      </w:r>
      <w:r>
        <w:t>markets.</w:t>
      </w:r>
    </w:p>
    <w:p w:rsidR="00000000" w:rsidRDefault="001F233B">
      <w:pPr>
        <w:pStyle w:val="Heading3"/>
      </w:pPr>
      <w:r>
        <w:t>The role of competition</w:t>
      </w:r>
    </w:p>
    <w:p w:rsidR="00000000" w:rsidRDefault="001F233B">
      <w:r>
        <w:t>The key principle underlying many of the Government’s economic reforms is that competition delivers better outcomes for the community in terms of price and quality by:</w:t>
      </w:r>
    </w:p>
    <w:p w:rsidR="00000000" w:rsidRDefault="001F233B" w:rsidP="001F233B">
      <w:pPr>
        <w:pStyle w:val="BulletText"/>
        <w:numPr>
          <w:ilvl w:val="0"/>
          <w:numId w:val="1"/>
        </w:numPr>
      </w:pPr>
      <w:r>
        <w:t>providing consumers with greater choice when making purchase decisions;</w:t>
      </w:r>
    </w:p>
    <w:p w:rsidR="00000000" w:rsidRDefault="001F233B" w:rsidP="001F233B">
      <w:pPr>
        <w:pStyle w:val="BulletText"/>
        <w:numPr>
          <w:ilvl w:val="0"/>
          <w:numId w:val="1"/>
        </w:numPr>
      </w:pPr>
      <w:r>
        <w:t>motivating businesses to reduce costs and improve quality; and</w:t>
      </w:r>
    </w:p>
    <w:p w:rsidR="00000000" w:rsidRDefault="001F233B" w:rsidP="001F233B">
      <w:pPr>
        <w:pStyle w:val="BulletText"/>
        <w:numPr>
          <w:ilvl w:val="0"/>
          <w:numId w:val="1"/>
        </w:numPr>
      </w:pPr>
      <w:r>
        <w:t>providing the feedback needed for an economy to change over time, as consumer needs change.</w:t>
      </w:r>
    </w:p>
    <w:p w:rsidR="00000000" w:rsidRDefault="001F233B">
      <w:r>
        <w:t>Competition</w:t>
      </w:r>
      <w:r>
        <w:fldChar w:fldCharType="begin"/>
      </w:r>
      <w:r>
        <w:instrText>xe "Competition"</w:instrText>
      </w:r>
      <w:r>
        <w:fldChar w:fldCharType="end"/>
      </w:r>
      <w:r>
        <w:t>, or the threat of it, is a powerful force in driving e</w:t>
      </w:r>
      <w:r>
        <w:t>fficient outcomes, and forces suppliers to work harder to satisfy their customers.</w:t>
      </w:r>
    </w:p>
    <w:p w:rsidR="00000000" w:rsidRDefault="001F233B">
      <w:pPr>
        <w:pStyle w:val="Heading3"/>
      </w:pPr>
      <w:r>
        <w:t>Harnessing competition wherever possible</w:t>
      </w:r>
    </w:p>
    <w:p w:rsidR="00000000" w:rsidRDefault="001F233B">
      <w:r>
        <w:t>The Government has sought to encourage competition in a number of ways.</w:t>
      </w:r>
    </w:p>
    <w:p w:rsidR="00000000" w:rsidRDefault="001F233B">
      <w:r>
        <w:rPr>
          <w:i/>
        </w:rPr>
        <w:t>Competition</w:t>
      </w:r>
      <w:r>
        <w:rPr>
          <w:i/>
        </w:rPr>
        <w:fldChar w:fldCharType="begin"/>
      </w:r>
      <w:r>
        <w:rPr>
          <w:i/>
        </w:rPr>
        <w:instrText>xe "Competition"</w:instrText>
      </w:r>
      <w:r>
        <w:rPr>
          <w:i/>
        </w:rPr>
        <w:fldChar w:fldCharType="end"/>
      </w:r>
      <w:r>
        <w:rPr>
          <w:i/>
        </w:rPr>
        <w:t xml:space="preserve"> for outputs</w:t>
      </w:r>
      <w:r>
        <w:rPr>
          <w:i/>
        </w:rPr>
        <w:fldChar w:fldCharType="begin"/>
      </w:r>
      <w:r>
        <w:rPr>
          <w:i/>
        </w:rPr>
        <w:instrText>xe "Outputs"</w:instrText>
      </w:r>
      <w:r>
        <w:rPr>
          <w:i/>
        </w:rPr>
        <w:fldChar w:fldCharType="end"/>
      </w:r>
      <w:r>
        <w:t xml:space="preserve"> means a key component of GBE reform is to break up existing GBE monopolies into potentially competitive elements. This enables other businesses to compete directly in areas such as electricity</w:t>
      </w:r>
      <w:r>
        <w:fldChar w:fldCharType="begin"/>
      </w:r>
      <w:r>
        <w:instrText>xe "Electricity"</w:instrText>
      </w:r>
      <w:r>
        <w:fldChar w:fldCharType="end"/>
      </w:r>
      <w:r>
        <w:t xml:space="preserve"> or gas</w:t>
      </w:r>
      <w:r>
        <w:fldChar w:fldCharType="begin"/>
      </w:r>
      <w:r>
        <w:instrText>xe "Gas"</w:instrText>
      </w:r>
      <w:r>
        <w:fldChar w:fldCharType="end"/>
      </w:r>
      <w:r>
        <w:t xml:space="preserve"> supply and provide customers wit</w:t>
      </w:r>
      <w:r>
        <w:t>h a choice of supplier.</w:t>
      </w:r>
    </w:p>
    <w:p w:rsidR="00000000" w:rsidRDefault="001F233B">
      <w:r>
        <w:rPr>
          <w:i/>
        </w:rPr>
        <w:t>Competition</w:t>
      </w:r>
      <w:r>
        <w:rPr>
          <w:i/>
        </w:rPr>
        <w:fldChar w:fldCharType="begin"/>
      </w:r>
      <w:r>
        <w:rPr>
          <w:i/>
        </w:rPr>
        <w:instrText>xe "Competition"</w:instrText>
      </w:r>
      <w:r>
        <w:rPr>
          <w:i/>
        </w:rPr>
        <w:fldChar w:fldCharType="end"/>
      </w:r>
      <w:r>
        <w:rPr>
          <w:i/>
        </w:rPr>
        <w:t xml:space="preserve"> by comparison</w:t>
      </w:r>
      <w:r>
        <w:t xml:space="preserve"> means that where direct competition for services is not technically possible, peer benchmarking (such as occurs with the three geographically based metropolitan retail water businesses) can stimulate efficiencies.</w:t>
      </w:r>
    </w:p>
    <w:p w:rsidR="00000000" w:rsidRDefault="001F233B">
      <w:r>
        <w:rPr>
          <w:i/>
        </w:rPr>
        <w:t>Competition</w:t>
      </w:r>
      <w:r>
        <w:rPr>
          <w:i/>
        </w:rPr>
        <w:fldChar w:fldCharType="begin"/>
      </w:r>
      <w:r>
        <w:rPr>
          <w:i/>
        </w:rPr>
        <w:instrText>xe "Competition"</w:instrText>
      </w:r>
      <w:r>
        <w:rPr>
          <w:i/>
        </w:rPr>
        <w:fldChar w:fldCharType="end"/>
      </w:r>
      <w:r>
        <w:rPr>
          <w:i/>
        </w:rPr>
        <w:t xml:space="preserve"> for the right to provide a market</w:t>
      </w:r>
      <w:r>
        <w:t xml:space="preserve"> occurs where bidders are asked to compete for exclusive rights to provide a service. Exclusive rights are usually granted for a specific period and subject to competi</w:t>
      </w:r>
      <w:r>
        <w:t>tive re</w:t>
      </w:r>
      <w:r>
        <w:noBreakHyphen/>
        <w:t>tender at the conclusion of the period. An example of this is the contracting out by the Government of the management of the Port of Hastings. TNT Port Logistics (subsequently Toll Holdings) was awarded the contract for a period of 10 years (plus two five-year options), after which the contract will be re</w:t>
      </w:r>
      <w:r>
        <w:noBreakHyphen/>
        <w:t>tendered. Public transport</w:t>
      </w:r>
      <w:r>
        <w:fldChar w:fldCharType="begin"/>
      </w:r>
      <w:r>
        <w:instrText>xe "Transport"</w:instrText>
      </w:r>
      <w:r>
        <w:fldChar w:fldCharType="end"/>
      </w:r>
      <w:r>
        <w:t xml:space="preserve"> will also be provided through franchises that will be subject to re-tender.</w:t>
      </w:r>
    </w:p>
    <w:p w:rsidR="00000000" w:rsidRDefault="001F233B">
      <w:r>
        <w:rPr>
          <w:i/>
        </w:rPr>
        <w:t>Competition</w:t>
      </w:r>
      <w:r>
        <w:rPr>
          <w:i/>
        </w:rPr>
        <w:fldChar w:fldCharType="begin"/>
      </w:r>
      <w:r>
        <w:rPr>
          <w:i/>
        </w:rPr>
        <w:instrText>xe "Competition"</w:instrText>
      </w:r>
      <w:r>
        <w:rPr>
          <w:i/>
        </w:rPr>
        <w:fldChar w:fldCharType="end"/>
      </w:r>
      <w:r>
        <w:rPr>
          <w:i/>
        </w:rPr>
        <w:t xml:space="preserve"> for inputs</w:t>
      </w:r>
      <w:r>
        <w:t xml:space="preserve"> means searching for the most suitable</w:t>
      </w:r>
      <w:r>
        <w:t xml:space="preserve"> provider of input goods or services, such as information technology, construction or legal advice. Competition for inputs takes the form of competitive tendering and is widespread across the public sector. The recently published </w:t>
      </w:r>
      <w:r>
        <w:rPr>
          <w:i/>
        </w:rPr>
        <w:t>Victorian Outsourcing</w:t>
      </w:r>
      <w:r>
        <w:rPr>
          <w:i/>
        </w:rPr>
        <w:fldChar w:fldCharType="begin"/>
      </w:r>
      <w:r>
        <w:rPr>
          <w:i/>
        </w:rPr>
        <w:instrText>xe "Outsourcing"</w:instrText>
      </w:r>
      <w:r>
        <w:rPr>
          <w:i/>
        </w:rPr>
        <w:fldChar w:fldCharType="end"/>
      </w:r>
      <w:r>
        <w:rPr>
          <w:i/>
        </w:rPr>
        <w:t xml:space="preserve"> Activity Survey 1995</w:t>
      </w:r>
      <w:r>
        <w:rPr>
          <w:i/>
        </w:rPr>
        <w:noBreakHyphen/>
        <w:t>96</w:t>
      </w:r>
      <w:r>
        <w:t xml:space="preserve"> indicates Victoria has achieved significant savings to government from outsourcing.</w:t>
      </w:r>
    </w:p>
    <w:p w:rsidR="00000000" w:rsidRDefault="001F233B">
      <w:r>
        <w:t>These different means of introducing competition are often used in combination. For example, direct competition for the supply of outp</w:t>
      </w:r>
      <w:r>
        <w:t>uts</w:t>
      </w:r>
      <w:r>
        <w:fldChar w:fldCharType="begin"/>
      </w:r>
      <w:r>
        <w:instrText>xe "Outputs"</w:instrText>
      </w:r>
      <w:r>
        <w:fldChar w:fldCharType="end"/>
      </w:r>
      <w:r>
        <w:t xml:space="preserve"> between privatised electricity</w:t>
      </w:r>
      <w:r>
        <w:fldChar w:fldCharType="begin"/>
      </w:r>
      <w:r>
        <w:instrText>xe "Electricity"</w:instrText>
      </w:r>
      <w:r>
        <w:fldChar w:fldCharType="end"/>
      </w:r>
      <w:r>
        <w:t xml:space="preserve"> companies is complemented by benchmarking their performance by the Office of the Regulator</w:t>
      </w:r>
      <w:r>
        <w:noBreakHyphen/>
        <w:t>General. This assists informed consumer choices. Similarly, electricity companies competing for outputs/services will also be competing for inputs (such as maintenance, wholesale electricity and billing services) in order to find cheaper and better ways of delivering their services.</w:t>
      </w:r>
    </w:p>
    <w:p w:rsidR="00000000" w:rsidRDefault="001F233B">
      <w:r>
        <w:t>The Government’s commitment to reform is driven by its quest for a mor</w:t>
      </w:r>
      <w:r>
        <w:t>e efficient economy. This commitment is underpinned by its agreement to the National Competition Policy</w:t>
      </w:r>
      <w:r>
        <w:fldChar w:fldCharType="begin"/>
      </w:r>
      <w:r>
        <w:instrText>xe "Competition:National Competition Policy"</w:instrText>
      </w:r>
      <w:r>
        <w:fldChar w:fldCharType="end"/>
      </w:r>
      <w:r>
        <w:t>, to which all governments are parties, and which sets out key milestones for reform (details are discussed later in this Chapter).</w:t>
      </w:r>
    </w:p>
    <w:p w:rsidR="00000000" w:rsidRDefault="001F233B">
      <w:pPr>
        <w:pStyle w:val="Heading3"/>
      </w:pPr>
      <w:r>
        <w:t>The benefits of reform</w:t>
      </w:r>
    </w:p>
    <w:p w:rsidR="00000000" w:rsidRDefault="001F233B">
      <w:r>
        <w:t>Competition</w:t>
      </w:r>
      <w:r>
        <w:fldChar w:fldCharType="begin"/>
      </w:r>
      <w:r>
        <w:instrText>xe "Competition"</w:instrText>
      </w:r>
      <w:r>
        <w:fldChar w:fldCharType="end"/>
      </w:r>
      <w:r>
        <w:t xml:space="preserve"> reform has already been achieved in a number of areas and is delivering substantial benefits to Victorians.</w:t>
      </w:r>
    </w:p>
    <w:p w:rsidR="00000000" w:rsidRDefault="001F233B">
      <w:pPr>
        <w:pStyle w:val="Heading4"/>
      </w:pPr>
      <w:r>
        <w:t>Electricity</w:t>
      </w:r>
      <w:r>
        <w:fldChar w:fldCharType="begin"/>
      </w:r>
      <w:r>
        <w:instrText>xe "Electricity"</w:instrText>
      </w:r>
      <w:r>
        <w:fldChar w:fldCharType="end"/>
      </w:r>
    </w:p>
    <w:p w:rsidR="00000000" w:rsidRDefault="001F233B">
      <w:r>
        <w:t>It is estimated that average Victorian h</w:t>
      </w:r>
      <w:r>
        <w:t>ouseholds will pay $74 less than the cost of inflation</w:t>
      </w:r>
      <w:r>
        <w:fldChar w:fldCharType="begin"/>
      </w:r>
      <w:r>
        <w:instrText>xe "Economy:Inflation"</w:instrText>
      </w:r>
      <w:r>
        <w:fldChar w:fldCharType="end"/>
      </w:r>
      <w:r>
        <w:t xml:space="preserve"> on their electricity</w:t>
      </w:r>
      <w:r>
        <w:fldChar w:fldCharType="begin"/>
      </w:r>
      <w:r>
        <w:instrText>xe "Electricity"</w:instrText>
      </w:r>
      <w:r>
        <w:fldChar w:fldCharType="end"/>
      </w:r>
      <w:r>
        <w:t xml:space="preserve"> bills in 1998 due to legislated price pegging introduced as part of Victoria’s electricity reforms. Commencing in 1998, household and small business consumers will also receive a Winter Power Bonus</w:t>
      </w:r>
      <w:r>
        <w:fldChar w:fldCharType="begin"/>
      </w:r>
      <w:r>
        <w:instrText>xe "Winter power bonus"</w:instrText>
      </w:r>
      <w:r>
        <w:fldChar w:fldCharType="end"/>
      </w:r>
      <w:r>
        <w:t>, which will reduce their electricity bills by a further $60 per annum for the next three years.</w:t>
      </w:r>
    </w:p>
    <w:p w:rsidR="00000000" w:rsidRDefault="001F233B">
      <w:r>
        <w:t>The Office of the Regulator</w:t>
      </w:r>
      <w:r>
        <w:noBreakHyphen/>
        <w:t>General has reported that overall service stand</w:t>
      </w:r>
      <w:r>
        <w:t>ards in the electricity</w:t>
      </w:r>
      <w:r>
        <w:fldChar w:fldCharType="begin"/>
      </w:r>
      <w:r>
        <w:instrText>xe "Electricity"</w:instrText>
      </w:r>
      <w:r>
        <w:fldChar w:fldCharType="end"/>
      </w:r>
      <w:r>
        <w:t xml:space="preserve"> industry have been maintained or improved and that customers are now better off than they were under the SECV</w:t>
      </w:r>
      <w:r>
        <w:fldChar w:fldCharType="begin"/>
      </w:r>
      <w:r>
        <w:instrText>xe "State Electricity Commission of Victoria"</w:instrText>
      </w:r>
      <w:r>
        <w:fldChar w:fldCharType="end"/>
      </w:r>
      <w:r>
        <w:t>.</w:t>
      </w:r>
    </w:p>
    <w:p w:rsidR="00000000" w:rsidRDefault="001F233B">
      <w:r>
        <w:t>Intense retail competition and a steadily decreasing trend in average electricity</w:t>
      </w:r>
      <w:r>
        <w:fldChar w:fldCharType="begin"/>
      </w:r>
      <w:r>
        <w:instrText>xe "Electricity"</w:instrText>
      </w:r>
      <w:r>
        <w:fldChar w:fldCharType="end"/>
      </w:r>
      <w:r>
        <w:t xml:space="preserve"> wholesale market prices since 1995 have produced price reductions of up to 40 per cent for large users of electricity. This trend is expected to continue with the next group of customers (those who consume more t</w:t>
      </w:r>
      <w:r>
        <w:t>han 160MWh/Yr) who will be able to choose their supplier from 1 July 1998.</w:t>
      </w:r>
    </w:p>
    <w:p w:rsidR="00000000" w:rsidRDefault="001F233B">
      <w:pPr>
        <w:pStyle w:val="Heading4"/>
      </w:pPr>
      <w:r>
        <w:t>Privatisation</w:t>
      </w:r>
      <w:r>
        <w:fldChar w:fldCharType="begin"/>
      </w:r>
      <w:r>
        <w:instrText>xe "Privatisation"</w:instrText>
      </w:r>
      <w:r>
        <w:fldChar w:fldCharType="end"/>
      </w:r>
    </w:p>
    <w:p w:rsidR="00000000" w:rsidRDefault="001F233B">
      <w:r>
        <w:t>The Government’s privatisation</w:t>
      </w:r>
      <w:r>
        <w:fldChar w:fldCharType="begin"/>
      </w:r>
      <w:r>
        <w:instrText>xe "Privatisation"</w:instrText>
      </w:r>
      <w:r>
        <w:fldChar w:fldCharType="end"/>
      </w:r>
      <w:r>
        <w:t xml:space="preserve"> program has now raised over $20 billion in sale proceeds. The proceeds have mainly been applied to reducing public sector net debt</w:t>
      </w:r>
      <w:r>
        <w:fldChar w:fldCharType="begin"/>
      </w:r>
      <w:r>
        <w:instrText>xe "Public sector net debt"</w:instrText>
      </w:r>
      <w:r>
        <w:fldChar w:fldCharType="end"/>
      </w:r>
      <w:r>
        <w:t xml:space="preserve"> from $32 billion to around $11 billion and, as a result, the State will achieve ongoing net savings of approximately $762 million per annum.</w:t>
      </w:r>
    </w:p>
    <w:p w:rsidR="00000000" w:rsidRDefault="001F233B">
      <w:pPr>
        <w:pStyle w:val="Heading4"/>
      </w:pPr>
      <w:r>
        <w:t>Gas</w:t>
      </w:r>
      <w:r>
        <w:fldChar w:fldCharType="begin"/>
      </w:r>
      <w:r>
        <w:instrText>xe "Gas"</w:instrText>
      </w:r>
      <w:r>
        <w:fldChar w:fldCharType="end"/>
      </w:r>
    </w:p>
    <w:p w:rsidR="00000000" w:rsidRDefault="001F233B">
      <w:r>
        <w:t>Gas</w:t>
      </w:r>
      <w:r>
        <w:fldChar w:fldCharType="begin"/>
      </w:r>
      <w:r>
        <w:instrText>xe "Gas"</w:instrText>
      </w:r>
      <w:r>
        <w:fldChar w:fldCharType="end"/>
      </w:r>
      <w:r>
        <w:t xml:space="preserve"> consumers have benefite</w:t>
      </w:r>
      <w:r>
        <w:t>d from $32 million annual savings on gas prices due to real price reductions. As with electricity</w:t>
      </w:r>
      <w:r>
        <w:fldChar w:fldCharType="begin"/>
      </w:r>
      <w:r>
        <w:instrText>xe "Electricity"</w:instrText>
      </w:r>
      <w:r>
        <w:fldChar w:fldCharType="end"/>
      </w:r>
      <w:r>
        <w:t>, prices will be pegged below inflation</w:t>
      </w:r>
      <w:r>
        <w:fldChar w:fldCharType="begin"/>
      </w:r>
      <w:r>
        <w:instrText>xe "Economy:Inflation"</w:instrText>
      </w:r>
      <w:r>
        <w:fldChar w:fldCharType="end"/>
      </w:r>
      <w:r>
        <w:t xml:space="preserve"> until customers can choose their own supplier.</w:t>
      </w:r>
    </w:p>
    <w:p w:rsidR="00000000" w:rsidRDefault="001F233B">
      <w:pPr>
        <w:pStyle w:val="Heading4"/>
      </w:pPr>
      <w:r>
        <w:t>Water and sewerage</w:t>
      </w:r>
    </w:p>
    <w:p w:rsidR="00000000" w:rsidRDefault="001F233B">
      <w:r>
        <w:t>The Office of the Regulator</w:t>
      </w:r>
      <w:r>
        <w:noBreakHyphen/>
        <w:t>General has reported more affordable water and sewerage</w:t>
      </w:r>
      <w:r>
        <w:fldChar w:fldCharType="begin"/>
      </w:r>
      <w:r>
        <w:instrText>xe "Water and sewerage"</w:instrText>
      </w:r>
      <w:r>
        <w:fldChar w:fldCharType="end"/>
      </w:r>
      <w:r>
        <w:t xml:space="preserve"> services during 1996</w:t>
      </w:r>
      <w:r>
        <w:noBreakHyphen/>
        <w:t>97, and improvements in water quality. Pricing reforms currently being implemented are projected to deliver an average 18 per cent reduct</w:t>
      </w:r>
      <w:r>
        <w:t>ion in bills to domestic properties across Victoria.</w:t>
      </w:r>
    </w:p>
    <w:p w:rsidR="00000000" w:rsidRDefault="001F233B">
      <w:pPr>
        <w:pStyle w:val="Heading4"/>
      </w:pPr>
      <w:r>
        <w:t>Ports</w:t>
      </w:r>
      <w:r>
        <w:fldChar w:fldCharType="begin"/>
      </w:r>
      <w:r>
        <w:instrText>xe "Ports"</w:instrText>
      </w:r>
      <w:r>
        <w:fldChar w:fldCharType="end"/>
      </w:r>
    </w:p>
    <w:p w:rsidR="00000000" w:rsidRDefault="001F233B">
      <w:r>
        <w:t xml:space="preserve">Port reform has resulted in service and efficiency improvements. The TNT Port of Geelong has reduced ship turnaround times by 8 per cent. Infratil, the owner of the Port of Portland, has reported a 33 per cent increase in operational profitability and a 7.8 per cent increase in revenues in its first two years of ownership. The introduction of competing providers for port services, for example mooring, at the Port of Melbourne has led to </w:t>
      </w:r>
      <w:r>
        <w:t>reductions in service charges for the users of those services.</w:t>
      </w:r>
    </w:p>
    <w:p w:rsidR="00000000" w:rsidRDefault="001F233B">
      <w:pPr>
        <w:pStyle w:val="Heading4"/>
      </w:pPr>
      <w:r>
        <w:t>Departmental expenditure</w:t>
      </w:r>
    </w:p>
    <w:p w:rsidR="00000000" w:rsidRDefault="001F233B">
      <w:r>
        <w:t xml:space="preserve">The </w:t>
      </w:r>
      <w:r>
        <w:rPr>
          <w:i/>
        </w:rPr>
        <w:t>Victorian Outsourcing</w:t>
      </w:r>
      <w:r>
        <w:rPr>
          <w:i/>
        </w:rPr>
        <w:fldChar w:fldCharType="begin"/>
      </w:r>
      <w:r>
        <w:rPr>
          <w:i/>
        </w:rPr>
        <w:instrText>xe "Outsourcing"</w:instrText>
      </w:r>
      <w:r>
        <w:rPr>
          <w:i/>
        </w:rPr>
        <w:fldChar w:fldCharType="end"/>
      </w:r>
      <w:r>
        <w:rPr>
          <w:i/>
        </w:rPr>
        <w:t xml:space="preserve"> Survey 1995</w:t>
      </w:r>
      <w:r>
        <w:rPr>
          <w:i/>
        </w:rPr>
        <w:noBreakHyphen/>
        <w:t>96</w:t>
      </w:r>
      <w:r>
        <w:t xml:space="preserve"> confirms that there are average cost savings to government from outsourcing of 28.2 per cent. Departments report an average cost of 1.9 per cent of contract expenditure for managing contracts. Comparison of data with New South Wales and Western Australia shows that Victoria has achieved the highest levels of savings and a lower cost of managing contracts.</w:t>
      </w:r>
    </w:p>
    <w:p w:rsidR="00000000" w:rsidRDefault="001F233B">
      <w:pPr>
        <w:pStyle w:val="Heading4"/>
      </w:pPr>
      <w:r>
        <w:t>Local G</w:t>
      </w:r>
      <w:r>
        <w:t>overnment</w:t>
      </w:r>
      <w:r>
        <w:fldChar w:fldCharType="begin"/>
      </w:r>
      <w:r>
        <w:instrText>xe "Local Government"</w:instrText>
      </w:r>
      <w:r>
        <w:fldChar w:fldCharType="end"/>
      </w:r>
    </w:p>
    <w:p w:rsidR="00000000" w:rsidRDefault="001F233B">
      <w:r>
        <w:t>Aggregate revenue from local government</w:t>
      </w:r>
      <w:r>
        <w:fldChar w:fldCharType="begin"/>
      </w:r>
      <w:r>
        <w:instrText>xe "Local Government"</w:instrText>
      </w:r>
      <w:r>
        <w:fldChar w:fldCharType="end"/>
      </w:r>
      <w:r>
        <w:t xml:space="preserve"> rates and charges was reduced by approximately 18 per cent between 1993</w:t>
      </w:r>
      <w:r>
        <w:noBreakHyphen/>
        <w:t>94 and 1995</w:t>
      </w:r>
      <w:r>
        <w:noBreakHyphen/>
        <w:t>96. This reflects the impact of the amalgamation of councils. Additional savings and improvements in service delivery</w:t>
      </w:r>
      <w:r>
        <w:fldChar w:fldCharType="begin"/>
      </w:r>
      <w:r>
        <w:instrText>xe "Service delivery"</w:instrText>
      </w:r>
      <w:r>
        <w:fldChar w:fldCharType="end"/>
      </w:r>
      <w:r>
        <w:t xml:space="preserve"> have resulted from the compulsory competitive tendering process for council services.</w:t>
      </w:r>
    </w:p>
    <w:p w:rsidR="00000000" w:rsidRDefault="001F233B">
      <w:pPr>
        <w:pStyle w:val="Heading4"/>
      </w:pPr>
      <w:r>
        <w:t>Transport</w:t>
      </w:r>
      <w:r>
        <w:fldChar w:fldCharType="begin"/>
      </w:r>
      <w:r>
        <w:instrText>xe "Transport"</w:instrText>
      </w:r>
      <w:r>
        <w:fldChar w:fldCharType="end"/>
      </w:r>
    </w:p>
    <w:p w:rsidR="00000000" w:rsidRDefault="001F233B">
      <w:r>
        <w:t>The contracting out of metropolitan bus services has reduced costs by around $1</w:t>
      </w:r>
      <w:r>
        <w:t>0 million per annum. Service quality has improved and routes have been beneficially redesigned.</w:t>
      </w:r>
    </w:p>
    <w:p w:rsidR="00000000" w:rsidRDefault="001F233B">
      <w:pPr>
        <w:pStyle w:val="Heading3"/>
      </w:pPr>
      <w:r>
        <w:br w:type="page"/>
        <w:t>Reform of GBEs</w:t>
      </w:r>
    </w:p>
    <w:p w:rsidR="00000000" w:rsidRDefault="001F233B">
      <w:r>
        <w:t>The GBE reform strategy involves:</w:t>
      </w:r>
    </w:p>
    <w:p w:rsidR="00000000" w:rsidRDefault="001F233B" w:rsidP="001F233B">
      <w:pPr>
        <w:pStyle w:val="BulletText"/>
        <w:numPr>
          <w:ilvl w:val="0"/>
          <w:numId w:val="1"/>
        </w:numPr>
      </w:pPr>
      <w:r>
        <w:t>removing regulatory functions from business functions of GBEs;</w:t>
      </w:r>
    </w:p>
    <w:p w:rsidR="00000000" w:rsidRDefault="001F233B" w:rsidP="001F233B">
      <w:pPr>
        <w:pStyle w:val="BulletText"/>
        <w:numPr>
          <w:ilvl w:val="0"/>
          <w:numId w:val="1"/>
        </w:numPr>
      </w:pPr>
      <w:r>
        <w:t>dividing monopoly businesses into entities which can potentially compete against each other;</w:t>
      </w:r>
    </w:p>
    <w:p w:rsidR="00000000" w:rsidRDefault="001F233B" w:rsidP="001F233B">
      <w:pPr>
        <w:pStyle w:val="BulletText"/>
        <w:numPr>
          <w:ilvl w:val="0"/>
          <w:numId w:val="1"/>
        </w:numPr>
      </w:pPr>
      <w:r>
        <w:t>corporatising government businesses to encourage more commercial behaviour, and formalising community service obligations;</w:t>
      </w:r>
    </w:p>
    <w:p w:rsidR="00000000" w:rsidRDefault="001F233B" w:rsidP="001F233B">
      <w:pPr>
        <w:pStyle w:val="BulletText"/>
        <w:numPr>
          <w:ilvl w:val="0"/>
          <w:numId w:val="1"/>
        </w:numPr>
      </w:pPr>
      <w:r>
        <w:t>introducing, where necessary, independent oversight of prices and standards;</w:t>
      </w:r>
    </w:p>
    <w:p w:rsidR="00000000" w:rsidRDefault="001F233B" w:rsidP="001F233B">
      <w:pPr>
        <w:pStyle w:val="BulletText"/>
        <w:numPr>
          <w:ilvl w:val="0"/>
          <w:numId w:val="1"/>
        </w:numPr>
      </w:pPr>
      <w:r>
        <w:t>establishi</w:t>
      </w:r>
      <w:r>
        <w:t>ng a performance monitoring</w:t>
      </w:r>
      <w:r>
        <w:fldChar w:fldCharType="begin"/>
      </w:r>
      <w:r>
        <w:instrText>xe "Performance monitoring"</w:instrText>
      </w:r>
      <w:r>
        <w:fldChar w:fldCharType="end"/>
      </w:r>
      <w:r>
        <w:t xml:space="preserve"> regime; and</w:t>
      </w:r>
    </w:p>
    <w:p w:rsidR="00000000" w:rsidRDefault="001F233B" w:rsidP="001F233B">
      <w:pPr>
        <w:pStyle w:val="BulletText"/>
        <w:numPr>
          <w:ilvl w:val="0"/>
          <w:numId w:val="1"/>
        </w:numPr>
      </w:pPr>
      <w:r>
        <w:t>privatising, where a net public benefit is available.</w:t>
      </w:r>
    </w:p>
    <w:p w:rsidR="00000000" w:rsidRDefault="001F233B">
      <w:r>
        <w:t>These reforms reduce barriers to entry and establish incentives for businesses to provide high quality, low</w:t>
      </w:r>
      <w:r>
        <w:noBreakHyphen/>
        <w:t>cost services which are responsive to customer needs.</w:t>
      </w:r>
    </w:p>
    <w:p w:rsidR="00000000" w:rsidRDefault="001F233B">
      <w:pPr>
        <w:pStyle w:val="Heading4"/>
      </w:pPr>
      <w:r>
        <w:t>Privatisation</w:t>
      </w:r>
      <w:r>
        <w:fldChar w:fldCharType="begin"/>
      </w:r>
      <w:r>
        <w:instrText>xe "Privatisation"</w:instrText>
      </w:r>
      <w:r>
        <w:fldChar w:fldCharType="end"/>
      </w:r>
    </w:p>
    <w:p w:rsidR="00000000" w:rsidRDefault="001F233B">
      <w:r>
        <w:t>While competition</w:t>
      </w:r>
      <w:r>
        <w:noBreakHyphen/>
        <w:t>oriented reforms can achieve considerable efficiency benefits, such benefits are difficult to sustain while the GBEs remain within public ownership. Consequently the Governmen</w:t>
      </w:r>
      <w:r>
        <w:t>t is continually reviewing the case for continued government ownership of GBEs.</w:t>
      </w:r>
    </w:p>
    <w:p w:rsidR="00000000" w:rsidRDefault="001F233B">
      <w:r>
        <w:t>Private ownership provides compelling incentives for owners and managers to improve efficiency, make appropriate investment</w:t>
      </w:r>
      <w:r>
        <w:fldChar w:fldCharType="begin"/>
      </w:r>
      <w:r>
        <w:instrText>xe "Economy:Investment"</w:instrText>
      </w:r>
      <w:r>
        <w:fldChar w:fldCharType="end"/>
      </w:r>
      <w:r>
        <w:t xml:space="preserve"> decisions and maximise the return to equity. Privatisation</w:t>
      </w:r>
      <w:r>
        <w:fldChar w:fldCharType="begin"/>
      </w:r>
      <w:r>
        <w:instrText>xe "Privatisation"</w:instrText>
      </w:r>
      <w:r>
        <w:fldChar w:fldCharType="end"/>
      </w:r>
      <w:r>
        <w:t xml:space="preserve"> is designed to realise maximum value to the Victorian community, within the policy framework set by the Government. To maximise competition and efficiency, market structures must be reformed and regulator</w:t>
      </w:r>
      <w:r>
        <w:t>y regimes established prior to privatisation.</w:t>
      </w:r>
    </w:p>
    <w:p w:rsidR="00000000" w:rsidRDefault="001F233B"/>
    <w:p w:rsidR="00000000" w:rsidRDefault="001F233B">
      <w:pPr>
        <w:pStyle w:val="Heading4"/>
      </w:pPr>
      <w:r>
        <w:t>Monitoring of performance</w:t>
      </w:r>
    </w:p>
    <w:p w:rsidR="00000000" w:rsidRDefault="001F233B">
      <w:r>
        <w:t>While GBEs are retained in Government ownership, a performance monitoring</w:t>
      </w:r>
      <w:r>
        <w:fldChar w:fldCharType="begin"/>
      </w:r>
      <w:r>
        <w:instrText>xe "Performance monitoring"</w:instrText>
      </w:r>
      <w:r>
        <w:fldChar w:fldCharType="end"/>
      </w:r>
      <w:r>
        <w:t xml:space="preserve"> framework is established to represent the Government’s shareholder interest. This framework subjects GBEs to the disciplines of corporate planning and regular performance reporting, and is analogous to the financial markets’ monitoring of publicly listed corporations.</w:t>
      </w:r>
    </w:p>
    <w:p w:rsidR="00000000" w:rsidRDefault="001F233B">
      <w:pPr>
        <w:pStyle w:val="Heading2"/>
      </w:pPr>
      <w:bookmarkStart w:id="168" w:name="_Toc417482341"/>
      <w:bookmarkStart w:id="169" w:name="_Toc417552113"/>
      <w:r>
        <w:t>Highlights of GBE reform</w:t>
      </w:r>
      <w:bookmarkEnd w:id="168"/>
      <w:bookmarkEnd w:id="169"/>
    </w:p>
    <w:p w:rsidR="00000000" w:rsidRDefault="001F233B">
      <w:r>
        <w:t>Significant reform has already taken place</w:t>
      </w:r>
      <w:r>
        <w:t xml:space="preserve"> in the following industries: electricity</w:t>
      </w:r>
      <w:r>
        <w:fldChar w:fldCharType="begin"/>
      </w:r>
      <w:r>
        <w:instrText>xe "Electricity"</w:instrText>
      </w:r>
      <w:r>
        <w:fldChar w:fldCharType="end"/>
      </w:r>
      <w:r>
        <w:t>, gas</w:t>
      </w:r>
      <w:r>
        <w:fldChar w:fldCharType="begin"/>
      </w:r>
      <w:r>
        <w:instrText>xe "Gas"</w:instrText>
      </w:r>
      <w:r>
        <w:fldChar w:fldCharType="end"/>
      </w:r>
      <w:r>
        <w:t>, ports and water.</w:t>
      </w:r>
    </w:p>
    <w:p w:rsidR="00000000" w:rsidRDefault="001F233B">
      <w:pPr>
        <w:pStyle w:val="Heading3"/>
      </w:pPr>
      <w:r>
        <w:t>Electricity</w:t>
      </w:r>
      <w:r>
        <w:fldChar w:fldCharType="begin"/>
      </w:r>
      <w:r>
        <w:instrText>xe "Electricity"</w:instrText>
      </w:r>
      <w:r>
        <w:fldChar w:fldCharType="end"/>
      </w:r>
    </w:p>
    <w:p w:rsidR="00000000" w:rsidRDefault="001F233B">
      <w:r>
        <w:t>The Government has provided strong leadership in energy sector reform and privatisation</w:t>
      </w:r>
      <w:r>
        <w:fldChar w:fldCharType="begin"/>
      </w:r>
      <w:r>
        <w:instrText>xe "Privatisation"</w:instrText>
      </w:r>
      <w:r>
        <w:fldChar w:fldCharType="end"/>
      </w:r>
      <w:r>
        <w:t xml:space="preserve"> of the electricity</w:t>
      </w:r>
      <w:r>
        <w:fldChar w:fldCharType="begin"/>
      </w:r>
      <w:r>
        <w:instrText>xe "Electricity"</w:instrText>
      </w:r>
      <w:r>
        <w:fldChar w:fldCharType="end"/>
      </w:r>
      <w:r>
        <w:t xml:space="preserve"> industry and Victoria is well positioned to take advantage of the momentum of national reform. </w:t>
      </w:r>
    </w:p>
    <w:p w:rsidR="00000000" w:rsidRDefault="001F233B">
      <w:r>
        <w:t>As a result, the State’s electricity</w:t>
      </w:r>
      <w:r>
        <w:fldChar w:fldCharType="begin"/>
      </w:r>
      <w:r>
        <w:instrText>xe "Electricity"</w:instrText>
      </w:r>
      <w:r>
        <w:fldChar w:fldCharType="end"/>
      </w:r>
      <w:r>
        <w:t xml:space="preserve"> industry has been transformed from a monopoly based structure to a dynamic and competitive st</w:t>
      </w:r>
      <w:r>
        <w:t xml:space="preserve">ructure designed to deliver a reliable supply of electricity at low cost to the Victorian community. </w:t>
      </w:r>
    </w:p>
    <w:p w:rsidR="00000000" w:rsidRDefault="001F233B">
      <w:r>
        <w:t>The program, which has involved the disaggregation and privatisation</w:t>
      </w:r>
      <w:r>
        <w:fldChar w:fldCharType="begin"/>
      </w:r>
      <w:r>
        <w:instrText>xe "Privatisation"</w:instrText>
      </w:r>
      <w:r>
        <w:fldChar w:fldCharType="end"/>
      </w:r>
      <w:r>
        <w:t xml:space="preserve"> of the original SECV</w:t>
      </w:r>
      <w:r>
        <w:fldChar w:fldCharType="begin"/>
      </w:r>
      <w:r>
        <w:instrText>xe "State Electricity Commission of Victoria"</w:instrText>
      </w:r>
      <w:r>
        <w:fldChar w:fldCharType="end"/>
      </w:r>
      <w:r>
        <w:t xml:space="preserve"> into competing generation and distribution businesses and the creation of wholesale electricity</w:t>
      </w:r>
      <w:r>
        <w:fldChar w:fldCharType="begin"/>
      </w:r>
      <w:r>
        <w:instrText>xe "Electricity"</w:instrText>
      </w:r>
      <w:r>
        <w:fldChar w:fldCharType="end"/>
      </w:r>
      <w:r>
        <w:t xml:space="preserve"> markets, is now almost complete.</w:t>
      </w:r>
    </w:p>
    <w:p w:rsidR="00000000" w:rsidRDefault="001F233B">
      <w:r>
        <w:t xml:space="preserve">These reforms have resulted in substantial benefits for consumers and businesses in terms of lower prices </w:t>
      </w:r>
      <w:r>
        <w:t>and improved service and reliability. These benefits have been outlined above.</w:t>
      </w:r>
    </w:p>
    <w:p w:rsidR="00000000" w:rsidRDefault="001F233B">
      <w:r>
        <w:t>Some of the highlights of electricity</w:t>
      </w:r>
      <w:r>
        <w:fldChar w:fldCharType="begin"/>
      </w:r>
      <w:r>
        <w:instrText>xe "Electricity"</w:instrText>
      </w:r>
      <w:r>
        <w:fldChar w:fldCharType="end"/>
      </w:r>
      <w:r>
        <w:t xml:space="preserve"> reform during 1997</w:t>
      </w:r>
      <w:r>
        <w:noBreakHyphen/>
        <w:t>98 include:</w:t>
      </w:r>
    </w:p>
    <w:p w:rsidR="00000000" w:rsidRDefault="001F233B" w:rsidP="001F233B">
      <w:pPr>
        <w:pStyle w:val="BulletText"/>
        <w:numPr>
          <w:ilvl w:val="0"/>
          <w:numId w:val="1"/>
        </w:numPr>
      </w:pPr>
      <w:r>
        <w:t>the privatisation</w:t>
      </w:r>
      <w:r>
        <w:fldChar w:fldCharType="begin"/>
      </w:r>
      <w:r>
        <w:instrText>xe "Privatisation"</w:instrText>
      </w:r>
      <w:r>
        <w:fldChar w:fldCharType="end"/>
      </w:r>
      <w:r>
        <w:t xml:space="preserve"> of PowerNet Victoria</w:t>
      </w:r>
      <w:r>
        <w:fldChar w:fldCharType="begin"/>
      </w:r>
      <w:r>
        <w:instrText>xe "Power Net Victoria"</w:instrText>
      </w:r>
      <w:r>
        <w:fldChar w:fldCharType="end"/>
      </w:r>
      <w:r>
        <w:t>, Southern Hydro</w:t>
      </w:r>
      <w:r>
        <w:fldChar w:fldCharType="begin"/>
      </w:r>
      <w:r>
        <w:instrText>xe "Southern Hydro"</w:instrText>
      </w:r>
      <w:r>
        <w:fldChar w:fldCharType="end"/>
      </w:r>
      <w:r>
        <w:t xml:space="preserve"> and Victorian Electricity</w:t>
      </w:r>
      <w:r>
        <w:fldChar w:fldCharType="begin"/>
      </w:r>
      <w:r>
        <w:instrText>xe "Electricity"</w:instrText>
      </w:r>
      <w:r>
        <w:fldChar w:fldCharType="end"/>
      </w:r>
      <w:r>
        <w:t xml:space="preserve"> Metering bringing cash proceeds to the State of approximately $3 billion;</w:t>
      </w:r>
    </w:p>
    <w:p w:rsidR="00000000" w:rsidRDefault="001F233B" w:rsidP="001F233B">
      <w:pPr>
        <w:pStyle w:val="BulletText"/>
        <w:numPr>
          <w:ilvl w:val="0"/>
          <w:numId w:val="1"/>
        </w:numPr>
      </w:pPr>
      <w:r>
        <w:t>the effective establishment and operation of the NEM1 wholesale electricity</w:t>
      </w:r>
      <w:r>
        <w:fldChar w:fldCharType="begin"/>
      </w:r>
      <w:r>
        <w:instrText>xe "Electricity"</w:instrText>
      </w:r>
      <w:r>
        <w:fldChar w:fldCharType="end"/>
      </w:r>
      <w:r>
        <w:t xml:space="preserve"> market; and</w:t>
      </w:r>
    </w:p>
    <w:p w:rsidR="00000000" w:rsidRDefault="001F233B" w:rsidP="001F233B">
      <w:pPr>
        <w:pStyle w:val="BulletText"/>
        <w:numPr>
          <w:ilvl w:val="0"/>
          <w:numId w:val="1"/>
        </w:numPr>
      </w:pPr>
      <w:r>
        <w:t>a</w:t>
      </w:r>
      <w:r>
        <w:t>n increasing number of participants entering the NEM1 market.</w:t>
      </w:r>
    </w:p>
    <w:p w:rsidR="00000000" w:rsidRDefault="001F233B">
      <w:r>
        <w:t>The NEM1 market links the electricity</w:t>
      </w:r>
      <w:r>
        <w:fldChar w:fldCharType="begin"/>
      </w:r>
      <w:r>
        <w:instrText>xe "Electricity"</w:instrText>
      </w:r>
      <w:r>
        <w:fldChar w:fldCharType="end"/>
      </w:r>
      <w:r>
        <w:t xml:space="preserve"> markets in Victoria and New South Wales and provides for unrestricted trading of electricity between generators, wholesalers and retailers across the jurisdictions of Victoria, New South Wales and the Australian Capital Territory.</w:t>
      </w:r>
    </w:p>
    <w:p w:rsidR="00000000" w:rsidRDefault="001F233B">
      <w:r>
        <w:t>This market has been characterised by intense competition between the six disaggregated Victorian generation businesses, three New South Wales generators, the Snow</w:t>
      </w:r>
      <w:r>
        <w:t>y Mountains Hydro Electric Authority and one South Australian generator.</w:t>
      </w:r>
    </w:p>
    <w:p w:rsidR="00000000" w:rsidRDefault="001F233B">
      <w:r>
        <w:t>Electricity</w:t>
      </w:r>
      <w:r>
        <w:fldChar w:fldCharType="begin"/>
      </w:r>
      <w:r>
        <w:instrText>xe "Electricity"</w:instrText>
      </w:r>
      <w:r>
        <w:fldChar w:fldCharType="end"/>
      </w:r>
      <w:r>
        <w:t xml:space="preserve"> consumers in Victoria consuming greater than 750 Mwh of electricity per annum are benefiting from competition at the generation, wholesale and retail levels. There are currently 19 licensed retailers in Victoria competing to supply contestable customers. Other electricity consumers who consume greater than 160 Mwh per annum will be able to choose their retailer in July 1998 and take advantage of the benefi</w:t>
      </w:r>
      <w:r>
        <w:t>ts of increased competition.</w:t>
      </w:r>
    </w:p>
    <w:p w:rsidR="00000000" w:rsidRDefault="001F233B">
      <w:pPr>
        <w:pStyle w:val="Heading3"/>
      </w:pPr>
      <w:r>
        <w:t>Gas</w:t>
      </w:r>
      <w:r>
        <w:fldChar w:fldCharType="begin"/>
      </w:r>
      <w:r>
        <w:instrText>xe "Gas"</w:instrText>
      </w:r>
      <w:r>
        <w:fldChar w:fldCharType="end"/>
      </w:r>
    </w:p>
    <w:p w:rsidR="00000000" w:rsidRDefault="001F233B">
      <w:r>
        <w:t>The Government has delivered structural reform of an industry previously dominated by a State</w:t>
      </w:r>
      <w:r>
        <w:noBreakHyphen/>
        <w:t>owned monopoly to increase competition and promote efficiencies. As occurred with electricity</w:t>
      </w:r>
      <w:r>
        <w:fldChar w:fldCharType="begin"/>
      </w:r>
      <w:r>
        <w:instrText>xe "Electricity"</w:instrText>
      </w:r>
      <w:r>
        <w:fldChar w:fldCharType="end"/>
      </w:r>
      <w:r>
        <w:t xml:space="preserve"> reforms, the gas</w:t>
      </w:r>
      <w:r>
        <w:fldChar w:fldCharType="begin"/>
      </w:r>
      <w:r>
        <w:instrText>xe "Gas"</w:instrText>
      </w:r>
      <w:r>
        <w:fldChar w:fldCharType="end"/>
      </w:r>
      <w:r>
        <w:t xml:space="preserve"> industry</w:t>
      </w:r>
      <w:r>
        <w:fldChar w:fldCharType="begin"/>
      </w:r>
      <w:r>
        <w:instrText>xe "Public authority income:Gas industry"</w:instrText>
      </w:r>
      <w:r>
        <w:fldChar w:fldCharType="end"/>
      </w:r>
      <w:r>
        <w:t xml:space="preserve"> restructure is based on separating the monopoly elements of the industry such as transmission and distribution from the competitive functions of production and retailing. New market an</w:t>
      </w:r>
      <w:r>
        <w:t>d regulatory arrangements have been established to support the industry restructuring. The new industry structure is designed to deliver the lowest possible prices and highest standards of service to all customers.</w:t>
      </w:r>
    </w:p>
    <w:p w:rsidR="00000000" w:rsidRDefault="001F233B">
      <w:r>
        <w:t>A detailed statement of the Government’s gas</w:t>
      </w:r>
      <w:r>
        <w:fldChar w:fldCharType="begin"/>
      </w:r>
      <w:r>
        <w:instrText>xe "Gas"</w:instrText>
      </w:r>
      <w:r>
        <w:fldChar w:fldCharType="end"/>
      </w:r>
      <w:r>
        <w:t xml:space="preserve"> industry</w:t>
      </w:r>
      <w:r>
        <w:fldChar w:fldCharType="begin"/>
      </w:r>
      <w:r>
        <w:instrText>xe "Public authority income:Gas industry"</w:instrText>
      </w:r>
      <w:r>
        <w:fldChar w:fldCharType="end"/>
      </w:r>
      <w:r>
        <w:t xml:space="preserve"> reform is contained in </w:t>
      </w:r>
      <w:r>
        <w:rPr>
          <w:i/>
        </w:rPr>
        <w:t xml:space="preserve">Victoria’s Gas Industry, Implementing a Competitive Structure, </w:t>
      </w:r>
      <w:r>
        <w:t>Information Paper No.3, Second Edition, April 1998.</w:t>
      </w:r>
    </w:p>
    <w:p w:rsidR="00000000" w:rsidRDefault="001F233B">
      <w:r>
        <w:t>Some of the highlights of gas</w:t>
      </w:r>
      <w:r>
        <w:fldChar w:fldCharType="begin"/>
      </w:r>
      <w:r>
        <w:instrText>xe "Gas"</w:instrText>
      </w:r>
      <w:r>
        <w:fldChar w:fldCharType="end"/>
      </w:r>
      <w:r>
        <w:t xml:space="preserve"> reform durin</w:t>
      </w:r>
      <w:r>
        <w:t>g 1997</w:t>
      </w:r>
      <w:r>
        <w:noBreakHyphen/>
        <w:t>98 include:</w:t>
      </w:r>
    </w:p>
    <w:p w:rsidR="00000000" w:rsidRDefault="001F233B" w:rsidP="001F233B">
      <w:pPr>
        <w:pStyle w:val="BulletText"/>
        <w:numPr>
          <w:ilvl w:val="0"/>
          <w:numId w:val="1"/>
        </w:numPr>
      </w:pPr>
      <w:r>
        <w:t>the disaggregation of GASCOR into 3 paired gas</w:t>
      </w:r>
      <w:r>
        <w:fldChar w:fldCharType="begin"/>
      </w:r>
      <w:r>
        <w:instrText>xe "Gas"</w:instrText>
      </w:r>
      <w:r>
        <w:fldChar w:fldCharType="end"/>
      </w:r>
      <w:r>
        <w:t xml:space="preserve"> businesses each comprising unbundled and separate distribution and retail functions namely Westar/Kinetik, Multinet/Ikon and Stratus/Energy 21;</w:t>
      </w:r>
    </w:p>
    <w:p w:rsidR="00000000" w:rsidRDefault="001F233B" w:rsidP="001F233B">
      <w:pPr>
        <w:pStyle w:val="BulletText"/>
        <w:numPr>
          <w:ilvl w:val="0"/>
          <w:numId w:val="1"/>
        </w:numPr>
      </w:pPr>
      <w:r>
        <w:t>the corporatising of the Gas</w:t>
      </w:r>
      <w:r>
        <w:fldChar w:fldCharType="begin"/>
      </w:r>
      <w:r>
        <w:instrText>xe "Gas"</w:instrText>
      </w:r>
      <w:r>
        <w:fldChar w:fldCharType="end"/>
      </w:r>
      <w:r>
        <w:t xml:space="preserve"> Transmission Company (GTC), the owner and operator of the high</w:t>
      </w:r>
      <w:r>
        <w:noBreakHyphen/>
        <w:t>pressure transmission pipes, as Transmission Pipelines Australia, which now owns and maintains the high</w:t>
      </w:r>
      <w:r>
        <w:noBreakHyphen/>
        <w:t>pressure transmission pipes;</w:t>
      </w:r>
    </w:p>
    <w:p w:rsidR="00000000" w:rsidRDefault="001F233B" w:rsidP="001F233B">
      <w:pPr>
        <w:pStyle w:val="BulletText"/>
        <w:numPr>
          <w:ilvl w:val="0"/>
          <w:numId w:val="1"/>
        </w:numPr>
      </w:pPr>
      <w:r>
        <w:t>the creation of VENCorp, a business responsible for opera</w:t>
      </w:r>
      <w:r>
        <w:t>ting high</w:t>
      </w:r>
      <w:r>
        <w:noBreakHyphen/>
        <w:t>pressure transmission pipes and system security;</w:t>
      </w:r>
    </w:p>
    <w:p w:rsidR="00000000" w:rsidRDefault="001F233B" w:rsidP="001F233B">
      <w:pPr>
        <w:pStyle w:val="BulletText"/>
        <w:numPr>
          <w:ilvl w:val="0"/>
          <w:numId w:val="1"/>
        </w:numPr>
      </w:pPr>
      <w:r>
        <w:t>the establishment of the Gas</w:t>
      </w:r>
      <w:r>
        <w:fldChar w:fldCharType="begin"/>
      </w:r>
      <w:r>
        <w:instrText>xe "Gas"</w:instrText>
      </w:r>
      <w:r>
        <w:fldChar w:fldCharType="end"/>
      </w:r>
      <w:r>
        <w:t xml:space="preserve"> Services Business to provide centralised services to the gas distributors and retailers;</w:t>
      </w:r>
    </w:p>
    <w:p w:rsidR="00000000" w:rsidRDefault="001F233B" w:rsidP="001F233B">
      <w:pPr>
        <w:pStyle w:val="BulletText"/>
        <w:numPr>
          <w:ilvl w:val="0"/>
          <w:numId w:val="1"/>
        </w:numPr>
      </w:pPr>
      <w:r>
        <w:t>the establishment of a project to develop the gas</w:t>
      </w:r>
      <w:r>
        <w:fldChar w:fldCharType="begin"/>
      </w:r>
      <w:r>
        <w:instrText>xe "Gas"</w:instrText>
      </w:r>
      <w:r>
        <w:fldChar w:fldCharType="end"/>
      </w:r>
      <w:r>
        <w:t xml:space="preserve"> wholesale market to be operated by VENCorp;</w:t>
      </w:r>
    </w:p>
    <w:p w:rsidR="00000000" w:rsidRDefault="001F233B" w:rsidP="001F233B">
      <w:pPr>
        <w:pStyle w:val="BulletText"/>
        <w:numPr>
          <w:ilvl w:val="0"/>
          <w:numId w:val="1"/>
        </w:numPr>
      </w:pPr>
      <w:r>
        <w:t>a commitment to build an inter</w:t>
      </w:r>
      <w:r>
        <w:noBreakHyphen/>
        <w:t>connect pipeline between New South Wales and Victoria to be completed in 1998;</w:t>
      </w:r>
    </w:p>
    <w:p w:rsidR="00000000" w:rsidRDefault="001F233B" w:rsidP="001F233B">
      <w:pPr>
        <w:pStyle w:val="BulletText"/>
        <w:numPr>
          <w:ilvl w:val="0"/>
          <w:numId w:val="1"/>
        </w:numPr>
      </w:pPr>
      <w:r>
        <w:t>planning for the development of an underground gas</w:t>
      </w:r>
      <w:r>
        <w:fldChar w:fldCharType="begin"/>
      </w:r>
      <w:r>
        <w:instrText>xe "Gas"</w:instrText>
      </w:r>
      <w:r>
        <w:fldChar w:fldCharType="end"/>
      </w:r>
      <w:r>
        <w:t xml:space="preserve"> storage facility at Port Campbell to improve syste</w:t>
      </w:r>
      <w:r>
        <w:t>m security and facilitate competition;</w:t>
      </w:r>
    </w:p>
    <w:p w:rsidR="00000000" w:rsidRDefault="001F233B" w:rsidP="001F233B">
      <w:pPr>
        <w:pStyle w:val="BulletText"/>
        <w:numPr>
          <w:ilvl w:val="0"/>
          <w:numId w:val="1"/>
        </w:numPr>
      </w:pPr>
      <w:r>
        <w:t>the establishment of the Office of Gas</w:t>
      </w:r>
      <w:r>
        <w:fldChar w:fldCharType="begin"/>
      </w:r>
      <w:r>
        <w:instrText>xe "Gas"</w:instrText>
      </w:r>
      <w:r>
        <w:fldChar w:fldCharType="end"/>
      </w:r>
      <w:r>
        <w:t xml:space="preserve"> Safety to regulate industry safety requirements; and</w:t>
      </w:r>
    </w:p>
    <w:p w:rsidR="00000000" w:rsidRDefault="001F233B" w:rsidP="001F233B">
      <w:pPr>
        <w:pStyle w:val="BulletText"/>
        <w:numPr>
          <w:ilvl w:val="0"/>
          <w:numId w:val="1"/>
        </w:numPr>
      </w:pPr>
      <w:r>
        <w:t>development of a regulatory framework to support gas</w:t>
      </w:r>
      <w:r>
        <w:fldChar w:fldCharType="begin"/>
      </w:r>
      <w:r>
        <w:instrText>xe "Gas"</w:instrText>
      </w:r>
      <w:r>
        <w:fldChar w:fldCharType="end"/>
      </w:r>
      <w:r>
        <w:t xml:space="preserve"> reforms, with access arrangements already before the Australian Competition and Consumer Commission</w:t>
      </w:r>
      <w:r>
        <w:fldChar w:fldCharType="begin"/>
      </w:r>
      <w:r>
        <w:instrText>xe "Australian Competition and Consumer Commission"</w:instrText>
      </w:r>
      <w:r>
        <w:fldChar w:fldCharType="end"/>
      </w:r>
      <w:r>
        <w:t xml:space="preserve"> and the Office of the Regulator</w:t>
      </w:r>
      <w:r>
        <w:noBreakHyphen/>
        <w:t xml:space="preserve">General for approval. </w:t>
      </w:r>
    </w:p>
    <w:p w:rsidR="00000000" w:rsidRDefault="001F233B">
      <w:pPr>
        <w:pStyle w:val="Heading3"/>
      </w:pPr>
      <w:r>
        <w:t>Reform of the ports</w:t>
      </w:r>
    </w:p>
    <w:p w:rsidR="00000000" w:rsidRDefault="001F233B">
      <w:r>
        <w:t>The objective of the port reform strategy is to provide a more efficient port sy</w:t>
      </w:r>
      <w:r>
        <w:t>stem in Victoria, reduce costs for users, and contribute to the attractiveness of Victoria as an investment</w:t>
      </w:r>
      <w:r>
        <w:fldChar w:fldCharType="begin"/>
      </w:r>
      <w:r>
        <w:instrText>xe "Economy:Investment"</w:instrText>
      </w:r>
      <w:r>
        <w:fldChar w:fldCharType="end"/>
      </w:r>
      <w:r>
        <w:t xml:space="preserve"> location. </w:t>
      </w:r>
    </w:p>
    <w:p w:rsidR="00000000" w:rsidRDefault="001F233B">
      <w:r>
        <w:t>The strategy has involved:</w:t>
      </w:r>
    </w:p>
    <w:p w:rsidR="00000000" w:rsidRDefault="001F233B" w:rsidP="001F233B">
      <w:pPr>
        <w:pStyle w:val="BulletText"/>
        <w:numPr>
          <w:ilvl w:val="0"/>
          <w:numId w:val="1"/>
        </w:numPr>
      </w:pPr>
      <w:r>
        <w:t>corporatisating the former Port of Melbourne Authority as the Melbourne Port Corporation;</w:t>
      </w:r>
    </w:p>
    <w:p w:rsidR="00000000" w:rsidRDefault="001F233B" w:rsidP="001F233B">
      <w:pPr>
        <w:pStyle w:val="BulletText"/>
        <w:numPr>
          <w:ilvl w:val="0"/>
          <w:numId w:val="1"/>
        </w:numPr>
      </w:pPr>
      <w:r>
        <w:t>separating regulatory functions from former port authorities and allocating these to the Environment Protection Authority, the Marine Board of Victoria, the Health</w:t>
      </w:r>
      <w:r>
        <w:fldChar w:fldCharType="begin"/>
      </w:r>
      <w:r>
        <w:instrText>xe "Health"</w:instrText>
      </w:r>
      <w:r>
        <w:fldChar w:fldCharType="end"/>
      </w:r>
      <w:r>
        <w:t xml:space="preserve"> and Safety Organisation and the Office of the Regulator</w:t>
      </w:r>
      <w:r>
        <w:noBreakHyphen/>
        <w:t>General;</w:t>
      </w:r>
    </w:p>
    <w:p w:rsidR="00000000" w:rsidRDefault="001F233B" w:rsidP="001F233B">
      <w:pPr>
        <w:pStyle w:val="BulletText"/>
        <w:numPr>
          <w:ilvl w:val="0"/>
          <w:numId w:val="1"/>
        </w:numPr>
      </w:pPr>
      <w:r>
        <w:t>regulatin</w:t>
      </w:r>
      <w:r>
        <w:t>g prices, using maximum weighted average revenue caps, over each port and channel business;</w:t>
      </w:r>
    </w:p>
    <w:p w:rsidR="00000000" w:rsidRDefault="001F233B" w:rsidP="001F233B">
      <w:pPr>
        <w:pStyle w:val="BulletText"/>
        <w:numPr>
          <w:ilvl w:val="0"/>
          <w:numId w:val="1"/>
        </w:numPr>
      </w:pPr>
      <w:r>
        <w:t>establishing a regime for third-party access to the shipping channels, accredited by the National Competition</w:t>
      </w:r>
      <w:r>
        <w:fldChar w:fldCharType="begin"/>
      </w:r>
      <w:r>
        <w:instrText>xe "Competition"</w:instrText>
      </w:r>
      <w:r>
        <w:fldChar w:fldCharType="end"/>
      </w:r>
      <w:r>
        <w:t xml:space="preserve"> Council, and administered by the Office of the Regulator</w:t>
      </w:r>
      <w:r>
        <w:noBreakHyphen/>
        <w:t>General;</w:t>
      </w:r>
    </w:p>
    <w:p w:rsidR="00000000" w:rsidRDefault="001F233B" w:rsidP="001F233B">
      <w:pPr>
        <w:pStyle w:val="BulletText"/>
        <w:numPr>
          <w:ilvl w:val="0"/>
          <w:numId w:val="1"/>
        </w:numPr>
      </w:pPr>
      <w:r>
        <w:t>privatisating the ports of Portland and Geelong; and</w:t>
      </w:r>
    </w:p>
    <w:p w:rsidR="00000000" w:rsidRDefault="001F233B" w:rsidP="001F233B">
      <w:pPr>
        <w:pStyle w:val="BulletText"/>
        <w:numPr>
          <w:ilvl w:val="0"/>
          <w:numId w:val="1"/>
        </w:numPr>
      </w:pPr>
      <w:r>
        <w:t xml:space="preserve">contracting out of management rights for the Port of Hastings. </w:t>
      </w:r>
    </w:p>
    <w:p w:rsidR="00000000" w:rsidRDefault="001F233B">
      <w:r>
        <w:t>In 1995</w:t>
      </w:r>
      <w:r>
        <w:noBreakHyphen/>
        <w:t>96 the Victorian Channels Authority (VCA) was established as a separate entity accountable for the ma</w:t>
      </w:r>
      <w:r>
        <w:t>nagement and maintenance of channels in the ports of Melbourne, Geelong, Portland and Hastings. VCA has retained its responsibilities in Melbourne and Geelong and has delegated this responsibility to the private port operators at Portland and Hastings.</w:t>
      </w:r>
    </w:p>
    <w:p w:rsidR="00000000" w:rsidRDefault="001F233B">
      <w:r>
        <w:t>The port reform program concluded during 1997</w:t>
      </w:r>
      <w:r>
        <w:noBreakHyphen/>
        <w:t>98 with the sale of Melbourne Port Services in May 1997 and the successful contracting out of the management of the Port of Hastings in July 1997. Melbourne Port Services, a subsidiary of Melbourne Port Corporatio</w:t>
      </w:r>
      <w:r>
        <w:t>n providing contestable services to port users, was sold for $8 million to Skilled Engineering and the management of Port of Hastings was contracted out in July 1997 for a period of 10 years (plus two five</w:t>
      </w:r>
      <w:r>
        <w:noBreakHyphen/>
        <w:t>year options), in return for a throughput</w:t>
      </w:r>
      <w:r>
        <w:noBreakHyphen/>
        <w:t>related management fee from TNT Port Logistics (now Toll Holdings).</w:t>
      </w:r>
    </w:p>
    <w:p w:rsidR="00000000" w:rsidRDefault="001F233B">
      <w:pPr>
        <w:pStyle w:val="Heading3"/>
      </w:pPr>
      <w:r>
        <w:t>Reform of the water industry</w:t>
      </w:r>
    </w:p>
    <w:p w:rsidR="00000000" w:rsidRDefault="001F233B">
      <w:r>
        <w:t>Since January 1995, the Government has been introducing a series of reforms into the water industry, which are progressively improving its capacity to operate efficien</w:t>
      </w:r>
      <w:r>
        <w:t>tly and to deliver real and lasting benefits to consumers. Structural reform and reforms to pricing have laid the groundwork for further progress.</w:t>
      </w:r>
    </w:p>
    <w:p w:rsidR="00000000" w:rsidRDefault="001F233B">
      <w:r>
        <w:t xml:space="preserve">Melbourne Water was disaggregated into Melbourne Parks and Waterways and one wholesale and three retail corporatised businesses. The wholesale business, Melbourne Water Corporation, is primarily responsible for the management of the major dams and sewage treatment plants, and for bulk supply to the three retail businesses </w:t>
      </w:r>
      <w:r>
        <w:noBreakHyphen/>
        <w:t xml:space="preserve"> City West Water, South East Water and Y</w:t>
      </w:r>
      <w:r>
        <w:t>arra Valley Water.</w:t>
      </w:r>
    </w:p>
    <w:p w:rsidR="00000000" w:rsidRDefault="001F233B">
      <w:r>
        <w:t xml:space="preserve">All four businesses have performed well, achieving improved efficiencies and profitability, while maintaining or improving service quality. </w:t>
      </w:r>
    </w:p>
    <w:p w:rsidR="00000000" w:rsidRDefault="001F233B">
      <w:r>
        <w:t>There has also been steady reform of the Non</w:t>
      </w:r>
      <w:r>
        <w:noBreakHyphen/>
        <w:t>Metropolitan Urban Water Authorities, which supply Victoria’s provincial towns. More than 80 small authorities have been amalgamated into 15 Government</w:t>
      </w:r>
      <w:r>
        <w:noBreakHyphen/>
        <w:t xml:space="preserve">owned businesses which are able to take advantage of economies of scale and attract skilled boards and management. </w:t>
      </w:r>
    </w:p>
    <w:p w:rsidR="00000000" w:rsidRDefault="001F233B">
      <w:r>
        <w:t>Fundamental, wide-ranging reforms to pr</w:t>
      </w:r>
      <w:r>
        <w:t>icing in the metropolitan water industry were announced in October 1997. The pricing reform package, under which the Government provided financial assistance of $850 million in the form of a debt/equity restructure, brings the approach to pricing water and sewerage</w:t>
      </w:r>
      <w:r>
        <w:fldChar w:fldCharType="begin"/>
      </w:r>
      <w:r>
        <w:instrText>xe "Water and sewerage"</w:instrText>
      </w:r>
      <w:r>
        <w:fldChar w:fldCharType="end"/>
      </w:r>
      <w:r>
        <w:t xml:space="preserve"> into line with that of other utility industries, and provides significant benefits by:</w:t>
      </w:r>
    </w:p>
    <w:p w:rsidR="00000000" w:rsidRDefault="001F233B" w:rsidP="001F233B">
      <w:pPr>
        <w:pStyle w:val="BulletText"/>
        <w:numPr>
          <w:ilvl w:val="0"/>
          <w:numId w:val="1"/>
        </w:numPr>
      </w:pPr>
      <w:r>
        <w:t>delivering to over 85 per cent of domestic properties an average 18 per cent reduction in bills;</w:t>
      </w:r>
    </w:p>
    <w:p w:rsidR="00000000" w:rsidRDefault="001F233B" w:rsidP="001F233B">
      <w:pPr>
        <w:pStyle w:val="BulletText"/>
        <w:numPr>
          <w:ilvl w:val="0"/>
          <w:numId w:val="1"/>
        </w:numPr>
      </w:pPr>
      <w:r>
        <w:t>significantly reducing non</w:t>
      </w:r>
      <w:r>
        <w:noBreakHyphen/>
        <w:t>domestic s</w:t>
      </w:r>
      <w:r>
        <w:t xml:space="preserve">ector water bills, thereby delivering a boost to Victorian businesses; </w:t>
      </w:r>
    </w:p>
    <w:p w:rsidR="00000000" w:rsidRDefault="001F233B" w:rsidP="001F233B">
      <w:pPr>
        <w:pStyle w:val="BulletText"/>
        <w:numPr>
          <w:ilvl w:val="0"/>
          <w:numId w:val="1"/>
        </w:numPr>
      </w:pPr>
      <w:r>
        <w:t>increasing water usage charges to about 70 per cent of the average bill, providing an incentive for water conservation and paving the way for associated environmental benefits; and</w:t>
      </w:r>
    </w:p>
    <w:p w:rsidR="00000000" w:rsidRDefault="001F233B" w:rsidP="001F233B">
      <w:pPr>
        <w:pStyle w:val="BulletText"/>
        <w:numPr>
          <w:ilvl w:val="0"/>
          <w:numId w:val="1"/>
        </w:numPr>
      </w:pPr>
      <w:r>
        <w:t>abolishing property value based rates and replacing them with fixed service charges for each connected property, thereby curtailing cross</w:t>
      </w:r>
      <w:r>
        <w:noBreakHyphen/>
        <w:t>subsidies and improving pricing equity.</w:t>
      </w:r>
    </w:p>
    <w:p w:rsidR="00000000" w:rsidRDefault="001F233B">
      <w:r>
        <w:br w:type="page"/>
        <w:t>Consumer benefits from the metropolitan reform package are summarised in Chart 8</w:t>
      </w:r>
      <w:r>
        <w:t>.1. This shows that, while the proportion of the bill based on ‘user pays’ increases, the average metropolitan household bill falls by more than $120 per annum.</w:t>
      </w:r>
    </w:p>
    <w:p w:rsidR="00000000" w:rsidRDefault="001F233B">
      <w:pPr>
        <w:pStyle w:val="Chartheading"/>
        <w:keepNext/>
      </w:pPr>
      <w:r>
        <w:t>Chart 8.1: Comparative Breakdown of the Average Household Bill</w:t>
      </w:r>
    </w:p>
    <w:p w:rsidR="00000000" w:rsidRDefault="001F233B">
      <w:pPr>
        <w:pStyle w:val="Notes"/>
        <w:keepNext/>
      </w:pPr>
      <w:r>
        <w:rPr>
          <w:noProof/>
        </w:rPr>
        <mc:AlternateContent>
          <mc:Choice Requires="wps">
            <w:drawing>
              <wp:anchor distT="0" distB="0" distL="114300" distR="114300" simplePos="0" relativeHeight="251660288" behindDoc="0" locked="0" layoutInCell="0" allowOverlap="1">
                <wp:simplePos x="0" y="0"/>
                <wp:positionH relativeFrom="column">
                  <wp:posOffset>894715</wp:posOffset>
                </wp:positionH>
                <wp:positionV relativeFrom="paragraph">
                  <wp:posOffset>1478915</wp:posOffset>
                </wp:positionV>
                <wp:extent cx="457835" cy="183515"/>
                <wp:effectExtent l="0" t="0" r="0" b="0"/>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F23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0.45pt;margin-top:116.45pt;width:36.0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" o:allowincell="f" filled="f" stroked="f" strokeweight="0">
                <v:textbox inset="0,0,0,0">
                  <w:txbxContent>
                    <w:p w:rsidR="00000000" w:rsidRDefault="001F233B"/>
                  </w:txbxContent>
                </v:textbox>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986155</wp:posOffset>
                </wp:positionH>
                <wp:positionV relativeFrom="paragraph">
                  <wp:posOffset>1570355</wp:posOffset>
                </wp:positionV>
                <wp:extent cx="549275" cy="183515"/>
                <wp:effectExtent l="0" t="0" r="0" b="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F23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77.65pt;margin-top:123.65pt;width:43.2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" o:allowincell="f" filled="f" stroked="f" strokeweight="0">
                <v:textbox inset="0,0,0,0">
                  <w:txbxContent>
                    <w:p w:rsidR="00000000" w:rsidRDefault="001F233B"/>
                  </w:txbxContent>
                </v:textbox>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986155</wp:posOffset>
                </wp:positionH>
                <wp:positionV relativeFrom="paragraph">
                  <wp:posOffset>1557655</wp:posOffset>
                </wp:positionV>
                <wp:extent cx="366395" cy="183515"/>
                <wp:effectExtent l="0" t="0" r="0" b="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F233B">
                            <w:pPr>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77.65pt;margin-top:122.65pt;width:28.8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" o:allowincell="f" filled="f" stroked="f" strokeweight="0">
                <v:textbox inset="0,0,0,0">
                  <w:txbxContent>
                    <w:p w:rsidR="00000000" w:rsidRDefault="001F233B">
                      <w:pPr>
                        <w:rPr>
                          <w:b/>
                          <w:sz w:val="18"/>
                        </w:rPr>
                      </w:pPr>
                    </w:p>
                  </w:txbxContent>
                </v:textbox>
              </v:rect>
            </w:pict>
          </mc:Fallback>
        </mc:AlternateContent>
      </w:r>
      <w:r>
        <w:rPr>
          <w:sz w:val="20"/>
        </w:rPr>
        <w:object w:dxaOrig="7980" w:dyaOrig="9180">
          <v:shape id="_x0000_i1065" type="#_x0000_t75" style="width:347.25pt;height:294pt" o:ole="">
            <v:imagedata r:id="rId90" o:title=""/>
            <w10:bordertop type="single" width="6"/>
            <w10:borderleft type="single" width="6"/>
            <w10:borderbottom type="single" width="6"/>
            <w10:borderright type="single" width="6"/>
          </v:shape>
          <o:OLEObject Type="Embed" ProgID="Word.Picture.8" ShapeID="_x0000_i1065" DrawAspect="Content" ObjectID="_1482849958" r:id="rId91"/>
        </w:object>
      </w:r>
    </w:p>
    <w:p w:rsidR="00000000" w:rsidRDefault="001F233B">
      <w:pPr>
        <w:pStyle w:val="Notes"/>
        <w:keepNext/>
        <w:rPr>
          <w:sz w:val="16"/>
        </w:rPr>
      </w:pPr>
      <w:r>
        <w:rPr>
          <w:sz w:val="16"/>
        </w:rPr>
        <w:t>Note: For an average household bill:</w:t>
      </w:r>
      <w:r>
        <w:rPr>
          <w:sz w:val="16"/>
        </w:rPr>
        <w:tab/>
        <w:t>Net Annual Property Value = $7 500;</w:t>
      </w:r>
    </w:p>
    <w:p w:rsidR="00000000" w:rsidRDefault="001F233B">
      <w:pPr>
        <w:pStyle w:val="Notes"/>
        <w:keepNext/>
        <w:ind w:left="454"/>
        <w:rPr>
          <w:sz w:val="16"/>
        </w:rPr>
      </w:pPr>
      <w:r>
        <w:rPr>
          <w:sz w:val="16"/>
        </w:rPr>
        <w:tab/>
      </w:r>
      <w:r>
        <w:rPr>
          <w:sz w:val="16"/>
        </w:rPr>
        <w:tab/>
      </w:r>
      <w:r>
        <w:rPr>
          <w:sz w:val="16"/>
        </w:rPr>
        <w:tab/>
      </w:r>
      <w:r>
        <w:rPr>
          <w:sz w:val="16"/>
        </w:rPr>
        <w:tab/>
        <w:t>Water consumption = 230 kilolitres per annum</w:t>
      </w:r>
    </w:p>
    <w:p w:rsidR="00000000" w:rsidRDefault="001F233B">
      <w:pPr>
        <w:pStyle w:val="Notes"/>
        <w:keepNext/>
        <w:ind w:left="454"/>
      </w:pPr>
      <w:r>
        <w:rPr>
          <w:sz w:val="16"/>
        </w:rPr>
        <w:tab/>
      </w:r>
      <w:r>
        <w:rPr>
          <w:sz w:val="16"/>
        </w:rPr>
        <w:tab/>
      </w:r>
      <w:r>
        <w:rPr>
          <w:sz w:val="16"/>
        </w:rPr>
        <w:tab/>
      </w:r>
      <w:r>
        <w:rPr>
          <w:sz w:val="16"/>
        </w:rPr>
        <w:tab/>
        <w:t>Sewage disposal return rate = 70 per cent of water consumption</w:t>
      </w:r>
    </w:p>
    <w:p w:rsidR="00000000" w:rsidRDefault="001F233B">
      <w:pPr>
        <w:pStyle w:val="Heading2"/>
      </w:pPr>
      <w:bookmarkStart w:id="170" w:name="_Toc417482342"/>
      <w:r>
        <w:br w:type="page"/>
      </w:r>
      <w:bookmarkStart w:id="171" w:name="_Toc417552114"/>
      <w:r>
        <w:t>GBE reform: the way ahead</w:t>
      </w:r>
      <w:bookmarkEnd w:id="170"/>
      <w:bookmarkEnd w:id="171"/>
    </w:p>
    <w:p w:rsidR="00000000" w:rsidRDefault="001F233B">
      <w:r>
        <w:t>Key items on the GBE reform program for 1998</w:t>
      </w:r>
      <w:r>
        <w:noBreakHyphen/>
        <w:t>99 are:</w:t>
      </w:r>
    </w:p>
    <w:p w:rsidR="00000000" w:rsidRDefault="001F233B" w:rsidP="001F233B">
      <w:pPr>
        <w:pStyle w:val="BulletText"/>
        <w:numPr>
          <w:ilvl w:val="0"/>
          <w:numId w:val="1"/>
        </w:numPr>
      </w:pPr>
      <w:r>
        <w:t>privatisation</w:t>
      </w:r>
      <w:r>
        <w:fldChar w:fldCharType="begin"/>
      </w:r>
      <w:r>
        <w:instrText>xe "Privatisation"</w:instrText>
      </w:r>
      <w:r>
        <w:fldChar w:fldCharType="end"/>
      </w:r>
      <w:r>
        <w:t xml:space="preserve"> of the three gas</w:t>
      </w:r>
      <w:r>
        <w:fldChar w:fldCharType="begin"/>
      </w:r>
      <w:r>
        <w:instrText>xe "Gas"</w:instrText>
      </w:r>
      <w:r>
        <w:fldChar w:fldCharType="end"/>
      </w:r>
      <w:r>
        <w:t xml:space="preserve"> distribution/retail businesses and the gas transmission business, subject to market conditions;</w:t>
      </w:r>
    </w:p>
    <w:p w:rsidR="00000000" w:rsidRDefault="001F233B" w:rsidP="001F233B">
      <w:pPr>
        <w:pStyle w:val="BulletText"/>
        <w:numPr>
          <w:ilvl w:val="0"/>
          <w:numId w:val="1"/>
        </w:numPr>
      </w:pPr>
      <w:r>
        <w:t>commencement of a gas</w:t>
      </w:r>
      <w:r>
        <w:fldChar w:fldCharType="begin"/>
      </w:r>
      <w:r>
        <w:instrText>xe "Gas"</w:instrText>
      </w:r>
      <w:r>
        <w:fldChar w:fldCharType="end"/>
      </w:r>
      <w:r>
        <w:t xml:space="preserve"> market on 1 September 1998;</w:t>
      </w:r>
    </w:p>
    <w:p w:rsidR="00000000" w:rsidRDefault="001F233B" w:rsidP="001F233B">
      <w:pPr>
        <w:pStyle w:val="BulletText"/>
        <w:numPr>
          <w:ilvl w:val="0"/>
          <w:numId w:val="1"/>
        </w:numPr>
      </w:pPr>
      <w:r>
        <w:t>privatisation</w:t>
      </w:r>
      <w:r>
        <w:fldChar w:fldCharType="begin"/>
      </w:r>
      <w:r>
        <w:instrText>xe "Privatisation"</w:instrText>
      </w:r>
      <w:r>
        <w:fldChar w:fldCharType="end"/>
      </w:r>
      <w:r>
        <w:t xml:space="preserve"> of Aluvic</w:t>
      </w:r>
      <w:r>
        <w:fldChar w:fldCharType="begin"/>
      </w:r>
      <w:r>
        <w:instrText>xe "Public authority income:Aluvic"</w:instrText>
      </w:r>
      <w:r>
        <w:fldChar w:fldCharType="end"/>
      </w:r>
      <w:r>
        <w:t>, which holds the State’s 25 per cent interest in the Portland Smelter;</w:t>
      </w:r>
    </w:p>
    <w:p w:rsidR="00000000" w:rsidRDefault="001F233B" w:rsidP="001F233B">
      <w:pPr>
        <w:pStyle w:val="BulletText"/>
        <w:numPr>
          <w:ilvl w:val="0"/>
          <w:numId w:val="1"/>
        </w:numPr>
      </w:pPr>
      <w:r>
        <w:t>privatisation</w:t>
      </w:r>
      <w:r>
        <w:fldChar w:fldCharType="begin"/>
      </w:r>
      <w:r>
        <w:instrText>xe "Privatisation"</w:instrText>
      </w:r>
      <w:r>
        <w:fldChar w:fldCharType="end"/>
      </w:r>
      <w:r>
        <w:t xml:space="preserve"> of V/Line Freight; </w:t>
      </w:r>
    </w:p>
    <w:p w:rsidR="00000000" w:rsidRDefault="001F233B" w:rsidP="001F233B">
      <w:pPr>
        <w:pStyle w:val="BulletText"/>
        <w:numPr>
          <w:ilvl w:val="0"/>
          <w:numId w:val="1"/>
        </w:numPr>
      </w:pPr>
      <w:r>
        <w:t xml:space="preserve"> restructuring of the Public Transport Corporation</w:t>
      </w:r>
      <w:r>
        <w:fldChar w:fldCharType="begin"/>
      </w:r>
      <w:r>
        <w:instrText>xe "Public Transport Corporat</w:instrText>
      </w:r>
      <w:r>
        <w:instrText>ion"</w:instrText>
      </w:r>
      <w:r>
        <w:fldChar w:fldCharType="end"/>
      </w:r>
      <w:r>
        <w:t>’s operations and sale via franchise contracts by March 1999;</w:t>
      </w:r>
    </w:p>
    <w:p w:rsidR="00000000" w:rsidRDefault="001F233B" w:rsidP="001F233B">
      <w:pPr>
        <w:pStyle w:val="BulletText"/>
        <w:numPr>
          <w:ilvl w:val="0"/>
          <w:numId w:val="1"/>
        </w:numPr>
      </w:pPr>
      <w:r>
        <w:t>privatisation</w:t>
      </w:r>
      <w:r>
        <w:fldChar w:fldCharType="begin"/>
      </w:r>
      <w:r>
        <w:instrText>xe "Privatisation"</w:instrText>
      </w:r>
      <w:r>
        <w:fldChar w:fldCharType="end"/>
      </w:r>
      <w:r>
        <w:t xml:space="preserve"> of the Victorian Plantations Corporation</w:t>
      </w:r>
      <w:r>
        <w:fldChar w:fldCharType="begin"/>
      </w:r>
      <w:r>
        <w:instrText>xe "Victorian Plantations Corporation"</w:instrText>
      </w:r>
      <w:r>
        <w:fldChar w:fldCharType="end"/>
      </w:r>
      <w:r>
        <w:t xml:space="preserve"> in 1998 through offers of long</w:t>
      </w:r>
      <w:r>
        <w:noBreakHyphen/>
        <w:t>term management and harvesting rights to bidders; and</w:t>
      </w:r>
    </w:p>
    <w:p w:rsidR="00000000" w:rsidRDefault="001F233B" w:rsidP="001F233B">
      <w:pPr>
        <w:pStyle w:val="BulletText"/>
        <w:numPr>
          <w:ilvl w:val="0"/>
          <w:numId w:val="1"/>
        </w:numPr>
      </w:pPr>
      <w:r>
        <w:t>continued regulatory and structural reform of water.</w:t>
      </w:r>
    </w:p>
    <w:p w:rsidR="00000000" w:rsidRDefault="001F233B">
      <w:r>
        <w:t xml:space="preserve">Details of some of these reform programs are set out below. </w:t>
      </w:r>
    </w:p>
    <w:p w:rsidR="00000000" w:rsidRDefault="001F233B">
      <w:pPr>
        <w:pStyle w:val="Heading3"/>
      </w:pPr>
      <w:r>
        <w:t>Water</w:t>
      </w:r>
    </w:p>
    <w:p w:rsidR="00000000" w:rsidRDefault="001F233B">
      <w:r>
        <w:t>In addition to the metropolitan reform package, the Government has announced other initiatives to improve water services acro</w:t>
      </w:r>
      <w:r>
        <w:t xml:space="preserve">ss regional Victoria. </w:t>
      </w:r>
    </w:p>
    <w:p w:rsidR="00000000" w:rsidRDefault="001F233B">
      <w:r>
        <w:t>Some $410 million has been injected into the 15 non</w:t>
      </w:r>
      <w:r>
        <w:noBreakHyphen/>
        <w:t>metropolitan urban water business authorities during 1997</w:t>
      </w:r>
      <w:r>
        <w:noBreakHyphen/>
        <w:t>98. These funds will assist the businesses to accelerate investments to improve water quality and ensure compliance with EPA licences.</w:t>
      </w:r>
    </w:p>
    <w:p w:rsidR="00000000" w:rsidRDefault="001F233B">
      <w:r>
        <w:t>The announced pricing reforms have achieved an average 18 per cent reduction in prices, ensuring that non</w:t>
      </w:r>
      <w:r>
        <w:noBreakHyphen/>
        <w:t>metropolitan residents receive benefits of the same order as metropolitan water consumers. As part of the process of creating more commerc</w:t>
      </w:r>
      <w:r>
        <w:t>ial businesses, the practice of basing dividends paid by the non</w:t>
      </w:r>
      <w:r>
        <w:noBreakHyphen/>
        <w:t>metropolitan urban water businesses on residential assessments will be replaced progressively by dividends based on profitability.</w:t>
      </w:r>
    </w:p>
    <w:p w:rsidR="00000000" w:rsidRDefault="001F233B">
      <w:r>
        <w:t>The 1998-99 Budget provides for rural areas to fund 12 dam improvement projects and other catchment management projects.</w:t>
      </w:r>
    </w:p>
    <w:p w:rsidR="00000000" w:rsidRDefault="001F233B">
      <w:r>
        <w:t>Under the funding package, the non</w:t>
      </w:r>
      <w:r>
        <w:noBreakHyphen/>
        <w:t>metropolitan urban and rural water authorities have committed to ensuring efficient service delivery</w:t>
      </w:r>
      <w:r>
        <w:fldChar w:fldCharType="begin"/>
      </w:r>
      <w:r>
        <w:instrText>xe "Service delivery"</w:instrText>
      </w:r>
      <w:r>
        <w:fldChar w:fldCharType="end"/>
      </w:r>
      <w:r>
        <w:t xml:space="preserve"> through competitive arrangements. Th</w:t>
      </w:r>
      <w:r>
        <w:t>e Government has encouraged the use of Design and Construct and, where appropriate, Build, Own, Operate and/or Transfer (BOO/BOOT) methods of procurement to ensure the private sector has the opportunity to maximise cost</w:t>
      </w:r>
      <w:r>
        <w:noBreakHyphen/>
        <w:t>effective delivery of the required outcomes.</w:t>
      </w:r>
    </w:p>
    <w:p w:rsidR="00000000" w:rsidRDefault="001F233B">
      <w:r>
        <w:t>As part of this process, a number of competitive BOOT tendering processes are currently underway for water and waste water treatment projects. These projects are:</w:t>
      </w:r>
    </w:p>
    <w:p w:rsidR="00000000" w:rsidRDefault="001F233B" w:rsidP="001F233B">
      <w:pPr>
        <w:pStyle w:val="BulletText"/>
        <w:numPr>
          <w:ilvl w:val="0"/>
          <w:numId w:val="1"/>
        </w:numPr>
      </w:pPr>
      <w:r>
        <w:t>Castlemaine waste water treatment plant and reticulation for Maldon;</w:t>
      </w:r>
    </w:p>
    <w:p w:rsidR="00000000" w:rsidRDefault="001F233B" w:rsidP="001F233B">
      <w:pPr>
        <w:pStyle w:val="BulletText"/>
        <w:numPr>
          <w:ilvl w:val="0"/>
          <w:numId w:val="1"/>
        </w:numPr>
      </w:pPr>
      <w:r>
        <w:t>water treatment</w:t>
      </w:r>
      <w:r>
        <w:t xml:space="preserve"> for Bendigo, Castlemaine and Kyneton; and</w:t>
      </w:r>
    </w:p>
    <w:p w:rsidR="00000000" w:rsidRDefault="001F233B" w:rsidP="001F233B">
      <w:pPr>
        <w:pStyle w:val="BulletText"/>
        <w:numPr>
          <w:ilvl w:val="0"/>
          <w:numId w:val="1"/>
        </w:numPr>
      </w:pPr>
      <w:r>
        <w:t>water treatment for Ballarat and neighbouring towns.</w:t>
      </w:r>
    </w:p>
    <w:p w:rsidR="00000000" w:rsidRDefault="001F233B" w:rsidP="001F233B">
      <w:pPr>
        <w:pStyle w:val="BulletText"/>
        <w:numPr>
          <w:ilvl w:val="0"/>
          <w:numId w:val="0"/>
        </w:numPr>
      </w:pPr>
      <w:r>
        <w:t>A number of other water and waste water treatment projects are currently being evaluated as to the potential benefit of BOOT delivery.</w:t>
      </w:r>
    </w:p>
    <w:p w:rsidR="00000000" w:rsidRDefault="001F233B">
      <w:r>
        <w:t>1998</w:t>
      </w:r>
      <w:r>
        <w:noBreakHyphen/>
        <w:t>99 will see further work to promote the use of commercial disciplines in the water industry and consider other major issues including water trading and access regulation</w:t>
      </w:r>
      <w:r>
        <w:fldChar w:fldCharType="begin"/>
      </w:r>
      <w:r>
        <w:instrText>xe "Regulation"</w:instrText>
      </w:r>
      <w:r>
        <w:fldChar w:fldCharType="end"/>
      </w:r>
      <w:r>
        <w:t xml:space="preserve">. </w:t>
      </w:r>
    </w:p>
    <w:p w:rsidR="00000000" w:rsidRDefault="001F233B">
      <w:pPr>
        <w:pStyle w:val="Heading3"/>
      </w:pPr>
      <w:r>
        <w:t>Public Transport</w:t>
      </w:r>
      <w:r>
        <w:fldChar w:fldCharType="begin"/>
      </w:r>
      <w:r>
        <w:instrText>xe "Transport"</w:instrText>
      </w:r>
      <w:r>
        <w:fldChar w:fldCharType="end"/>
      </w:r>
    </w:p>
    <w:p w:rsidR="00000000" w:rsidRDefault="001F233B">
      <w:r>
        <w:t>The efficiency of Victoria’s public transport</w:t>
      </w:r>
      <w:r>
        <w:fldChar w:fldCharType="begin"/>
      </w:r>
      <w:r>
        <w:instrText>xe "Tran</w:instrText>
      </w:r>
      <w:r>
        <w:instrText>sport"</w:instrText>
      </w:r>
      <w:r>
        <w:fldChar w:fldCharType="end"/>
      </w:r>
      <w:r>
        <w:t xml:space="preserve"> system is a key factor affecting the quality of life of its citizens and the Government’s aim is to turn Victoria’s public transport system into a best practice service, which genuinely meets the needs of the travelling public at a cost which is affordable for taxpayers. In August 1997, the Government announced details of its plans to build on the recent reforms and privatise the PTC’s train and tram services. Privatisation</w:t>
      </w:r>
      <w:r>
        <w:fldChar w:fldCharType="begin"/>
      </w:r>
      <w:r>
        <w:instrText>xe "Privatisation"</w:instrText>
      </w:r>
      <w:r>
        <w:fldChar w:fldCharType="end"/>
      </w:r>
      <w:r>
        <w:t xml:space="preserve"> is scheduled to be complete by March 1999.</w:t>
      </w:r>
    </w:p>
    <w:p w:rsidR="00000000" w:rsidRDefault="001F233B">
      <w:r>
        <w:t>This Governme</w:t>
      </w:r>
      <w:r>
        <w:t>nt inherited a run</w:t>
      </w:r>
      <w:r>
        <w:noBreakHyphen/>
        <w:t>down and disjointed public transport</w:t>
      </w:r>
      <w:r>
        <w:fldChar w:fldCharType="begin"/>
      </w:r>
      <w:r>
        <w:instrText>xe "Transport"</w:instrText>
      </w:r>
      <w:r>
        <w:fldChar w:fldCharType="end"/>
      </w:r>
      <w:r>
        <w:t xml:space="preserve"> system characterised by overstaffing and poor patronage.</w:t>
      </w:r>
    </w:p>
    <w:p w:rsidR="00000000" w:rsidRDefault="001F233B">
      <w:r>
        <w:t>Since 1992, the Public Transport Corporation</w:t>
      </w:r>
      <w:r>
        <w:fldChar w:fldCharType="begin"/>
      </w:r>
      <w:r>
        <w:instrText>xe "Public Transport Corporation"</w:instrText>
      </w:r>
      <w:r>
        <w:fldChar w:fldCharType="end"/>
      </w:r>
      <w:r>
        <w:t xml:space="preserve"> (PTC) has undertaken some major reforms resulting in:</w:t>
      </w:r>
    </w:p>
    <w:p w:rsidR="00000000" w:rsidRDefault="001F233B" w:rsidP="001F233B">
      <w:pPr>
        <w:pStyle w:val="BulletText"/>
        <w:numPr>
          <w:ilvl w:val="0"/>
          <w:numId w:val="1"/>
        </w:numPr>
      </w:pPr>
      <w:r>
        <w:t>the annual cash operating deficit reducing by some $245 million;</w:t>
      </w:r>
    </w:p>
    <w:p w:rsidR="00000000" w:rsidRDefault="001F233B" w:rsidP="001F233B">
      <w:pPr>
        <w:pStyle w:val="BulletText"/>
        <w:numPr>
          <w:ilvl w:val="0"/>
          <w:numId w:val="1"/>
        </w:numPr>
      </w:pPr>
      <w:r>
        <w:t xml:space="preserve">improved service quality; </w:t>
      </w:r>
    </w:p>
    <w:p w:rsidR="00000000" w:rsidRDefault="001F233B" w:rsidP="001F233B">
      <w:pPr>
        <w:pStyle w:val="BulletText"/>
        <w:numPr>
          <w:ilvl w:val="0"/>
          <w:numId w:val="1"/>
        </w:numPr>
      </w:pPr>
      <w:r>
        <w:t>more patronage; and</w:t>
      </w:r>
    </w:p>
    <w:p w:rsidR="00000000" w:rsidRDefault="001F233B" w:rsidP="001F233B">
      <w:pPr>
        <w:pStyle w:val="BulletText"/>
        <w:numPr>
          <w:ilvl w:val="0"/>
          <w:numId w:val="1"/>
        </w:numPr>
      </w:pPr>
      <w:r>
        <w:t xml:space="preserve">reduced overstaffing. </w:t>
      </w:r>
    </w:p>
    <w:p w:rsidR="00000000" w:rsidRDefault="001F233B">
      <w:r>
        <w:t>Comparison with other public transport</w:t>
      </w:r>
      <w:r>
        <w:fldChar w:fldCharType="begin"/>
      </w:r>
      <w:r>
        <w:instrText>xe "Transport"</w:instrText>
      </w:r>
      <w:r>
        <w:fldChar w:fldCharType="end"/>
      </w:r>
      <w:r>
        <w:t xml:space="preserve"> systems demonstrates that substantial further improvements </w:t>
      </w:r>
      <w:r>
        <w:t>can be made.</w:t>
      </w:r>
    </w:p>
    <w:p w:rsidR="00000000" w:rsidRDefault="001F233B">
      <w:r>
        <w:t>The effect of the introduction of accrual budgeting and capital charging is that the 1998</w:t>
      </w:r>
      <w:r>
        <w:noBreakHyphen/>
        <w:t>99 operating subsidy to the PTC is forecast to be $783 million. This does not include any provision for a backlog in maintenance which, while uncertain at this point, could initially be around $40 million per annum. In addition, this amount does not reflect costs related to publicly owned transport</w:t>
      </w:r>
      <w:r>
        <w:fldChar w:fldCharType="begin"/>
      </w:r>
      <w:r>
        <w:instrText>xe "Transport"</w:instrText>
      </w:r>
      <w:r>
        <w:fldChar w:fldCharType="end"/>
      </w:r>
      <w:r>
        <w:t xml:space="preserve"> reflected elsewhere in the Budget including costs relating to V/Line Freight and VicTrack, an</w:t>
      </w:r>
      <w:r>
        <w:t>d superannuation liabilities for current and former PTC staff assumed by Government.</w:t>
      </w:r>
    </w:p>
    <w:p w:rsidR="00000000" w:rsidRDefault="001F233B">
      <w:r>
        <w:t>This operating subsidy clearly represents a significant increase from the 1997</w:t>
      </w:r>
      <w:r>
        <w:noBreakHyphen/>
        <w:t>98 cash</w:t>
      </w:r>
      <w:r>
        <w:noBreakHyphen/>
        <w:t xml:space="preserve">based subsidy of $203 million and reflects the costs that the Government has always carried to support the PTC. It does not add to public expenditure and is an accounting change only. While the Government has achieved large reductions in the PTC subsidy since 1992, the underlying subsidy costs (which have always existed) such as the cost </w:t>
      </w:r>
      <w:r>
        <w:t>of the PTC’s large capital base, are only now beginning to be identified.</w:t>
      </w:r>
    </w:p>
    <w:p w:rsidR="00000000" w:rsidRDefault="001F233B">
      <w:r>
        <w:t>The total subsidy is still subject to change upon privatisation</w:t>
      </w:r>
      <w:r>
        <w:fldChar w:fldCharType="begin"/>
      </w:r>
      <w:r>
        <w:instrText>xe "Privatisation"</w:instrText>
      </w:r>
      <w:r>
        <w:fldChar w:fldCharType="end"/>
      </w:r>
      <w:r>
        <w:t xml:space="preserve"> not just because of the efficiencies and other changes franchisees will introduce, but for factors not yet quantified such as: differences between existing asset valuations and the value at which assets will be transferred to franchisees; financial obligations that may be imposed on franchisees for bonding or other purposes; tax payments; and improveme</w:t>
      </w:r>
      <w:r>
        <w:t>nts to service levels. The impact of these changes will become clearer as we move through the reform process.</w:t>
      </w:r>
    </w:p>
    <w:p w:rsidR="00000000" w:rsidRDefault="001F233B">
      <w:r>
        <w:t xml:space="preserve">The first stage has been to restructure the PTC. Two metropolitan train services (Hillside and Bayside) have been established; and two companies (Yarra and Swanston) now operate Melbourne’s tram system. </w:t>
      </w:r>
    </w:p>
    <w:p w:rsidR="00000000" w:rsidRDefault="001F233B">
      <w:r>
        <w:t xml:space="preserve">These companies, as well as the V/Line Passenger network, will be privatised by way of franchise contracts. Franchising involves entering into fixed term contracts for rail and tram operations with </w:t>
      </w:r>
      <w:r>
        <w:t xml:space="preserve">the private sector and the Government buying back services on behalf of the public. </w:t>
      </w:r>
    </w:p>
    <w:p w:rsidR="00000000" w:rsidRDefault="001F233B">
      <w:r>
        <w:t xml:space="preserve">Within the franchise agreements, the Government: </w:t>
      </w:r>
    </w:p>
    <w:p w:rsidR="00000000" w:rsidRDefault="001F233B" w:rsidP="001F233B">
      <w:pPr>
        <w:pStyle w:val="BulletText"/>
        <w:numPr>
          <w:ilvl w:val="0"/>
          <w:numId w:val="1"/>
        </w:numPr>
      </w:pPr>
      <w:r>
        <w:t xml:space="preserve">contractually specifies the services which the franchisee must provide </w:t>
      </w:r>
      <w:r>
        <w:noBreakHyphen/>
        <w:t xml:space="preserve"> including frequencies, stopping points and journey times; </w:t>
      </w:r>
    </w:p>
    <w:p w:rsidR="00000000" w:rsidRDefault="001F233B" w:rsidP="001F233B">
      <w:pPr>
        <w:pStyle w:val="BulletText"/>
        <w:numPr>
          <w:ilvl w:val="0"/>
          <w:numId w:val="1"/>
        </w:numPr>
      </w:pPr>
      <w:r>
        <w:t xml:space="preserve">regulates annual fare increases; </w:t>
      </w:r>
    </w:p>
    <w:p w:rsidR="00000000" w:rsidRDefault="001F233B" w:rsidP="001F233B">
      <w:pPr>
        <w:pStyle w:val="BulletText"/>
        <w:numPr>
          <w:ilvl w:val="0"/>
          <w:numId w:val="1"/>
        </w:numPr>
      </w:pPr>
      <w:r>
        <w:t>sets out a regime of incentives and penalties to encourage efficient, high quality services; and</w:t>
      </w:r>
    </w:p>
    <w:p w:rsidR="00000000" w:rsidRDefault="001F233B" w:rsidP="001F233B">
      <w:pPr>
        <w:pStyle w:val="BulletText"/>
        <w:numPr>
          <w:ilvl w:val="0"/>
          <w:numId w:val="1"/>
        </w:numPr>
      </w:pPr>
      <w:r>
        <w:t xml:space="preserve">requires the franchisee to provide concession fares, multi-modal tickets, and train and tram information. </w:t>
      </w:r>
    </w:p>
    <w:p w:rsidR="00000000" w:rsidRDefault="001F233B">
      <w:r>
        <w:t>In retu</w:t>
      </w:r>
      <w:r>
        <w:t>rn, the franchisee receives a pre</w:t>
      </w:r>
      <w:r>
        <w:noBreakHyphen/>
        <w:t>determined level of financial support from the Government.</w:t>
      </w:r>
    </w:p>
    <w:p w:rsidR="00000000" w:rsidRDefault="001F233B">
      <w:r>
        <w:t>Over the next 12 months, franchises for each of the five passenger businesses will be awarded on a competitive basis and, while subsidy levels will be a key criterion in assessing bids, investment</w:t>
      </w:r>
      <w:r>
        <w:fldChar w:fldCharType="begin"/>
      </w:r>
      <w:r>
        <w:instrText>xe "Economy:Investment"</w:instrText>
      </w:r>
      <w:r>
        <w:fldChar w:fldCharType="end"/>
      </w:r>
      <w:r>
        <w:t xml:space="preserve"> proposals and other service enhancements will also be taken into account. The more intense the competition between bidders, the better the deal for the travelling public and the Victorian taxpayer.</w:t>
      </w:r>
    </w:p>
    <w:p w:rsidR="00000000" w:rsidRDefault="001F233B">
      <w:r>
        <w:t>The Government also intends to privatise the V/Line Freight business in the second half of 1998. Privatisation</w:t>
      </w:r>
      <w:r>
        <w:fldChar w:fldCharType="begin"/>
      </w:r>
      <w:r>
        <w:instrText>xe "Privatisation"</w:instrText>
      </w:r>
      <w:r>
        <w:fldChar w:fldCharType="end"/>
      </w:r>
      <w:r>
        <w:t xml:space="preserve"> will give Victoria’s rail freight industry a major opportunity to expand its business, and to compete effectively with road transport</w:t>
      </w:r>
      <w:r>
        <w:fldChar w:fldCharType="begin"/>
      </w:r>
      <w:r>
        <w:instrText>xe "Transport"</w:instrText>
      </w:r>
      <w:r>
        <w:fldChar w:fldCharType="end"/>
      </w:r>
      <w:r>
        <w:t>.</w:t>
      </w:r>
    </w:p>
    <w:p w:rsidR="00000000" w:rsidRDefault="001F233B">
      <w:pPr>
        <w:pStyle w:val="Heading3"/>
      </w:pPr>
      <w:r>
        <w:t>Victorian Plantations Corporation</w:t>
      </w:r>
      <w:r>
        <w:fldChar w:fldCharType="begin"/>
      </w:r>
      <w:r>
        <w:instrText>xe "Victorian Plantations Corporation"</w:instrText>
      </w:r>
      <w:r>
        <w:fldChar w:fldCharType="end"/>
      </w:r>
    </w:p>
    <w:p w:rsidR="00000000" w:rsidRDefault="001F233B">
      <w:r>
        <w:t>The Victorian Plantations Corporation</w:t>
      </w:r>
      <w:r>
        <w:fldChar w:fldCharType="begin"/>
      </w:r>
      <w:r>
        <w:instrText>xe "Victorian Plantations Corporation"</w:instrText>
      </w:r>
      <w:r>
        <w:fldChar w:fldCharType="end"/>
      </w:r>
      <w:r>
        <w:t xml:space="preserve"> (VPC) has operated as a commercially focused business since 1993.</w:t>
      </w:r>
    </w:p>
    <w:p w:rsidR="00000000" w:rsidRDefault="001F233B">
      <w:r>
        <w:t>It supplies</w:t>
      </w:r>
      <w:r>
        <w:t xml:space="preserve"> plantation softwood and a small amount of hardwood timber to the Victorian timber processing industry. VPC</w:t>
      </w:r>
      <w:r>
        <w:fldChar w:fldCharType="begin"/>
      </w:r>
      <w:r>
        <w:instrText>xe "Victorian Plantations Corporation"</w:instrText>
      </w:r>
      <w:r>
        <w:fldChar w:fldCharType="end"/>
      </w:r>
      <w:r>
        <w:t xml:space="preserve"> manages 107 000 hectares of softwood plantations and 8 000 hectares of hardwood plantations on a total estate of approximately 170 000 hectares of Crown land vested from Government.</w:t>
      </w:r>
    </w:p>
    <w:p w:rsidR="00000000" w:rsidRDefault="001F233B">
      <w:r>
        <w:t>Since it was established in July 1993, the Corporation has:</w:t>
      </w:r>
    </w:p>
    <w:p w:rsidR="00000000" w:rsidRDefault="001F233B" w:rsidP="001F233B">
      <w:pPr>
        <w:pStyle w:val="BulletText"/>
        <w:numPr>
          <w:ilvl w:val="0"/>
          <w:numId w:val="1"/>
        </w:numPr>
      </w:pPr>
      <w:r>
        <w:t>increased its net profit before tax from $12 million in 1993</w:t>
      </w:r>
      <w:r>
        <w:noBreakHyphen/>
        <w:t>94 to $29.7 million in 1996</w:t>
      </w:r>
      <w:r>
        <w:noBreakHyphen/>
        <w:t>97; and</w:t>
      </w:r>
    </w:p>
    <w:p w:rsidR="00000000" w:rsidRDefault="001F233B" w:rsidP="001F233B">
      <w:pPr>
        <w:pStyle w:val="BulletText"/>
        <w:numPr>
          <w:ilvl w:val="0"/>
          <w:numId w:val="1"/>
        </w:numPr>
      </w:pPr>
      <w:r>
        <w:t>increased its operating r</w:t>
      </w:r>
      <w:r>
        <w:t>evenue from $29.8 million to $55.3 million over the same period.</w:t>
      </w:r>
    </w:p>
    <w:p w:rsidR="00000000" w:rsidRDefault="001F233B">
      <w:r>
        <w:t>The Government has now decided to privatise the VPC</w:t>
      </w:r>
      <w:r>
        <w:fldChar w:fldCharType="begin"/>
      </w:r>
      <w:r>
        <w:instrText>xe "Victorian Plantations Corporation"</w:instrText>
      </w:r>
      <w:r>
        <w:fldChar w:fldCharType="end"/>
      </w:r>
      <w:r>
        <w:t xml:space="preserve"> and is confident that the sale will:</w:t>
      </w:r>
    </w:p>
    <w:p w:rsidR="00000000" w:rsidRDefault="001F233B" w:rsidP="001F233B">
      <w:pPr>
        <w:pStyle w:val="BulletText"/>
        <w:numPr>
          <w:ilvl w:val="0"/>
          <w:numId w:val="1"/>
        </w:numPr>
      </w:pPr>
      <w:r>
        <w:t xml:space="preserve">stimulate an internationally competitive industry which is not only sustainable but highly profitable; </w:t>
      </w:r>
    </w:p>
    <w:p w:rsidR="00000000" w:rsidRDefault="001F233B" w:rsidP="001F233B">
      <w:pPr>
        <w:pStyle w:val="BulletText"/>
        <w:numPr>
          <w:ilvl w:val="0"/>
          <w:numId w:val="1"/>
        </w:numPr>
      </w:pPr>
      <w:r>
        <w:t>provide the impetus for industry</w:t>
      </w:r>
      <w:r>
        <w:noBreakHyphen/>
        <w:t xml:space="preserve">wide reform within the Victorian and Australian timber industry; </w:t>
      </w:r>
    </w:p>
    <w:p w:rsidR="00000000" w:rsidRDefault="001F233B" w:rsidP="001F233B">
      <w:pPr>
        <w:pStyle w:val="BulletText"/>
        <w:numPr>
          <w:ilvl w:val="0"/>
          <w:numId w:val="1"/>
        </w:numPr>
      </w:pPr>
      <w:r>
        <w:t xml:space="preserve">remove the Government as a direct participant from an already competitive timber industry; </w:t>
      </w:r>
    </w:p>
    <w:p w:rsidR="00000000" w:rsidRDefault="001F233B" w:rsidP="001F233B">
      <w:pPr>
        <w:pStyle w:val="BulletText"/>
        <w:numPr>
          <w:ilvl w:val="0"/>
          <w:numId w:val="1"/>
        </w:numPr>
      </w:pPr>
      <w:r>
        <w:t>encourage new investmen</w:t>
      </w:r>
      <w:r>
        <w:t>t</w:t>
      </w:r>
      <w:r>
        <w:fldChar w:fldCharType="begin"/>
      </w:r>
      <w:r>
        <w:instrText>xe "Economy:Investment"</w:instrText>
      </w:r>
      <w:r>
        <w:fldChar w:fldCharType="end"/>
      </w:r>
      <w:r>
        <w:t xml:space="preserve"> in softwood plantations and timber processing; and</w:t>
      </w:r>
    </w:p>
    <w:p w:rsidR="00000000" w:rsidRDefault="001F233B" w:rsidP="001F233B">
      <w:pPr>
        <w:pStyle w:val="BulletText"/>
        <w:numPr>
          <w:ilvl w:val="0"/>
          <w:numId w:val="1"/>
        </w:numPr>
        <w:rPr>
          <w:lang w:val="en-AU"/>
        </w:rPr>
      </w:pPr>
      <w:r>
        <w:rPr>
          <w:lang w:val="en-AU"/>
        </w:rPr>
        <w:t>provide an environment conducive to increased employment</w:t>
      </w:r>
      <w:r>
        <w:rPr>
          <w:lang w:val="en-AU"/>
        </w:rPr>
        <w:fldChar w:fldCharType="begin"/>
      </w:r>
      <w:r>
        <w:rPr>
          <w:lang w:val="en-AU"/>
        </w:rPr>
        <w:instrText>xe "Economy:Employment"</w:instrText>
      </w:r>
      <w:r>
        <w:rPr>
          <w:lang w:val="en-AU"/>
        </w:rPr>
        <w:fldChar w:fldCharType="end"/>
      </w:r>
      <w:r>
        <w:rPr>
          <w:lang w:val="en-AU"/>
        </w:rPr>
        <w:t xml:space="preserve"> throughout regional Victoria.</w:t>
      </w:r>
    </w:p>
    <w:p w:rsidR="00000000" w:rsidRDefault="001F233B">
      <w:r>
        <w:t>The privatisation</w:t>
      </w:r>
      <w:r>
        <w:fldChar w:fldCharType="begin"/>
      </w:r>
      <w:r>
        <w:instrText>xe "Privatisation"</w:instrText>
      </w:r>
      <w:r>
        <w:fldChar w:fldCharType="end"/>
      </w:r>
      <w:r>
        <w:t xml:space="preserve"> will be effected via a trade sale, which encourages both domestic and international bidders, in a process beginning mid</w:t>
      </w:r>
      <w:r>
        <w:noBreakHyphen/>
        <w:t>1998. While the Government will consider bids for the whole or parts of the business, the privatisation will not sell freehold title. Rather, a plantation licence i</w:t>
      </w:r>
      <w:r>
        <w:t>n perpetuity will provide the new owner with long</w:t>
      </w:r>
      <w:r>
        <w:noBreakHyphen/>
        <w:t>term rights to manage the land and harvest and replant the timber.</w:t>
      </w:r>
    </w:p>
    <w:p w:rsidR="00000000" w:rsidRDefault="001F233B">
      <w:pPr>
        <w:pStyle w:val="Heading2"/>
      </w:pPr>
      <w:bookmarkStart w:id="172" w:name="_Toc417482343"/>
      <w:bookmarkStart w:id="173" w:name="_Toc417552115"/>
      <w:r>
        <w:t>Competition</w:t>
      </w:r>
      <w:r>
        <w:fldChar w:fldCharType="begin"/>
      </w:r>
      <w:r>
        <w:instrText>xe "Competition"</w:instrText>
      </w:r>
      <w:r>
        <w:fldChar w:fldCharType="end"/>
      </w:r>
      <w:r>
        <w:t xml:space="preserve"> in budget sector service delivery</w:t>
      </w:r>
      <w:bookmarkEnd w:id="172"/>
      <w:bookmarkEnd w:id="173"/>
      <w:r>
        <w:fldChar w:fldCharType="begin"/>
      </w:r>
      <w:r>
        <w:instrText>xe "Service delivery"</w:instrText>
      </w:r>
      <w:r>
        <w:fldChar w:fldCharType="end"/>
      </w:r>
      <w:r>
        <w:t xml:space="preserve"> </w:t>
      </w:r>
    </w:p>
    <w:p w:rsidR="00000000" w:rsidRDefault="001F233B">
      <w:r>
        <w:t>In 1991</w:t>
      </w:r>
      <w:r>
        <w:noBreakHyphen/>
        <w:t>92, Commonwealth Grants Commission</w:t>
      </w:r>
      <w:r>
        <w:fldChar w:fldCharType="begin"/>
      </w:r>
      <w:r>
        <w:instrText>xe "Commonwealth Grants Commission (CGC)"</w:instrText>
      </w:r>
      <w:r>
        <w:fldChar w:fldCharType="end"/>
      </w:r>
      <w:r>
        <w:t xml:space="preserve"> estimates indicated that Victoria was spending almost 10 per cent more than other Australian States (on a per capita basis, after adjusting for cost differences across States) on social and community services such as publ</w:t>
      </w:r>
      <w:r>
        <w:t>ic education</w:t>
      </w:r>
      <w:r>
        <w:fldChar w:fldCharType="begin"/>
      </w:r>
      <w:r>
        <w:instrText>xe "Education"</w:instrText>
      </w:r>
      <w:r>
        <w:fldChar w:fldCharType="end"/>
      </w:r>
      <w:r>
        <w:t>, transport</w:t>
      </w:r>
      <w:r>
        <w:fldChar w:fldCharType="begin"/>
      </w:r>
      <w:r>
        <w:instrText>xe "Transport"</w:instrText>
      </w:r>
      <w:r>
        <w:fldChar w:fldCharType="end"/>
      </w:r>
      <w:r>
        <w:t xml:space="preserve"> and health</w:t>
      </w:r>
      <w:r>
        <w:fldChar w:fldCharType="begin"/>
      </w:r>
      <w:r>
        <w:instrText>xe "Health"</w:instrText>
      </w:r>
      <w:r>
        <w:fldChar w:fldCharType="end"/>
      </w:r>
      <w:r>
        <w:t>. But despite higher spending on these services, Victorians were not receiving correspondingly higher levels of delivered service. Instead, widespread inefficiency in service delivery</w:t>
      </w:r>
      <w:r>
        <w:fldChar w:fldCharType="begin"/>
      </w:r>
      <w:r>
        <w:instrText>xe "Service delivery"</w:instrText>
      </w:r>
      <w:r>
        <w:fldChar w:fldCharType="end"/>
      </w:r>
      <w:r>
        <w:t xml:space="preserve"> was becoming increasingly evident in long hospital waiting lists, unreliable public transport and growing community concerns about education standards.</w:t>
      </w:r>
    </w:p>
    <w:p w:rsidR="00000000" w:rsidRDefault="001F233B">
      <w:r>
        <w:t>The Government recognised that, in addition to the immediate need to resto</w:t>
      </w:r>
      <w:r>
        <w:t>re fiscal discipline, reforms in service delivery</w:t>
      </w:r>
      <w:r>
        <w:fldChar w:fldCharType="begin"/>
      </w:r>
      <w:r>
        <w:instrText>xe "Service delivery"</w:instrText>
      </w:r>
      <w:r>
        <w:fldChar w:fldCharType="end"/>
      </w:r>
      <w:r>
        <w:t xml:space="preserve"> and in financial management were critical in order to address the strain on public resources created by the conflicting pressures of limited revenue growth and the growing demand for services. This required both a reassessment of the core activities of government and re</w:t>
      </w:r>
      <w:r>
        <w:noBreakHyphen/>
        <w:t xml:space="preserve">engineering of the way government services are delivered </w:t>
      </w:r>
      <w:r>
        <w:noBreakHyphen/>
        <w:t xml:space="preserve"> including through the introduction of greater competition. </w:t>
      </w:r>
    </w:p>
    <w:p w:rsidR="00000000" w:rsidRDefault="001F233B">
      <w:pPr>
        <w:pStyle w:val="Heading3"/>
      </w:pPr>
      <w:r>
        <w:t>Competitive tendering</w:t>
      </w:r>
    </w:p>
    <w:p w:rsidR="00000000" w:rsidRDefault="001F233B">
      <w:r>
        <w:t>Competitive tendering and c</w:t>
      </w:r>
      <w:r>
        <w:t>ontracting out has been widely adopted internationally as a tool to improve budget sector performance and lower costs. Financial management reforms to fully cost all services, and competitive neutrality pricing to offset the artificial advantages of government ownership of in</w:t>
      </w:r>
      <w:r>
        <w:noBreakHyphen/>
        <w:t xml:space="preserve">house suppliers, are fundamental to the successful introduction of competitive tendering. </w:t>
      </w:r>
    </w:p>
    <w:p w:rsidR="00000000" w:rsidRDefault="001F233B">
      <w:r>
        <w:t>The appropriate response is for Government to separate its role as purchaser (or funder) of activities from that of provider. The recognition th</w:t>
      </w:r>
      <w:r>
        <w:t xml:space="preserve">at there may be a number of potential providers of a service gives Government greater choice, enabling it to secure more cost effective outcomes. </w:t>
      </w:r>
    </w:p>
    <w:p w:rsidR="00000000" w:rsidRDefault="001F233B">
      <w:r>
        <w:t>In Victoria there is a growing list of functions formerly provided by in</w:t>
      </w:r>
      <w:r>
        <w:noBreakHyphen/>
        <w:t>house resources which have been outsourced following competitive tender. Functions such as construction, legal advice, cleaning of schools, court reporting, prisoner transport</w:t>
      </w:r>
      <w:r>
        <w:fldChar w:fldCharType="begin"/>
      </w:r>
      <w:r>
        <w:instrText>xe "Transport"</w:instrText>
      </w:r>
      <w:r>
        <w:fldChar w:fldCharType="end"/>
      </w:r>
      <w:r>
        <w:t>, fleet management, road construction and maintenance and information technology related services hav</w:t>
      </w:r>
      <w:r>
        <w:t xml:space="preserve">e all been successfully sourced externally. </w:t>
      </w:r>
    </w:p>
    <w:p w:rsidR="00000000" w:rsidRDefault="001F233B">
      <w:r>
        <w:t>Services now being outsourced include those that were considered core government activities such as hospital services</w:t>
      </w:r>
      <w:r>
        <w:fldChar w:fldCharType="begin"/>
      </w:r>
      <w:r>
        <w:instrText>xe "Department of Human Services:Hospital services"</w:instrText>
      </w:r>
      <w:r>
        <w:fldChar w:fldCharType="end"/>
      </w:r>
      <w:r>
        <w:t>, technical and further education</w:t>
      </w:r>
      <w:r>
        <w:fldChar w:fldCharType="begin"/>
      </w:r>
      <w:r>
        <w:instrText>xe "Education"</w:instrText>
      </w:r>
      <w:r>
        <w:fldChar w:fldCharType="end"/>
      </w:r>
      <w:r>
        <w:t>, public transport</w:t>
      </w:r>
      <w:r>
        <w:fldChar w:fldCharType="begin"/>
      </w:r>
      <w:r>
        <w:instrText>xe "Transport"</w:instrText>
      </w:r>
      <w:r>
        <w:fldChar w:fldCharType="end"/>
      </w:r>
      <w:r>
        <w:t>, and prison management. A number of significant new infrastructure</w:t>
      </w:r>
      <w:r>
        <w:fldChar w:fldCharType="begin"/>
      </w:r>
      <w:r>
        <w:instrText>xe "Economy:Infrastructure"</w:instrText>
      </w:r>
      <w:r>
        <w:fldChar w:fldCharType="end"/>
      </w:r>
      <w:r>
        <w:t xml:space="preserve"> projects have been initiated by the Government with most of the development, construction and management risks being </w:t>
      </w:r>
      <w:r>
        <w:t>transferred to the private sector while also ensuring the delivery of high quality services.</w:t>
      </w:r>
    </w:p>
    <w:p w:rsidR="00000000" w:rsidRDefault="001F233B">
      <w:pPr>
        <w:pStyle w:val="Heading3"/>
      </w:pPr>
      <w:r>
        <w:t>City Link</w:t>
      </w:r>
    </w:p>
    <w:p w:rsidR="00000000" w:rsidRDefault="001F233B">
      <w:r>
        <w:t>Construction of the City Link project</w:t>
      </w:r>
      <w:r>
        <w:fldChar w:fldCharType="begin"/>
      </w:r>
      <w:r>
        <w:instrText>xe "City Link project"</w:instrText>
      </w:r>
      <w:r>
        <w:fldChar w:fldCharType="end"/>
      </w:r>
      <w:r>
        <w:t xml:space="preserve"> to connect Melbourne’s fragmented freeway system is being undertaken by the Transurban consortium at an estimated cost of $1.8 billion. It is to be completed by 2000, and will provide improved access and traffic flow between Melbourne’s port, rail and airport facilities, and reduced travel times for motorists. In addition to the 6000 to 8000 job</w:t>
      </w:r>
      <w:r>
        <w:t>s created during the construction phase, it is estimated that an additional 2000 jobs will be created when the City Link is operational.</w:t>
      </w:r>
    </w:p>
    <w:p w:rsidR="00000000" w:rsidRDefault="001F233B">
      <w:pPr>
        <w:pStyle w:val="Heading3"/>
      </w:pPr>
      <w:r>
        <w:t>Prisons</w:t>
      </w:r>
      <w:r>
        <w:fldChar w:fldCharType="begin"/>
      </w:r>
      <w:r>
        <w:instrText>xe "Prisons"</w:instrText>
      </w:r>
      <w:r>
        <w:fldChar w:fldCharType="end"/>
      </w:r>
      <w:r>
        <w:fldChar w:fldCharType="begin"/>
      </w:r>
      <w:r>
        <w:instrText>xe "Department of Justice:Prisons"</w:instrText>
      </w:r>
      <w:r>
        <w:fldChar w:fldCharType="end"/>
      </w:r>
    </w:p>
    <w:p w:rsidR="00000000" w:rsidRDefault="001F233B">
      <w:pPr>
        <w:rPr>
          <w:i/>
        </w:rPr>
      </w:pPr>
      <w:r>
        <w:t>Three new prisons</w:t>
      </w:r>
      <w:r>
        <w:fldChar w:fldCharType="begin"/>
      </w:r>
      <w:r>
        <w:instrText>xe "Prisons"</w:instrText>
      </w:r>
      <w:r>
        <w:fldChar w:fldCharType="end"/>
      </w:r>
      <w:r>
        <w:fldChar w:fldCharType="begin"/>
      </w:r>
      <w:r>
        <w:instrText>xe "Department of Justice:Prisons"</w:instrText>
      </w:r>
      <w:r>
        <w:fldChar w:fldCharType="end"/>
      </w:r>
      <w:r>
        <w:t xml:space="preserve"> in Victoria have been financed, designed, constructed and operated by the private sector, to the value of $140 million. The new prison project has resulted in substantial benefits to the State through the achievement of service provision costs lower</w:t>
      </w:r>
      <w:r>
        <w:t xml:space="preserve"> than the benchmark costs of the existing public prisons while establishing defined levels of correctional services. </w:t>
      </w:r>
    </w:p>
    <w:p w:rsidR="00000000" w:rsidRDefault="001F233B">
      <w:pPr>
        <w:pStyle w:val="Heading3"/>
      </w:pPr>
      <w:r>
        <w:t>Hospitals</w:t>
      </w:r>
    </w:p>
    <w:p w:rsidR="00000000" w:rsidRDefault="001F233B">
      <w:r>
        <w:t>In January 1997 a 20</w:t>
      </w:r>
      <w:r>
        <w:noBreakHyphen/>
        <w:t>year contract with the private sector to provide a $50 million 257</w:t>
      </w:r>
      <w:r>
        <w:noBreakHyphen/>
        <w:t xml:space="preserve">bed hospital in the Latrobe Valley was finalised. This hospital is due to open in August 1998 and the Government has since announced four further hospital developments that will be seeking private sector involvement. </w:t>
      </w:r>
    </w:p>
    <w:p w:rsidR="00000000" w:rsidRDefault="001F233B">
      <w:r>
        <w:t>In keeping with the Latrobe Hospital project, the Government intends to seek d</w:t>
      </w:r>
      <w:r>
        <w:t>elivery of these four new developments via build</w:t>
      </w:r>
      <w:r>
        <w:noBreakHyphen/>
        <w:t>own</w:t>
      </w:r>
      <w:r>
        <w:noBreakHyphen/>
        <w:t>operate arrangements, with risk for design, construction, ownership and operation being largely in the hands of the private sector providers. In addition to risk transfer benefits, the Government also expects health</w:t>
      </w:r>
      <w:r>
        <w:fldChar w:fldCharType="begin"/>
      </w:r>
      <w:r>
        <w:instrText>xe "Health"</w:instrText>
      </w:r>
      <w:r>
        <w:fldChar w:fldCharType="end"/>
      </w:r>
      <w:r>
        <w:t xml:space="preserve"> care services to be delivered at a saving to the publicly funded system and at performance levels which meet standards for accreditation Australia</w:t>
      </w:r>
      <w:r>
        <w:noBreakHyphen/>
        <w:t>wide. Payments to the private sector providers will be at risk on their service del</w:t>
      </w:r>
      <w:r>
        <w:t>ivery</w:t>
      </w:r>
      <w:r>
        <w:fldChar w:fldCharType="begin"/>
      </w:r>
      <w:r>
        <w:instrText>xe "Service delivery"</w:instrText>
      </w:r>
      <w:r>
        <w:fldChar w:fldCharType="end"/>
      </w:r>
      <w:r>
        <w:t xml:space="preserve"> contracted performance. </w:t>
      </w:r>
    </w:p>
    <w:p w:rsidR="00000000" w:rsidRDefault="001F233B">
      <w:pPr>
        <w:pStyle w:val="Heading3"/>
      </w:pPr>
      <w:r>
        <w:t>Emergency Services</w:t>
      </w:r>
    </w:p>
    <w:p w:rsidR="00000000" w:rsidRDefault="001F233B">
      <w:r>
        <w:t>The Bureau of Emergency Services Telecommunications</w:t>
      </w:r>
      <w:r>
        <w:fldChar w:fldCharType="begin"/>
      </w:r>
      <w:r>
        <w:instrText>xe "Department of Justice:Bureau of Emergency Services Telecommunications"</w:instrText>
      </w:r>
      <w:r>
        <w:fldChar w:fldCharType="end"/>
      </w:r>
      <w:r>
        <w:t xml:space="preserve"> (BEST) was set up in 1994 to contract with a single private provider for computer aided call taking and dispatch services to all Victorian emergency services. This project is also delivering higher levels of service than were previously being achieved by the individual emergency services operating their own in</w:t>
      </w:r>
      <w:r>
        <w:noBreakHyphen/>
        <w:t>house communication systems.</w:t>
      </w:r>
    </w:p>
    <w:p w:rsidR="00000000" w:rsidRDefault="001F233B">
      <w:pPr>
        <w:pStyle w:val="Heading2"/>
      </w:pPr>
      <w:bookmarkStart w:id="174" w:name="_Toc417482344"/>
      <w:bookmarkStart w:id="175" w:name="_Toc417552116"/>
      <w:r>
        <w:t>Regulatory reform</w:t>
      </w:r>
      <w:bookmarkEnd w:id="174"/>
      <w:bookmarkEnd w:id="175"/>
    </w:p>
    <w:p w:rsidR="00000000" w:rsidRDefault="001F233B">
      <w:r>
        <w:t>As a regulator of private markets, government is increasingly aware of the impact that its regulations have on private sector competition. Regulations may:</w:t>
      </w:r>
    </w:p>
    <w:p w:rsidR="00000000" w:rsidRDefault="001F233B" w:rsidP="001F233B">
      <w:pPr>
        <w:pStyle w:val="BulletText"/>
        <w:numPr>
          <w:ilvl w:val="0"/>
          <w:numId w:val="1"/>
        </w:numPr>
      </w:pPr>
      <w:r>
        <w:t>create statutory monopolies;</w:t>
      </w:r>
    </w:p>
    <w:p w:rsidR="00000000" w:rsidRDefault="001F233B" w:rsidP="001F233B">
      <w:pPr>
        <w:pStyle w:val="BulletText"/>
        <w:numPr>
          <w:ilvl w:val="0"/>
          <w:numId w:val="1"/>
        </w:numPr>
      </w:pPr>
      <w:r>
        <w:t xml:space="preserve">impede the entry of potential competitors into markets; or </w:t>
      </w:r>
    </w:p>
    <w:p w:rsidR="00000000" w:rsidRDefault="001F233B" w:rsidP="001F233B">
      <w:pPr>
        <w:pStyle w:val="BulletText"/>
        <w:numPr>
          <w:ilvl w:val="0"/>
          <w:numId w:val="1"/>
        </w:numPr>
      </w:pPr>
      <w:r>
        <w:t xml:space="preserve">establish different business conditions for different types of activities. </w:t>
      </w:r>
    </w:p>
    <w:p w:rsidR="00000000" w:rsidRDefault="001F233B">
      <w:r>
        <w:t>The Government has recognised that it is important to examine the impact of its regulatory activity on competition and to justify any restricti</w:t>
      </w:r>
      <w:r>
        <w:t>ons on competition in light of the public interest. In previous years the Government examined and reformed legislative restrictions governing statutory marketing schemes such as those which operate in the dairy and tobacco industries, has removed legislative monopolies on supply of services such as electricity</w:t>
      </w:r>
      <w:r>
        <w:fldChar w:fldCharType="begin"/>
      </w:r>
      <w:r>
        <w:instrText>xe "Electricity"</w:instrText>
      </w:r>
      <w:r>
        <w:fldChar w:fldCharType="end"/>
      </w:r>
      <w:r>
        <w:t xml:space="preserve">, and has reformed restrictions on trading hours. </w:t>
      </w:r>
    </w:p>
    <w:p w:rsidR="00000000" w:rsidRDefault="001F233B">
      <w:r>
        <w:t>The Government is now engaged in a comprehensive review of remaining legislative restrictions on competition in line with the Nation</w:t>
      </w:r>
      <w:r>
        <w:t>al Competition Policy</w:t>
      </w:r>
      <w:r>
        <w:fldChar w:fldCharType="begin"/>
      </w:r>
      <w:r>
        <w:instrText>xe "Competition:National Competition Policy"</w:instrText>
      </w:r>
      <w:r>
        <w:fldChar w:fldCharType="end"/>
      </w:r>
      <w:r>
        <w:t xml:space="preserve"> requirements (see below). All legislation which restricts competition will be reviewed and, where appropriate, reformed by the year 2000.</w:t>
      </w:r>
    </w:p>
    <w:p w:rsidR="00000000" w:rsidRDefault="001F233B">
      <w:pPr>
        <w:pStyle w:val="Heading2"/>
      </w:pPr>
      <w:bookmarkStart w:id="176" w:name="_Toc417482345"/>
      <w:bookmarkStart w:id="177" w:name="_Toc417552117"/>
      <w:r>
        <w:t>National Competition Policy</w:t>
      </w:r>
      <w:bookmarkEnd w:id="176"/>
      <w:bookmarkEnd w:id="177"/>
      <w:r>
        <w:fldChar w:fldCharType="begin"/>
      </w:r>
      <w:r>
        <w:instrText>xe "Competition:National Competition Policy"</w:instrText>
      </w:r>
      <w:r>
        <w:fldChar w:fldCharType="end"/>
      </w:r>
    </w:p>
    <w:p w:rsidR="00000000" w:rsidRDefault="001F233B">
      <w:r>
        <w:t>The National Competition Policy</w:t>
      </w:r>
      <w:r>
        <w:fldChar w:fldCharType="begin"/>
      </w:r>
      <w:r>
        <w:instrText>xe "Competition:National Competition Policy"</w:instrText>
      </w:r>
      <w:r>
        <w:fldChar w:fldCharType="end"/>
      </w:r>
      <w:r>
        <w:t xml:space="preserve"> is an agreement by all States and the Commonwealth to systematically apply the principles of competition across all areas of the economy. The Victorian Go</w:t>
      </w:r>
      <w:r>
        <w:t>vernment’s competitive reforms are underpinned by its commitment to the National Competition</w:t>
      </w:r>
      <w:r>
        <w:fldChar w:fldCharType="begin"/>
      </w:r>
      <w:r>
        <w:instrText>xe "Competition"</w:instrText>
      </w:r>
      <w:r>
        <w:fldChar w:fldCharType="end"/>
      </w:r>
      <w:r>
        <w:t xml:space="preserve"> Policy. In large part, the Victorian Government’s implementation of competitive reforms predated but is entirely consistent with, the National Competition Policy. </w:t>
      </w:r>
    </w:p>
    <w:p w:rsidR="00000000" w:rsidRDefault="001F233B">
      <w:r>
        <w:t>Key elements of the National Competition Policy</w:t>
      </w:r>
      <w:r>
        <w:fldChar w:fldCharType="begin"/>
      </w:r>
      <w:r>
        <w:instrText>xe "Competition:National Competition Policy"</w:instrText>
      </w:r>
      <w:r>
        <w:fldChar w:fldCharType="end"/>
      </w:r>
      <w:r>
        <w:t xml:space="preserve"> that are directly relevant to the Government’s reform program are as follows.</w:t>
      </w:r>
    </w:p>
    <w:p w:rsidR="00000000" w:rsidRDefault="001F233B">
      <w:pPr>
        <w:pStyle w:val="Heading3"/>
      </w:pPr>
      <w:r>
        <w:t xml:space="preserve">Structural reform </w:t>
      </w:r>
    </w:p>
    <w:p w:rsidR="00000000" w:rsidRDefault="001F233B">
      <w:r>
        <w:t>The National Competition Policy</w:t>
      </w:r>
      <w:r>
        <w:fldChar w:fldCharType="begin"/>
      </w:r>
      <w:r>
        <w:instrText>xe "Competitio</w:instrText>
      </w:r>
      <w:r>
        <w:instrText>n:National Competition Policy"</w:instrText>
      </w:r>
      <w:r>
        <w:fldChar w:fldCharType="end"/>
      </w:r>
      <w:r>
        <w:t xml:space="preserve"> sets out principles for structural reform, prices oversight and access to essential facilities. These principles are embodied in the GBE reforms implemented in Victoria ensuring the structural separation of monopolies into competitive elements, the application of economic regulation</w:t>
      </w:r>
      <w:r>
        <w:fldChar w:fldCharType="begin"/>
      </w:r>
      <w:r>
        <w:instrText>xe "Regulation"</w:instrText>
      </w:r>
      <w:r>
        <w:fldChar w:fldCharType="end"/>
      </w:r>
      <w:r>
        <w:t xml:space="preserve"> and prices oversight (in Victoria via the Office of the Regulator</w:t>
      </w:r>
      <w:r>
        <w:noBreakHyphen/>
        <w:t>General) and the establishment of regimes for third</w:t>
      </w:r>
      <w:r>
        <w:noBreakHyphen/>
        <w:t>party access to essential facilities.</w:t>
      </w:r>
    </w:p>
    <w:p w:rsidR="00000000" w:rsidRDefault="001F233B">
      <w:pPr>
        <w:pStyle w:val="Heading3"/>
      </w:pPr>
      <w:r>
        <w:t>Competitive Neutrality</w:t>
      </w:r>
    </w:p>
    <w:p w:rsidR="00000000" w:rsidRDefault="001F233B">
      <w:r>
        <w:t xml:space="preserve">Another important principle of competition policy is that, where businesses remain in government ownership, they should not derive any advantages from public ownership. This is known as competitive neutrality. </w:t>
      </w:r>
    </w:p>
    <w:p w:rsidR="00000000" w:rsidRDefault="001F233B">
      <w:r>
        <w:t xml:space="preserve">In June 1996, the Government published its </w:t>
      </w:r>
      <w:r>
        <w:rPr>
          <w:i/>
        </w:rPr>
        <w:t>Competitive Neutrality Policy Statement</w:t>
      </w:r>
      <w:r>
        <w:t xml:space="preserve"> which included a timetable for application of competitive neutrality to all GBEs and other significant business activities undertaken by the budget sector and its agencies.</w:t>
      </w:r>
    </w:p>
    <w:p w:rsidR="00000000" w:rsidRDefault="001F233B">
      <w:r>
        <w:t>Victorian GBEs are corporatised and subject t</w:t>
      </w:r>
      <w:r>
        <w:t xml:space="preserve">o the application of equivalents for taxes that would accrue if they were privately owned. These corporatised businesses also operate at arms length from government, within a corporate planning and monitoring framework, with a clear commercial focus and are subject to commercial dividend payments. </w:t>
      </w:r>
    </w:p>
    <w:p w:rsidR="00000000" w:rsidRDefault="001F233B">
      <w:r>
        <w:t xml:space="preserve">In 1997, the Department of Treasury and Finance published a </w:t>
      </w:r>
      <w:r>
        <w:rPr>
          <w:i/>
        </w:rPr>
        <w:t>Guide to Implementing the Competitively Neutral Pricing Principles (</w:t>
      </w:r>
      <w:r>
        <w:t>which apply to all other government business activities (not GBEs) from July 8 1997)</w:t>
      </w:r>
      <w:r>
        <w:t>. These pricing principles are another important feature of budget sector reform and ensure that comparisons between in</w:t>
      </w:r>
      <w:r>
        <w:noBreakHyphen/>
        <w:t>house providers and external providers occur on a like</w:t>
      </w:r>
      <w:r>
        <w:noBreakHyphen/>
        <w:t>for</w:t>
      </w:r>
      <w:r>
        <w:noBreakHyphen/>
        <w:t xml:space="preserve">like basis. </w:t>
      </w:r>
    </w:p>
    <w:p w:rsidR="00000000" w:rsidRDefault="001F233B">
      <w:r>
        <w:t>In addition, a unit has been established in the Department of Treasury and Finance to handle complaints from parties who claim to have suffered a direct and material disadvantage as a result of a government business appearing to enjoy net competitive advantages due to public sector ownership.</w:t>
      </w:r>
    </w:p>
    <w:p w:rsidR="00000000" w:rsidRDefault="001F233B">
      <w:pPr>
        <w:pStyle w:val="Heading3"/>
      </w:pPr>
      <w:r>
        <w:br w:type="page"/>
        <w:t xml:space="preserve">Legislation review </w:t>
      </w:r>
    </w:p>
    <w:p w:rsidR="00000000" w:rsidRDefault="001F233B">
      <w:r>
        <w:t>Under</w:t>
      </w:r>
      <w:r>
        <w:t xml:space="preserve"> the </w:t>
      </w:r>
      <w:r>
        <w:rPr>
          <w:i/>
        </w:rPr>
        <w:t>Competition</w:t>
      </w:r>
      <w:r>
        <w:rPr>
          <w:i/>
        </w:rPr>
        <w:fldChar w:fldCharType="begin"/>
      </w:r>
      <w:r>
        <w:rPr>
          <w:i/>
        </w:rPr>
        <w:instrText>xe "Competition"</w:instrText>
      </w:r>
      <w:r>
        <w:rPr>
          <w:i/>
        </w:rPr>
        <w:fldChar w:fldCharType="end"/>
      </w:r>
      <w:r>
        <w:rPr>
          <w:i/>
        </w:rPr>
        <w:t xml:space="preserve"> Principles Agreement</w:t>
      </w:r>
      <w:r>
        <w:t>, legislative restrictions on competition are to be reviewed by December 2000 according to the principle that legislation should not restrict competition unless it can be demonstrated that:</w:t>
      </w:r>
    </w:p>
    <w:p w:rsidR="00000000" w:rsidRDefault="001F233B" w:rsidP="001F233B">
      <w:pPr>
        <w:pStyle w:val="BulletText"/>
        <w:numPr>
          <w:ilvl w:val="0"/>
          <w:numId w:val="1"/>
        </w:numPr>
      </w:pPr>
      <w:r>
        <w:t>the benefits of the restriction to the community as a whole outweigh the costs; and</w:t>
      </w:r>
    </w:p>
    <w:p w:rsidR="00000000" w:rsidRDefault="001F233B" w:rsidP="001F233B">
      <w:pPr>
        <w:pStyle w:val="BulletText"/>
        <w:numPr>
          <w:ilvl w:val="0"/>
          <w:numId w:val="1"/>
        </w:numPr>
      </w:pPr>
      <w:r>
        <w:t xml:space="preserve">the objectives of the legislation can only be achieved by restricting competition. </w:t>
      </w:r>
    </w:p>
    <w:p w:rsidR="00000000" w:rsidRDefault="001F233B">
      <w:r>
        <w:t>Outcomes of reviews so far include:</w:t>
      </w:r>
    </w:p>
    <w:p w:rsidR="00000000" w:rsidRDefault="001F233B" w:rsidP="001F233B">
      <w:pPr>
        <w:pStyle w:val="BulletText"/>
        <w:numPr>
          <w:ilvl w:val="0"/>
          <w:numId w:val="1"/>
        </w:numPr>
      </w:pPr>
      <w:r>
        <w:t xml:space="preserve">repeal of the </w:t>
      </w:r>
      <w:r>
        <w:rPr>
          <w:i/>
        </w:rPr>
        <w:t>Shop Trading Act 1987</w:t>
      </w:r>
      <w:r>
        <w:t>;</w:t>
      </w:r>
    </w:p>
    <w:p w:rsidR="00000000" w:rsidRDefault="001F233B" w:rsidP="001F233B">
      <w:pPr>
        <w:pStyle w:val="BulletText"/>
        <w:numPr>
          <w:ilvl w:val="0"/>
          <w:numId w:val="1"/>
        </w:numPr>
      </w:pPr>
      <w:r>
        <w:t xml:space="preserve">reform of the </w:t>
      </w:r>
      <w:r>
        <w:rPr>
          <w:i/>
        </w:rPr>
        <w:t>Audit Act 19</w:t>
      </w:r>
      <w:r>
        <w:rPr>
          <w:i/>
        </w:rPr>
        <w:t>94</w:t>
      </w:r>
      <w:r>
        <w:t>; and</w:t>
      </w:r>
    </w:p>
    <w:p w:rsidR="00000000" w:rsidRDefault="001F233B" w:rsidP="001F233B">
      <w:pPr>
        <w:pStyle w:val="BulletText"/>
        <w:numPr>
          <w:ilvl w:val="0"/>
          <w:numId w:val="1"/>
        </w:numPr>
      </w:pPr>
      <w:r>
        <w:t xml:space="preserve">reform of the </w:t>
      </w:r>
      <w:r>
        <w:rPr>
          <w:i/>
        </w:rPr>
        <w:t>Veterinary Practice Act 1997</w:t>
      </w:r>
      <w:r>
        <w:t>.</w:t>
      </w:r>
    </w:p>
    <w:p w:rsidR="00000000" w:rsidRDefault="001F233B">
      <w:r>
        <w:t xml:space="preserve">The </w:t>
      </w:r>
      <w:r>
        <w:rPr>
          <w:i/>
        </w:rPr>
        <w:t xml:space="preserve">Shop Trading Act 1987 </w:t>
      </w:r>
      <w:r>
        <w:t xml:space="preserve">was repealed to deregulate shop trading hours. The most significant impact of this reform is improved consumer welfare in the form of increased convenience and satisfaction. The ‘value’ of this benefit has been estimated in one study as the equivalent of $330 million per annum. </w:t>
      </w:r>
    </w:p>
    <w:p w:rsidR="00000000" w:rsidRDefault="001F233B">
      <w:r>
        <w:t xml:space="preserve">Reform of the </w:t>
      </w:r>
      <w:r>
        <w:rPr>
          <w:i/>
        </w:rPr>
        <w:t>Audit Act 1994</w:t>
      </w:r>
      <w:r>
        <w:t xml:space="preserve"> will introduce greater competition into the performance of public sector audits. This will allow for price and quality improv</w:t>
      </w:r>
      <w:r>
        <w:t>ements in audits while retaining essential safeguards on the independence of the Auditor-General.</w:t>
      </w:r>
    </w:p>
    <w:p w:rsidR="00000000" w:rsidRDefault="001F233B">
      <w:r>
        <w:t xml:space="preserve">Reform of the </w:t>
      </w:r>
      <w:r>
        <w:rPr>
          <w:i/>
        </w:rPr>
        <w:t>Veterinary Practice Act 1997</w:t>
      </w:r>
      <w:r>
        <w:t xml:space="preserve"> removes restrictions on the ownership of veterinarian businesses and on the reservation of particular functions to registered vets. This will remove barriers to entry for commercial operators of vet practices, providing scope for efficiency improvements, while maintaining registration and restrictions on the use of drugs by non vets.</w:t>
      </w:r>
    </w:p>
    <w:p w:rsidR="00000000" w:rsidRDefault="001F233B">
      <w:r>
        <w:t xml:space="preserve">Reviews of the </w:t>
      </w:r>
      <w:r>
        <w:rPr>
          <w:i/>
        </w:rPr>
        <w:t>Liquor Control Act 1</w:t>
      </w:r>
      <w:r>
        <w:rPr>
          <w:i/>
        </w:rPr>
        <w:t>987</w:t>
      </w:r>
      <w:r>
        <w:t xml:space="preserve"> and the </w:t>
      </w:r>
      <w:r>
        <w:rPr>
          <w:i/>
        </w:rPr>
        <w:t>Dentists Act 1972</w:t>
      </w:r>
      <w:r>
        <w:t xml:space="preserve"> are currently underway. Jointly with South Australia, the Government has also announced the deregulation of the domestic market for feed and malting barley in Victoria and the privatisation</w:t>
      </w:r>
      <w:r>
        <w:fldChar w:fldCharType="begin"/>
      </w:r>
      <w:r>
        <w:instrText>xe "Privatisation"</w:instrText>
      </w:r>
      <w:r>
        <w:fldChar w:fldCharType="end"/>
      </w:r>
      <w:r>
        <w:t xml:space="preserve"> of the Australian Barley Board. </w:t>
      </w:r>
    </w:p>
    <w:p w:rsidR="00000000" w:rsidRDefault="001F233B">
      <w:pPr>
        <w:sectPr w:rsidR="00000000">
          <w:footerReference w:type="even" r:id="rId92"/>
          <w:footerReference w:type="default" r:id="rId93"/>
          <w:pgSz w:w="11909" w:h="16834" w:code="9"/>
          <w:pgMar w:top="1440" w:right="3398" w:bottom="4075" w:left="1411" w:header="720" w:footer="4248" w:gutter="0"/>
          <w:paperSrc w:first="7" w:other="7"/>
          <w:cols w:space="720"/>
        </w:sectPr>
      </w:pPr>
      <w:r>
        <w:rPr>
          <w:noProof/>
        </w:rPr>
        <mc:AlternateContent>
          <mc:Choice Requires="wps">
            <w:drawing>
              <wp:anchor distT="0" distB="0" distL="114300" distR="114300" simplePos="0" relativeHeight="251657216" behindDoc="0" locked="0" layoutInCell="0" allowOverlap="1">
                <wp:simplePos x="0" y="0"/>
                <wp:positionH relativeFrom="column">
                  <wp:posOffset>894715</wp:posOffset>
                </wp:positionH>
                <wp:positionV relativeFrom="paragraph">
                  <wp:posOffset>1478915</wp:posOffset>
                </wp:positionV>
                <wp:extent cx="457835" cy="183515"/>
                <wp:effectExtent l="0" t="0" r="0" b="0"/>
                <wp:wrapNone/>
                <wp:docPr id="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F23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70.45pt;margin-top:116.45pt;width:36.0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" o:allowincell="f" filled="f" stroked="f" strokeweight="0">
                <v:textbox inset="0,0,0,0">
                  <w:txbxContent>
                    <w:p w:rsidR="00000000" w:rsidRDefault="001F233B"/>
                  </w:txbxContent>
                </v:textbox>
              </v:rec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986155</wp:posOffset>
                </wp:positionH>
                <wp:positionV relativeFrom="paragraph">
                  <wp:posOffset>1570355</wp:posOffset>
                </wp:positionV>
                <wp:extent cx="549275" cy="183515"/>
                <wp:effectExtent l="0" t="0" r="0" b="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F23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77.65pt;margin-top:123.65pt;width:43.2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F/6Q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" o:allowincell="f" filled="f" stroked="f" strokeweight="0">
                <v:textbox inset="0,0,0,0">
                  <w:txbxContent>
                    <w:p w:rsidR="00000000" w:rsidRDefault="001F233B"/>
                  </w:txbxContent>
                </v:textbox>
              </v:rec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986155</wp:posOffset>
                </wp:positionH>
                <wp:positionV relativeFrom="paragraph">
                  <wp:posOffset>1557655</wp:posOffset>
                </wp:positionV>
                <wp:extent cx="366395" cy="183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F233B">
                            <w:pPr>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77.65pt;margin-top:122.65pt;width:28.85pt;height:1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" o:allowincell="f" filled="f" stroked="f" strokeweight="0">
                <v:textbox inset="0,0,0,0">
                  <w:txbxContent>
                    <w:p w:rsidR="00000000" w:rsidRDefault="001F233B">
                      <w:pPr>
                        <w:rPr>
                          <w:b/>
                          <w:sz w:val="18"/>
                        </w:rPr>
                      </w:pPr>
                    </w:p>
                  </w:txbxContent>
                </v:textbox>
              </v:rect>
            </w:pict>
          </mc:Fallback>
        </mc:AlternateContent>
      </w:r>
    </w:p>
    <w:p w:rsidR="00000000" w:rsidRDefault="001F233B">
      <w:pPr>
        <w:sectPr w:rsidR="00000000">
          <w:footerReference w:type="even" r:id="rId94"/>
          <w:footerReference w:type="default" r:id="rId95"/>
          <w:pgSz w:w="11907" w:h="16840" w:code="9"/>
          <w:pgMar w:top="1440" w:right="3402" w:bottom="4082" w:left="1418" w:header="720" w:footer="4253" w:gutter="0"/>
          <w:cols w:space="720"/>
        </w:sectPr>
      </w:pPr>
    </w:p>
    <w:p w:rsidR="00000000" w:rsidRDefault="001F233B">
      <w:pPr>
        <w:pStyle w:val="Heading1"/>
      </w:pPr>
      <w:bookmarkStart w:id="178" w:name="_Toc417482346"/>
      <w:bookmarkStart w:id="179" w:name="_Toc417552118"/>
      <w:r>
        <w:t>Chapter 9: Commonwealth</w:t>
      </w:r>
      <w:r>
        <w:noBreakHyphen/>
        <w:t>State Financial Relations</w:t>
      </w:r>
      <w:bookmarkEnd w:id="178"/>
      <w:bookmarkEnd w:id="179"/>
    </w:p>
    <w:p w:rsidR="00000000" w:rsidRDefault="001F233B">
      <w:pPr>
        <w:pStyle w:val="Heading2"/>
      </w:pPr>
      <w:bookmarkStart w:id="180" w:name="_Toc417482347"/>
      <w:bookmarkStart w:id="181" w:name="_Toc417552119"/>
      <w:r>
        <w:t>Introduction</w:t>
      </w:r>
      <w:bookmarkEnd w:id="180"/>
      <w:bookmarkEnd w:id="181"/>
    </w:p>
    <w:p w:rsidR="00000000" w:rsidRDefault="001F233B">
      <w:r>
        <w:t>The major weakness in the existing system of Commonwealth</w:t>
      </w:r>
      <w:r>
        <w:noBreakHyphen/>
        <w:t>State financial relations in Australia is that the States’ lack of access to a broad tax base causes them to rely</w:t>
      </w:r>
      <w:r>
        <w:t xml:space="preserve"> too heavily on payments from the Commonwealth. This weakness surfaced with dramatic effect during the course of 1997</w:t>
      </w:r>
      <w:r>
        <w:noBreakHyphen/>
        <w:t xml:space="preserve">98. </w:t>
      </w:r>
    </w:p>
    <w:p w:rsidR="00000000" w:rsidRDefault="001F233B">
      <w:r>
        <w:t xml:space="preserve">As detailed in Chapter 5, </w:t>
      </w:r>
      <w:r>
        <w:rPr>
          <w:i/>
        </w:rPr>
        <w:t>Revenue</w:t>
      </w:r>
      <w:r>
        <w:t>, the States’ revenue autonomy was further compromised by the High Court decision on business franchise fees</w:t>
      </w:r>
      <w:r>
        <w:fldChar w:fldCharType="begin"/>
      </w:r>
      <w:r>
        <w:instrText>xe "Franchise fees:Business"</w:instrText>
      </w:r>
      <w:r>
        <w:fldChar w:fldCharType="end"/>
      </w:r>
      <w:r>
        <w:t>. The introduction by the Commonwealth of special safety</w:t>
      </w:r>
      <w:r>
        <w:noBreakHyphen/>
        <w:t>net arrangements has allowed the States to protect revenue flows on a temporary basis.</w:t>
      </w:r>
    </w:p>
    <w:p w:rsidR="00000000" w:rsidRDefault="001F233B">
      <w:r>
        <w:t>These new restrictions on the States’ revenue</w:t>
      </w:r>
      <w:r>
        <w:noBreakHyphen/>
        <w:t>raising ability and the Comm</w:t>
      </w:r>
      <w:r>
        <w:t>onwealth’s refusal to return an appropriate share of revenues to the States is severely constraining the capacity of the State governments to deliver the services required by the community.</w:t>
      </w:r>
    </w:p>
    <w:p w:rsidR="00000000" w:rsidRDefault="001F233B">
      <w:r>
        <w:t>The latest example of this was the Commonwealth Government’s refusal to negotiate over its inadequate funding offer for health</w:t>
      </w:r>
      <w:r>
        <w:fldChar w:fldCharType="begin"/>
      </w:r>
      <w:r>
        <w:instrText>xe "Health"</w:instrText>
      </w:r>
      <w:r>
        <w:fldChar w:fldCharType="end"/>
      </w:r>
      <w:r>
        <w:t>. Over the period of the current Medicare Agreement, total Commonwealth funding to the States has declined from 27 per cent to 21 per cent of Commonwealth tax collections. This repres</w:t>
      </w:r>
      <w:r>
        <w:t>ents a funding shortfall for the States of $7 800 million in 1997</w:t>
      </w:r>
      <w:r>
        <w:noBreakHyphen/>
        <w:t>98, and $1 700 million for Victoria, i.e. more than three</w:t>
      </w:r>
      <w:r>
        <w:noBreakHyphen/>
        <w:t>quarters of the amount raised by Victorian payroll tax</w:t>
      </w:r>
      <w:r>
        <w:fldChar w:fldCharType="begin"/>
      </w:r>
      <w:r>
        <w:instrText>xe "Tax:Payroll tax"</w:instrText>
      </w:r>
      <w:r>
        <w:fldChar w:fldCharType="end"/>
      </w:r>
      <w:r>
        <w:fldChar w:fldCharType="begin"/>
      </w:r>
      <w:r>
        <w:instrText>xe "Payroll tax"</w:instrText>
      </w:r>
      <w:r>
        <w:fldChar w:fldCharType="end"/>
      </w:r>
      <w:r>
        <w:t>es or one</w:t>
      </w:r>
      <w:r>
        <w:noBreakHyphen/>
        <w:t>quarter more than the amount spent on Victorian secondary education</w:t>
      </w:r>
      <w:r>
        <w:fldChar w:fldCharType="begin"/>
      </w:r>
      <w:r>
        <w:instrText>xe "Education"</w:instrText>
      </w:r>
      <w:r>
        <w:fldChar w:fldCharType="end"/>
      </w:r>
      <w:r>
        <w:t>.</w:t>
      </w:r>
    </w:p>
    <w:p w:rsidR="00000000" w:rsidRDefault="001F233B">
      <w:pPr>
        <w:tabs>
          <w:tab w:val="left" w:pos="432"/>
          <w:tab w:val="left" w:pos="6138"/>
        </w:tabs>
      </w:pPr>
      <w:r>
        <w:t>States need direct access and control over a tax base that reflects the rate of growth in economic activity and growth in service delivery</w:t>
      </w:r>
      <w:r>
        <w:fldChar w:fldCharType="begin"/>
      </w:r>
      <w:r>
        <w:instrText>xe "Service delivery"</w:instrText>
      </w:r>
      <w:r>
        <w:fldChar w:fldCharType="end"/>
      </w:r>
      <w:r>
        <w:t xml:space="preserve"> demands. Clearly this can only be add</w:t>
      </w:r>
      <w:r>
        <w:t>ressed as part of national tax reform</w:t>
      </w:r>
      <w:r>
        <w:fldChar w:fldCharType="begin"/>
      </w:r>
      <w:r>
        <w:instrText>xe "National tax reform"</w:instrText>
      </w:r>
      <w:r>
        <w:fldChar w:fldCharType="end"/>
      </w:r>
      <w:r>
        <w:t xml:space="preserve"> which should include abolition of some of the States’ most distortionary indirect taxes. </w:t>
      </w:r>
    </w:p>
    <w:p w:rsidR="00000000" w:rsidRDefault="001F233B">
      <w:r>
        <w:t>This Chapter provides a detailed discussion of the trends in, and outlook for, Commonwealth grants to the States. It also examines several major Commonwealth</w:t>
      </w:r>
      <w:r>
        <w:noBreakHyphen/>
        <w:t>State issues including: the declining relative trend in Commonwealth payments to the States; the extent of vertical fiscal imbalance</w:t>
      </w:r>
      <w:r>
        <w:fldChar w:fldCharType="begin"/>
      </w:r>
      <w:r>
        <w:instrText>xe "Vertical fiscal imbalance (VFI)"</w:instrText>
      </w:r>
      <w:r>
        <w:fldChar w:fldCharType="end"/>
      </w:r>
      <w:r>
        <w:t xml:space="preserve"> (VFI) due to differences in t</w:t>
      </w:r>
      <w:r>
        <w:t>he taxing powers and expenditure responsibilities between the Commonwealth and the States; the process of horizontal fiscal equalisation</w:t>
      </w:r>
      <w:r>
        <w:fldChar w:fldCharType="begin"/>
      </w:r>
      <w:r>
        <w:instrText>xe "Horizontal fiscal equalisation"</w:instrText>
      </w:r>
      <w:r>
        <w:fldChar w:fldCharType="end"/>
      </w:r>
      <w:r>
        <w:t xml:space="preserve"> (HFE) whereby the residents of Victoria and New South Wales currently provide a significant subsidy to residents in less populous States; and developments in specific purpose payments</w:t>
      </w:r>
      <w:r>
        <w:fldChar w:fldCharType="begin"/>
      </w:r>
      <w:r>
        <w:instrText>xe "Specific purpose payments"</w:instrText>
      </w:r>
      <w:r>
        <w:fldChar w:fldCharType="end"/>
      </w:r>
      <w:r>
        <w:t xml:space="preserve"> (SPPs).</w:t>
      </w:r>
    </w:p>
    <w:p w:rsidR="00000000" w:rsidRDefault="001F233B">
      <w:pPr>
        <w:pStyle w:val="Heading2"/>
      </w:pPr>
      <w:bookmarkStart w:id="182" w:name="_Toc417482348"/>
      <w:bookmarkStart w:id="183" w:name="_Toc417552120"/>
      <w:r>
        <w:t>Commonwealth grants: 1998</w:t>
      </w:r>
      <w:r>
        <w:noBreakHyphen/>
        <w:t>99 and forward estimates</w:t>
      </w:r>
      <w:bookmarkEnd w:id="182"/>
      <w:bookmarkEnd w:id="183"/>
    </w:p>
    <w:p w:rsidR="00000000" w:rsidRDefault="001F233B">
      <w:r>
        <w:t>Following the breakdown of negotiations at the Premiers’ Confer</w:t>
      </w:r>
      <w:r>
        <w:t xml:space="preserve">ence on 20 March 1998, the Commonwealth indicated that funding for the States would be in accordance with its initial offer, involving: </w:t>
      </w:r>
    </w:p>
    <w:p w:rsidR="00000000" w:rsidRDefault="001F233B" w:rsidP="001F233B">
      <w:pPr>
        <w:pStyle w:val="BulletText"/>
        <w:numPr>
          <w:ilvl w:val="0"/>
          <w:numId w:val="1"/>
        </w:numPr>
      </w:pPr>
      <w:r>
        <w:t>a continuation of the real per capita guarantee</w:t>
      </w:r>
      <w:r>
        <w:fldChar w:fldCharType="begin"/>
      </w:r>
      <w:r>
        <w:instrText>xe "Financial assistance grants:Real per capita guarantee"</w:instrText>
      </w:r>
      <w:r>
        <w:fldChar w:fldCharType="end"/>
      </w:r>
      <w:r>
        <w:t xml:space="preserve">; </w:t>
      </w:r>
    </w:p>
    <w:p w:rsidR="00000000" w:rsidRDefault="001F233B" w:rsidP="001F233B">
      <w:pPr>
        <w:pStyle w:val="BulletText"/>
        <w:numPr>
          <w:ilvl w:val="0"/>
          <w:numId w:val="1"/>
        </w:numPr>
      </w:pPr>
      <w:r>
        <w:t>health</w:t>
      </w:r>
      <w:r>
        <w:fldChar w:fldCharType="begin"/>
      </w:r>
      <w:r>
        <w:instrText>xe "Health"</w:instrText>
      </w:r>
      <w:r>
        <w:fldChar w:fldCharType="end"/>
      </w:r>
      <w:r>
        <w:t xml:space="preserve"> funding based on the new Australian Health Care Agreement (AHCA)</w:t>
      </w:r>
      <w:r>
        <w:fldChar w:fldCharType="begin"/>
      </w:r>
      <w:r>
        <w:instrText>xe "Australian Health Care Agreement (AHCA)"</w:instrText>
      </w:r>
      <w:r>
        <w:fldChar w:fldCharType="end"/>
      </w:r>
      <w:r>
        <w:t xml:space="preserve"> which will replace the Medicare Agreement that commenced in 1993</w:t>
      </w:r>
      <w:r>
        <w:noBreakHyphen/>
        <w:t xml:space="preserve">94; </w:t>
      </w:r>
    </w:p>
    <w:p w:rsidR="00000000" w:rsidRDefault="001F233B" w:rsidP="001F233B">
      <w:pPr>
        <w:pStyle w:val="BulletText"/>
        <w:numPr>
          <w:ilvl w:val="0"/>
          <w:numId w:val="1"/>
        </w:numPr>
      </w:pPr>
      <w:r>
        <w:t>second payment of the national competition policy (NCP) payments</w:t>
      </w:r>
      <w:r>
        <w:t>;</w:t>
      </w:r>
    </w:p>
    <w:p w:rsidR="00000000" w:rsidRDefault="001F233B" w:rsidP="001F233B">
      <w:pPr>
        <w:pStyle w:val="BulletText"/>
        <w:numPr>
          <w:ilvl w:val="0"/>
          <w:numId w:val="1"/>
        </w:numPr>
      </w:pPr>
      <w:r>
        <w:t>no overall cut to SPPs</w:t>
      </w:r>
      <w:r>
        <w:fldChar w:fldCharType="begin"/>
      </w:r>
      <w:r>
        <w:instrText>xe "Specific purpose payments"</w:instrText>
      </w:r>
      <w:r>
        <w:fldChar w:fldCharType="end"/>
      </w:r>
      <w:r>
        <w:t xml:space="preserve"> against the Commonwealth’s forward estimates in 1998</w:t>
      </w:r>
      <w:r>
        <w:noBreakHyphen/>
        <w:t xml:space="preserve">99; and </w:t>
      </w:r>
    </w:p>
    <w:p w:rsidR="00000000" w:rsidRDefault="001F233B" w:rsidP="001F233B">
      <w:pPr>
        <w:pStyle w:val="BulletText"/>
        <w:numPr>
          <w:ilvl w:val="0"/>
          <w:numId w:val="1"/>
        </w:numPr>
      </w:pPr>
      <w:r>
        <w:t xml:space="preserve">the above arrangements being conditional on the payment by the States of the final instalment of the State fiscal contribution. </w:t>
      </w:r>
    </w:p>
    <w:p w:rsidR="00000000" w:rsidRDefault="001F233B">
      <w:r>
        <w:t>Commonwealth grants are made up of general purpose payments</w:t>
      </w:r>
      <w:r>
        <w:fldChar w:fldCharType="begin"/>
      </w:r>
      <w:r>
        <w:instrText>xe "General purpose payments"</w:instrText>
      </w:r>
      <w:r>
        <w:fldChar w:fldCharType="end"/>
      </w:r>
      <w:r>
        <w:t xml:space="preserve"> (GPPs) and specific purpose payments</w:t>
      </w:r>
      <w:r>
        <w:fldChar w:fldCharType="begin"/>
      </w:r>
      <w:r>
        <w:instrText>xe "Specific purpose payments"</w:instrText>
      </w:r>
      <w:r>
        <w:fldChar w:fldCharType="end"/>
      </w:r>
      <w:r>
        <w:t xml:space="preserve"> (SPPs). Total SPPs include grants which are expended in the general government sector, and those which a</w:t>
      </w:r>
      <w:r>
        <w:t>re on</w:t>
      </w:r>
      <w:r>
        <w:noBreakHyphen/>
        <w:t>passed to universities, local government</w:t>
      </w:r>
      <w:r>
        <w:fldChar w:fldCharType="begin"/>
      </w:r>
      <w:r>
        <w:instrText>xe "Local Government"</w:instrText>
      </w:r>
      <w:r>
        <w:fldChar w:fldCharType="end"/>
      </w:r>
      <w:r>
        <w:t xml:space="preserve"> authorities and non</w:t>
      </w:r>
      <w:r>
        <w:noBreakHyphen/>
        <w:t>government schools.</w:t>
      </w:r>
    </w:p>
    <w:p w:rsidR="00000000" w:rsidRDefault="001F233B">
      <w:r>
        <w:t>Table 9.1 summarises the main components of grants received for the years 1997</w:t>
      </w:r>
      <w:r>
        <w:noBreakHyphen/>
        <w:t>98 to 1998</w:t>
      </w:r>
      <w:r>
        <w:noBreakHyphen/>
        <w:t>99. Total grants, excluding grants for on</w:t>
      </w:r>
      <w:r>
        <w:noBreakHyphen/>
        <w:t>passing, are estimated to decrease by 1.3 per cent in 1997</w:t>
      </w:r>
      <w:r>
        <w:noBreakHyphen/>
        <w:t>98 and increase by 4.2 per cent in 1998</w:t>
      </w:r>
      <w:r>
        <w:noBreakHyphen/>
        <w:t>99.</w:t>
      </w:r>
    </w:p>
    <w:p w:rsidR="00000000" w:rsidRDefault="001F233B">
      <w:r>
        <w:t>Key factors affecting the 1998</w:t>
      </w:r>
      <w:r>
        <w:noBreakHyphen/>
        <w:t>99 estimates of Commonwealth grants to Victoria include:</w:t>
      </w:r>
    </w:p>
    <w:p w:rsidR="00000000" w:rsidRDefault="001F233B" w:rsidP="001F233B">
      <w:pPr>
        <w:pStyle w:val="BulletText"/>
        <w:numPr>
          <w:ilvl w:val="0"/>
          <w:numId w:val="1"/>
        </w:numPr>
      </w:pPr>
      <w:r>
        <w:t>indexation of financial assistance grants</w:t>
      </w:r>
      <w:r>
        <w:fldChar w:fldCharType="begin"/>
      </w:r>
      <w:r>
        <w:instrText>xe "Financial assistance grants"</w:instrText>
      </w:r>
      <w:r>
        <w:fldChar w:fldCharType="end"/>
      </w:r>
      <w:r>
        <w:t xml:space="preserve"> for</w:t>
      </w:r>
      <w:r>
        <w:t xml:space="preserve"> inflation</w:t>
      </w:r>
      <w:r>
        <w:fldChar w:fldCharType="begin"/>
      </w:r>
      <w:r>
        <w:instrText>xe "Economy:Inflation"</w:instrText>
      </w:r>
      <w:r>
        <w:fldChar w:fldCharType="end"/>
      </w:r>
      <w:r>
        <w:t xml:space="preserve"> and population</w:t>
      </w:r>
      <w:r>
        <w:fldChar w:fldCharType="begin"/>
      </w:r>
      <w:r>
        <w:instrText>xe "Economy:Population"</w:instrText>
      </w:r>
      <w:r>
        <w:fldChar w:fldCharType="end"/>
      </w:r>
      <w:r>
        <w:t xml:space="preserve"> growth; </w:t>
      </w:r>
    </w:p>
    <w:p w:rsidR="00000000" w:rsidRDefault="001F233B" w:rsidP="001F233B">
      <w:pPr>
        <w:pStyle w:val="BulletText"/>
        <w:numPr>
          <w:ilvl w:val="0"/>
          <w:numId w:val="1"/>
        </w:numPr>
      </w:pPr>
      <w:r>
        <w:t>the third State fiscal contribution payment</w:t>
      </w:r>
      <w:r>
        <w:fldChar w:fldCharType="begin"/>
      </w:r>
      <w:r>
        <w:instrText>xe "State fiscal contribution payment"</w:instrText>
      </w:r>
      <w:r>
        <w:fldChar w:fldCharType="end"/>
      </w:r>
      <w:r>
        <w:t xml:space="preserve"> to the Commonwealth; </w:t>
      </w:r>
    </w:p>
    <w:p w:rsidR="00000000" w:rsidRDefault="001F233B" w:rsidP="001F233B">
      <w:pPr>
        <w:pStyle w:val="BulletText"/>
        <w:numPr>
          <w:ilvl w:val="0"/>
          <w:numId w:val="1"/>
        </w:numPr>
      </w:pPr>
      <w:r>
        <w:t>the Commonwealth’s offer of a new AHCA</w:t>
      </w:r>
      <w:r>
        <w:fldChar w:fldCharType="begin"/>
      </w:r>
      <w:r>
        <w:instrText>xe "Australian Health Care Agreement (AHCA)"</w:instrText>
      </w:r>
      <w:r>
        <w:fldChar w:fldCharType="end"/>
      </w:r>
      <w:r>
        <w:t>; and</w:t>
      </w:r>
    </w:p>
    <w:p w:rsidR="00000000" w:rsidRDefault="001F233B" w:rsidP="001F233B">
      <w:pPr>
        <w:pStyle w:val="BulletText"/>
        <w:numPr>
          <w:ilvl w:val="0"/>
          <w:numId w:val="1"/>
        </w:numPr>
        <w:rPr>
          <w:b/>
          <w:i/>
        </w:rPr>
      </w:pPr>
      <w:r>
        <w:t>the</w:t>
      </w:r>
      <w:r>
        <w:rPr>
          <w:b/>
          <w:i/>
        </w:rPr>
        <w:t xml:space="preserve"> </w:t>
      </w:r>
      <w:r>
        <w:t>overall increase in SPPs</w:t>
      </w:r>
      <w:r>
        <w:fldChar w:fldCharType="begin"/>
      </w:r>
      <w:r>
        <w:instrText>xe "Specific purpose payments"</w:instrText>
      </w:r>
      <w:r>
        <w:fldChar w:fldCharType="end"/>
      </w:r>
      <w:r>
        <w:t xml:space="preserve"> </w:t>
      </w:r>
      <w:r>
        <w:rPr>
          <w:lang w:val="en-AU"/>
        </w:rPr>
        <w:t>to Victoria is distorted by a switch from general purpose payments</w:t>
      </w:r>
      <w:r>
        <w:rPr>
          <w:lang w:val="en-AU"/>
        </w:rPr>
        <w:fldChar w:fldCharType="begin"/>
      </w:r>
      <w:r>
        <w:rPr>
          <w:lang w:val="en-AU"/>
        </w:rPr>
        <w:instrText>xe "General purpose payments"</w:instrText>
      </w:r>
      <w:r>
        <w:rPr>
          <w:lang w:val="en-AU"/>
        </w:rPr>
        <w:fldChar w:fldCharType="end"/>
      </w:r>
      <w:r>
        <w:rPr>
          <w:lang w:val="en-AU"/>
        </w:rPr>
        <w:t>. The switch is driven by the elimination of the Medicare guarantee paymen</w:t>
      </w:r>
      <w:r>
        <w:rPr>
          <w:lang w:val="en-AU"/>
        </w:rPr>
        <w:t>t to Victoria which acts to reduce general purpose payments. The increase in SPPs is due to Victoria receiving a larger share of health</w:t>
      </w:r>
      <w:r>
        <w:rPr>
          <w:lang w:val="en-AU"/>
        </w:rPr>
        <w:fldChar w:fldCharType="begin"/>
      </w:r>
      <w:r>
        <w:rPr>
          <w:lang w:val="en-AU"/>
        </w:rPr>
        <w:instrText>xe "Health"</w:instrText>
      </w:r>
      <w:r>
        <w:rPr>
          <w:lang w:val="en-AU"/>
        </w:rPr>
        <w:fldChar w:fldCharType="end"/>
      </w:r>
      <w:r>
        <w:rPr>
          <w:lang w:val="en-AU"/>
        </w:rPr>
        <w:t xml:space="preserve"> care grants (which in overall terms is offset by the loss of the Medicare guarantee payment). Other budget</w:t>
      </w:r>
      <w:r>
        <w:rPr>
          <w:lang w:val="en-AU"/>
        </w:rPr>
        <w:noBreakHyphen/>
        <w:t>on</w:t>
      </w:r>
      <w:r>
        <w:rPr>
          <w:lang w:val="en-AU"/>
        </w:rPr>
        <w:noBreakHyphen/>
        <w:t>budget increases relate mainly to grants provided under the Australian National Training Agreement and the Natural Heritage Trust Agreement.</w:t>
      </w:r>
    </w:p>
    <w:p w:rsidR="00000000" w:rsidRDefault="001F233B">
      <w:pPr>
        <w:pStyle w:val="Tableheading"/>
        <w:spacing w:before="120"/>
      </w:pPr>
      <w:bookmarkStart w:id="184" w:name="_Toc417482519"/>
      <w:bookmarkStart w:id="185" w:name="_Toc417552767"/>
      <w:r>
        <w:t>Table 9.1: Grants Received 1997</w:t>
      </w:r>
      <w:r>
        <w:noBreakHyphen/>
        <w:t>98 to 1998</w:t>
      </w:r>
      <w:r>
        <w:noBreakHyphen/>
        <w:t>99</w:t>
      </w:r>
      <w:bookmarkEnd w:id="184"/>
      <w:bookmarkEnd w:id="185"/>
    </w:p>
    <w:p w:rsidR="00000000" w:rsidRDefault="001F233B">
      <w:pPr>
        <w:pStyle w:val="Source"/>
        <w:spacing w:after="0"/>
        <w:jc w:val="center"/>
        <w:rPr>
          <w:i w:val="0"/>
          <w:noProof/>
          <w:sz w:val="20"/>
        </w:rPr>
      </w:pPr>
      <w:r>
        <w:rPr>
          <w:rFonts w:ascii="Arial" w:hAnsi="Arial"/>
          <w:sz w:val="20"/>
        </w:rPr>
        <w:t>$ million</w:t>
      </w:r>
      <w:r>
        <w:t xml:space="preserve"> </w:t>
      </w:r>
    </w:p>
    <w:tbl>
      <w:tblPr>
        <w:tblW w:w="0" w:type="auto"/>
        <w:tblLayout w:type="fixed"/>
        <w:tblCellMar>
          <w:left w:w="30" w:type="dxa"/>
          <w:right w:w="30" w:type="dxa"/>
        </w:tblCellMar>
        <w:tblLook w:val="0000" w:firstRow="0" w:lastRow="0" w:firstColumn="0" w:lastColumn="0" w:noHBand="0" w:noVBand="0"/>
      </w:tblPr>
      <w:tblGrid>
        <w:gridCol w:w="4425"/>
        <w:gridCol w:w="1361"/>
        <w:gridCol w:w="1361"/>
      </w:tblGrid>
      <w:tr w:rsidR="00000000">
        <w:tblPrEx>
          <w:tblCellMar>
            <w:top w:w="0" w:type="dxa"/>
            <w:bottom w:w="0" w:type="dxa"/>
          </w:tblCellMar>
        </w:tblPrEx>
        <w:trPr>
          <w:trHeight w:hRule="exact" w:val="280"/>
        </w:trPr>
        <w:tc>
          <w:tcPr>
            <w:tcW w:w="4425" w:type="dxa"/>
            <w:tcBorders>
              <w:top w:val="single" w:sz="6" w:space="0" w:color="auto"/>
            </w:tcBorders>
          </w:tcPr>
          <w:p w:rsidR="00000000" w:rsidRDefault="001F233B">
            <w:pPr>
              <w:pStyle w:val="Tabletext"/>
            </w:pPr>
          </w:p>
        </w:tc>
        <w:tc>
          <w:tcPr>
            <w:tcW w:w="1361" w:type="dxa"/>
            <w:tcBorders>
              <w:top w:val="single" w:sz="6" w:space="0" w:color="auto"/>
            </w:tcBorders>
          </w:tcPr>
          <w:p w:rsidR="00000000" w:rsidRDefault="001F233B">
            <w:pPr>
              <w:pStyle w:val="Tabletextheading"/>
              <w:rPr>
                <w:b w:val="0"/>
                <w:i/>
              </w:rPr>
            </w:pPr>
            <w:r>
              <w:rPr>
                <w:b w:val="0"/>
                <w:i/>
              </w:rPr>
              <w:t>1997-98</w:t>
            </w:r>
          </w:p>
        </w:tc>
        <w:tc>
          <w:tcPr>
            <w:tcW w:w="1361" w:type="dxa"/>
            <w:tcBorders>
              <w:top w:val="single" w:sz="6" w:space="0" w:color="auto"/>
            </w:tcBorders>
          </w:tcPr>
          <w:p w:rsidR="00000000" w:rsidRDefault="001F233B">
            <w:pPr>
              <w:pStyle w:val="Tabletextheading"/>
              <w:rPr>
                <w:b w:val="0"/>
                <w:i/>
              </w:rPr>
            </w:pPr>
            <w:r>
              <w:rPr>
                <w:b w:val="0"/>
                <w:i/>
              </w:rPr>
              <w:t>1998-99</w:t>
            </w:r>
          </w:p>
        </w:tc>
      </w:tr>
      <w:tr w:rsidR="00000000">
        <w:tblPrEx>
          <w:tblCellMar>
            <w:top w:w="0" w:type="dxa"/>
            <w:bottom w:w="0" w:type="dxa"/>
          </w:tblCellMar>
        </w:tblPrEx>
        <w:trPr>
          <w:trHeight w:hRule="exact" w:val="280"/>
        </w:trPr>
        <w:tc>
          <w:tcPr>
            <w:tcW w:w="4425" w:type="dxa"/>
            <w:tcBorders>
              <w:bottom w:val="single" w:sz="6" w:space="0" w:color="auto"/>
            </w:tcBorders>
          </w:tcPr>
          <w:p w:rsidR="00000000" w:rsidRDefault="001F233B">
            <w:pPr>
              <w:pStyle w:val="Tabletext"/>
            </w:pPr>
          </w:p>
        </w:tc>
        <w:tc>
          <w:tcPr>
            <w:tcW w:w="1361" w:type="dxa"/>
            <w:tcBorders>
              <w:bottom w:val="single" w:sz="6" w:space="0" w:color="auto"/>
            </w:tcBorders>
          </w:tcPr>
          <w:p w:rsidR="00000000" w:rsidRDefault="001F233B">
            <w:pPr>
              <w:pStyle w:val="Tabletextheading"/>
              <w:rPr>
                <w:b w:val="0"/>
                <w:i/>
              </w:rPr>
            </w:pPr>
            <w:r>
              <w:rPr>
                <w:b w:val="0"/>
                <w:i/>
              </w:rPr>
              <w:t>Budget</w:t>
            </w:r>
          </w:p>
        </w:tc>
        <w:tc>
          <w:tcPr>
            <w:tcW w:w="1361" w:type="dxa"/>
            <w:tcBorders>
              <w:bottom w:val="single" w:sz="6" w:space="0" w:color="auto"/>
            </w:tcBorders>
          </w:tcPr>
          <w:p w:rsidR="00000000" w:rsidRDefault="001F233B">
            <w:pPr>
              <w:pStyle w:val="Tabletextheading"/>
              <w:rPr>
                <w:b w:val="0"/>
                <w:i/>
              </w:rPr>
            </w:pPr>
            <w:r>
              <w:rPr>
                <w:b w:val="0"/>
                <w:i/>
              </w:rPr>
              <w:t>Budget</w:t>
            </w:r>
          </w:p>
        </w:tc>
      </w:tr>
      <w:tr w:rsidR="00000000">
        <w:tblPrEx>
          <w:tblCellMar>
            <w:top w:w="0" w:type="dxa"/>
            <w:bottom w:w="0" w:type="dxa"/>
          </w:tblCellMar>
        </w:tblPrEx>
        <w:trPr>
          <w:trHeight w:hRule="exact" w:val="280"/>
        </w:trPr>
        <w:tc>
          <w:tcPr>
            <w:tcW w:w="4425" w:type="dxa"/>
          </w:tcPr>
          <w:p w:rsidR="00000000" w:rsidRDefault="001F233B">
            <w:pPr>
              <w:pStyle w:val="Tabletext"/>
            </w:pPr>
            <w:r>
              <w:t>General Purpose Grant</w:t>
            </w:r>
            <w:r>
              <w:t>s</w:t>
            </w:r>
          </w:p>
        </w:tc>
        <w:tc>
          <w:tcPr>
            <w:tcW w:w="1361" w:type="dxa"/>
          </w:tcPr>
          <w:p w:rsidR="00000000" w:rsidRDefault="001F233B">
            <w:pPr>
              <w:pStyle w:val="TableofFigures"/>
            </w:pPr>
            <w:r>
              <w:t>3 676.4</w:t>
            </w:r>
          </w:p>
        </w:tc>
        <w:tc>
          <w:tcPr>
            <w:tcW w:w="1361" w:type="dxa"/>
          </w:tcPr>
          <w:p w:rsidR="00000000" w:rsidRDefault="001F233B">
            <w:pPr>
              <w:pStyle w:val="TableofFigures"/>
            </w:pPr>
            <w:r>
              <w:t>3 602.0</w:t>
            </w:r>
          </w:p>
        </w:tc>
      </w:tr>
      <w:tr w:rsidR="00000000">
        <w:tblPrEx>
          <w:tblCellMar>
            <w:top w:w="0" w:type="dxa"/>
            <w:bottom w:w="0" w:type="dxa"/>
          </w:tblCellMar>
        </w:tblPrEx>
        <w:trPr>
          <w:trHeight w:hRule="exact" w:val="280"/>
        </w:trPr>
        <w:tc>
          <w:tcPr>
            <w:tcW w:w="4425" w:type="dxa"/>
          </w:tcPr>
          <w:p w:rsidR="00000000" w:rsidRDefault="001F233B">
            <w:pPr>
              <w:pStyle w:val="Tabletext"/>
              <w:rPr>
                <w:i/>
              </w:rPr>
            </w:pPr>
            <w:r>
              <w:rPr>
                <w:i/>
              </w:rPr>
              <w:t>less Fiscal Contribution</w:t>
            </w:r>
          </w:p>
        </w:tc>
        <w:tc>
          <w:tcPr>
            <w:tcW w:w="1361" w:type="dxa"/>
            <w:tcBorders>
              <w:bottom w:val="single" w:sz="6" w:space="0" w:color="auto"/>
            </w:tcBorders>
          </w:tcPr>
          <w:p w:rsidR="00000000" w:rsidRDefault="001F233B">
            <w:pPr>
              <w:pStyle w:val="TableofFigures"/>
              <w:rPr>
                <w:i/>
              </w:rPr>
            </w:pPr>
            <w:r>
              <w:rPr>
                <w:i/>
              </w:rPr>
              <w:t xml:space="preserve"> 158.2</w:t>
            </w:r>
          </w:p>
        </w:tc>
        <w:tc>
          <w:tcPr>
            <w:tcW w:w="1361" w:type="dxa"/>
            <w:tcBorders>
              <w:bottom w:val="single" w:sz="6" w:space="0" w:color="auto"/>
            </w:tcBorders>
          </w:tcPr>
          <w:p w:rsidR="00000000" w:rsidRDefault="001F233B">
            <w:pPr>
              <w:pStyle w:val="TableofFigures"/>
              <w:rPr>
                <w:i/>
              </w:rPr>
            </w:pPr>
            <w:r>
              <w:rPr>
                <w:i/>
              </w:rPr>
              <w:t xml:space="preserve"> 74.4</w:t>
            </w:r>
          </w:p>
        </w:tc>
      </w:tr>
      <w:tr w:rsidR="00000000">
        <w:tblPrEx>
          <w:tblCellMar>
            <w:top w:w="0" w:type="dxa"/>
            <w:bottom w:w="0" w:type="dxa"/>
          </w:tblCellMar>
        </w:tblPrEx>
        <w:trPr>
          <w:trHeight w:hRule="exact" w:val="280"/>
        </w:trPr>
        <w:tc>
          <w:tcPr>
            <w:tcW w:w="4425" w:type="dxa"/>
          </w:tcPr>
          <w:p w:rsidR="00000000" w:rsidRDefault="001F233B">
            <w:pPr>
              <w:pStyle w:val="Tabletext"/>
            </w:pPr>
            <w:r>
              <w:t>Net General Purpose Grants</w:t>
            </w:r>
          </w:p>
        </w:tc>
        <w:tc>
          <w:tcPr>
            <w:tcW w:w="1361" w:type="dxa"/>
          </w:tcPr>
          <w:p w:rsidR="00000000" w:rsidRDefault="001F233B">
            <w:pPr>
              <w:pStyle w:val="TableofFigures"/>
            </w:pPr>
            <w:r>
              <w:t>3 518.2</w:t>
            </w:r>
          </w:p>
        </w:tc>
        <w:tc>
          <w:tcPr>
            <w:tcW w:w="1361" w:type="dxa"/>
          </w:tcPr>
          <w:p w:rsidR="00000000" w:rsidRDefault="001F233B">
            <w:pPr>
              <w:pStyle w:val="TableofFigures"/>
            </w:pPr>
            <w:r>
              <w:t>3 527.6</w:t>
            </w:r>
          </w:p>
        </w:tc>
      </w:tr>
      <w:tr w:rsidR="00000000">
        <w:tblPrEx>
          <w:tblCellMar>
            <w:top w:w="0" w:type="dxa"/>
            <w:bottom w:w="0" w:type="dxa"/>
          </w:tblCellMar>
        </w:tblPrEx>
        <w:trPr>
          <w:trHeight w:hRule="exact" w:val="280"/>
        </w:trPr>
        <w:tc>
          <w:tcPr>
            <w:tcW w:w="4425" w:type="dxa"/>
          </w:tcPr>
          <w:p w:rsidR="00000000" w:rsidRDefault="001F233B">
            <w:pPr>
              <w:pStyle w:val="Tabletext"/>
            </w:pPr>
            <w:r>
              <w:t>Specific Purpose Grants</w:t>
            </w:r>
          </w:p>
        </w:tc>
        <w:tc>
          <w:tcPr>
            <w:tcW w:w="1361" w:type="dxa"/>
            <w:tcBorders>
              <w:bottom w:val="single" w:sz="6" w:space="0" w:color="auto"/>
            </w:tcBorders>
          </w:tcPr>
          <w:p w:rsidR="00000000" w:rsidRDefault="001F233B">
            <w:pPr>
              <w:pStyle w:val="TableofFigures"/>
            </w:pPr>
            <w:r>
              <w:t>2 639.0</w:t>
            </w:r>
          </w:p>
        </w:tc>
        <w:tc>
          <w:tcPr>
            <w:tcW w:w="1361" w:type="dxa"/>
            <w:tcBorders>
              <w:bottom w:val="single" w:sz="6" w:space="0" w:color="auto"/>
            </w:tcBorders>
          </w:tcPr>
          <w:p w:rsidR="00000000" w:rsidRDefault="001F233B">
            <w:pPr>
              <w:pStyle w:val="TableofFigures"/>
            </w:pPr>
            <w:r>
              <w:t>2 838.1</w:t>
            </w:r>
          </w:p>
        </w:tc>
      </w:tr>
      <w:tr w:rsidR="00000000">
        <w:tblPrEx>
          <w:tblCellMar>
            <w:top w:w="0" w:type="dxa"/>
            <w:bottom w:w="0" w:type="dxa"/>
          </w:tblCellMar>
        </w:tblPrEx>
        <w:trPr>
          <w:trHeight w:hRule="exact" w:val="280"/>
        </w:trPr>
        <w:tc>
          <w:tcPr>
            <w:tcW w:w="4425" w:type="dxa"/>
          </w:tcPr>
          <w:p w:rsidR="00000000" w:rsidRDefault="001F233B">
            <w:pPr>
              <w:pStyle w:val="Tabletext"/>
            </w:pPr>
            <w:r>
              <w:t>Sub Total</w:t>
            </w:r>
          </w:p>
        </w:tc>
        <w:tc>
          <w:tcPr>
            <w:tcW w:w="1361" w:type="dxa"/>
          </w:tcPr>
          <w:p w:rsidR="00000000" w:rsidRDefault="001F233B">
            <w:pPr>
              <w:pStyle w:val="TableofFigures"/>
            </w:pPr>
            <w:r>
              <w:t>6 157.2</w:t>
            </w:r>
          </w:p>
        </w:tc>
        <w:tc>
          <w:tcPr>
            <w:tcW w:w="1361" w:type="dxa"/>
          </w:tcPr>
          <w:p w:rsidR="00000000" w:rsidRDefault="001F233B">
            <w:pPr>
              <w:pStyle w:val="TableofFigures"/>
            </w:pPr>
            <w:r>
              <w:t>6 365.7</w:t>
            </w:r>
          </w:p>
        </w:tc>
      </w:tr>
      <w:tr w:rsidR="00000000">
        <w:tblPrEx>
          <w:tblCellMar>
            <w:top w:w="0" w:type="dxa"/>
            <w:bottom w:w="0" w:type="dxa"/>
          </w:tblCellMar>
        </w:tblPrEx>
        <w:trPr>
          <w:trHeight w:hRule="exact" w:val="280"/>
        </w:trPr>
        <w:tc>
          <w:tcPr>
            <w:tcW w:w="4425" w:type="dxa"/>
          </w:tcPr>
          <w:p w:rsidR="00000000" w:rsidRDefault="001F233B">
            <w:pPr>
              <w:pStyle w:val="Tabletext"/>
              <w:rPr>
                <w:i/>
                <w:color w:val="000000"/>
              </w:rPr>
            </w:pPr>
            <w:r>
              <w:rPr>
                <w:i/>
              </w:rPr>
              <w:t>(Year on year</w:t>
            </w:r>
            <w:r>
              <w:rPr>
                <w:i/>
                <w:color w:val="000000"/>
              </w:rPr>
              <w:t xml:space="preserve"> % change)</w:t>
            </w:r>
          </w:p>
        </w:tc>
        <w:tc>
          <w:tcPr>
            <w:tcW w:w="1361" w:type="dxa"/>
          </w:tcPr>
          <w:p w:rsidR="00000000" w:rsidRDefault="001F233B">
            <w:pPr>
              <w:pStyle w:val="TableofFigures"/>
              <w:rPr>
                <w:i/>
              </w:rPr>
            </w:pPr>
            <w:r>
              <w:rPr>
                <w:i/>
              </w:rPr>
              <w:t>-0.5</w:t>
            </w:r>
          </w:p>
        </w:tc>
        <w:tc>
          <w:tcPr>
            <w:tcW w:w="1361" w:type="dxa"/>
          </w:tcPr>
          <w:p w:rsidR="00000000" w:rsidRDefault="001F233B">
            <w:pPr>
              <w:pStyle w:val="TableofFigures"/>
              <w:rPr>
                <w:i/>
              </w:rPr>
            </w:pPr>
            <w:r>
              <w:rPr>
                <w:i/>
              </w:rPr>
              <w:t>3.4</w:t>
            </w:r>
          </w:p>
        </w:tc>
      </w:tr>
      <w:tr w:rsidR="00000000">
        <w:tblPrEx>
          <w:tblCellMar>
            <w:top w:w="0" w:type="dxa"/>
            <w:bottom w:w="0" w:type="dxa"/>
          </w:tblCellMar>
        </w:tblPrEx>
        <w:trPr>
          <w:trHeight w:hRule="exact" w:val="280"/>
        </w:trPr>
        <w:tc>
          <w:tcPr>
            <w:tcW w:w="4425" w:type="dxa"/>
          </w:tcPr>
          <w:p w:rsidR="00000000" w:rsidRDefault="001F233B">
            <w:pPr>
              <w:pStyle w:val="Tabletext"/>
            </w:pPr>
            <w:r>
              <w:t>Grants for On-Passing</w:t>
            </w:r>
          </w:p>
        </w:tc>
        <w:tc>
          <w:tcPr>
            <w:tcW w:w="1361" w:type="dxa"/>
          </w:tcPr>
          <w:p w:rsidR="00000000" w:rsidRDefault="001F233B">
            <w:pPr>
              <w:pStyle w:val="TableofFigures"/>
            </w:pPr>
            <w:r>
              <w:t xml:space="preserve"> 888.0</w:t>
            </w:r>
          </w:p>
        </w:tc>
        <w:tc>
          <w:tcPr>
            <w:tcW w:w="1361" w:type="dxa"/>
          </w:tcPr>
          <w:p w:rsidR="00000000" w:rsidRDefault="001F233B">
            <w:pPr>
              <w:pStyle w:val="TableofFigures"/>
            </w:pPr>
            <w:r>
              <w:t xml:space="preserve"> 948.0</w:t>
            </w:r>
          </w:p>
        </w:tc>
      </w:tr>
      <w:tr w:rsidR="00000000">
        <w:tblPrEx>
          <w:tblCellMar>
            <w:top w:w="0" w:type="dxa"/>
            <w:bottom w:w="0" w:type="dxa"/>
          </w:tblCellMar>
        </w:tblPrEx>
        <w:trPr>
          <w:trHeight w:hRule="exact" w:val="280"/>
        </w:trPr>
        <w:tc>
          <w:tcPr>
            <w:tcW w:w="4425" w:type="dxa"/>
          </w:tcPr>
          <w:p w:rsidR="00000000" w:rsidRDefault="001F233B">
            <w:pPr>
              <w:pStyle w:val="Tabletext"/>
              <w:rPr>
                <w:b/>
              </w:rPr>
            </w:pPr>
            <w:r>
              <w:rPr>
                <w:b/>
              </w:rPr>
              <w:t>TOTAL COMMONWEALTH GRANTS (a)</w:t>
            </w:r>
          </w:p>
        </w:tc>
        <w:tc>
          <w:tcPr>
            <w:tcW w:w="1361" w:type="dxa"/>
          </w:tcPr>
          <w:p w:rsidR="00000000" w:rsidRDefault="001F233B">
            <w:pPr>
              <w:pStyle w:val="TableofFigures"/>
              <w:rPr>
                <w:b/>
              </w:rPr>
            </w:pPr>
            <w:r>
              <w:rPr>
                <w:b/>
              </w:rPr>
              <w:t>7 045.2</w:t>
            </w:r>
          </w:p>
        </w:tc>
        <w:tc>
          <w:tcPr>
            <w:tcW w:w="1361" w:type="dxa"/>
          </w:tcPr>
          <w:p w:rsidR="00000000" w:rsidRDefault="001F233B">
            <w:pPr>
              <w:pStyle w:val="TableofFigures"/>
              <w:rPr>
                <w:b/>
              </w:rPr>
            </w:pPr>
            <w:r>
              <w:rPr>
                <w:b/>
              </w:rPr>
              <w:t>7 313.7</w:t>
            </w:r>
          </w:p>
        </w:tc>
      </w:tr>
      <w:tr w:rsidR="00000000">
        <w:tblPrEx>
          <w:tblCellMar>
            <w:top w:w="0" w:type="dxa"/>
            <w:bottom w:w="0" w:type="dxa"/>
          </w:tblCellMar>
        </w:tblPrEx>
        <w:trPr>
          <w:trHeight w:hRule="exact" w:val="280"/>
        </w:trPr>
        <w:tc>
          <w:tcPr>
            <w:tcW w:w="4425" w:type="dxa"/>
            <w:tcBorders>
              <w:bottom w:val="single" w:sz="12" w:space="0" w:color="auto"/>
            </w:tcBorders>
          </w:tcPr>
          <w:p w:rsidR="00000000" w:rsidRDefault="001F233B">
            <w:pPr>
              <w:pStyle w:val="Tabletext"/>
              <w:rPr>
                <w:i/>
                <w:color w:val="000000"/>
              </w:rPr>
            </w:pPr>
            <w:r>
              <w:rPr>
                <w:i/>
              </w:rPr>
              <w:t>(Year on year</w:t>
            </w:r>
            <w:r>
              <w:rPr>
                <w:i/>
                <w:color w:val="000000"/>
              </w:rPr>
              <w:t xml:space="preserve"> % change)</w:t>
            </w:r>
          </w:p>
        </w:tc>
        <w:tc>
          <w:tcPr>
            <w:tcW w:w="1361" w:type="dxa"/>
            <w:tcBorders>
              <w:bottom w:val="single" w:sz="12" w:space="0" w:color="auto"/>
            </w:tcBorders>
          </w:tcPr>
          <w:p w:rsidR="00000000" w:rsidRDefault="001F233B">
            <w:pPr>
              <w:pStyle w:val="TableofFigures"/>
              <w:rPr>
                <w:i/>
              </w:rPr>
            </w:pPr>
            <w:r>
              <w:rPr>
                <w:i/>
              </w:rPr>
              <w:t>0.0</w:t>
            </w:r>
          </w:p>
        </w:tc>
        <w:tc>
          <w:tcPr>
            <w:tcW w:w="1361" w:type="dxa"/>
            <w:tcBorders>
              <w:bottom w:val="single" w:sz="12" w:space="0" w:color="auto"/>
            </w:tcBorders>
          </w:tcPr>
          <w:p w:rsidR="00000000" w:rsidRDefault="001F233B">
            <w:pPr>
              <w:pStyle w:val="TableofFigures"/>
              <w:rPr>
                <w:i/>
              </w:rPr>
            </w:pPr>
            <w:r>
              <w:rPr>
                <w:i/>
              </w:rPr>
              <w:t>3.8</w:t>
            </w:r>
          </w:p>
        </w:tc>
      </w:tr>
    </w:tbl>
    <w:p w:rsidR="00000000" w:rsidRDefault="001F233B">
      <w:pPr>
        <w:pStyle w:val="Source"/>
      </w:pPr>
      <w:r>
        <w:t>Source: Department of Treasury and Finance.</w:t>
      </w:r>
    </w:p>
    <w:p w:rsidR="00000000" w:rsidRDefault="001F233B">
      <w:pPr>
        <w:pStyle w:val="Heading2"/>
      </w:pPr>
      <w:bookmarkStart w:id="186" w:name="_Toc417482349"/>
      <w:bookmarkStart w:id="187" w:name="_Toc417552121"/>
      <w:r>
        <w:t>General purpose payments</w:t>
      </w:r>
      <w:bookmarkEnd w:id="186"/>
      <w:bookmarkEnd w:id="187"/>
    </w:p>
    <w:p w:rsidR="00000000" w:rsidRDefault="001F233B">
      <w:r>
        <w:t>General purpose payments comprise financial assistance grants</w:t>
      </w:r>
      <w:r>
        <w:fldChar w:fldCharType="begin"/>
      </w:r>
      <w:r>
        <w:instrText>xe "Financial assistance grants"</w:instrText>
      </w:r>
      <w:r>
        <w:fldChar w:fldCharType="end"/>
      </w:r>
      <w:r>
        <w:t xml:space="preserve"> (which from 1997</w:t>
      </w:r>
      <w:r>
        <w:noBreakHyphen/>
        <w:t>98 includ</w:t>
      </w:r>
      <w:r>
        <w:t>e identified road grants), special revenue assistance and, from 1997</w:t>
      </w:r>
      <w:r>
        <w:noBreakHyphen/>
        <w:t>98, the National Competition Policy</w:t>
      </w:r>
      <w:r>
        <w:fldChar w:fldCharType="begin"/>
      </w:r>
      <w:r>
        <w:instrText>xe "Competition:National Competition Policy"</w:instrText>
      </w:r>
      <w:r>
        <w:fldChar w:fldCharType="end"/>
      </w:r>
      <w:r>
        <w:t xml:space="preserve"> (NCP) payment.</w:t>
      </w:r>
    </w:p>
    <w:p w:rsidR="00000000" w:rsidRDefault="001F233B">
      <w:pPr>
        <w:pStyle w:val="Heading3"/>
      </w:pPr>
      <w:r>
        <w:t>Financial assistance grants</w:t>
      </w:r>
    </w:p>
    <w:p w:rsidR="00000000" w:rsidRDefault="001F233B">
      <w:r>
        <w:t>Financial assistance grants are increased each year to reflect population</w:t>
      </w:r>
      <w:r>
        <w:fldChar w:fldCharType="begin"/>
      </w:r>
      <w:r>
        <w:instrText>xe "Economy:Population"</w:instrText>
      </w:r>
      <w:r>
        <w:fldChar w:fldCharType="end"/>
      </w:r>
      <w:r>
        <w:t xml:space="preserve"> growth and inflation</w:t>
      </w:r>
      <w:r>
        <w:fldChar w:fldCharType="begin"/>
      </w:r>
      <w:r>
        <w:instrText>xe "Economy:Inflation"</w:instrText>
      </w:r>
      <w:r>
        <w:fldChar w:fldCharType="end"/>
      </w:r>
      <w:r>
        <w:t xml:space="preserve"> (the so</w:t>
      </w:r>
      <w:r>
        <w:noBreakHyphen/>
        <w:t>called ‘real per capita guarantee</w:t>
      </w:r>
      <w:r>
        <w:fldChar w:fldCharType="begin"/>
      </w:r>
      <w:r>
        <w:instrText>xe "Financial assistance grants:Real per capita guarantee"</w:instrText>
      </w:r>
      <w:r>
        <w:fldChar w:fldCharType="end"/>
      </w:r>
      <w:r>
        <w:t>’). The ‘real per capita guarantee’ is part of the NCP and related reform</w:t>
      </w:r>
      <w:r>
        <w:t>s agreed to by the Commonwealth, State and Territory Governments at the April 1995 meeting of the Council of Australian Governments (COAG). NCP payments are conditional on the States meeting their NCP obligations.</w:t>
      </w:r>
    </w:p>
    <w:p w:rsidR="00000000" w:rsidRDefault="001F233B">
      <w:pPr>
        <w:pStyle w:val="Heading4"/>
      </w:pPr>
      <w:r>
        <w:t>Relativities</w:t>
      </w:r>
    </w:p>
    <w:p w:rsidR="00000000" w:rsidRDefault="001F233B">
      <w:r>
        <w:t>Each year, the Commonwealth Grants Commission</w:t>
      </w:r>
      <w:r>
        <w:fldChar w:fldCharType="begin"/>
      </w:r>
      <w:r>
        <w:instrText>xe "Commonwealth Grants Commission (CGC)"</w:instrText>
      </w:r>
      <w:r>
        <w:fldChar w:fldCharType="end"/>
      </w:r>
      <w:r>
        <w:t xml:space="preserve"> (CGC) updates the relativities recommended to the Premiers’ Conference as the basis for distributing financial assistance grants</w:t>
      </w:r>
      <w:r>
        <w:fldChar w:fldCharType="begin"/>
      </w:r>
      <w:r>
        <w:instrText>xe "Financial assistance grants"</w:instrText>
      </w:r>
      <w:r>
        <w:fldChar w:fldCharType="end"/>
      </w:r>
      <w:r>
        <w:t xml:space="preserve"> and hospital funding grants. The </w:t>
      </w:r>
      <w:r>
        <w:t xml:space="preserve">Commonwealth will apply the relativities recommended by the CGC in its </w:t>
      </w:r>
      <w:r>
        <w:rPr>
          <w:i/>
        </w:rPr>
        <w:t>1998 Update</w:t>
      </w:r>
      <w:r>
        <w:t xml:space="preserve"> as the basis for distributing these grants in 1998</w:t>
      </w:r>
      <w:r>
        <w:noBreakHyphen/>
        <w:t>99.</w:t>
      </w:r>
    </w:p>
    <w:p w:rsidR="00000000" w:rsidRDefault="001F233B">
      <w:r>
        <w:t xml:space="preserve">The </w:t>
      </w:r>
      <w:r>
        <w:rPr>
          <w:i/>
        </w:rPr>
        <w:t>1998 Update</w:t>
      </w:r>
      <w:r>
        <w:t xml:space="preserve"> relativities were calculated using five years of budget data from 1992</w:t>
      </w:r>
      <w:r>
        <w:noBreakHyphen/>
        <w:t>93 to 1996</w:t>
      </w:r>
      <w:r>
        <w:noBreakHyphen/>
        <w:t>97. Victoria’s relativity in 1998</w:t>
      </w:r>
      <w:r>
        <w:noBreakHyphen/>
        <w:t>99 will be marginally lower than in 1997</w:t>
      </w:r>
      <w:r>
        <w:noBreakHyphen/>
        <w:t>98. This is mainly due to revisions to Australian Bureau of Statistics payroll data on wages</w:t>
      </w:r>
      <w:r>
        <w:fldChar w:fldCharType="begin"/>
      </w:r>
      <w:r>
        <w:instrText>xe "Economy:Wages"</w:instrText>
      </w:r>
      <w:r>
        <w:fldChar w:fldCharType="end"/>
      </w:r>
      <w:r>
        <w:t>, salaries and supplements which reflect growth in the Victorian economy.</w:t>
      </w:r>
    </w:p>
    <w:p w:rsidR="00000000" w:rsidRDefault="001F233B">
      <w:r>
        <w:t>The CGC</w:t>
      </w:r>
      <w:r>
        <w:fldChar w:fldCharType="begin"/>
      </w:r>
      <w:r>
        <w:instrText>xe "Com</w:instrText>
      </w:r>
      <w:r>
        <w:instrText>monwealth Grants Commission"</w:instrText>
      </w:r>
      <w:r>
        <w:fldChar w:fldCharType="end"/>
      </w:r>
      <w:r>
        <w:t xml:space="preserve"> relativities adopted are based on the new AHCA</w:t>
      </w:r>
      <w:r>
        <w:fldChar w:fldCharType="begin"/>
      </w:r>
      <w:r>
        <w:instrText>xe "Australian Health Care Agreement (AHCA)"</w:instrText>
      </w:r>
      <w:r>
        <w:fldChar w:fldCharType="end"/>
      </w:r>
      <w:r>
        <w:t xml:space="preserve"> arrangements. The new AHCA involves less funding being quarantined from the CGC fiscal equalisation process, and the subsequent loss of the Medicare guarantee payments to Victoria (and New South Wales) to compensate for their low share of the previously quarantined payments. Therefore it is appropriate to use the CGC’s Equalisation relativities rather than the Medicare</w:t>
      </w:r>
      <w:r>
        <w:noBreakHyphen/>
        <w:t>adjusted relativi</w:t>
      </w:r>
      <w:r>
        <w:t>ties previously adopted from 1993</w:t>
      </w:r>
      <w:r>
        <w:noBreakHyphen/>
        <w:t>94.</w:t>
      </w:r>
    </w:p>
    <w:p w:rsidR="00000000" w:rsidRDefault="001F233B">
      <w:pPr>
        <w:pStyle w:val="Heading4"/>
      </w:pPr>
      <w:r>
        <w:t>Fiscal contribution payment</w:t>
      </w:r>
    </w:p>
    <w:p w:rsidR="00000000" w:rsidRDefault="001F233B">
      <w:r>
        <w:t>State Governments agreed at the 1996 Premiers’ Conference to make a State fiscal contribution payment</w:t>
      </w:r>
      <w:r>
        <w:fldChar w:fldCharType="begin"/>
      </w:r>
      <w:r>
        <w:instrText>xe "State fiscal contribution payment"</w:instrText>
      </w:r>
      <w:r>
        <w:fldChar w:fldCharType="end"/>
      </w:r>
      <w:r>
        <w:t xml:space="preserve"> to the Commonwealth Government to assist the Commonwealth in correcting its fiscal position. The size of this payment was set at $619 million in 1996</w:t>
      </w:r>
      <w:r>
        <w:noBreakHyphen/>
        <w:t>97, with further payments of $640 million in 1997</w:t>
      </w:r>
      <w:r>
        <w:noBreakHyphen/>
        <w:t>98 and $300 million in 1998</w:t>
      </w:r>
      <w:r>
        <w:noBreakHyphen/>
        <w:t>99, to be reviewed annually at the Premiers’ Conference in light of the Comm</w:t>
      </w:r>
      <w:r>
        <w:t xml:space="preserve">onwealth’s fiscal position. Payments by the States and Territories are made on an equal per capita basis. </w:t>
      </w:r>
    </w:p>
    <w:p w:rsidR="00000000" w:rsidRDefault="001F233B">
      <w:r>
        <w:t>Although the Commonwealth’s fiscal position has improved dramatically over the past two years, with a substantial underlying surplus of $2 458 million forecast for 1998</w:t>
      </w:r>
      <w:r>
        <w:noBreakHyphen/>
        <w:t xml:space="preserve">99, the Commonwealth has made its funding offer conditional on the States making their final fiscal contribution payment. </w:t>
      </w:r>
    </w:p>
    <w:p w:rsidR="00000000" w:rsidRDefault="001F233B">
      <w:r>
        <w:t>Since the original agreement was that payments would be reviewed in the light of the Commonwealth’s fiscal positi</w:t>
      </w:r>
      <w:r>
        <w:t>on, the States argue that their fiscal contribution in 1998</w:t>
      </w:r>
      <w:r>
        <w:noBreakHyphen/>
        <w:t>99 should not be made. This would represent a saving to Victoria of $74 million.</w:t>
      </w:r>
    </w:p>
    <w:p w:rsidR="00000000" w:rsidRDefault="001F233B">
      <w:r>
        <w:t>The States had agreed to help the Commonwealth address its fiscal consolidation</w:t>
      </w:r>
      <w:r>
        <w:fldChar w:fldCharType="begin"/>
      </w:r>
      <w:r>
        <w:instrText>xe "Fiscal consolidation"</w:instrText>
      </w:r>
      <w:r>
        <w:fldChar w:fldCharType="end"/>
      </w:r>
      <w:r>
        <w:t xml:space="preserve"> task on the basis that it reduce the projected Budget deficit by $8 000 million over two years. By 1997</w:t>
      </w:r>
      <w:r>
        <w:noBreakHyphen/>
        <w:t>98, however, the Commonwealth has not delivered on its promise. It is $800 million below target in 1997</w:t>
      </w:r>
      <w:r>
        <w:noBreakHyphen/>
        <w:t>98 and will be $1 400 million below in 1998</w:t>
      </w:r>
      <w:r>
        <w:noBreakHyphen/>
        <w:t>99. In these</w:t>
      </w:r>
      <w:r>
        <w:t xml:space="preserve"> circumstances, the Commonwealth is not justified in forcing the States to make the final fiscal contribution payment. </w:t>
      </w:r>
    </w:p>
    <w:p w:rsidR="00000000" w:rsidRDefault="001F233B">
      <w:r>
        <w:t>Victoria and the other States cannot continue to operate in an environment where they receive a declining share of Commonwealth revenues and are also expected to meet the shortfall in the Commonwealth’s own deficit reduction measures.</w:t>
      </w:r>
    </w:p>
    <w:p w:rsidR="00000000" w:rsidRDefault="001F233B">
      <w:pPr>
        <w:pStyle w:val="Heading3"/>
      </w:pPr>
      <w:r>
        <w:t>Special revenue assistance</w:t>
      </w:r>
    </w:p>
    <w:p w:rsidR="00000000" w:rsidRDefault="001F233B">
      <w:r>
        <w:t>The initial distribution of funding under the last Medicare Agreement, which was implemented in 1993</w:t>
      </w:r>
      <w:r>
        <w:noBreakHyphen/>
        <w:t xml:space="preserve">94, would have disadvantaged </w:t>
      </w:r>
      <w:r>
        <w:t>Victoria and New South Wales. As an inducement to both States to sign the Agreement, the Commonwealth guaranteed to increase financial assistance grants</w:t>
      </w:r>
      <w:r>
        <w:fldChar w:fldCharType="begin"/>
      </w:r>
      <w:r>
        <w:instrText>xe "Financial assistance grants"</w:instrText>
      </w:r>
      <w:r>
        <w:fldChar w:fldCharType="end"/>
      </w:r>
      <w:r>
        <w:t xml:space="preserve"> to them by amending the terms of reference to the CGC</w:t>
      </w:r>
      <w:r>
        <w:fldChar w:fldCharType="begin"/>
      </w:r>
      <w:r>
        <w:instrText>xe "Commonwealth Grants Commission"</w:instrText>
      </w:r>
      <w:r>
        <w:fldChar w:fldCharType="end"/>
      </w:r>
      <w:r>
        <w:t>. However, the effect of the amended terms of reference was to make both States worse off. In order to meet the Medicare guarantee, it was agreed at the 1993 Premiers’ Conference that both States should receive special revenue assistan</w:t>
      </w:r>
      <w:r>
        <w:t>ce funded mainly from the pool of general purpose funding and partly by the Commonwealth. This arrangement has continued for the life of the present Medicare Agreement.</w:t>
      </w:r>
    </w:p>
    <w:p w:rsidR="00000000" w:rsidRDefault="001F233B">
      <w:r>
        <w:t>In 1997</w:t>
      </w:r>
      <w:r>
        <w:noBreakHyphen/>
        <w:t>98, Medicare guarantee payments of $190 million and $242 million are to be paid to New South Wales and Victoria respectively. In accordance with established arrangements, the Commonwealth directly contributes $62 million to these payments, including $26 million to Victoria.</w:t>
      </w:r>
    </w:p>
    <w:p w:rsidR="00000000" w:rsidRDefault="001F233B">
      <w:r>
        <w:t>As noted above, with the expiry of the existing Medicare Agr</w:t>
      </w:r>
      <w:r>
        <w:t>eement, the Medicare guarantee will cease in 1998</w:t>
      </w:r>
      <w:r>
        <w:noBreakHyphen/>
        <w:t>99.</w:t>
      </w:r>
    </w:p>
    <w:p w:rsidR="00000000" w:rsidRDefault="001F233B">
      <w:pPr>
        <w:pStyle w:val="Heading3"/>
        <w:rPr>
          <w:i/>
        </w:rPr>
      </w:pPr>
      <w:r>
        <w:t>National Competition Policy</w:t>
      </w:r>
      <w:r>
        <w:fldChar w:fldCharType="begin"/>
      </w:r>
      <w:r>
        <w:instrText>xe "Competition:National Competition Policy"</w:instrText>
      </w:r>
      <w:r>
        <w:fldChar w:fldCharType="end"/>
      </w:r>
      <w:r>
        <w:t xml:space="preserve"> payment</w:t>
      </w:r>
    </w:p>
    <w:p w:rsidR="00000000" w:rsidRDefault="001F233B">
      <w:r>
        <w:t>As part of the NCP Agreement signed by the Commonwealth and all States and Territories at the April 1995 COAG meeting, the States agreed to implement a minimum set of microeconomic reform</w:t>
      </w:r>
      <w:r>
        <w:fldChar w:fldCharType="begin"/>
      </w:r>
      <w:r>
        <w:instrText>xe "Microeconomic reform"</w:instrText>
      </w:r>
      <w:r>
        <w:fldChar w:fldCharType="end"/>
      </w:r>
      <w:r>
        <w:t>s within a set timetable. Since the benefits to the wider economy are expected to be reflected in a strengthening of the Commonwealth’s rather than the States’ re</w:t>
      </w:r>
      <w:r>
        <w:t xml:space="preserve">venue base, the Commonwealth was to make a payment to the States and Territories, provided that they fulfil the agreed conditions. </w:t>
      </w:r>
    </w:p>
    <w:p w:rsidR="00000000" w:rsidRDefault="001F233B">
      <w:r>
        <w:t>This payment commenced in 1997</w:t>
      </w:r>
      <w:r>
        <w:noBreakHyphen/>
        <w:t>98 at $200 million in 1994</w:t>
      </w:r>
      <w:r>
        <w:noBreakHyphen/>
        <w:t>95 prices and is indexed and distributed among the States and Territories on an equal per capita basis. It will double to an indexed $400 million in 1999</w:t>
      </w:r>
      <w:r>
        <w:noBreakHyphen/>
        <w:t>00 and increase to $600 million at 1994</w:t>
      </w:r>
      <w:r>
        <w:noBreakHyphen/>
        <w:t>95 prices in 2001</w:t>
      </w:r>
      <w:r>
        <w:noBreakHyphen/>
        <w:t>02. Victoria’s program of microeconomic reform</w:t>
      </w:r>
      <w:r>
        <w:fldChar w:fldCharType="begin"/>
      </w:r>
      <w:r>
        <w:instrText>xe "Microeconomic reform"</w:instrText>
      </w:r>
      <w:r>
        <w:fldChar w:fldCharType="end"/>
      </w:r>
      <w:r>
        <w:t xml:space="preserve"> in the public sector is well advance</w:t>
      </w:r>
      <w:r>
        <w:t>d and it expects to receive its share of the 1998</w:t>
      </w:r>
      <w:r>
        <w:noBreakHyphen/>
        <w:t>99 dividend, which is worth an estimated $54 million (see Chapter 8</w:t>
      </w:r>
      <w:r>
        <w:rPr>
          <w:i/>
        </w:rPr>
        <w:t>, Competitive Victoria).</w:t>
      </w:r>
    </w:p>
    <w:p w:rsidR="00000000" w:rsidRDefault="001F233B">
      <w:pPr>
        <w:pStyle w:val="Heading3"/>
        <w:rPr>
          <w:i/>
        </w:rPr>
      </w:pPr>
      <w:r>
        <w:t>Forward estimates: 1999</w:t>
      </w:r>
      <w:r>
        <w:noBreakHyphen/>
        <w:t>00 to 2001</w:t>
      </w:r>
      <w:r>
        <w:noBreakHyphen/>
        <w:t>02</w:t>
      </w:r>
    </w:p>
    <w:p w:rsidR="00000000" w:rsidRDefault="001F233B">
      <w:r>
        <w:t>It is assumed that financial assistance grants</w:t>
      </w:r>
      <w:r>
        <w:fldChar w:fldCharType="begin"/>
      </w:r>
      <w:r>
        <w:instrText>xe "Financial assistance grants"</w:instrText>
      </w:r>
      <w:r>
        <w:fldChar w:fldCharType="end"/>
      </w:r>
      <w:r>
        <w:t xml:space="preserve"> will remain indexed in real per capita terms, provided that Victoria continues to meet its obligations under the NCP Agreement. Accordingly, the forward estimates have also been made on the assumption that Victoria continues to receive the NCP payment</w:t>
      </w:r>
      <w:r>
        <w:t>.</w:t>
      </w:r>
    </w:p>
    <w:p w:rsidR="00000000" w:rsidRDefault="001F233B">
      <w:pPr>
        <w:pStyle w:val="Heading2"/>
      </w:pPr>
      <w:bookmarkStart w:id="188" w:name="_Toc417482350"/>
      <w:bookmarkStart w:id="189" w:name="_Toc417552122"/>
      <w:r>
        <w:t>Specific purpose payments</w:t>
      </w:r>
      <w:bookmarkEnd w:id="188"/>
      <w:bookmarkEnd w:id="189"/>
    </w:p>
    <w:p w:rsidR="00000000" w:rsidRDefault="001F233B">
      <w:r>
        <w:t>The SPPs</w:t>
      </w:r>
      <w:r>
        <w:fldChar w:fldCharType="begin"/>
      </w:r>
      <w:r>
        <w:instrText>xe "Specific purpose payments"</w:instrText>
      </w:r>
      <w:r>
        <w:fldChar w:fldCharType="end"/>
      </w:r>
      <w:r>
        <w:t xml:space="preserve"> provided to Victoria are to ensure that policy objectives set by the Commonwealth, or national policy objectives agreed between the Commonwealth and the State, are met. The extent of the Commonwealth’s involvement varies significantly from one agreement to another.</w:t>
      </w:r>
    </w:p>
    <w:p w:rsidR="00000000" w:rsidRDefault="001F233B">
      <w:r>
        <w:t>Table 9.2 shows the total amount of SPPs</w:t>
      </w:r>
      <w:r>
        <w:fldChar w:fldCharType="begin"/>
      </w:r>
      <w:r>
        <w:instrText>xe "Specific purpose payments"</w:instrText>
      </w:r>
      <w:r>
        <w:fldChar w:fldCharType="end"/>
      </w:r>
      <w:r>
        <w:t xml:space="preserve"> scheduled to be received from the Commonwealth, excluding grants for on</w:t>
      </w:r>
      <w:r>
        <w:noBreakHyphen/>
        <w:t xml:space="preserve">passing. The estimates recorded </w:t>
      </w:r>
      <w:r>
        <w:t>in the Table are derived from the Commonwealth Offer Document provided to the States and Territories prior to the March 1998 Premiers’ Conference. It reveals that Victorian SPPs are expected to be 9.5 per cent or $245 million higher in 1998</w:t>
      </w:r>
      <w:r>
        <w:noBreakHyphen/>
        <w:t>99 than in 1997</w:t>
      </w:r>
      <w:r>
        <w:noBreakHyphen/>
        <w:t>98. Excluding the firearm buy</w:t>
      </w:r>
      <w:r>
        <w:noBreakHyphen/>
        <w:t>back scheme, underlying SPPs in 1998</w:t>
      </w:r>
      <w:r>
        <w:noBreakHyphen/>
        <w:t>99 are estimated to increase by $270 million compared to 1997</w:t>
      </w:r>
      <w:r>
        <w:noBreakHyphen/>
        <w:t>98. This increase, however, will be largely offset by the elimination of the Medicare guarantee payment, which is classified a</w:t>
      </w:r>
      <w:r>
        <w:t>s a general purpose payment.</w:t>
      </w:r>
    </w:p>
    <w:p w:rsidR="00000000" w:rsidRDefault="001F233B">
      <w:r>
        <w:t>Key factors affecting estimated SPPs</w:t>
      </w:r>
      <w:r>
        <w:fldChar w:fldCharType="begin"/>
      </w:r>
      <w:r>
        <w:instrText>xe "Specific purpose payments"</w:instrText>
      </w:r>
      <w:r>
        <w:fldChar w:fldCharType="end"/>
      </w:r>
      <w:r>
        <w:t xml:space="preserve"> in 1998</w:t>
      </w:r>
      <w:r>
        <w:noBreakHyphen/>
        <w:t>99 include:</w:t>
      </w:r>
    </w:p>
    <w:p w:rsidR="00000000" w:rsidRDefault="001F233B" w:rsidP="001F233B">
      <w:pPr>
        <w:pStyle w:val="BulletText"/>
        <w:numPr>
          <w:ilvl w:val="0"/>
          <w:numId w:val="1"/>
        </w:numPr>
      </w:pPr>
      <w:r>
        <w:t>the proposed introduction of a new AHCA</w:t>
      </w:r>
      <w:r>
        <w:fldChar w:fldCharType="begin"/>
      </w:r>
      <w:r>
        <w:instrText>xe "Australian Health Care Agreement (AHCA)"</w:instrText>
      </w:r>
      <w:r>
        <w:fldChar w:fldCharType="end"/>
      </w:r>
      <w:r>
        <w:t xml:space="preserve"> to replace the existing Medicare Agreement;</w:t>
      </w:r>
    </w:p>
    <w:p w:rsidR="00000000" w:rsidRDefault="001F233B" w:rsidP="001F233B">
      <w:pPr>
        <w:pStyle w:val="BulletText"/>
        <w:numPr>
          <w:ilvl w:val="0"/>
          <w:numId w:val="1"/>
        </w:numPr>
      </w:pPr>
      <w:r>
        <w:t>a decline in Commonwealth funding for public housing in nominal terms; and</w:t>
      </w:r>
    </w:p>
    <w:p w:rsidR="00000000" w:rsidRDefault="001F233B" w:rsidP="001F233B">
      <w:pPr>
        <w:pStyle w:val="BulletText"/>
        <w:numPr>
          <w:ilvl w:val="0"/>
          <w:numId w:val="1"/>
        </w:numPr>
      </w:pPr>
      <w:r>
        <w:t xml:space="preserve">continuation of a Commonwealth ‘efficiency dividend’ (cut) on certain SPP running costs. </w:t>
      </w:r>
    </w:p>
    <w:p w:rsidR="00000000" w:rsidRDefault="001F233B">
      <w:r>
        <w:t>Details on the full range of SPPs</w:t>
      </w:r>
      <w:r>
        <w:fldChar w:fldCharType="begin"/>
      </w:r>
      <w:r>
        <w:instrText>xe "Specific purpose payments"</w:instrText>
      </w:r>
      <w:r>
        <w:fldChar w:fldCharType="end"/>
      </w:r>
      <w:r>
        <w:t xml:space="preserve"> received by Victoria, together wi</w:t>
      </w:r>
      <w:r>
        <w:t xml:space="preserve">th an explanation of the programs with which they are associated, can be found in Statement 3 of Budget Paper No. 3, </w:t>
      </w:r>
      <w:r>
        <w:rPr>
          <w:i/>
        </w:rPr>
        <w:t>Budget Estimates 1998</w:t>
      </w:r>
      <w:r>
        <w:rPr>
          <w:i/>
        </w:rPr>
        <w:noBreakHyphen/>
        <w:t>99</w:t>
      </w:r>
      <w:r>
        <w:t>.</w:t>
      </w:r>
    </w:p>
    <w:p w:rsidR="00000000" w:rsidRDefault="001F233B">
      <w:pPr>
        <w:pStyle w:val="Tableheading"/>
      </w:pPr>
      <w:r>
        <w:br w:type="page"/>
      </w:r>
      <w:bookmarkStart w:id="190" w:name="_Toc417552768"/>
      <w:r>
        <w:t xml:space="preserve">Table 9.2: Specific Purpose Grants by Agency </w:t>
      </w:r>
      <w:r>
        <w:rPr>
          <w:i/>
          <w:vertAlign w:val="superscript"/>
        </w:rPr>
        <w:t>(a)</w:t>
      </w:r>
      <w:bookmarkEnd w:id="190"/>
    </w:p>
    <w:p w:rsidR="00000000" w:rsidRDefault="001F233B">
      <w:pPr>
        <w:pStyle w:val="Source"/>
        <w:jc w:val="center"/>
        <w:rPr>
          <w:i w:val="0"/>
          <w:noProof/>
          <w:sz w:val="20"/>
        </w:rPr>
      </w:pPr>
      <w:r>
        <w:rPr>
          <w:rFonts w:ascii="Arial" w:hAnsi="Arial"/>
          <w:sz w:val="20"/>
        </w:rPr>
        <w:t>$ million</w:t>
      </w:r>
      <w:bookmarkStart w:id="191" w:name="_923340106"/>
      <w:bookmarkEnd w:id="191"/>
    </w:p>
    <w:tbl>
      <w:tblPr>
        <w:tblW w:w="0" w:type="auto"/>
        <w:tblLayout w:type="fixed"/>
        <w:tblCellMar>
          <w:left w:w="30" w:type="dxa"/>
          <w:right w:w="30" w:type="dxa"/>
        </w:tblCellMar>
        <w:tblLook w:val="0000" w:firstRow="0" w:lastRow="0" w:firstColumn="0" w:lastColumn="0" w:noHBand="0" w:noVBand="0"/>
      </w:tblPr>
      <w:tblGrid>
        <w:gridCol w:w="1"/>
        <w:gridCol w:w="1"/>
        <w:gridCol w:w="4030"/>
        <w:gridCol w:w="1011"/>
        <w:gridCol w:w="1010"/>
        <w:gridCol w:w="1011"/>
      </w:tblGrid>
      <w:tr w:rsidR="00000000">
        <w:tblPrEx>
          <w:tblCellMar>
            <w:top w:w="0" w:type="dxa"/>
            <w:bottom w:w="0" w:type="dxa"/>
          </w:tblCellMar>
        </w:tblPrEx>
        <w:trPr>
          <w:trHeight w:hRule="exact" w:val="480"/>
        </w:trPr>
        <w:tc>
          <w:tcPr>
            <w:tcW w:w="4032" w:type="dxa"/>
            <w:gridSpan w:val="3"/>
            <w:tcBorders>
              <w:top w:val="single" w:sz="6" w:space="0" w:color="auto"/>
              <w:bottom w:val="single" w:sz="6" w:space="0" w:color="auto"/>
            </w:tcBorders>
          </w:tcPr>
          <w:p w:rsidR="00000000" w:rsidRDefault="001F233B">
            <w:pPr>
              <w:jc w:val="right"/>
              <w:rPr>
                <w:rFonts w:ascii="Arial" w:hAnsi="Arial"/>
                <w:i/>
                <w:color w:val="000000"/>
                <w:sz w:val="18"/>
              </w:rPr>
            </w:pPr>
          </w:p>
        </w:tc>
        <w:tc>
          <w:tcPr>
            <w:tcW w:w="1011" w:type="dxa"/>
            <w:tcBorders>
              <w:top w:val="single" w:sz="6" w:space="0" w:color="auto"/>
              <w:bottom w:val="single" w:sz="6" w:space="0" w:color="auto"/>
            </w:tcBorders>
          </w:tcPr>
          <w:p w:rsidR="00000000" w:rsidRDefault="001F233B">
            <w:pPr>
              <w:spacing w:after="0"/>
              <w:jc w:val="right"/>
              <w:rPr>
                <w:rFonts w:ascii="Arial" w:hAnsi="Arial"/>
                <w:i/>
                <w:color w:val="000000"/>
                <w:sz w:val="18"/>
              </w:rPr>
            </w:pPr>
            <w:r>
              <w:rPr>
                <w:rFonts w:ascii="Arial" w:hAnsi="Arial"/>
                <w:i/>
                <w:color w:val="000000"/>
                <w:sz w:val="18"/>
              </w:rPr>
              <w:t>1997-98</w:t>
            </w:r>
          </w:p>
          <w:p w:rsidR="00000000" w:rsidRDefault="001F233B">
            <w:pPr>
              <w:spacing w:after="0"/>
              <w:jc w:val="right"/>
              <w:rPr>
                <w:rFonts w:ascii="Arial" w:hAnsi="Arial"/>
                <w:i/>
                <w:color w:val="000000"/>
                <w:sz w:val="18"/>
              </w:rPr>
            </w:pPr>
            <w:r>
              <w:rPr>
                <w:rFonts w:ascii="Arial" w:hAnsi="Arial"/>
                <w:i/>
                <w:color w:val="000000"/>
                <w:sz w:val="18"/>
              </w:rPr>
              <w:t>Budget</w:t>
            </w:r>
          </w:p>
        </w:tc>
        <w:tc>
          <w:tcPr>
            <w:tcW w:w="1010" w:type="dxa"/>
            <w:tcBorders>
              <w:top w:val="single" w:sz="6" w:space="0" w:color="auto"/>
              <w:bottom w:val="single" w:sz="6" w:space="0" w:color="auto"/>
            </w:tcBorders>
          </w:tcPr>
          <w:p w:rsidR="00000000" w:rsidRDefault="001F233B">
            <w:pPr>
              <w:spacing w:after="0"/>
              <w:jc w:val="right"/>
              <w:rPr>
                <w:rFonts w:ascii="Arial" w:hAnsi="Arial"/>
                <w:i/>
                <w:color w:val="000000"/>
                <w:sz w:val="18"/>
              </w:rPr>
            </w:pPr>
            <w:r>
              <w:rPr>
                <w:rFonts w:ascii="Arial" w:hAnsi="Arial"/>
                <w:i/>
                <w:color w:val="000000"/>
                <w:sz w:val="18"/>
              </w:rPr>
              <w:t>1998-99</w:t>
            </w:r>
          </w:p>
          <w:p w:rsidR="00000000" w:rsidRDefault="001F233B">
            <w:pPr>
              <w:spacing w:after="0"/>
              <w:jc w:val="right"/>
              <w:rPr>
                <w:rFonts w:ascii="Arial" w:hAnsi="Arial"/>
                <w:i/>
                <w:color w:val="000000"/>
                <w:sz w:val="18"/>
              </w:rPr>
            </w:pPr>
            <w:r>
              <w:rPr>
                <w:rFonts w:ascii="Arial" w:hAnsi="Arial"/>
                <w:i/>
                <w:color w:val="000000"/>
                <w:sz w:val="18"/>
              </w:rPr>
              <w:t>Budget</w:t>
            </w:r>
          </w:p>
        </w:tc>
        <w:tc>
          <w:tcPr>
            <w:tcW w:w="1011" w:type="dxa"/>
            <w:tcBorders>
              <w:top w:val="single" w:sz="6" w:space="0" w:color="auto"/>
              <w:bottom w:val="single" w:sz="6" w:space="0" w:color="auto"/>
            </w:tcBorders>
          </w:tcPr>
          <w:p w:rsidR="00000000" w:rsidRDefault="001F233B">
            <w:pPr>
              <w:spacing w:after="0"/>
              <w:jc w:val="right"/>
              <w:rPr>
                <w:rFonts w:ascii="Arial" w:hAnsi="Arial"/>
                <w:i/>
                <w:color w:val="000000"/>
                <w:sz w:val="18"/>
              </w:rPr>
            </w:pPr>
            <w:r>
              <w:rPr>
                <w:rFonts w:ascii="Arial" w:hAnsi="Arial"/>
                <w:i/>
                <w:color w:val="000000"/>
                <w:sz w:val="18"/>
              </w:rPr>
              <w:t>%</w:t>
            </w:r>
          </w:p>
          <w:p w:rsidR="00000000" w:rsidRDefault="001F233B">
            <w:pPr>
              <w:spacing w:after="0"/>
              <w:jc w:val="right"/>
              <w:rPr>
                <w:rFonts w:ascii="Arial" w:hAnsi="Arial"/>
                <w:i/>
                <w:color w:val="000000"/>
                <w:sz w:val="18"/>
              </w:rPr>
            </w:pPr>
            <w:r>
              <w:rPr>
                <w:rFonts w:ascii="Arial" w:hAnsi="Arial"/>
                <w:i/>
                <w:color w:val="000000"/>
                <w:sz w:val="18"/>
              </w:rPr>
              <w:t>Change</w:t>
            </w:r>
          </w:p>
        </w:tc>
      </w:tr>
      <w:tr w:rsidR="00000000">
        <w:tblPrEx>
          <w:tblCellMar>
            <w:top w:w="0" w:type="dxa"/>
            <w:bottom w:w="0" w:type="dxa"/>
          </w:tblCellMar>
        </w:tblPrEx>
        <w:trPr>
          <w:trHeight w:hRule="exact" w:val="280"/>
        </w:trPr>
        <w:tc>
          <w:tcPr>
            <w:tcW w:w="6053" w:type="dxa"/>
            <w:hMerge w:val="restart"/>
          </w:tcPr>
          <w:p w:rsidR="00000000" w:rsidRDefault="001F233B">
            <w:pPr>
              <w:rPr>
                <w:rFonts w:ascii="Arial" w:hAnsi="Arial"/>
                <w:b/>
                <w:color w:val="000000"/>
                <w:sz w:val="18"/>
              </w:rPr>
            </w:pPr>
            <w:r>
              <w:rPr>
                <w:rFonts w:ascii="Arial" w:hAnsi="Arial"/>
                <w:b/>
                <w:color w:val="000000"/>
                <w:sz w:val="18"/>
              </w:rPr>
              <w:t>Grants for Government Programs: Current</w:t>
            </w:r>
          </w:p>
        </w:tc>
        <w:tc>
          <w:tcPr>
            <w:hMerge/>
          </w:tcPr>
          <w:p w:rsidR="00000000" w:rsidRDefault="001F233B">
            <w:pPr>
              <w:jc w:val="right"/>
              <w:rPr>
                <w:rFonts w:ascii="Arial" w:hAnsi="Arial"/>
                <w:color w:val="000000"/>
                <w:sz w:val="18"/>
              </w:rPr>
            </w:pPr>
          </w:p>
        </w:tc>
        <w:tc>
          <w:tcPr>
            <w:gridSpan w:val="3"/>
            <w:hMerge/>
          </w:tcPr>
          <w:p w:rsidR="00000000" w:rsidRDefault="001F233B">
            <w:pPr>
              <w:jc w:val="right"/>
              <w:rPr>
                <w:rFonts w:ascii="Arial" w:hAnsi="Arial"/>
                <w:color w:val="000000"/>
                <w:sz w:val="18"/>
              </w:rPr>
            </w:pPr>
          </w:p>
        </w:tc>
        <w:tc>
          <w:tcPr>
            <w:tcW w:w="1011"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Education</w:t>
            </w:r>
            <w:r>
              <w:rPr>
                <w:rFonts w:ascii="Arial" w:hAnsi="Arial"/>
                <w:color w:val="000000"/>
                <w:sz w:val="18"/>
              </w:rPr>
              <w:fldChar w:fldCharType="begin"/>
            </w:r>
            <w:r>
              <w:rPr>
                <w:rFonts w:ascii="Arial" w:hAnsi="Arial"/>
                <w:color w:val="000000"/>
                <w:sz w:val="18"/>
              </w:rPr>
              <w:instrText>xe "Education"</w:instrText>
            </w:r>
            <w:r>
              <w:rPr>
                <w:rFonts w:ascii="Arial" w:hAnsi="Arial"/>
                <w:color w:val="000000"/>
                <w:sz w:val="18"/>
              </w:rPr>
              <w:fldChar w:fldCharType="end"/>
            </w:r>
          </w:p>
        </w:tc>
        <w:tc>
          <w:tcPr>
            <w:tcW w:w="1011" w:type="dxa"/>
          </w:tcPr>
          <w:p w:rsidR="00000000" w:rsidRDefault="001F233B">
            <w:pPr>
              <w:jc w:val="right"/>
              <w:rPr>
                <w:rFonts w:ascii="Arial" w:hAnsi="Arial"/>
                <w:color w:val="000000"/>
                <w:sz w:val="18"/>
              </w:rPr>
            </w:pPr>
            <w:r>
              <w:rPr>
                <w:rFonts w:ascii="Arial" w:hAnsi="Arial"/>
                <w:color w:val="000000"/>
                <w:sz w:val="18"/>
              </w:rPr>
              <w:t xml:space="preserve"> 493.0</w:t>
            </w:r>
          </w:p>
        </w:tc>
        <w:tc>
          <w:tcPr>
            <w:tcW w:w="1010" w:type="dxa"/>
          </w:tcPr>
          <w:p w:rsidR="00000000" w:rsidRDefault="001F233B">
            <w:pPr>
              <w:jc w:val="right"/>
              <w:rPr>
                <w:rFonts w:ascii="Arial" w:hAnsi="Arial"/>
                <w:color w:val="000000"/>
                <w:sz w:val="18"/>
              </w:rPr>
            </w:pPr>
            <w:r>
              <w:rPr>
                <w:rFonts w:ascii="Arial" w:hAnsi="Arial"/>
                <w:color w:val="000000"/>
                <w:sz w:val="18"/>
              </w:rPr>
              <w:t xml:space="preserve"> 511.9</w:t>
            </w:r>
          </w:p>
        </w:tc>
        <w:tc>
          <w:tcPr>
            <w:tcW w:w="1011" w:type="dxa"/>
          </w:tcPr>
          <w:p w:rsidR="00000000" w:rsidRDefault="001F233B">
            <w:pPr>
              <w:jc w:val="right"/>
              <w:rPr>
                <w:rFonts w:ascii="Arial" w:hAnsi="Arial"/>
                <w:color w:val="000000"/>
                <w:sz w:val="18"/>
              </w:rPr>
            </w:pPr>
            <w:r>
              <w:rPr>
                <w:rFonts w:ascii="Arial" w:hAnsi="Arial"/>
                <w:color w:val="000000"/>
                <w:sz w:val="18"/>
              </w:rPr>
              <w:t>14.5</w:t>
            </w: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Human Services</w:t>
            </w:r>
          </w:p>
        </w:tc>
        <w:tc>
          <w:tcPr>
            <w:tcW w:w="1011" w:type="dxa"/>
          </w:tcPr>
          <w:p w:rsidR="00000000" w:rsidRDefault="001F233B">
            <w:pPr>
              <w:jc w:val="right"/>
              <w:rPr>
                <w:rFonts w:ascii="Arial" w:hAnsi="Arial"/>
                <w:color w:val="000000"/>
                <w:sz w:val="18"/>
              </w:rPr>
            </w:pPr>
            <w:r>
              <w:rPr>
                <w:rFonts w:ascii="Arial" w:hAnsi="Arial"/>
                <w:color w:val="000000"/>
                <w:sz w:val="18"/>
              </w:rPr>
              <w:t>1 598.2</w:t>
            </w:r>
          </w:p>
        </w:tc>
        <w:tc>
          <w:tcPr>
            <w:tcW w:w="1010" w:type="dxa"/>
          </w:tcPr>
          <w:p w:rsidR="00000000" w:rsidRDefault="001F233B">
            <w:pPr>
              <w:jc w:val="right"/>
              <w:rPr>
                <w:rFonts w:ascii="Arial" w:hAnsi="Arial"/>
                <w:color w:val="000000"/>
                <w:sz w:val="18"/>
              </w:rPr>
            </w:pPr>
            <w:r>
              <w:rPr>
                <w:rFonts w:ascii="Arial" w:hAnsi="Arial"/>
                <w:color w:val="000000"/>
                <w:sz w:val="18"/>
              </w:rPr>
              <w:t>1 816.0</w:t>
            </w:r>
          </w:p>
        </w:tc>
        <w:tc>
          <w:tcPr>
            <w:tcW w:w="1011" w:type="dxa"/>
          </w:tcPr>
          <w:p w:rsidR="00000000" w:rsidRDefault="001F233B">
            <w:pPr>
              <w:jc w:val="right"/>
              <w:rPr>
                <w:rFonts w:ascii="Arial" w:hAnsi="Arial"/>
                <w:color w:val="000000"/>
                <w:sz w:val="18"/>
              </w:rPr>
            </w:pPr>
            <w:r>
              <w:rPr>
                <w:rFonts w:ascii="Arial" w:hAnsi="Arial"/>
                <w:color w:val="000000"/>
                <w:sz w:val="18"/>
              </w:rPr>
              <w:t>13.6</w:t>
            </w: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Infrastructure</w:t>
            </w:r>
            <w:r>
              <w:rPr>
                <w:rFonts w:ascii="Arial" w:hAnsi="Arial"/>
                <w:color w:val="000000"/>
                <w:sz w:val="18"/>
              </w:rPr>
              <w:fldChar w:fldCharType="begin"/>
            </w:r>
            <w:r>
              <w:rPr>
                <w:rFonts w:ascii="Arial" w:hAnsi="Arial"/>
                <w:color w:val="000000"/>
                <w:sz w:val="18"/>
              </w:rPr>
              <w:instrText>xe "Economy:Infrastructure"</w:instrText>
            </w:r>
            <w:r>
              <w:rPr>
                <w:rFonts w:ascii="Arial" w:hAnsi="Arial"/>
                <w:color w:val="000000"/>
                <w:sz w:val="18"/>
              </w:rPr>
              <w:fldChar w:fldCharType="end"/>
            </w:r>
          </w:p>
        </w:tc>
        <w:tc>
          <w:tcPr>
            <w:tcW w:w="1011" w:type="dxa"/>
          </w:tcPr>
          <w:p w:rsidR="00000000" w:rsidRDefault="001F233B">
            <w:pPr>
              <w:jc w:val="right"/>
              <w:rPr>
                <w:rFonts w:ascii="Arial" w:hAnsi="Arial"/>
                <w:color w:val="000000"/>
                <w:sz w:val="18"/>
              </w:rPr>
            </w:pPr>
            <w:r>
              <w:rPr>
                <w:rFonts w:ascii="Arial" w:hAnsi="Arial"/>
                <w:color w:val="000000"/>
                <w:sz w:val="18"/>
              </w:rPr>
              <w:t xml:space="preserve"> 6.2</w:t>
            </w:r>
          </w:p>
        </w:tc>
        <w:tc>
          <w:tcPr>
            <w:tcW w:w="1010" w:type="dxa"/>
          </w:tcPr>
          <w:p w:rsidR="00000000" w:rsidRDefault="001F233B">
            <w:pPr>
              <w:jc w:val="right"/>
              <w:rPr>
                <w:rFonts w:ascii="Arial" w:hAnsi="Arial"/>
                <w:color w:val="000000"/>
                <w:sz w:val="18"/>
              </w:rPr>
            </w:pPr>
            <w:r>
              <w:rPr>
                <w:rFonts w:ascii="Arial" w:hAnsi="Arial"/>
                <w:color w:val="000000"/>
                <w:sz w:val="18"/>
              </w:rPr>
              <w:t xml:space="preserve"> 2.8</w:t>
            </w:r>
          </w:p>
        </w:tc>
        <w:tc>
          <w:tcPr>
            <w:tcW w:w="1011" w:type="dxa"/>
          </w:tcPr>
          <w:p w:rsidR="00000000" w:rsidRDefault="001F233B">
            <w:pPr>
              <w:jc w:val="right"/>
              <w:rPr>
                <w:rFonts w:ascii="Arial" w:hAnsi="Arial"/>
                <w:color w:val="000000"/>
                <w:sz w:val="18"/>
              </w:rPr>
            </w:pPr>
            <w:r>
              <w:rPr>
                <w:rFonts w:ascii="Arial" w:hAnsi="Arial"/>
                <w:color w:val="000000"/>
                <w:sz w:val="18"/>
              </w:rPr>
              <w:t>-54.5</w:t>
            </w: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Justice</w:t>
            </w:r>
          </w:p>
        </w:tc>
        <w:tc>
          <w:tcPr>
            <w:tcW w:w="1011" w:type="dxa"/>
          </w:tcPr>
          <w:p w:rsidR="00000000" w:rsidRDefault="001F233B">
            <w:pPr>
              <w:jc w:val="right"/>
              <w:rPr>
                <w:rFonts w:ascii="Arial" w:hAnsi="Arial"/>
                <w:color w:val="000000"/>
                <w:sz w:val="18"/>
              </w:rPr>
            </w:pPr>
            <w:r>
              <w:rPr>
                <w:rFonts w:ascii="Arial" w:hAnsi="Arial"/>
                <w:color w:val="000000"/>
                <w:sz w:val="18"/>
              </w:rPr>
              <w:t xml:space="preserve"> 64.8</w:t>
            </w:r>
          </w:p>
        </w:tc>
        <w:tc>
          <w:tcPr>
            <w:tcW w:w="1010" w:type="dxa"/>
          </w:tcPr>
          <w:p w:rsidR="00000000" w:rsidRDefault="001F233B">
            <w:pPr>
              <w:jc w:val="right"/>
              <w:rPr>
                <w:rFonts w:ascii="Arial" w:hAnsi="Arial"/>
                <w:color w:val="000000"/>
                <w:sz w:val="18"/>
              </w:rPr>
            </w:pPr>
            <w:r>
              <w:rPr>
                <w:rFonts w:ascii="Arial" w:hAnsi="Arial"/>
                <w:color w:val="000000"/>
                <w:sz w:val="18"/>
              </w:rPr>
              <w:t xml:space="preserve"> 41.2</w:t>
            </w:r>
          </w:p>
        </w:tc>
        <w:tc>
          <w:tcPr>
            <w:tcW w:w="1011" w:type="dxa"/>
          </w:tcPr>
          <w:p w:rsidR="00000000" w:rsidRDefault="001F233B">
            <w:pPr>
              <w:jc w:val="right"/>
              <w:rPr>
                <w:rFonts w:ascii="Arial" w:hAnsi="Arial"/>
                <w:color w:val="000000"/>
                <w:sz w:val="18"/>
              </w:rPr>
            </w:pPr>
            <w:r>
              <w:rPr>
                <w:rFonts w:ascii="Arial" w:hAnsi="Arial"/>
                <w:color w:val="000000"/>
                <w:sz w:val="18"/>
              </w:rPr>
              <w:t>-36.5</w:t>
            </w: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Natural Resources and Environment</w:t>
            </w:r>
            <w:r>
              <w:rPr>
                <w:rFonts w:ascii="Arial" w:hAnsi="Arial"/>
                <w:color w:val="000000"/>
                <w:sz w:val="18"/>
              </w:rPr>
              <w:fldChar w:fldCharType="begin"/>
            </w:r>
            <w:r>
              <w:rPr>
                <w:rFonts w:ascii="Arial" w:hAnsi="Arial"/>
                <w:color w:val="000000"/>
                <w:sz w:val="18"/>
              </w:rPr>
              <w:instrText>xe "Department of N</w:instrText>
            </w:r>
            <w:r>
              <w:rPr>
                <w:rFonts w:ascii="Arial" w:hAnsi="Arial"/>
                <w:color w:val="000000"/>
                <w:sz w:val="18"/>
              </w:rPr>
              <w:instrText>atural Resources and Environment"</w:instrText>
            </w:r>
            <w:r>
              <w:rPr>
                <w:rFonts w:ascii="Arial" w:hAnsi="Arial"/>
                <w:color w:val="000000"/>
                <w:sz w:val="18"/>
              </w:rPr>
              <w:fldChar w:fldCharType="end"/>
            </w:r>
          </w:p>
        </w:tc>
        <w:tc>
          <w:tcPr>
            <w:tcW w:w="1011" w:type="dxa"/>
          </w:tcPr>
          <w:p w:rsidR="00000000" w:rsidRDefault="001F233B">
            <w:pPr>
              <w:jc w:val="right"/>
              <w:rPr>
                <w:rFonts w:ascii="Arial" w:hAnsi="Arial"/>
                <w:color w:val="000000"/>
                <w:sz w:val="18"/>
              </w:rPr>
            </w:pPr>
            <w:r>
              <w:rPr>
                <w:rFonts w:ascii="Arial" w:hAnsi="Arial"/>
                <w:color w:val="000000"/>
                <w:sz w:val="18"/>
              </w:rPr>
              <w:t xml:space="preserve"> 21.3</w:t>
            </w:r>
          </w:p>
        </w:tc>
        <w:tc>
          <w:tcPr>
            <w:tcW w:w="1010" w:type="dxa"/>
          </w:tcPr>
          <w:p w:rsidR="00000000" w:rsidRDefault="001F233B">
            <w:pPr>
              <w:jc w:val="right"/>
              <w:rPr>
                <w:rFonts w:ascii="Arial" w:hAnsi="Arial"/>
                <w:color w:val="000000"/>
                <w:sz w:val="18"/>
              </w:rPr>
            </w:pPr>
            <w:r>
              <w:rPr>
                <w:rFonts w:ascii="Arial" w:hAnsi="Arial"/>
                <w:color w:val="000000"/>
                <w:sz w:val="18"/>
              </w:rPr>
              <w:t xml:space="preserve"> 55.8</w:t>
            </w:r>
          </w:p>
        </w:tc>
        <w:tc>
          <w:tcPr>
            <w:tcW w:w="1011" w:type="dxa"/>
          </w:tcPr>
          <w:p w:rsidR="00000000" w:rsidRDefault="001F233B">
            <w:pPr>
              <w:jc w:val="right"/>
              <w:rPr>
                <w:rFonts w:ascii="Arial" w:hAnsi="Arial"/>
                <w:color w:val="000000"/>
                <w:sz w:val="18"/>
              </w:rPr>
            </w:pPr>
            <w:r>
              <w:rPr>
                <w:rFonts w:ascii="Arial" w:hAnsi="Arial"/>
                <w:color w:val="000000"/>
                <w:sz w:val="18"/>
              </w:rPr>
              <w:t>162.0</w:t>
            </w: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State Development</w:t>
            </w:r>
          </w:p>
        </w:tc>
        <w:tc>
          <w:tcPr>
            <w:tcW w:w="1011" w:type="dxa"/>
          </w:tcPr>
          <w:p w:rsidR="00000000" w:rsidRDefault="001F233B">
            <w:pPr>
              <w:jc w:val="right"/>
              <w:rPr>
                <w:rFonts w:ascii="Arial" w:hAnsi="Arial"/>
                <w:color w:val="000000"/>
                <w:sz w:val="18"/>
              </w:rPr>
            </w:pPr>
            <w:r>
              <w:rPr>
                <w:rFonts w:ascii="Arial" w:hAnsi="Arial"/>
                <w:color w:val="000000"/>
                <w:sz w:val="18"/>
              </w:rPr>
              <w:t xml:space="preserve"> 3.3</w:t>
            </w:r>
          </w:p>
        </w:tc>
        <w:tc>
          <w:tcPr>
            <w:tcW w:w="1010" w:type="dxa"/>
          </w:tcPr>
          <w:p w:rsidR="00000000" w:rsidRDefault="001F233B">
            <w:pPr>
              <w:jc w:val="right"/>
              <w:rPr>
                <w:rFonts w:ascii="Arial" w:hAnsi="Arial"/>
                <w:color w:val="000000"/>
                <w:sz w:val="18"/>
              </w:rPr>
            </w:pPr>
            <w:r>
              <w:rPr>
                <w:rFonts w:ascii="Arial" w:hAnsi="Arial"/>
                <w:color w:val="000000"/>
                <w:sz w:val="18"/>
              </w:rPr>
              <w:t xml:space="preserve"> 3.1</w:t>
            </w:r>
          </w:p>
        </w:tc>
        <w:tc>
          <w:tcPr>
            <w:tcW w:w="1011" w:type="dxa"/>
          </w:tcPr>
          <w:p w:rsidR="00000000" w:rsidRDefault="001F233B">
            <w:pPr>
              <w:jc w:val="right"/>
              <w:rPr>
                <w:rFonts w:ascii="Arial" w:hAnsi="Arial"/>
                <w:color w:val="000000"/>
                <w:sz w:val="18"/>
              </w:rPr>
            </w:pPr>
            <w:r>
              <w:rPr>
                <w:rFonts w:ascii="Arial" w:hAnsi="Arial"/>
                <w:color w:val="000000"/>
                <w:sz w:val="18"/>
              </w:rPr>
              <w:t>-5.5</w:t>
            </w: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Treasury and Finance</w:t>
            </w:r>
          </w:p>
        </w:tc>
        <w:tc>
          <w:tcPr>
            <w:tcW w:w="1011" w:type="dxa"/>
            <w:tcBorders>
              <w:bottom w:val="single" w:sz="6" w:space="0" w:color="auto"/>
            </w:tcBorders>
          </w:tcPr>
          <w:p w:rsidR="00000000" w:rsidRDefault="001F233B">
            <w:pPr>
              <w:jc w:val="right"/>
              <w:rPr>
                <w:rFonts w:ascii="Arial" w:hAnsi="Arial"/>
                <w:color w:val="000000"/>
                <w:sz w:val="18"/>
              </w:rPr>
            </w:pPr>
            <w:r>
              <w:rPr>
                <w:rFonts w:ascii="Arial" w:hAnsi="Arial"/>
                <w:color w:val="000000"/>
                <w:sz w:val="18"/>
              </w:rPr>
              <w:t xml:space="preserve"> 5.9</w:t>
            </w:r>
          </w:p>
        </w:tc>
        <w:tc>
          <w:tcPr>
            <w:tcW w:w="1010" w:type="dxa"/>
            <w:tcBorders>
              <w:bottom w:val="single" w:sz="6" w:space="0" w:color="auto"/>
            </w:tcBorders>
          </w:tcPr>
          <w:p w:rsidR="00000000" w:rsidRDefault="001F233B">
            <w:pPr>
              <w:jc w:val="right"/>
              <w:rPr>
                <w:rFonts w:ascii="Arial" w:hAnsi="Arial"/>
                <w:color w:val="000000"/>
                <w:sz w:val="18"/>
              </w:rPr>
            </w:pPr>
            <w:r>
              <w:rPr>
                <w:rFonts w:ascii="Arial" w:hAnsi="Arial"/>
                <w:color w:val="000000"/>
                <w:sz w:val="18"/>
              </w:rPr>
              <w:t xml:space="preserve"> 5.7</w:t>
            </w:r>
          </w:p>
        </w:tc>
        <w:tc>
          <w:tcPr>
            <w:tcW w:w="1011" w:type="dxa"/>
            <w:tcBorders>
              <w:bottom w:val="single" w:sz="6" w:space="0" w:color="auto"/>
            </w:tcBorders>
          </w:tcPr>
          <w:p w:rsidR="00000000" w:rsidRDefault="001F233B">
            <w:pPr>
              <w:jc w:val="right"/>
              <w:rPr>
                <w:rFonts w:ascii="Arial" w:hAnsi="Arial"/>
                <w:color w:val="000000"/>
                <w:sz w:val="18"/>
              </w:rPr>
            </w:pPr>
            <w:r>
              <w:rPr>
                <w:rFonts w:ascii="Arial" w:hAnsi="Arial"/>
                <w:color w:val="000000"/>
                <w:sz w:val="18"/>
              </w:rPr>
              <w:t>-2.3</w:t>
            </w: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Total Current Grants</w:t>
            </w:r>
          </w:p>
        </w:tc>
        <w:tc>
          <w:tcPr>
            <w:tcW w:w="1011" w:type="dxa"/>
          </w:tcPr>
          <w:p w:rsidR="00000000" w:rsidRDefault="001F233B">
            <w:pPr>
              <w:jc w:val="right"/>
              <w:rPr>
                <w:rFonts w:ascii="Arial" w:hAnsi="Arial"/>
                <w:color w:val="000000"/>
                <w:sz w:val="18"/>
              </w:rPr>
            </w:pPr>
            <w:r>
              <w:rPr>
                <w:rFonts w:ascii="Arial" w:hAnsi="Arial"/>
                <w:color w:val="000000"/>
                <w:sz w:val="18"/>
              </w:rPr>
              <w:t>2 192.8</w:t>
            </w:r>
          </w:p>
        </w:tc>
        <w:tc>
          <w:tcPr>
            <w:tcW w:w="1010" w:type="dxa"/>
          </w:tcPr>
          <w:p w:rsidR="00000000" w:rsidRDefault="001F233B">
            <w:pPr>
              <w:jc w:val="right"/>
              <w:rPr>
                <w:rFonts w:ascii="Arial" w:hAnsi="Arial"/>
                <w:color w:val="000000"/>
                <w:sz w:val="18"/>
              </w:rPr>
            </w:pPr>
            <w:r>
              <w:rPr>
                <w:rFonts w:ascii="Arial" w:hAnsi="Arial"/>
                <w:color w:val="000000"/>
                <w:sz w:val="18"/>
              </w:rPr>
              <w:t>2 436.6</w:t>
            </w:r>
          </w:p>
        </w:tc>
        <w:tc>
          <w:tcPr>
            <w:tcW w:w="1011" w:type="dxa"/>
          </w:tcPr>
          <w:p w:rsidR="00000000" w:rsidRDefault="001F233B">
            <w:pPr>
              <w:jc w:val="right"/>
              <w:rPr>
                <w:rFonts w:ascii="Arial" w:hAnsi="Arial"/>
                <w:color w:val="000000"/>
                <w:sz w:val="18"/>
              </w:rPr>
            </w:pPr>
            <w:r>
              <w:rPr>
                <w:rFonts w:ascii="Arial" w:hAnsi="Arial"/>
                <w:color w:val="000000"/>
                <w:sz w:val="18"/>
              </w:rPr>
              <w:t>13.5</w:t>
            </w:r>
          </w:p>
        </w:tc>
      </w:tr>
      <w:tr w:rsidR="00000000">
        <w:tblPrEx>
          <w:tblCellMar>
            <w:top w:w="0" w:type="dxa"/>
            <w:bottom w:w="0" w:type="dxa"/>
          </w:tblCellMar>
        </w:tblPrEx>
        <w:trPr>
          <w:trHeight w:hRule="exact" w:val="280"/>
        </w:trPr>
        <w:tc>
          <w:tcPr>
            <w:tcW w:w="6053" w:type="dxa"/>
            <w:hMerge w:val="restart"/>
          </w:tcPr>
          <w:p w:rsidR="00000000" w:rsidRDefault="001F233B">
            <w:pPr>
              <w:rPr>
                <w:rFonts w:ascii="Arial" w:hAnsi="Arial"/>
                <w:b/>
                <w:color w:val="000000"/>
                <w:sz w:val="18"/>
              </w:rPr>
            </w:pPr>
            <w:r>
              <w:rPr>
                <w:rFonts w:ascii="Arial" w:hAnsi="Arial"/>
                <w:b/>
                <w:color w:val="000000"/>
                <w:sz w:val="18"/>
              </w:rPr>
              <w:t>Grants for Government Programs: Capital</w:t>
            </w:r>
          </w:p>
        </w:tc>
        <w:tc>
          <w:tcPr>
            <w:hMerge/>
          </w:tcPr>
          <w:p w:rsidR="00000000" w:rsidRDefault="001F233B">
            <w:pPr>
              <w:jc w:val="right"/>
              <w:rPr>
                <w:rFonts w:ascii="Arial" w:hAnsi="Arial"/>
                <w:color w:val="000000"/>
                <w:sz w:val="18"/>
              </w:rPr>
            </w:pPr>
          </w:p>
        </w:tc>
        <w:tc>
          <w:tcPr>
            <w:gridSpan w:val="3"/>
            <w:hMerge/>
          </w:tcPr>
          <w:p w:rsidR="00000000" w:rsidRDefault="001F233B">
            <w:pPr>
              <w:jc w:val="right"/>
              <w:rPr>
                <w:rFonts w:ascii="Arial" w:hAnsi="Arial"/>
                <w:color w:val="000000"/>
                <w:sz w:val="18"/>
              </w:rPr>
            </w:pPr>
          </w:p>
        </w:tc>
        <w:tc>
          <w:tcPr>
            <w:tcW w:w="1011"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Education</w:t>
            </w:r>
            <w:r>
              <w:rPr>
                <w:rFonts w:ascii="Arial" w:hAnsi="Arial"/>
                <w:color w:val="000000"/>
                <w:sz w:val="18"/>
              </w:rPr>
              <w:fldChar w:fldCharType="begin"/>
            </w:r>
            <w:r>
              <w:rPr>
                <w:rFonts w:ascii="Arial" w:hAnsi="Arial"/>
                <w:color w:val="000000"/>
                <w:sz w:val="18"/>
              </w:rPr>
              <w:instrText>xe "Education"</w:instrText>
            </w:r>
            <w:r>
              <w:rPr>
                <w:rFonts w:ascii="Arial" w:hAnsi="Arial"/>
                <w:color w:val="000000"/>
                <w:sz w:val="18"/>
              </w:rPr>
              <w:fldChar w:fldCharType="end"/>
            </w:r>
          </w:p>
        </w:tc>
        <w:tc>
          <w:tcPr>
            <w:tcW w:w="1011" w:type="dxa"/>
          </w:tcPr>
          <w:p w:rsidR="00000000" w:rsidRDefault="001F233B">
            <w:pPr>
              <w:jc w:val="right"/>
              <w:rPr>
                <w:rFonts w:ascii="Arial" w:hAnsi="Arial"/>
                <w:color w:val="000000"/>
                <w:sz w:val="18"/>
              </w:rPr>
            </w:pPr>
            <w:r>
              <w:rPr>
                <w:rFonts w:ascii="Arial" w:hAnsi="Arial"/>
                <w:color w:val="000000"/>
                <w:sz w:val="18"/>
              </w:rPr>
              <w:t>95.6</w:t>
            </w:r>
          </w:p>
        </w:tc>
        <w:tc>
          <w:tcPr>
            <w:tcW w:w="1010" w:type="dxa"/>
          </w:tcPr>
          <w:p w:rsidR="00000000" w:rsidRDefault="001F233B">
            <w:pPr>
              <w:jc w:val="right"/>
              <w:rPr>
                <w:rFonts w:ascii="Arial" w:hAnsi="Arial"/>
                <w:color w:val="000000"/>
                <w:sz w:val="18"/>
              </w:rPr>
            </w:pPr>
            <w:r>
              <w:rPr>
                <w:rFonts w:ascii="Arial" w:hAnsi="Arial"/>
                <w:color w:val="000000"/>
                <w:sz w:val="18"/>
              </w:rPr>
              <w:t xml:space="preserve"> 94.5</w:t>
            </w:r>
          </w:p>
        </w:tc>
        <w:tc>
          <w:tcPr>
            <w:tcW w:w="1011" w:type="dxa"/>
          </w:tcPr>
          <w:p w:rsidR="00000000" w:rsidRDefault="001F233B">
            <w:pPr>
              <w:jc w:val="right"/>
              <w:rPr>
                <w:rFonts w:ascii="Arial" w:hAnsi="Arial"/>
                <w:color w:val="000000"/>
                <w:sz w:val="18"/>
              </w:rPr>
            </w:pPr>
            <w:r>
              <w:rPr>
                <w:rFonts w:ascii="Arial" w:hAnsi="Arial"/>
                <w:color w:val="000000"/>
                <w:sz w:val="18"/>
              </w:rPr>
              <w:t>-33.2</w:t>
            </w: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Human Services</w:t>
            </w:r>
          </w:p>
        </w:tc>
        <w:tc>
          <w:tcPr>
            <w:tcW w:w="1011" w:type="dxa"/>
          </w:tcPr>
          <w:p w:rsidR="00000000" w:rsidRDefault="001F233B">
            <w:pPr>
              <w:jc w:val="right"/>
              <w:rPr>
                <w:rFonts w:ascii="Arial" w:hAnsi="Arial"/>
                <w:color w:val="000000"/>
                <w:sz w:val="18"/>
              </w:rPr>
            </w:pPr>
            <w:r>
              <w:rPr>
                <w:rFonts w:ascii="Arial" w:hAnsi="Arial"/>
                <w:color w:val="000000"/>
                <w:sz w:val="18"/>
              </w:rPr>
              <w:t xml:space="preserve"> 263.1</w:t>
            </w:r>
          </w:p>
        </w:tc>
        <w:tc>
          <w:tcPr>
            <w:tcW w:w="1010" w:type="dxa"/>
          </w:tcPr>
          <w:p w:rsidR="00000000" w:rsidRDefault="001F233B">
            <w:pPr>
              <w:jc w:val="right"/>
              <w:rPr>
                <w:rFonts w:ascii="Arial" w:hAnsi="Arial"/>
                <w:color w:val="000000"/>
                <w:sz w:val="18"/>
              </w:rPr>
            </w:pPr>
            <w:r>
              <w:rPr>
                <w:rFonts w:ascii="Arial" w:hAnsi="Arial"/>
                <w:color w:val="000000"/>
                <w:sz w:val="18"/>
              </w:rPr>
              <w:t xml:space="preserve"> 219.1</w:t>
            </w:r>
          </w:p>
        </w:tc>
        <w:tc>
          <w:tcPr>
            <w:tcW w:w="1011" w:type="dxa"/>
          </w:tcPr>
          <w:p w:rsidR="00000000" w:rsidRDefault="001F233B">
            <w:pPr>
              <w:jc w:val="right"/>
              <w:rPr>
                <w:rFonts w:ascii="Arial" w:hAnsi="Arial"/>
                <w:color w:val="000000"/>
                <w:sz w:val="18"/>
              </w:rPr>
            </w:pPr>
            <w:r>
              <w:rPr>
                <w:rFonts w:ascii="Arial" w:hAnsi="Arial"/>
                <w:color w:val="000000"/>
                <w:sz w:val="18"/>
              </w:rPr>
              <w:t>-16.7</w:t>
            </w: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Infrastructure</w:t>
            </w:r>
            <w:r>
              <w:rPr>
                <w:rFonts w:ascii="Arial" w:hAnsi="Arial"/>
                <w:color w:val="000000"/>
                <w:sz w:val="18"/>
              </w:rPr>
              <w:fldChar w:fldCharType="begin"/>
            </w:r>
            <w:r>
              <w:rPr>
                <w:rFonts w:ascii="Arial" w:hAnsi="Arial"/>
                <w:color w:val="000000"/>
                <w:sz w:val="18"/>
              </w:rPr>
              <w:instrText>xe "Economy:Infrastructure"</w:instrText>
            </w:r>
            <w:r>
              <w:rPr>
                <w:rFonts w:ascii="Arial" w:hAnsi="Arial"/>
                <w:color w:val="000000"/>
                <w:sz w:val="18"/>
              </w:rPr>
              <w:fldChar w:fldCharType="end"/>
            </w:r>
          </w:p>
        </w:tc>
        <w:tc>
          <w:tcPr>
            <w:tcW w:w="1011" w:type="dxa"/>
          </w:tcPr>
          <w:p w:rsidR="00000000" w:rsidRDefault="001F233B">
            <w:pPr>
              <w:jc w:val="right"/>
              <w:rPr>
                <w:rFonts w:ascii="Arial" w:hAnsi="Arial"/>
                <w:color w:val="000000"/>
                <w:sz w:val="18"/>
              </w:rPr>
            </w:pPr>
            <w:r>
              <w:rPr>
                <w:rFonts w:ascii="Arial" w:hAnsi="Arial"/>
                <w:color w:val="000000"/>
                <w:sz w:val="18"/>
              </w:rPr>
              <w:t xml:space="preserve"> 86.6</w:t>
            </w:r>
          </w:p>
        </w:tc>
        <w:tc>
          <w:tcPr>
            <w:tcW w:w="1010" w:type="dxa"/>
          </w:tcPr>
          <w:p w:rsidR="00000000" w:rsidRDefault="001F233B">
            <w:pPr>
              <w:jc w:val="right"/>
              <w:rPr>
                <w:rFonts w:ascii="Arial" w:hAnsi="Arial"/>
                <w:color w:val="000000"/>
                <w:sz w:val="18"/>
              </w:rPr>
            </w:pPr>
            <w:r>
              <w:rPr>
                <w:rFonts w:ascii="Arial" w:hAnsi="Arial"/>
                <w:color w:val="000000"/>
                <w:sz w:val="18"/>
              </w:rPr>
              <w:t xml:space="preserve"> 87.9</w:t>
            </w:r>
          </w:p>
        </w:tc>
        <w:tc>
          <w:tcPr>
            <w:tcW w:w="1011" w:type="dxa"/>
          </w:tcPr>
          <w:p w:rsidR="00000000" w:rsidRDefault="001F233B">
            <w:pPr>
              <w:jc w:val="right"/>
              <w:rPr>
                <w:rFonts w:ascii="Arial" w:hAnsi="Arial"/>
                <w:color w:val="000000"/>
                <w:sz w:val="18"/>
              </w:rPr>
            </w:pPr>
            <w:r>
              <w:rPr>
                <w:rFonts w:ascii="Arial" w:hAnsi="Arial"/>
                <w:color w:val="000000"/>
                <w:sz w:val="18"/>
              </w:rPr>
              <w:t>1.5</w:t>
            </w: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Natural Resources and Environment</w:t>
            </w:r>
            <w:r>
              <w:rPr>
                <w:rFonts w:ascii="Arial" w:hAnsi="Arial"/>
                <w:color w:val="000000"/>
                <w:sz w:val="18"/>
              </w:rPr>
              <w:fldChar w:fldCharType="begin"/>
            </w:r>
            <w:r>
              <w:rPr>
                <w:rFonts w:ascii="Arial" w:hAnsi="Arial"/>
                <w:color w:val="000000"/>
                <w:sz w:val="18"/>
              </w:rPr>
              <w:instrText>xe "Department of Natural Resources and Environment"</w:instrText>
            </w:r>
            <w:r>
              <w:rPr>
                <w:rFonts w:ascii="Arial" w:hAnsi="Arial"/>
                <w:color w:val="000000"/>
                <w:sz w:val="18"/>
              </w:rPr>
              <w:fldChar w:fldCharType="end"/>
            </w:r>
          </w:p>
        </w:tc>
        <w:tc>
          <w:tcPr>
            <w:tcW w:w="1011" w:type="dxa"/>
          </w:tcPr>
          <w:p w:rsidR="00000000" w:rsidRDefault="001F233B">
            <w:pPr>
              <w:jc w:val="right"/>
              <w:rPr>
                <w:rFonts w:ascii="Arial" w:hAnsi="Arial"/>
                <w:color w:val="000000"/>
                <w:sz w:val="18"/>
              </w:rPr>
            </w:pPr>
            <w:r>
              <w:rPr>
                <w:rFonts w:ascii="Arial" w:hAnsi="Arial"/>
                <w:color w:val="000000"/>
                <w:sz w:val="18"/>
              </w:rPr>
              <w:t xml:space="preserve"> 0.9</w:t>
            </w:r>
          </w:p>
        </w:tc>
        <w:tc>
          <w:tcPr>
            <w:tcW w:w="1010" w:type="dxa"/>
          </w:tcPr>
          <w:p w:rsidR="00000000" w:rsidRDefault="001F233B">
            <w:pPr>
              <w:jc w:val="right"/>
              <w:rPr>
                <w:rFonts w:ascii="Arial" w:hAnsi="Arial"/>
                <w:color w:val="000000"/>
                <w:sz w:val="18"/>
              </w:rPr>
            </w:pPr>
            <w:r>
              <w:rPr>
                <w:rFonts w:ascii="Arial" w:hAnsi="Arial"/>
                <w:color w:val="000000"/>
                <w:sz w:val="18"/>
              </w:rPr>
              <w:t xml:space="preserve"> 0.1</w:t>
            </w:r>
          </w:p>
        </w:tc>
        <w:tc>
          <w:tcPr>
            <w:tcW w:w="1011" w:type="dxa"/>
          </w:tcPr>
          <w:p w:rsidR="00000000" w:rsidRDefault="001F233B">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Treasury and Finance</w:t>
            </w:r>
          </w:p>
        </w:tc>
        <w:tc>
          <w:tcPr>
            <w:tcW w:w="1011" w:type="dxa"/>
            <w:tcBorders>
              <w:bottom w:val="single" w:sz="6" w:space="0" w:color="auto"/>
            </w:tcBorders>
          </w:tcPr>
          <w:p w:rsidR="00000000" w:rsidRDefault="001F233B">
            <w:pPr>
              <w:jc w:val="right"/>
              <w:rPr>
                <w:rFonts w:ascii="Arial" w:hAnsi="Arial"/>
                <w:color w:val="000000"/>
                <w:sz w:val="18"/>
              </w:rPr>
            </w:pPr>
            <w:r>
              <w:rPr>
                <w:rFonts w:ascii="Arial" w:hAnsi="Arial"/>
                <w:color w:val="000000"/>
                <w:sz w:val="18"/>
              </w:rPr>
              <w:t xml:space="preserve"> 0.1</w:t>
            </w:r>
          </w:p>
        </w:tc>
        <w:tc>
          <w:tcPr>
            <w:tcW w:w="1010" w:type="dxa"/>
            <w:tcBorders>
              <w:bottom w:val="single" w:sz="6" w:space="0" w:color="auto"/>
            </w:tcBorders>
          </w:tcPr>
          <w:p w:rsidR="00000000" w:rsidRDefault="001F233B">
            <w:pPr>
              <w:jc w:val="right"/>
              <w:rPr>
                <w:rFonts w:ascii="Arial" w:hAnsi="Arial"/>
                <w:color w:val="000000"/>
                <w:sz w:val="18"/>
              </w:rPr>
            </w:pPr>
            <w:r>
              <w:rPr>
                <w:rFonts w:ascii="Arial" w:hAnsi="Arial"/>
                <w:color w:val="000000"/>
                <w:sz w:val="18"/>
              </w:rPr>
              <w:t>..</w:t>
            </w:r>
          </w:p>
        </w:tc>
        <w:tc>
          <w:tcPr>
            <w:tcW w:w="1011" w:type="dxa"/>
            <w:tcBorders>
              <w:bottom w:val="single" w:sz="6" w:space="0" w:color="auto"/>
            </w:tcBorders>
          </w:tcPr>
          <w:p w:rsidR="00000000" w:rsidRDefault="001F233B">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80"/>
        </w:trPr>
        <w:tc>
          <w:tcPr>
            <w:tcW w:w="4032" w:type="dxa"/>
            <w:gridSpan w:val="3"/>
          </w:tcPr>
          <w:p w:rsidR="00000000" w:rsidRDefault="001F233B">
            <w:pPr>
              <w:rPr>
                <w:rFonts w:ascii="Arial" w:hAnsi="Arial"/>
                <w:color w:val="000000"/>
                <w:sz w:val="18"/>
              </w:rPr>
            </w:pPr>
            <w:r>
              <w:rPr>
                <w:rFonts w:ascii="Arial" w:hAnsi="Arial"/>
                <w:color w:val="000000"/>
                <w:sz w:val="18"/>
              </w:rPr>
              <w:t>Total Capital Grants</w:t>
            </w:r>
          </w:p>
        </w:tc>
        <w:tc>
          <w:tcPr>
            <w:tcW w:w="1011" w:type="dxa"/>
          </w:tcPr>
          <w:p w:rsidR="00000000" w:rsidRDefault="001F233B">
            <w:pPr>
              <w:jc w:val="right"/>
              <w:rPr>
                <w:rFonts w:ascii="Arial" w:hAnsi="Arial"/>
                <w:color w:val="000000"/>
                <w:sz w:val="18"/>
              </w:rPr>
            </w:pPr>
            <w:r>
              <w:rPr>
                <w:rFonts w:ascii="Arial" w:hAnsi="Arial"/>
                <w:color w:val="000000"/>
                <w:sz w:val="18"/>
              </w:rPr>
              <w:t xml:space="preserve"> 44</w:t>
            </w:r>
            <w:r>
              <w:rPr>
                <w:rFonts w:ascii="Arial" w:hAnsi="Arial"/>
                <w:color w:val="000000"/>
                <w:sz w:val="18"/>
              </w:rPr>
              <w:t>6.2</w:t>
            </w:r>
          </w:p>
        </w:tc>
        <w:tc>
          <w:tcPr>
            <w:tcW w:w="1010" w:type="dxa"/>
          </w:tcPr>
          <w:p w:rsidR="00000000" w:rsidRDefault="001F233B">
            <w:pPr>
              <w:jc w:val="right"/>
              <w:rPr>
                <w:rFonts w:ascii="Arial" w:hAnsi="Arial"/>
                <w:color w:val="000000"/>
                <w:sz w:val="18"/>
              </w:rPr>
            </w:pPr>
            <w:r>
              <w:rPr>
                <w:rFonts w:ascii="Arial" w:hAnsi="Arial"/>
                <w:color w:val="000000"/>
                <w:sz w:val="18"/>
              </w:rPr>
              <w:t xml:space="preserve"> 401.6</w:t>
            </w:r>
          </w:p>
        </w:tc>
        <w:tc>
          <w:tcPr>
            <w:tcW w:w="1011" w:type="dxa"/>
          </w:tcPr>
          <w:p w:rsidR="00000000" w:rsidRDefault="001F233B">
            <w:pPr>
              <w:jc w:val="right"/>
              <w:rPr>
                <w:rFonts w:ascii="Arial" w:hAnsi="Arial"/>
                <w:color w:val="000000"/>
                <w:sz w:val="18"/>
              </w:rPr>
            </w:pPr>
            <w:r>
              <w:rPr>
                <w:rFonts w:ascii="Arial" w:hAnsi="Arial"/>
                <w:color w:val="000000"/>
                <w:sz w:val="18"/>
              </w:rPr>
              <w:t>-18.4</w:t>
            </w:r>
          </w:p>
        </w:tc>
      </w:tr>
      <w:tr w:rsidR="00000000">
        <w:tblPrEx>
          <w:tblCellMar>
            <w:top w:w="0" w:type="dxa"/>
            <w:bottom w:w="0" w:type="dxa"/>
          </w:tblCellMar>
        </w:tblPrEx>
        <w:trPr>
          <w:trHeight w:hRule="exact" w:val="280"/>
        </w:trPr>
        <w:tc>
          <w:tcPr>
            <w:tcW w:w="4032" w:type="dxa"/>
            <w:gridSpan w:val="3"/>
            <w:tcBorders>
              <w:bottom w:val="single" w:sz="12" w:space="0" w:color="auto"/>
            </w:tcBorders>
          </w:tcPr>
          <w:p w:rsidR="00000000" w:rsidRDefault="001F233B">
            <w:pPr>
              <w:pStyle w:val="Heading6"/>
              <w:rPr>
                <w:i w:val="0"/>
                <w:vertAlign w:val="superscript"/>
              </w:rPr>
            </w:pPr>
            <w:r>
              <w:t xml:space="preserve">Total Specific Purpose Grants </w:t>
            </w:r>
          </w:p>
        </w:tc>
        <w:tc>
          <w:tcPr>
            <w:tcW w:w="1011" w:type="dxa"/>
            <w:tcBorders>
              <w:bottom w:val="single" w:sz="12" w:space="0" w:color="auto"/>
            </w:tcBorders>
          </w:tcPr>
          <w:p w:rsidR="00000000" w:rsidRDefault="001F233B">
            <w:pPr>
              <w:jc w:val="right"/>
              <w:rPr>
                <w:rFonts w:ascii="Arial" w:hAnsi="Arial"/>
                <w:b/>
                <w:color w:val="000000"/>
                <w:sz w:val="18"/>
              </w:rPr>
            </w:pPr>
            <w:r>
              <w:rPr>
                <w:rFonts w:ascii="Arial" w:hAnsi="Arial"/>
                <w:b/>
                <w:color w:val="000000"/>
                <w:sz w:val="18"/>
              </w:rPr>
              <w:t>2 639.0</w:t>
            </w:r>
          </w:p>
        </w:tc>
        <w:tc>
          <w:tcPr>
            <w:tcW w:w="1010" w:type="dxa"/>
            <w:tcBorders>
              <w:bottom w:val="single" w:sz="12" w:space="0" w:color="auto"/>
            </w:tcBorders>
          </w:tcPr>
          <w:p w:rsidR="00000000" w:rsidRDefault="001F233B">
            <w:pPr>
              <w:jc w:val="right"/>
              <w:rPr>
                <w:rFonts w:ascii="Arial" w:hAnsi="Arial"/>
                <w:b/>
                <w:color w:val="000000"/>
                <w:sz w:val="18"/>
              </w:rPr>
            </w:pPr>
            <w:r>
              <w:rPr>
                <w:rFonts w:ascii="Arial" w:hAnsi="Arial"/>
                <w:b/>
                <w:color w:val="000000"/>
                <w:sz w:val="18"/>
              </w:rPr>
              <w:t>2 838.1</w:t>
            </w:r>
          </w:p>
        </w:tc>
        <w:tc>
          <w:tcPr>
            <w:tcW w:w="1011" w:type="dxa"/>
            <w:tcBorders>
              <w:bottom w:val="single" w:sz="12" w:space="0" w:color="auto"/>
            </w:tcBorders>
          </w:tcPr>
          <w:p w:rsidR="00000000" w:rsidRDefault="001F233B">
            <w:pPr>
              <w:jc w:val="right"/>
              <w:rPr>
                <w:rFonts w:ascii="Arial" w:hAnsi="Arial"/>
                <w:b/>
                <w:color w:val="000000"/>
                <w:sz w:val="18"/>
              </w:rPr>
            </w:pPr>
            <w:r>
              <w:rPr>
                <w:rFonts w:ascii="Arial" w:hAnsi="Arial"/>
                <w:b/>
                <w:color w:val="000000"/>
                <w:sz w:val="18"/>
              </w:rPr>
              <w:t>7.5</w:t>
            </w:r>
          </w:p>
        </w:tc>
      </w:tr>
    </w:tbl>
    <w:p w:rsidR="00000000" w:rsidRDefault="001F233B">
      <w:pPr>
        <w:pStyle w:val="Source"/>
      </w:pPr>
      <w:r>
        <w:t>Source: Department of Treasury and Finance.</w:t>
      </w:r>
    </w:p>
    <w:p w:rsidR="00000000" w:rsidRDefault="001F233B">
      <w:pPr>
        <w:pStyle w:val="Notes"/>
      </w:pPr>
      <w:r>
        <w:t xml:space="preserve">Note: </w:t>
      </w:r>
    </w:p>
    <w:p w:rsidR="00000000" w:rsidRDefault="001F233B">
      <w:pPr>
        <w:pStyle w:val="Notes"/>
        <w:spacing w:after="240"/>
      </w:pPr>
      <w:r>
        <w:t>(a)</w:t>
      </w:r>
      <w:r>
        <w:tab/>
        <w:t>Excludes grants for on</w:t>
      </w:r>
      <w:r>
        <w:noBreakHyphen/>
        <w:t>passing.</w:t>
      </w:r>
    </w:p>
    <w:p w:rsidR="00000000" w:rsidRDefault="001F233B">
      <w:pPr>
        <w:pStyle w:val="Heading2"/>
      </w:pPr>
      <w:bookmarkStart w:id="192" w:name="_Toc417482351"/>
      <w:bookmarkStart w:id="193" w:name="_Toc417552123"/>
      <w:r>
        <w:t>Commonwealth</w:t>
      </w:r>
      <w:r>
        <w:noBreakHyphen/>
        <w:t>State issues</w:t>
      </w:r>
      <w:bookmarkEnd w:id="192"/>
      <w:bookmarkEnd w:id="193"/>
    </w:p>
    <w:p w:rsidR="00000000" w:rsidRDefault="001F233B">
      <w:r>
        <w:t>Key issues covered in this section are trends in Commonwealth payments, vertical fiscal imbalance</w:t>
      </w:r>
      <w:r>
        <w:fldChar w:fldCharType="begin"/>
      </w:r>
      <w:r>
        <w:instrText>xe "Vertical fiscal imbalance (VFI)"</w:instrText>
      </w:r>
      <w:r>
        <w:fldChar w:fldCharType="end"/>
      </w:r>
      <w:r>
        <w:t>, horizontal fiscal equalisation</w:t>
      </w:r>
      <w:r>
        <w:fldChar w:fldCharType="begin"/>
      </w:r>
      <w:r>
        <w:instrText>xe "Horizontal fiscal equalisation (HFE)"</w:instrText>
      </w:r>
      <w:r>
        <w:fldChar w:fldCharType="end"/>
      </w:r>
      <w:r>
        <w:t xml:space="preserve"> and policy issues in SPPs</w:t>
      </w:r>
      <w:r>
        <w:fldChar w:fldCharType="begin"/>
      </w:r>
      <w:r>
        <w:instrText>xe "Specific purpose payments"</w:instrText>
      </w:r>
      <w:r>
        <w:fldChar w:fldCharType="end"/>
      </w:r>
      <w:r>
        <w:t>.</w:t>
      </w:r>
    </w:p>
    <w:p w:rsidR="00000000" w:rsidRDefault="001F233B">
      <w:pPr>
        <w:pStyle w:val="Heading3"/>
      </w:pPr>
      <w:r>
        <w:t>Trends in Commonwealth payments</w:t>
      </w:r>
    </w:p>
    <w:p w:rsidR="00000000" w:rsidRDefault="001F233B">
      <w:r>
        <w:t>Financial relations continu</w:t>
      </w:r>
      <w:r>
        <w:t>e to be dominated by a declining trend in Commonwealth payments to the States, whether measured as the ratio of Commonwealth grants to the States relative to gross domestic product or to Commonwealth taxation revenue (see Charts 9.1 and 9.2). Reflecting cuts to specific purpose payments</w:t>
      </w:r>
      <w:r>
        <w:fldChar w:fldCharType="begin"/>
      </w:r>
      <w:r>
        <w:instrText>xe "Specific purpose payments"</w:instrText>
      </w:r>
      <w:r>
        <w:fldChar w:fldCharType="end"/>
      </w:r>
      <w:r>
        <w:t xml:space="preserve"> over the past couple of years, the share of total grants, which are tied to expenditure for specific purposes, has fallen marginally but nonetheless remains at high levels (see Chart 9.3). Thi</w:t>
      </w:r>
      <w:r>
        <w:t xml:space="preserve">s further constrains the fiscal flexibility of the States. </w:t>
      </w:r>
    </w:p>
    <w:p w:rsidR="00000000" w:rsidRDefault="001F233B">
      <w:pPr>
        <w:tabs>
          <w:tab w:val="left" w:pos="432"/>
          <w:tab w:val="left" w:pos="6138"/>
        </w:tabs>
      </w:pPr>
      <w:r>
        <w:t>As can be seen in Charts 9.1 and 9.2, the Commonwealth increased its level of grant funding in 1992</w:t>
      </w:r>
      <w:r>
        <w:noBreakHyphen/>
        <w:t xml:space="preserve">93 with the major impact of the Commonwealth’s </w:t>
      </w:r>
      <w:r>
        <w:rPr>
          <w:i/>
        </w:rPr>
        <w:t xml:space="preserve">One Nation Statement </w:t>
      </w:r>
      <w:r>
        <w:t>occurring in that year. Even after allowing for this one</w:t>
      </w:r>
      <w:r>
        <w:noBreakHyphen/>
        <w:t>off effect, in the years following 1993</w:t>
      </w:r>
      <w:r>
        <w:noBreakHyphen/>
        <w:t>94, the sum of all grants to the States including financial assistance grants</w:t>
      </w:r>
      <w:r>
        <w:fldChar w:fldCharType="begin"/>
      </w:r>
      <w:r>
        <w:instrText>xe "Financial assistance grants"</w:instrText>
      </w:r>
      <w:r>
        <w:fldChar w:fldCharType="end"/>
      </w:r>
      <w:r>
        <w:t>, health</w:t>
      </w:r>
      <w:r>
        <w:fldChar w:fldCharType="begin"/>
      </w:r>
      <w:r>
        <w:instrText>xe "Health"</w:instrText>
      </w:r>
      <w:r>
        <w:fldChar w:fldCharType="end"/>
      </w:r>
      <w:r>
        <w:t xml:space="preserve"> funding grants and SPPs</w:t>
      </w:r>
      <w:r>
        <w:fldChar w:fldCharType="begin"/>
      </w:r>
      <w:r>
        <w:instrText>xe "Specific purpose payments"</w:instrText>
      </w:r>
      <w:r>
        <w:fldChar w:fldCharType="end"/>
      </w:r>
      <w:r>
        <w:t xml:space="preserve"> declined from around 6 per cent of GDP to 5 per cent by 1997</w:t>
      </w:r>
      <w:r>
        <w:noBreakHyphen/>
        <w:t>98. Grants as a share of Commonwealth taxes also declined from 27 per cent to 21 per cent in the five years from 1993</w:t>
      </w:r>
      <w:r>
        <w:noBreakHyphen/>
        <w:t>94. This is against the background of a longer term decline since 1983</w:t>
      </w:r>
      <w:r>
        <w:noBreakHyphen/>
        <w:t xml:space="preserve">84. </w:t>
      </w:r>
    </w:p>
    <w:p w:rsidR="00000000" w:rsidRDefault="001F233B">
      <w:pPr>
        <w:pStyle w:val="Chartheading"/>
      </w:pPr>
      <w:r>
        <w:t>Chart 9.1: Commonwealth Grants as a Share of Gross Domestic Product</w:t>
      </w:r>
    </w:p>
    <w:p w:rsidR="00000000" w:rsidRDefault="001F233B">
      <w:pPr>
        <w:spacing w:after="0"/>
      </w:pPr>
      <w:r>
        <w:rPr>
          <w:noProof/>
          <w:sz w:val="20"/>
        </w:rPr>
        <w:drawing>
          <wp:inline distT="0" distB="0" distL="0" distR="0">
            <wp:extent cx="4467225" cy="27432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467225" cy="2743200"/>
                    </a:xfrm>
                    <a:prstGeom prst="rect">
                      <a:avLst/>
                    </a:prstGeom>
                    <a:noFill/>
                    <a:ln>
                      <a:noFill/>
                    </a:ln>
                  </pic:spPr>
                </pic:pic>
              </a:graphicData>
            </a:graphic>
          </wp:inline>
        </w:drawing>
      </w:r>
    </w:p>
    <w:p w:rsidR="00000000" w:rsidRDefault="001F233B">
      <w:r>
        <w:rPr>
          <w:i/>
          <w:sz w:val="18"/>
        </w:rPr>
        <w:t>Source: Commonwealth Budget Papers, 1997</w:t>
      </w:r>
      <w:r>
        <w:rPr>
          <w:i/>
          <w:sz w:val="18"/>
        </w:rPr>
        <w:noBreakHyphen/>
        <w:t>98 and earlier issues.</w:t>
      </w:r>
    </w:p>
    <w:p w:rsidR="00000000" w:rsidRDefault="001F233B">
      <w:r>
        <w:t>Commonwealth payments to the States as a proportion of GDP has declined from more than 8 per cent in 1983</w:t>
      </w:r>
      <w:r>
        <w:noBreakHyphen/>
        <w:t>84 to about 5 p</w:t>
      </w:r>
      <w:r>
        <w:t>er cent in 1997</w:t>
      </w:r>
      <w:r>
        <w:noBreakHyphen/>
        <w:t>98.</w:t>
      </w:r>
    </w:p>
    <w:p w:rsidR="00000000" w:rsidRDefault="001F233B">
      <w:pPr>
        <w:pStyle w:val="Chartheading"/>
        <w:keepNext/>
        <w:spacing w:before="120"/>
      </w:pPr>
      <w:r>
        <w:t>Chart 9.2: Commonwealth Grants as a Share of Commonwealth Taxes</w:t>
      </w:r>
    </w:p>
    <w:p w:rsidR="00000000" w:rsidRDefault="001F233B">
      <w:pPr>
        <w:spacing w:after="0"/>
        <w:rPr>
          <w:sz w:val="16"/>
        </w:rPr>
      </w:pPr>
      <w:r>
        <w:rPr>
          <w:noProof/>
          <w:sz w:val="20"/>
        </w:rPr>
        <w:drawing>
          <wp:inline distT="0" distB="0" distL="0" distR="0">
            <wp:extent cx="4467225" cy="27432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467225" cy="2743200"/>
                    </a:xfrm>
                    <a:prstGeom prst="rect">
                      <a:avLst/>
                    </a:prstGeom>
                    <a:noFill/>
                    <a:ln>
                      <a:noFill/>
                    </a:ln>
                  </pic:spPr>
                </pic:pic>
              </a:graphicData>
            </a:graphic>
          </wp:inline>
        </w:drawing>
      </w:r>
    </w:p>
    <w:p w:rsidR="00000000" w:rsidRDefault="001F233B">
      <w:pPr>
        <w:pStyle w:val="Source"/>
      </w:pPr>
      <w:r>
        <w:t>Source: Commonwealth Budget Papers, 1997</w:t>
      </w:r>
      <w:r>
        <w:noBreakHyphen/>
        <w:t>98 and earlier issues.</w:t>
      </w:r>
    </w:p>
    <w:p w:rsidR="00000000" w:rsidRDefault="001F233B">
      <w:pPr>
        <w:pStyle w:val="Chartheading"/>
        <w:keepNext/>
      </w:pPr>
      <w:r>
        <w:t>Chart 9.3: Proportion of Commonwealth Grants which are Tied</w:t>
      </w:r>
    </w:p>
    <w:p w:rsidR="00000000" w:rsidRDefault="001F233B">
      <w:pPr>
        <w:spacing w:after="0"/>
      </w:pPr>
      <w:r>
        <w:rPr>
          <w:noProof/>
          <w:sz w:val="20"/>
        </w:rPr>
        <w:drawing>
          <wp:inline distT="0" distB="0" distL="0" distR="0">
            <wp:extent cx="4467225" cy="27432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467225" cy="2743200"/>
                    </a:xfrm>
                    <a:prstGeom prst="rect">
                      <a:avLst/>
                    </a:prstGeom>
                    <a:noFill/>
                    <a:ln>
                      <a:noFill/>
                    </a:ln>
                  </pic:spPr>
                </pic:pic>
              </a:graphicData>
            </a:graphic>
          </wp:inline>
        </w:drawing>
      </w:r>
    </w:p>
    <w:p w:rsidR="00000000" w:rsidRDefault="001F233B">
      <w:pPr>
        <w:pStyle w:val="Source"/>
      </w:pPr>
      <w:r>
        <w:t>Source: Commonwealth Budget Papers, 1997</w:t>
      </w:r>
      <w:r>
        <w:noBreakHyphen/>
        <w:t>98 and earlier issues.</w:t>
      </w:r>
    </w:p>
    <w:p w:rsidR="00000000" w:rsidRDefault="001F233B">
      <w:pPr>
        <w:pStyle w:val="Heading3"/>
      </w:pPr>
      <w:r>
        <w:t>Vertical fiscal imbalance and the tax debate</w:t>
      </w:r>
    </w:p>
    <w:p w:rsidR="00000000" w:rsidRDefault="001F233B">
      <w:pPr>
        <w:tabs>
          <w:tab w:val="left" w:pos="432"/>
          <w:tab w:val="left" w:pos="6138"/>
        </w:tabs>
      </w:pPr>
      <w:r>
        <w:t>While the debate on taxation reform must address the problems of restrictive and regressive tax bases currently available to the States, it must also focus on the Commonwealth</w:t>
      </w:r>
      <w:r>
        <w:noBreakHyphen/>
        <w:t>State relations</w:t>
      </w:r>
      <w:r>
        <w:t>hip. The States see the issue of reducing VFI</w:t>
      </w:r>
      <w:r>
        <w:fldChar w:fldCharType="begin"/>
      </w:r>
      <w:r>
        <w:instrText>xe "Vertical fiscal imbalance (VFI)"</w:instrText>
      </w:r>
      <w:r>
        <w:fldChar w:fldCharType="end"/>
      </w:r>
      <w:r>
        <w:t xml:space="preserve"> as being part of the necessary reform of the national tax arrangements to make the Australian federal system more accountable (see Chapter 5,</w:t>
      </w:r>
      <w:r>
        <w:rPr>
          <w:i/>
        </w:rPr>
        <w:t xml:space="preserve"> Revenue</w:t>
      </w:r>
      <w:r>
        <w:t>, for detailed discussion on national tax reform</w:t>
      </w:r>
      <w:r>
        <w:fldChar w:fldCharType="begin"/>
      </w:r>
      <w:r>
        <w:instrText>xe "National tax reform"</w:instrText>
      </w:r>
      <w:r>
        <w:fldChar w:fldCharType="end"/>
      </w:r>
      <w:r>
        <w:t>).</w:t>
      </w:r>
    </w:p>
    <w:p w:rsidR="00000000" w:rsidRDefault="001F233B">
      <w:pPr>
        <w:tabs>
          <w:tab w:val="left" w:pos="432"/>
          <w:tab w:val="left" w:pos="6138"/>
        </w:tabs>
      </w:pPr>
      <w:r>
        <w:t>One of the fundamentals of an accountable, democratic system of government is its capacity to be responsive to the people who elect the Government. It is impossible for one level of government to meet t</w:t>
      </w:r>
      <w:r>
        <w:t xml:space="preserve">he diverse needs and expectations that arise in a country as vast as Australia. A federal system allows government to be flexible and responsive to the people within a framework that reflects common interests. </w:t>
      </w:r>
    </w:p>
    <w:p w:rsidR="00000000" w:rsidRDefault="001F233B">
      <w:pPr>
        <w:tabs>
          <w:tab w:val="left" w:pos="432"/>
          <w:tab w:val="left" w:pos="6138"/>
        </w:tabs>
      </w:pPr>
      <w:r>
        <w:t>Constraints on States’ revenue have seriously undermined their capacity to deliver to their citizens the services expected and demanded. The fiscal autonomy of the States is compromised by an increasingly inadequate and insecure State tax base, exacerbated in the light of the 5 August 1997 High Court</w:t>
      </w:r>
      <w:r>
        <w:t xml:space="preserve"> decision relating to Section 90</w:t>
      </w:r>
      <w:r>
        <w:fldChar w:fldCharType="begin"/>
      </w:r>
      <w:r>
        <w:instrText>xe "Section 90"</w:instrText>
      </w:r>
      <w:r>
        <w:fldChar w:fldCharType="end"/>
      </w:r>
      <w:r>
        <w:t xml:space="preserve"> of the Constitution which denies the States the power to tax goods. With the loss of autonomy over $5 000 million in franchise fee revenues, the States are now even more tied to Commonwealth determined outcomes.</w:t>
      </w:r>
    </w:p>
    <w:p w:rsidR="00000000" w:rsidRDefault="001F233B">
      <w:r>
        <w:t>In the interests of greater accountability and efficiency, the States have consistently argued for a realignment of taxing powers and/or expenditure responsibilities to lessen the imbalance. The taxpayer has the right to expect, and to be able to see</w:t>
      </w:r>
      <w:r>
        <w:t xml:space="preserve"> clearly, that Commonwealth Budget results are achieved through responsible financial management, not by withholding from the States funding needed for essential services. </w:t>
      </w:r>
    </w:p>
    <w:p w:rsidR="00000000" w:rsidRDefault="001F233B">
      <w:r>
        <w:t>States must also be accountable. To get true accountability to the taxpayer, people must be able to see a clear link between the money raised by governments through taxation, and the range of services provided to the community. Moreover, they must be able to voice their preferences to governments about the combined package of taxation an</w:t>
      </w:r>
      <w:r>
        <w:t>d service provision.</w:t>
      </w:r>
    </w:p>
    <w:p w:rsidR="00000000" w:rsidRDefault="001F233B">
      <w:pPr>
        <w:tabs>
          <w:tab w:val="left" w:pos="432"/>
          <w:tab w:val="left" w:pos="6138"/>
        </w:tabs>
      </w:pPr>
      <w:r>
        <w:t>At present, with various streams of revenue and expenditure and substantial transfer payments, it is not clear who pays for what. States and Territories should be held responsible for delivering the services according to regional needs. States need direct access and control over a growth tax. Clearly this can only be addressed as part of national tax reform</w:t>
      </w:r>
      <w:r>
        <w:fldChar w:fldCharType="begin"/>
      </w:r>
      <w:r>
        <w:instrText>xe "National tax reform"</w:instrText>
      </w:r>
      <w:r>
        <w:fldChar w:fldCharType="end"/>
      </w:r>
      <w:r>
        <w:t xml:space="preserve"> which should include abolition of some of the States’ most distortionary indirect taxes. </w:t>
      </w:r>
    </w:p>
    <w:p w:rsidR="00000000" w:rsidRDefault="001F233B">
      <w:pPr>
        <w:tabs>
          <w:tab w:val="left" w:pos="432"/>
          <w:tab w:val="left" w:pos="6138"/>
        </w:tabs>
        <w:rPr>
          <w:b/>
          <w:i/>
          <w:sz w:val="28"/>
        </w:rPr>
      </w:pPr>
      <w:r>
        <w:t>It is essential</w:t>
      </w:r>
      <w:r>
        <w:t xml:space="preserve"> that the States obtain access to a secure revenue tax base that grows in line with the economy and matches growth in service delivery</w:t>
      </w:r>
      <w:r>
        <w:fldChar w:fldCharType="begin"/>
      </w:r>
      <w:r>
        <w:instrText>xe "Service delivery"</w:instrText>
      </w:r>
      <w:r>
        <w:fldChar w:fldCharType="end"/>
      </w:r>
      <w:r>
        <w:t xml:space="preserve"> demands. </w:t>
      </w:r>
    </w:p>
    <w:p w:rsidR="00000000" w:rsidRDefault="001F233B">
      <w:pPr>
        <w:tabs>
          <w:tab w:val="left" w:pos="432"/>
          <w:tab w:val="left" w:pos="6138"/>
        </w:tabs>
      </w:pPr>
      <w:r>
        <w:t>While some imbalance in revenue and spending responsibilities exists in all federal systems, other comparable federations have nothing like the extreme imbalance that occurs in Australia (see Table 9.3). The United States of America, Canada and Germany have a measure of imbalance of less than one</w:t>
      </w:r>
      <w:r>
        <w:noBreakHyphen/>
        <w:t>quarter of the Australian level. This is mainl</w:t>
      </w:r>
      <w:r>
        <w:t xml:space="preserve">y because taxing powers are more centralised in Australia than elsewhere. </w:t>
      </w:r>
    </w:p>
    <w:p w:rsidR="00000000" w:rsidRDefault="001F233B">
      <w:pPr>
        <w:pStyle w:val="Tableheading"/>
        <w:rPr>
          <w:color w:val="000000"/>
          <w:vertAlign w:val="superscript"/>
        </w:rPr>
      </w:pPr>
      <w:bookmarkStart w:id="194" w:name="_Toc417482520"/>
      <w:bookmarkStart w:id="195" w:name="_Toc417552769"/>
      <w:r>
        <w:t>Table 9.3: International Comparisons of Vertical Fiscal Imbalance</w:t>
      </w:r>
      <w:r>
        <w:fldChar w:fldCharType="begin"/>
      </w:r>
      <w:r>
        <w:instrText>xe "Vertical fiscal imbalance (VFI)"</w:instrText>
      </w:r>
      <w:r>
        <w:fldChar w:fldCharType="end"/>
      </w:r>
      <w:r>
        <w:t xml:space="preserve"> (VFI)</w:t>
      </w:r>
      <w:r>
        <w:rPr>
          <w:i/>
          <w:vertAlign w:val="superscript"/>
        </w:rPr>
        <w:t>(a)</w:t>
      </w:r>
      <w:bookmarkEnd w:id="194"/>
      <w:bookmarkEnd w:id="195"/>
    </w:p>
    <w:tbl>
      <w:tblPr>
        <w:tblW w:w="0" w:type="auto"/>
        <w:tblLayout w:type="fixed"/>
        <w:tblCellMar>
          <w:left w:w="30" w:type="dxa"/>
          <w:right w:w="30" w:type="dxa"/>
        </w:tblCellMar>
        <w:tblLook w:val="0000" w:firstRow="0" w:lastRow="0" w:firstColumn="0" w:lastColumn="0" w:noHBand="0" w:noVBand="0"/>
      </w:tblPr>
      <w:tblGrid>
        <w:gridCol w:w="1560"/>
        <w:gridCol w:w="1022"/>
        <w:gridCol w:w="958"/>
        <w:gridCol w:w="902"/>
        <w:gridCol w:w="2610"/>
      </w:tblGrid>
      <w:tr w:rsidR="00000000">
        <w:tblPrEx>
          <w:tblCellMar>
            <w:top w:w="0" w:type="dxa"/>
            <w:bottom w:w="0" w:type="dxa"/>
          </w:tblCellMar>
        </w:tblPrEx>
        <w:trPr>
          <w:cantSplit/>
          <w:trHeight w:hRule="exact" w:val="700"/>
        </w:trPr>
        <w:tc>
          <w:tcPr>
            <w:tcW w:w="1560" w:type="dxa"/>
            <w:tcBorders>
              <w:top w:val="single" w:sz="6" w:space="0" w:color="auto"/>
            </w:tcBorders>
          </w:tcPr>
          <w:p w:rsidR="00000000" w:rsidRDefault="001F233B">
            <w:pPr>
              <w:jc w:val="center"/>
              <w:rPr>
                <w:rFonts w:ascii="Arial" w:hAnsi="Arial"/>
                <w:b/>
                <w:color w:val="000000"/>
                <w:sz w:val="18"/>
              </w:rPr>
            </w:pPr>
          </w:p>
        </w:tc>
        <w:tc>
          <w:tcPr>
            <w:tcW w:w="1022" w:type="dxa"/>
            <w:tcBorders>
              <w:top w:val="single" w:sz="6" w:space="0" w:color="auto"/>
            </w:tcBorders>
          </w:tcPr>
          <w:p w:rsidR="00000000" w:rsidRDefault="001F233B">
            <w:pPr>
              <w:pStyle w:val="Tabletextheading"/>
              <w:jc w:val="center"/>
            </w:pPr>
            <w:r>
              <w:t>Year</w:t>
            </w:r>
          </w:p>
        </w:tc>
        <w:tc>
          <w:tcPr>
            <w:tcW w:w="1858" w:type="dxa"/>
            <w:gridSpan w:val="2"/>
            <w:tcBorders>
              <w:top w:val="single" w:sz="6" w:space="0" w:color="auto"/>
            </w:tcBorders>
          </w:tcPr>
          <w:p w:rsidR="00000000" w:rsidRDefault="001F233B">
            <w:pPr>
              <w:pStyle w:val="Tabletextheading"/>
            </w:pPr>
            <w:r>
              <w:t>Level of Government</w:t>
            </w:r>
          </w:p>
        </w:tc>
        <w:tc>
          <w:tcPr>
            <w:tcW w:w="2610" w:type="dxa"/>
            <w:tcBorders>
              <w:top w:val="single" w:sz="6" w:space="0" w:color="auto"/>
            </w:tcBorders>
          </w:tcPr>
          <w:p w:rsidR="00000000" w:rsidRDefault="001F233B">
            <w:pPr>
              <w:pStyle w:val="Tabletextheading"/>
            </w:pPr>
            <w:r>
              <w:t>Absolute difference in VFI</w:t>
            </w:r>
            <w:r>
              <w:fldChar w:fldCharType="begin"/>
            </w:r>
            <w:r>
              <w:instrText>xe "Vertical fiscal imbalance (VFI)"</w:instrText>
            </w:r>
            <w:r>
              <w:fldChar w:fldCharType="end"/>
            </w:r>
            <w:r>
              <w:t xml:space="preserve"> ratios between central &amp; middle levels of government</w:t>
            </w:r>
          </w:p>
        </w:tc>
      </w:tr>
      <w:tr w:rsidR="00000000">
        <w:tblPrEx>
          <w:tblCellMar>
            <w:top w:w="0" w:type="dxa"/>
            <w:bottom w:w="0" w:type="dxa"/>
          </w:tblCellMar>
        </w:tblPrEx>
        <w:trPr>
          <w:trHeight w:hRule="exact" w:val="280"/>
        </w:trPr>
        <w:tc>
          <w:tcPr>
            <w:tcW w:w="1560" w:type="dxa"/>
            <w:tcBorders>
              <w:bottom w:val="single" w:sz="6" w:space="0" w:color="000000"/>
            </w:tcBorders>
          </w:tcPr>
          <w:p w:rsidR="00000000" w:rsidRDefault="001F233B">
            <w:pPr>
              <w:pStyle w:val="Tabletext"/>
            </w:pPr>
          </w:p>
        </w:tc>
        <w:tc>
          <w:tcPr>
            <w:tcW w:w="1022" w:type="dxa"/>
            <w:tcBorders>
              <w:bottom w:val="single" w:sz="6" w:space="0" w:color="000000"/>
            </w:tcBorders>
          </w:tcPr>
          <w:p w:rsidR="00000000" w:rsidRDefault="001F233B">
            <w:pPr>
              <w:pStyle w:val="Tabletextheading"/>
            </w:pPr>
          </w:p>
        </w:tc>
        <w:tc>
          <w:tcPr>
            <w:tcW w:w="958" w:type="dxa"/>
            <w:tcBorders>
              <w:bottom w:val="single" w:sz="6" w:space="0" w:color="000000"/>
            </w:tcBorders>
          </w:tcPr>
          <w:p w:rsidR="00000000" w:rsidRDefault="001F233B">
            <w:pPr>
              <w:pStyle w:val="Tabletextheading"/>
            </w:pPr>
            <w:r>
              <w:t>Central</w:t>
            </w:r>
          </w:p>
        </w:tc>
        <w:tc>
          <w:tcPr>
            <w:tcW w:w="902" w:type="dxa"/>
            <w:tcBorders>
              <w:bottom w:val="single" w:sz="6" w:space="0" w:color="000000"/>
            </w:tcBorders>
          </w:tcPr>
          <w:p w:rsidR="00000000" w:rsidRDefault="001F233B">
            <w:pPr>
              <w:pStyle w:val="Tabletextheading"/>
            </w:pPr>
            <w:r>
              <w:t>Middle</w:t>
            </w:r>
          </w:p>
        </w:tc>
        <w:tc>
          <w:tcPr>
            <w:tcW w:w="2608" w:type="dxa"/>
            <w:tcBorders>
              <w:bottom w:val="single" w:sz="6" w:space="0" w:color="000000"/>
            </w:tcBorders>
          </w:tcPr>
          <w:p w:rsidR="00000000" w:rsidRDefault="001F233B">
            <w:pPr>
              <w:pStyle w:val="Tabletextheading"/>
            </w:pPr>
          </w:p>
        </w:tc>
      </w:tr>
      <w:tr w:rsidR="00000000">
        <w:tblPrEx>
          <w:tblCellMar>
            <w:top w:w="0" w:type="dxa"/>
            <w:bottom w:w="0" w:type="dxa"/>
          </w:tblCellMar>
        </w:tblPrEx>
        <w:trPr>
          <w:trHeight w:hRule="exact" w:val="280"/>
        </w:trPr>
        <w:tc>
          <w:tcPr>
            <w:tcW w:w="1560" w:type="dxa"/>
          </w:tcPr>
          <w:p w:rsidR="00000000" w:rsidRDefault="001F233B">
            <w:pPr>
              <w:pStyle w:val="Tabletext"/>
            </w:pPr>
            <w:r>
              <w:t>Australia</w:t>
            </w:r>
          </w:p>
        </w:tc>
        <w:tc>
          <w:tcPr>
            <w:tcW w:w="1022" w:type="dxa"/>
          </w:tcPr>
          <w:p w:rsidR="00000000" w:rsidRDefault="001F233B">
            <w:pPr>
              <w:pStyle w:val="TableofFigures"/>
            </w:pPr>
            <w:r>
              <w:t>1995</w:t>
            </w:r>
            <w:r>
              <w:noBreakHyphen/>
              <w:t xml:space="preserve">96 </w:t>
            </w:r>
          </w:p>
        </w:tc>
        <w:tc>
          <w:tcPr>
            <w:tcW w:w="958" w:type="dxa"/>
          </w:tcPr>
          <w:p w:rsidR="00000000" w:rsidRDefault="001F233B">
            <w:pPr>
              <w:pStyle w:val="TableofFigures"/>
            </w:pPr>
            <w:r>
              <w:t xml:space="preserve">1.20 </w:t>
            </w:r>
          </w:p>
        </w:tc>
        <w:tc>
          <w:tcPr>
            <w:tcW w:w="902" w:type="dxa"/>
          </w:tcPr>
          <w:p w:rsidR="00000000" w:rsidRDefault="001F233B">
            <w:pPr>
              <w:pStyle w:val="TableofFigures"/>
            </w:pPr>
            <w:r>
              <w:t xml:space="preserve">0.63 </w:t>
            </w:r>
          </w:p>
        </w:tc>
        <w:tc>
          <w:tcPr>
            <w:tcW w:w="2608" w:type="dxa"/>
          </w:tcPr>
          <w:p w:rsidR="00000000" w:rsidRDefault="001F233B">
            <w:pPr>
              <w:pStyle w:val="TableofFigures"/>
            </w:pPr>
            <w:r>
              <w:t xml:space="preserve">0.57 </w:t>
            </w:r>
          </w:p>
        </w:tc>
      </w:tr>
      <w:tr w:rsidR="00000000">
        <w:tblPrEx>
          <w:tblCellMar>
            <w:top w:w="0" w:type="dxa"/>
            <w:bottom w:w="0" w:type="dxa"/>
          </w:tblCellMar>
        </w:tblPrEx>
        <w:trPr>
          <w:trHeight w:hRule="exact" w:val="280"/>
        </w:trPr>
        <w:tc>
          <w:tcPr>
            <w:tcW w:w="1560" w:type="dxa"/>
          </w:tcPr>
          <w:p w:rsidR="00000000" w:rsidRDefault="001F233B">
            <w:pPr>
              <w:pStyle w:val="Tabletext"/>
            </w:pPr>
            <w:r>
              <w:t>Canada</w:t>
            </w:r>
          </w:p>
        </w:tc>
        <w:tc>
          <w:tcPr>
            <w:tcW w:w="1022" w:type="dxa"/>
          </w:tcPr>
          <w:p w:rsidR="00000000" w:rsidRDefault="001F233B">
            <w:pPr>
              <w:pStyle w:val="TableofFigures"/>
            </w:pPr>
            <w:r>
              <w:t>1990</w:t>
            </w:r>
            <w:r>
              <w:noBreakHyphen/>
              <w:t xml:space="preserve">91 </w:t>
            </w:r>
          </w:p>
        </w:tc>
        <w:tc>
          <w:tcPr>
            <w:tcW w:w="958" w:type="dxa"/>
          </w:tcPr>
          <w:p w:rsidR="00000000" w:rsidRDefault="001F233B">
            <w:pPr>
              <w:pStyle w:val="TableofFigures"/>
            </w:pPr>
            <w:r>
              <w:t xml:space="preserve">1.05 </w:t>
            </w:r>
          </w:p>
        </w:tc>
        <w:tc>
          <w:tcPr>
            <w:tcW w:w="902" w:type="dxa"/>
          </w:tcPr>
          <w:p w:rsidR="00000000" w:rsidRDefault="001F233B">
            <w:pPr>
              <w:pStyle w:val="TableofFigures"/>
            </w:pPr>
            <w:r>
              <w:t xml:space="preserve">0.92 </w:t>
            </w:r>
          </w:p>
        </w:tc>
        <w:tc>
          <w:tcPr>
            <w:tcW w:w="2608" w:type="dxa"/>
          </w:tcPr>
          <w:p w:rsidR="00000000" w:rsidRDefault="001F233B">
            <w:pPr>
              <w:pStyle w:val="TableofFigures"/>
            </w:pPr>
            <w:r>
              <w:t xml:space="preserve">0.13 </w:t>
            </w:r>
          </w:p>
        </w:tc>
      </w:tr>
      <w:tr w:rsidR="00000000">
        <w:tblPrEx>
          <w:tblCellMar>
            <w:top w:w="0" w:type="dxa"/>
            <w:bottom w:w="0" w:type="dxa"/>
          </w:tblCellMar>
        </w:tblPrEx>
        <w:trPr>
          <w:trHeight w:hRule="exact" w:val="280"/>
        </w:trPr>
        <w:tc>
          <w:tcPr>
            <w:tcW w:w="1560" w:type="dxa"/>
          </w:tcPr>
          <w:p w:rsidR="00000000" w:rsidRDefault="001F233B">
            <w:pPr>
              <w:pStyle w:val="Tabletext"/>
            </w:pPr>
            <w:r>
              <w:t>Germany</w:t>
            </w:r>
          </w:p>
        </w:tc>
        <w:tc>
          <w:tcPr>
            <w:tcW w:w="1022" w:type="dxa"/>
          </w:tcPr>
          <w:p w:rsidR="00000000" w:rsidRDefault="001F233B">
            <w:pPr>
              <w:pStyle w:val="TableofFigures"/>
            </w:pPr>
            <w:r>
              <w:t>1995</w:t>
            </w:r>
            <w:r>
              <w:noBreakHyphen/>
              <w:t xml:space="preserve">96 </w:t>
            </w:r>
          </w:p>
        </w:tc>
        <w:tc>
          <w:tcPr>
            <w:tcW w:w="958" w:type="dxa"/>
          </w:tcPr>
          <w:p w:rsidR="00000000" w:rsidRDefault="001F233B">
            <w:pPr>
              <w:pStyle w:val="TableofFigures"/>
            </w:pPr>
            <w:r>
              <w:t xml:space="preserve">1.02 </w:t>
            </w:r>
          </w:p>
        </w:tc>
        <w:tc>
          <w:tcPr>
            <w:tcW w:w="902" w:type="dxa"/>
          </w:tcPr>
          <w:p w:rsidR="00000000" w:rsidRDefault="001F233B">
            <w:pPr>
              <w:pStyle w:val="TableofFigures"/>
            </w:pPr>
            <w:r>
              <w:t xml:space="preserve">0.97 </w:t>
            </w:r>
          </w:p>
        </w:tc>
        <w:tc>
          <w:tcPr>
            <w:tcW w:w="2608" w:type="dxa"/>
          </w:tcPr>
          <w:p w:rsidR="00000000" w:rsidRDefault="001F233B">
            <w:pPr>
              <w:pStyle w:val="TableofFigures"/>
            </w:pPr>
            <w:r>
              <w:t xml:space="preserve">0.03 </w:t>
            </w:r>
          </w:p>
        </w:tc>
      </w:tr>
      <w:tr w:rsidR="00000000">
        <w:tblPrEx>
          <w:tblCellMar>
            <w:top w:w="0" w:type="dxa"/>
            <w:bottom w:w="0" w:type="dxa"/>
          </w:tblCellMar>
        </w:tblPrEx>
        <w:trPr>
          <w:trHeight w:hRule="exact" w:val="280"/>
        </w:trPr>
        <w:tc>
          <w:tcPr>
            <w:tcW w:w="1560" w:type="dxa"/>
            <w:tcBorders>
              <w:bottom w:val="single" w:sz="12" w:space="0" w:color="auto"/>
            </w:tcBorders>
          </w:tcPr>
          <w:p w:rsidR="00000000" w:rsidRDefault="001F233B">
            <w:pPr>
              <w:pStyle w:val="Tabletext"/>
            </w:pPr>
            <w:r>
              <w:t>USA</w:t>
            </w:r>
          </w:p>
        </w:tc>
        <w:tc>
          <w:tcPr>
            <w:tcW w:w="1022" w:type="dxa"/>
            <w:tcBorders>
              <w:bottom w:val="single" w:sz="12" w:space="0" w:color="auto"/>
            </w:tcBorders>
          </w:tcPr>
          <w:p w:rsidR="00000000" w:rsidRDefault="001F233B">
            <w:pPr>
              <w:pStyle w:val="TableofFigures"/>
            </w:pPr>
            <w:r>
              <w:t>1994</w:t>
            </w:r>
            <w:r>
              <w:noBreakHyphen/>
              <w:t xml:space="preserve">95 </w:t>
            </w:r>
          </w:p>
        </w:tc>
        <w:tc>
          <w:tcPr>
            <w:tcW w:w="958" w:type="dxa"/>
            <w:tcBorders>
              <w:bottom w:val="single" w:sz="12" w:space="0" w:color="auto"/>
            </w:tcBorders>
          </w:tcPr>
          <w:p w:rsidR="00000000" w:rsidRDefault="001F233B">
            <w:pPr>
              <w:pStyle w:val="TableofFigures"/>
            </w:pPr>
            <w:r>
              <w:t xml:space="preserve">0.99 </w:t>
            </w:r>
          </w:p>
        </w:tc>
        <w:tc>
          <w:tcPr>
            <w:tcW w:w="902" w:type="dxa"/>
            <w:tcBorders>
              <w:bottom w:val="single" w:sz="12" w:space="0" w:color="auto"/>
            </w:tcBorders>
          </w:tcPr>
          <w:p w:rsidR="00000000" w:rsidRDefault="001F233B">
            <w:pPr>
              <w:pStyle w:val="TableofFigures"/>
            </w:pPr>
            <w:r>
              <w:t xml:space="preserve">1.13 </w:t>
            </w:r>
          </w:p>
        </w:tc>
        <w:tc>
          <w:tcPr>
            <w:tcW w:w="2608" w:type="dxa"/>
            <w:tcBorders>
              <w:bottom w:val="single" w:sz="12" w:space="0" w:color="auto"/>
            </w:tcBorders>
          </w:tcPr>
          <w:p w:rsidR="00000000" w:rsidRDefault="001F233B">
            <w:pPr>
              <w:pStyle w:val="TableofFigures"/>
            </w:pPr>
            <w:r>
              <w:t xml:space="preserve">0.14 </w:t>
            </w:r>
          </w:p>
        </w:tc>
      </w:tr>
    </w:tbl>
    <w:p w:rsidR="00000000" w:rsidRDefault="001F233B">
      <w:pPr>
        <w:pStyle w:val="Source"/>
      </w:pPr>
      <w:r>
        <w:t>Source: IMF, Govern</w:t>
      </w:r>
      <w:r>
        <w:t>ment Finance Statistic Yearbook, 1997.</w:t>
      </w:r>
    </w:p>
    <w:p w:rsidR="00000000" w:rsidRDefault="001F233B">
      <w:pPr>
        <w:pStyle w:val="Notes"/>
      </w:pPr>
      <w:r>
        <w:t xml:space="preserve">Note: </w:t>
      </w:r>
    </w:p>
    <w:p w:rsidR="00000000" w:rsidRDefault="001F233B">
      <w:pPr>
        <w:pStyle w:val="Notes"/>
        <w:ind w:left="450" w:hanging="450"/>
      </w:pPr>
      <w:r>
        <w:t xml:space="preserve">(a) </w:t>
      </w:r>
      <w:r>
        <w:tab/>
        <w:t>The VFI</w:t>
      </w:r>
      <w:r>
        <w:fldChar w:fldCharType="begin"/>
      </w:r>
      <w:r>
        <w:instrText>xe "Vertical fiscal imbalance (VFI)"</w:instrText>
      </w:r>
      <w:r>
        <w:fldChar w:fldCharType="end"/>
      </w:r>
      <w:r>
        <w:t xml:space="preserve"> ratio in this Table is defined as the ratio of own</w:t>
      </w:r>
      <w:r>
        <w:noBreakHyphen/>
        <w:t>purpose revenue to own</w:t>
      </w:r>
      <w:r>
        <w:noBreakHyphen/>
        <w:t>purpose outlays.</w:t>
      </w:r>
    </w:p>
    <w:p w:rsidR="00000000" w:rsidRDefault="001F233B">
      <w:pPr>
        <w:pStyle w:val="Heading3"/>
      </w:pPr>
      <w:r>
        <w:t>Horizontal fiscal equalisation</w:t>
      </w:r>
    </w:p>
    <w:p w:rsidR="00000000" w:rsidRDefault="001F233B">
      <w:r>
        <w:t>Substantial grants are distributed from the Commonwealth to the States in the form of financial assistance grants</w:t>
      </w:r>
      <w:r>
        <w:fldChar w:fldCharType="begin"/>
      </w:r>
      <w:r>
        <w:instrText>xe "Financial assistance grants"</w:instrText>
      </w:r>
      <w:r>
        <w:fldChar w:fldCharType="end"/>
      </w:r>
      <w:r>
        <w:t>, not only to offset the consequences of VFI</w:t>
      </w:r>
      <w:r>
        <w:fldChar w:fldCharType="begin"/>
      </w:r>
      <w:r>
        <w:instrText>xe "Vertical fiscal imbalance (VFI)"</w:instrText>
      </w:r>
      <w:r>
        <w:fldChar w:fldCharType="end"/>
      </w:r>
      <w:r>
        <w:t xml:space="preserve"> but also to effect HFE</w:t>
      </w:r>
      <w:r>
        <w:fldChar w:fldCharType="begin"/>
      </w:r>
      <w:r>
        <w:instrText>xe "Horizontal fiscal equalisation"</w:instrText>
      </w:r>
      <w:r>
        <w:fldChar w:fldCharType="end"/>
      </w:r>
      <w:r>
        <w:t xml:space="preserve"> amo</w:t>
      </w:r>
      <w:r>
        <w:t>ng the States. HFE is currently based on the premise that each State is entitled to receive a share of general revenue funding from the Commonwealth which would enable it to provide government services at standards that are not appreciably different from those of the other States without having to impose taxes and charges at levels appreciably higher than those of the other States.</w:t>
      </w:r>
    </w:p>
    <w:p w:rsidR="00000000" w:rsidRDefault="001F233B">
      <w:r>
        <w:t>Regional differences in Australia in terms of income per capita, and in patterns of economic activity and economic growth</w:t>
      </w:r>
      <w:r>
        <w:fldChar w:fldCharType="begin"/>
      </w:r>
      <w:r>
        <w:instrText>xe "E</w:instrText>
      </w:r>
      <w:r>
        <w:instrText>conomic growth"</w:instrText>
      </w:r>
      <w:r>
        <w:fldChar w:fldCharType="end"/>
      </w:r>
      <w:r>
        <w:t xml:space="preserve"> rates, are small by international standards. However, interstate differences in revenue</w:t>
      </w:r>
      <w:r>
        <w:noBreakHyphen/>
        <w:t>raising capacity and in factors affecting the cost of delivering government services, are claimed to be sufficiently pronounced to justify a complex system of HFE</w:t>
      </w:r>
      <w:r>
        <w:fldChar w:fldCharType="begin"/>
      </w:r>
      <w:r>
        <w:instrText>xe "Horizontal fiscal equalisation"</w:instrText>
      </w:r>
      <w:r>
        <w:fldChar w:fldCharType="end"/>
      </w:r>
      <w:r>
        <w:t xml:space="preserve"> as the basis for distributing grants.</w:t>
      </w:r>
    </w:p>
    <w:p w:rsidR="00000000" w:rsidRDefault="001F233B">
      <w:r>
        <w:t>Two broad measures of the extent of HFE</w:t>
      </w:r>
      <w:r>
        <w:fldChar w:fldCharType="begin"/>
      </w:r>
      <w:r>
        <w:instrText>xe "Horizontal fiscal equalisation"</w:instrText>
      </w:r>
      <w:r>
        <w:fldChar w:fldCharType="end"/>
      </w:r>
      <w:r>
        <w:t xml:space="preserve"> using 1997</w:t>
      </w:r>
      <w:r>
        <w:noBreakHyphen/>
        <w:t xml:space="preserve">98 data are shown in Table 9.4. The first is an equal per capita share of grants </w:t>
      </w:r>
      <w:r>
        <w:t>and the second is based on personal income tax</w:t>
      </w:r>
      <w:r>
        <w:fldChar w:fldCharType="begin"/>
      </w:r>
      <w:r>
        <w:instrText>xe "Tax equivalent payments:Income tax"</w:instrText>
      </w:r>
      <w:r>
        <w:fldChar w:fldCharType="end"/>
      </w:r>
      <w:r>
        <w:t xml:space="preserve"> paid. The absolute size of the differences varies between the two measures, but both measures indicate the enormous subsidy currently provided each year by residents of Victoria and New South Wales to residents of Queensland, South Australia, Tasmania and the Northern Territory.</w:t>
      </w:r>
    </w:p>
    <w:p w:rsidR="00000000" w:rsidRDefault="001F233B">
      <w:r>
        <w:t>While grants are distributed according to State needs, they can use the funds in any way they wish. This can lead to the perverse position where</w:t>
      </w:r>
      <w:r>
        <w:t xml:space="preserve"> Victorian taxpayers subsidise the Queensland Government on the grounds that it is more costly to provide services to Queensland citizens. Yet rather than use the funds to meet these so-called cost disadvantages, the Queensland Government chooses to have lower taxes and encourages business away from other States so as to benefit from these low taxes. The Queensland Government would not be able to sustain such low taxes in the absence of the subsidy that is provided through the HFE</w:t>
      </w:r>
      <w:r>
        <w:fldChar w:fldCharType="begin"/>
      </w:r>
      <w:r>
        <w:instrText>xe "Horizontal fiscal equa</w:instrText>
      </w:r>
      <w:r>
        <w:instrText>lisation"</w:instrText>
      </w:r>
      <w:r>
        <w:fldChar w:fldCharType="end"/>
      </w:r>
      <w:r>
        <w:t xml:space="preserve"> process.</w:t>
      </w:r>
    </w:p>
    <w:p w:rsidR="00000000" w:rsidRDefault="001F233B">
      <w:r>
        <w:t>The difference in the distribution of Commonwealth funding to Queensland compared to a distribution based on personal income tax</w:t>
      </w:r>
      <w:r>
        <w:fldChar w:fldCharType="begin"/>
      </w:r>
      <w:r>
        <w:instrText>xe "Tax equivalent payments:Income tax"</w:instrText>
      </w:r>
      <w:r>
        <w:fldChar w:fldCharType="end"/>
      </w:r>
      <w:r>
        <w:t xml:space="preserve"> paid, accounts for over three</w:t>
      </w:r>
      <w:r>
        <w:noBreakHyphen/>
        <w:t>quarters of the difference in per capita tax levels between Victoria and Queensland. This highlights the wide gap between the theory of HFE</w:t>
      </w:r>
      <w:r>
        <w:fldChar w:fldCharType="begin"/>
      </w:r>
      <w:r>
        <w:instrText>xe "Horizontal fiscal equalisation"</w:instrText>
      </w:r>
      <w:r>
        <w:fldChar w:fldCharType="end"/>
      </w:r>
      <w:r>
        <w:t xml:space="preserve"> and its practical effects. It also highlights the tensions between equalisation principles and national economic ef</w:t>
      </w:r>
      <w:r>
        <w:t>ficiency. The fact that the Queensland Government can attract business from Victoria by lower HFE funded tax levels, represents a clear loss to overall national economic welfare. However, the CGC</w:t>
      </w:r>
      <w:r>
        <w:fldChar w:fldCharType="begin"/>
      </w:r>
      <w:r>
        <w:instrText>xe "Commonwealth Grants Commission"</w:instrText>
      </w:r>
      <w:r>
        <w:fldChar w:fldCharType="end"/>
      </w:r>
      <w:r>
        <w:t>’s current methodology gives full weight to equity considerations and ignores the efficiency consequences.</w:t>
      </w:r>
    </w:p>
    <w:p w:rsidR="00000000" w:rsidRDefault="001F233B">
      <w:pPr>
        <w:pStyle w:val="Tableheading"/>
      </w:pPr>
      <w:r>
        <w:br w:type="page"/>
      </w:r>
      <w:bookmarkStart w:id="196" w:name="_Toc417482521"/>
      <w:bookmarkStart w:id="197" w:name="_Toc417552770"/>
      <w:r>
        <w:t>Table 9.4: Impact of Horizontal Fiscal Equalisation</w:t>
      </w:r>
      <w:r>
        <w:fldChar w:fldCharType="begin"/>
      </w:r>
      <w:r>
        <w:instrText>xe "Horizontal fiscal equalisation (HFE)"</w:instrText>
      </w:r>
      <w:r>
        <w:fldChar w:fldCharType="end"/>
      </w:r>
      <w:r>
        <w:t xml:space="preserve"> on the Distribution of the Pool of Financial Assistance Grants</w:t>
      </w:r>
      <w:r>
        <w:fldChar w:fldCharType="begin"/>
      </w:r>
      <w:r>
        <w:instrText xml:space="preserve">xe "Financial </w:instrText>
      </w:r>
      <w:r>
        <w:instrText>assistance grants"</w:instrText>
      </w:r>
      <w:r>
        <w:fldChar w:fldCharType="end"/>
      </w:r>
      <w:r>
        <w:t xml:space="preserve"> and Hospital Funding Grants 1997</w:t>
      </w:r>
      <w:r>
        <w:noBreakHyphen/>
        <w:t>98</w:t>
      </w:r>
      <w:bookmarkEnd w:id="196"/>
      <w:bookmarkEnd w:id="197"/>
    </w:p>
    <w:p w:rsidR="00000000" w:rsidRDefault="001F233B">
      <w:pPr>
        <w:spacing w:after="0"/>
        <w:jc w:val="center"/>
        <w:rPr>
          <w:rFonts w:ascii="Arial" w:hAnsi="Arial"/>
          <w:i/>
          <w:sz w:val="18"/>
        </w:rPr>
      </w:pPr>
      <w:bookmarkStart w:id="198" w:name="_Toc417120009"/>
      <w:bookmarkStart w:id="199" w:name="_Toc417482522"/>
      <w:r>
        <w:rPr>
          <w:rFonts w:ascii="Arial" w:hAnsi="Arial"/>
          <w:i/>
          <w:sz w:val="18"/>
        </w:rPr>
        <w:t>$ million</w:t>
      </w:r>
      <w:r>
        <w:rPr>
          <w:rFonts w:ascii="Arial" w:hAnsi="Arial"/>
          <w:i/>
          <w:sz w:val="18"/>
          <w:vertAlign w:val="superscript"/>
        </w:rPr>
        <w:t>(a)</w:t>
      </w:r>
      <w:bookmarkEnd w:id="198"/>
      <w:bookmarkEnd w:id="199"/>
    </w:p>
    <w:tbl>
      <w:tblPr>
        <w:tblW w:w="0" w:type="auto"/>
        <w:tblLayout w:type="fixed"/>
        <w:tblCellMar>
          <w:left w:w="31" w:type="dxa"/>
          <w:right w:w="31" w:type="dxa"/>
        </w:tblCellMar>
        <w:tblLook w:val="0000" w:firstRow="0" w:lastRow="0" w:firstColumn="0" w:lastColumn="0" w:noHBand="0" w:noVBand="0"/>
      </w:tblPr>
      <w:tblGrid>
        <w:gridCol w:w="654"/>
        <w:gridCol w:w="1177"/>
        <w:gridCol w:w="1163"/>
        <w:gridCol w:w="1260"/>
        <w:gridCol w:w="1440"/>
        <w:gridCol w:w="1170"/>
      </w:tblGrid>
      <w:tr w:rsidR="00000000">
        <w:tblPrEx>
          <w:tblCellMar>
            <w:top w:w="0" w:type="dxa"/>
            <w:bottom w:w="0" w:type="dxa"/>
          </w:tblCellMar>
        </w:tblPrEx>
        <w:trPr>
          <w:trHeight w:val="1128"/>
        </w:trPr>
        <w:tc>
          <w:tcPr>
            <w:tcW w:w="654" w:type="dxa"/>
            <w:tcBorders>
              <w:top w:val="single" w:sz="6" w:space="0" w:color="auto"/>
            </w:tcBorders>
          </w:tcPr>
          <w:p w:rsidR="00000000" w:rsidRDefault="001F233B">
            <w:pPr>
              <w:pStyle w:val="Tabletext"/>
              <w:rPr>
                <w:b/>
              </w:rPr>
            </w:pPr>
          </w:p>
        </w:tc>
        <w:tc>
          <w:tcPr>
            <w:tcW w:w="1177" w:type="dxa"/>
            <w:tcBorders>
              <w:top w:val="single" w:sz="6" w:space="0" w:color="auto"/>
            </w:tcBorders>
          </w:tcPr>
          <w:p w:rsidR="00000000" w:rsidRDefault="001F233B">
            <w:pPr>
              <w:pStyle w:val="Tabletextheading"/>
              <w:jc w:val="center"/>
              <w:rPr>
                <w:b w:val="0"/>
                <w:vertAlign w:val="superscript"/>
              </w:rPr>
            </w:pPr>
            <w:r>
              <w:rPr>
                <w:b w:val="0"/>
              </w:rPr>
              <w:t>Distribution</w:t>
            </w:r>
            <w:r>
              <w:rPr>
                <w:b w:val="0"/>
              </w:rPr>
              <w:br/>
              <w:t>using amended relativities</w:t>
            </w:r>
            <w:r>
              <w:rPr>
                <w:b w:val="0"/>
                <w:i/>
                <w:vertAlign w:val="superscript"/>
              </w:rPr>
              <w:t>(b)</w:t>
            </w:r>
          </w:p>
        </w:tc>
        <w:tc>
          <w:tcPr>
            <w:tcW w:w="1163" w:type="dxa"/>
            <w:tcBorders>
              <w:top w:val="single" w:sz="6" w:space="0" w:color="auto"/>
            </w:tcBorders>
          </w:tcPr>
          <w:p w:rsidR="00000000" w:rsidRDefault="001F233B">
            <w:pPr>
              <w:pStyle w:val="Tabletextheading"/>
              <w:jc w:val="center"/>
              <w:rPr>
                <w:b w:val="0"/>
                <w:vertAlign w:val="superscript"/>
              </w:rPr>
            </w:pPr>
            <w:r>
              <w:rPr>
                <w:b w:val="0"/>
              </w:rPr>
              <w:t>Distribution</w:t>
            </w:r>
            <w:r>
              <w:rPr>
                <w:b w:val="0"/>
              </w:rPr>
              <w:br/>
              <w:t>on an equal per capita basis</w:t>
            </w:r>
            <w:r>
              <w:rPr>
                <w:b w:val="0"/>
                <w:i/>
                <w:vertAlign w:val="superscript"/>
              </w:rPr>
              <w:t>(c)</w:t>
            </w:r>
          </w:p>
        </w:tc>
        <w:tc>
          <w:tcPr>
            <w:tcW w:w="1260" w:type="dxa"/>
            <w:tcBorders>
              <w:top w:val="single" w:sz="6" w:space="0" w:color="auto"/>
            </w:tcBorders>
          </w:tcPr>
          <w:p w:rsidR="00000000" w:rsidRDefault="001F233B">
            <w:pPr>
              <w:pStyle w:val="Tabletextheading"/>
              <w:jc w:val="center"/>
              <w:rPr>
                <w:b w:val="0"/>
              </w:rPr>
            </w:pPr>
            <w:r>
              <w:rPr>
                <w:b w:val="0"/>
              </w:rPr>
              <w:t>Difference</w:t>
            </w:r>
            <w:r>
              <w:rPr>
                <w:b w:val="0"/>
              </w:rPr>
              <w:br/>
              <w:t>in distribution</w:t>
            </w:r>
          </w:p>
          <w:p w:rsidR="00000000" w:rsidRDefault="001F233B">
            <w:pPr>
              <w:pStyle w:val="Tabletextheading"/>
              <w:jc w:val="center"/>
              <w:rPr>
                <w:b w:val="0"/>
              </w:rPr>
            </w:pPr>
            <w:r>
              <w:rPr>
                <w:b w:val="0"/>
              </w:rPr>
              <w:t xml:space="preserve">[1] </w:t>
            </w:r>
            <w:r>
              <w:rPr>
                <w:b w:val="0"/>
              </w:rPr>
              <w:noBreakHyphen/>
              <w:t xml:space="preserve"> [2]</w:t>
            </w:r>
          </w:p>
        </w:tc>
        <w:tc>
          <w:tcPr>
            <w:tcW w:w="1440" w:type="dxa"/>
            <w:tcBorders>
              <w:top w:val="single" w:sz="6" w:space="0" w:color="auto"/>
            </w:tcBorders>
          </w:tcPr>
          <w:p w:rsidR="00000000" w:rsidRDefault="001F233B">
            <w:pPr>
              <w:pStyle w:val="Tabletextheading"/>
              <w:jc w:val="center"/>
              <w:rPr>
                <w:b w:val="0"/>
                <w:vertAlign w:val="superscript"/>
              </w:rPr>
            </w:pPr>
            <w:r>
              <w:rPr>
                <w:b w:val="0"/>
              </w:rPr>
              <w:t>Distribution</w:t>
            </w:r>
            <w:r>
              <w:rPr>
                <w:b w:val="0"/>
              </w:rPr>
              <w:br/>
              <w:t>on the basis of personal income tax</w:t>
            </w:r>
            <w:r>
              <w:rPr>
                <w:b w:val="0"/>
              </w:rPr>
              <w:fldChar w:fldCharType="begin"/>
            </w:r>
            <w:r>
              <w:rPr>
                <w:b w:val="0"/>
              </w:rPr>
              <w:instrText>xe "Tax equivalent payments:Income tax"</w:instrText>
            </w:r>
            <w:r>
              <w:rPr>
                <w:b w:val="0"/>
              </w:rPr>
              <w:fldChar w:fldCharType="end"/>
            </w:r>
            <w:r>
              <w:rPr>
                <w:b w:val="0"/>
              </w:rPr>
              <w:t xml:space="preserve"> paid</w:t>
            </w:r>
            <w:r>
              <w:rPr>
                <w:b w:val="0"/>
                <w:i/>
                <w:vertAlign w:val="superscript"/>
              </w:rPr>
              <w:t>(d)</w:t>
            </w:r>
          </w:p>
        </w:tc>
        <w:tc>
          <w:tcPr>
            <w:tcW w:w="1170" w:type="dxa"/>
            <w:tcBorders>
              <w:top w:val="single" w:sz="6" w:space="0" w:color="auto"/>
            </w:tcBorders>
          </w:tcPr>
          <w:p w:rsidR="00000000" w:rsidRDefault="001F233B">
            <w:pPr>
              <w:pStyle w:val="Tabletextheading"/>
              <w:jc w:val="center"/>
              <w:rPr>
                <w:b w:val="0"/>
              </w:rPr>
            </w:pPr>
            <w:r>
              <w:rPr>
                <w:b w:val="0"/>
              </w:rPr>
              <w:t>Difference</w:t>
            </w:r>
            <w:r>
              <w:rPr>
                <w:b w:val="0"/>
              </w:rPr>
              <w:br/>
              <w:t>in distribution</w:t>
            </w:r>
          </w:p>
          <w:p w:rsidR="00000000" w:rsidRDefault="001F233B">
            <w:pPr>
              <w:pStyle w:val="Tabletextheading"/>
              <w:jc w:val="center"/>
              <w:rPr>
                <w:b w:val="0"/>
              </w:rPr>
            </w:pPr>
            <w:r>
              <w:rPr>
                <w:b w:val="0"/>
              </w:rPr>
              <w:t xml:space="preserve">[1] </w:t>
            </w:r>
            <w:r>
              <w:rPr>
                <w:b w:val="0"/>
              </w:rPr>
              <w:noBreakHyphen/>
              <w:t xml:space="preserve"> [4]</w:t>
            </w:r>
          </w:p>
        </w:tc>
      </w:tr>
      <w:tr w:rsidR="00000000">
        <w:tblPrEx>
          <w:tblCellMar>
            <w:top w:w="0" w:type="dxa"/>
            <w:bottom w:w="0" w:type="dxa"/>
          </w:tblCellMar>
        </w:tblPrEx>
        <w:trPr>
          <w:trHeight w:hRule="exact" w:val="280"/>
        </w:trPr>
        <w:tc>
          <w:tcPr>
            <w:tcW w:w="654" w:type="dxa"/>
            <w:tcBorders>
              <w:top w:val="single" w:sz="6" w:space="0" w:color="auto"/>
              <w:bottom w:val="single" w:sz="6" w:space="0" w:color="auto"/>
            </w:tcBorders>
          </w:tcPr>
          <w:p w:rsidR="00000000" w:rsidRDefault="001F233B">
            <w:pPr>
              <w:pStyle w:val="Tabletext"/>
            </w:pPr>
          </w:p>
        </w:tc>
        <w:tc>
          <w:tcPr>
            <w:tcW w:w="1177" w:type="dxa"/>
            <w:tcBorders>
              <w:top w:val="single" w:sz="6" w:space="0" w:color="auto"/>
              <w:bottom w:val="single" w:sz="6" w:space="0" w:color="auto"/>
            </w:tcBorders>
          </w:tcPr>
          <w:p w:rsidR="00000000" w:rsidRDefault="001F233B">
            <w:pPr>
              <w:pStyle w:val="TableofFigures"/>
            </w:pPr>
            <w:r>
              <w:t>[1]</w:t>
            </w:r>
          </w:p>
        </w:tc>
        <w:tc>
          <w:tcPr>
            <w:tcW w:w="1163" w:type="dxa"/>
            <w:tcBorders>
              <w:top w:val="single" w:sz="6" w:space="0" w:color="auto"/>
              <w:bottom w:val="single" w:sz="6" w:space="0" w:color="auto"/>
            </w:tcBorders>
          </w:tcPr>
          <w:p w:rsidR="00000000" w:rsidRDefault="001F233B">
            <w:pPr>
              <w:pStyle w:val="TableofFigures"/>
            </w:pPr>
            <w:r>
              <w:t>[2]</w:t>
            </w:r>
          </w:p>
        </w:tc>
        <w:tc>
          <w:tcPr>
            <w:tcW w:w="1260" w:type="dxa"/>
            <w:tcBorders>
              <w:top w:val="single" w:sz="6" w:space="0" w:color="auto"/>
              <w:bottom w:val="single" w:sz="6" w:space="0" w:color="auto"/>
            </w:tcBorders>
          </w:tcPr>
          <w:p w:rsidR="00000000" w:rsidRDefault="001F233B">
            <w:pPr>
              <w:pStyle w:val="TableofFigures"/>
            </w:pPr>
            <w:r>
              <w:t>[3]</w:t>
            </w:r>
          </w:p>
        </w:tc>
        <w:tc>
          <w:tcPr>
            <w:tcW w:w="1440" w:type="dxa"/>
            <w:tcBorders>
              <w:top w:val="single" w:sz="6" w:space="0" w:color="auto"/>
              <w:bottom w:val="single" w:sz="6" w:space="0" w:color="auto"/>
            </w:tcBorders>
          </w:tcPr>
          <w:p w:rsidR="00000000" w:rsidRDefault="001F233B">
            <w:pPr>
              <w:pStyle w:val="TableofFigures"/>
            </w:pPr>
            <w:r>
              <w:t>[4]</w:t>
            </w:r>
          </w:p>
        </w:tc>
        <w:tc>
          <w:tcPr>
            <w:tcW w:w="1170" w:type="dxa"/>
            <w:tcBorders>
              <w:top w:val="single" w:sz="6" w:space="0" w:color="auto"/>
              <w:bottom w:val="single" w:sz="6" w:space="0" w:color="auto"/>
            </w:tcBorders>
          </w:tcPr>
          <w:p w:rsidR="00000000" w:rsidRDefault="001F233B">
            <w:pPr>
              <w:pStyle w:val="TableofFigures"/>
            </w:pPr>
            <w:r>
              <w:t>[5]</w:t>
            </w:r>
          </w:p>
        </w:tc>
      </w:tr>
      <w:tr w:rsidR="00000000">
        <w:tblPrEx>
          <w:tblCellMar>
            <w:top w:w="0" w:type="dxa"/>
            <w:bottom w:w="0" w:type="dxa"/>
          </w:tblCellMar>
        </w:tblPrEx>
        <w:trPr>
          <w:trHeight w:hRule="exact" w:val="280"/>
        </w:trPr>
        <w:tc>
          <w:tcPr>
            <w:tcW w:w="654" w:type="dxa"/>
          </w:tcPr>
          <w:p w:rsidR="00000000" w:rsidRDefault="001F233B">
            <w:pPr>
              <w:pStyle w:val="Tabletext"/>
            </w:pPr>
            <w:r>
              <w:t>NSW</w:t>
            </w:r>
          </w:p>
        </w:tc>
        <w:tc>
          <w:tcPr>
            <w:tcW w:w="1177" w:type="dxa"/>
          </w:tcPr>
          <w:p w:rsidR="00000000" w:rsidRDefault="001F233B">
            <w:pPr>
              <w:pStyle w:val="TableofFigures"/>
            </w:pPr>
            <w:r>
              <w:t>6 003</w:t>
            </w:r>
          </w:p>
        </w:tc>
        <w:tc>
          <w:tcPr>
            <w:tcW w:w="1163" w:type="dxa"/>
          </w:tcPr>
          <w:p w:rsidR="00000000" w:rsidRDefault="001F233B">
            <w:pPr>
              <w:pStyle w:val="TableofFigures"/>
            </w:pPr>
            <w:r>
              <w:t>6 844</w:t>
            </w:r>
          </w:p>
        </w:tc>
        <w:tc>
          <w:tcPr>
            <w:tcW w:w="1260" w:type="dxa"/>
          </w:tcPr>
          <w:p w:rsidR="00000000" w:rsidRDefault="001F233B">
            <w:pPr>
              <w:pStyle w:val="TableofFigures"/>
            </w:pPr>
            <w:r>
              <w:noBreakHyphen/>
              <w:t xml:space="preserve"> 840</w:t>
            </w:r>
          </w:p>
        </w:tc>
        <w:tc>
          <w:tcPr>
            <w:tcW w:w="1440" w:type="dxa"/>
          </w:tcPr>
          <w:p w:rsidR="00000000" w:rsidRDefault="001F233B">
            <w:pPr>
              <w:pStyle w:val="TableofFigures"/>
            </w:pPr>
            <w:r>
              <w:t>7 383</w:t>
            </w:r>
          </w:p>
        </w:tc>
        <w:tc>
          <w:tcPr>
            <w:tcW w:w="1170" w:type="dxa"/>
          </w:tcPr>
          <w:p w:rsidR="00000000" w:rsidRDefault="001F233B">
            <w:pPr>
              <w:pStyle w:val="TableofFigures"/>
            </w:pPr>
            <w:r>
              <w:noBreakHyphen/>
              <w:t>1 380</w:t>
            </w:r>
          </w:p>
        </w:tc>
      </w:tr>
      <w:tr w:rsidR="00000000">
        <w:tblPrEx>
          <w:tblCellMar>
            <w:top w:w="0" w:type="dxa"/>
            <w:bottom w:w="0" w:type="dxa"/>
          </w:tblCellMar>
        </w:tblPrEx>
        <w:trPr>
          <w:trHeight w:hRule="exact" w:val="280"/>
        </w:trPr>
        <w:tc>
          <w:tcPr>
            <w:tcW w:w="654" w:type="dxa"/>
          </w:tcPr>
          <w:p w:rsidR="00000000" w:rsidRDefault="001F233B">
            <w:pPr>
              <w:pStyle w:val="Tabletext"/>
            </w:pPr>
            <w:r>
              <w:t>VIC</w:t>
            </w:r>
          </w:p>
        </w:tc>
        <w:tc>
          <w:tcPr>
            <w:tcW w:w="1177" w:type="dxa"/>
          </w:tcPr>
          <w:p w:rsidR="00000000" w:rsidRDefault="001F233B">
            <w:pPr>
              <w:pStyle w:val="TableofFigures"/>
            </w:pPr>
            <w:r>
              <w:t>4 390</w:t>
            </w:r>
          </w:p>
        </w:tc>
        <w:tc>
          <w:tcPr>
            <w:tcW w:w="1163" w:type="dxa"/>
          </w:tcPr>
          <w:p w:rsidR="00000000" w:rsidRDefault="001F233B">
            <w:pPr>
              <w:pStyle w:val="TableofFigures"/>
            </w:pPr>
            <w:r>
              <w:t>5 003</w:t>
            </w:r>
          </w:p>
        </w:tc>
        <w:tc>
          <w:tcPr>
            <w:tcW w:w="1260" w:type="dxa"/>
          </w:tcPr>
          <w:p w:rsidR="00000000" w:rsidRDefault="001F233B">
            <w:pPr>
              <w:pStyle w:val="TableofFigures"/>
            </w:pPr>
            <w:r>
              <w:noBreakHyphen/>
              <w:t xml:space="preserve"> 614</w:t>
            </w:r>
          </w:p>
        </w:tc>
        <w:tc>
          <w:tcPr>
            <w:tcW w:w="1440" w:type="dxa"/>
          </w:tcPr>
          <w:p w:rsidR="00000000" w:rsidRDefault="001F233B">
            <w:pPr>
              <w:pStyle w:val="TableofFigures"/>
            </w:pPr>
            <w:r>
              <w:t>5 049</w:t>
            </w:r>
          </w:p>
        </w:tc>
        <w:tc>
          <w:tcPr>
            <w:tcW w:w="1170" w:type="dxa"/>
          </w:tcPr>
          <w:p w:rsidR="00000000" w:rsidRDefault="001F233B">
            <w:pPr>
              <w:pStyle w:val="TableofFigures"/>
            </w:pPr>
            <w:r>
              <w:noBreakHyphen/>
              <w:t xml:space="preserve"> 659</w:t>
            </w:r>
          </w:p>
        </w:tc>
      </w:tr>
      <w:tr w:rsidR="00000000">
        <w:tblPrEx>
          <w:tblCellMar>
            <w:top w:w="0" w:type="dxa"/>
            <w:bottom w:w="0" w:type="dxa"/>
          </w:tblCellMar>
        </w:tblPrEx>
        <w:trPr>
          <w:trHeight w:hRule="exact" w:val="280"/>
        </w:trPr>
        <w:tc>
          <w:tcPr>
            <w:tcW w:w="654" w:type="dxa"/>
          </w:tcPr>
          <w:p w:rsidR="00000000" w:rsidRDefault="001F233B">
            <w:pPr>
              <w:pStyle w:val="Tabletext"/>
            </w:pPr>
            <w:r>
              <w:t>QLD</w:t>
            </w:r>
          </w:p>
        </w:tc>
        <w:tc>
          <w:tcPr>
            <w:tcW w:w="1177" w:type="dxa"/>
          </w:tcPr>
          <w:p w:rsidR="00000000" w:rsidRDefault="001F233B">
            <w:pPr>
              <w:pStyle w:val="TableofFigures"/>
            </w:pPr>
            <w:r>
              <w:t>3 896</w:t>
            </w:r>
          </w:p>
        </w:tc>
        <w:tc>
          <w:tcPr>
            <w:tcW w:w="1163" w:type="dxa"/>
          </w:tcPr>
          <w:p w:rsidR="00000000" w:rsidRDefault="001F233B">
            <w:pPr>
              <w:pStyle w:val="TableofFigures"/>
            </w:pPr>
            <w:r>
              <w:t>3 760</w:t>
            </w:r>
          </w:p>
        </w:tc>
        <w:tc>
          <w:tcPr>
            <w:tcW w:w="1260" w:type="dxa"/>
          </w:tcPr>
          <w:p w:rsidR="00000000" w:rsidRDefault="001F233B">
            <w:pPr>
              <w:pStyle w:val="TableofFigures"/>
            </w:pPr>
            <w:r>
              <w:t xml:space="preserve"> 136</w:t>
            </w:r>
          </w:p>
        </w:tc>
        <w:tc>
          <w:tcPr>
            <w:tcW w:w="1440" w:type="dxa"/>
          </w:tcPr>
          <w:p w:rsidR="00000000" w:rsidRDefault="001F233B">
            <w:pPr>
              <w:pStyle w:val="TableofFigures"/>
            </w:pPr>
            <w:r>
              <w:t>3 237</w:t>
            </w:r>
          </w:p>
        </w:tc>
        <w:tc>
          <w:tcPr>
            <w:tcW w:w="1170" w:type="dxa"/>
          </w:tcPr>
          <w:p w:rsidR="00000000" w:rsidRDefault="001F233B">
            <w:pPr>
              <w:pStyle w:val="TableofFigures"/>
            </w:pPr>
            <w:r>
              <w:t xml:space="preserve"> 659</w:t>
            </w:r>
          </w:p>
        </w:tc>
      </w:tr>
      <w:tr w:rsidR="00000000">
        <w:tblPrEx>
          <w:tblCellMar>
            <w:top w:w="0" w:type="dxa"/>
            <w:bottom w:w="0" w:type="dxa"/>
          </w:tblCellMar>
        </w:tblPrEx>
        <w:trPr>
          <w:trHeight w:hRule="exact" w:val="280"/>
        </w:trPr>
        <w:tc>
          <w:tcPr>
            <w:tcW w:w="654" w:type="dxa"/>
          </w:tcPr>
          <w:p w:rsidR="00000000" w:rsidRDefault="001F233B">
            <w:pPr>
              <w:pStyle w:val="Tabletext"/>
            </w:pPr>
            <w:r>
              <w:t>WA</w:t>
            </w:r>
          </w:p>
        </w:tc>
        <w:tc>
          <w:tcPr>
            <w:tcW w:w="1177" w:type="dxa"/>
          </w:tcPr>
          <w:p w:rsidR="00000000" w:rsidRDefault="001F233B">
            <w:pPr>
              <w:pStyle w:val="TableofFigures"/>
            </w:pPr>
            <w:r>
              <w:t>1 958</w:t>
            </w:r>
          </w:p>
        </w:tc>
        <w:tc>
          <w:tcPr>
            <w:tcW w:w="1163" w:type="dxa"/>
          </w:tcPr>
          <w:p w:rsidR="00000000" w:rsidRDefault="001F233B">
            <w:pPr>
              <w:pStyle w:val="TableofFigures"/>
            </w:pPr>
            <w:r>
              <w:t>1 969</w:t>
            </w:r>
          </w:p>
        </w:tc>
        <w:tc>
          <w:tcPr>
            <w:tcW w:w="1260" w:type="dxa"/>
          </w:tcPr>
          <w:p w:rsidR="00000000" w:rsidRDefault="001F233B">
            <w:pPr>
              <w:pStyle w:val="TableofFigures"/>
            </w:pPr>
            <w:r>
              <w:noBreakHyphen/>
              <w:t xml:space="preserve"> 10</w:t>
            </w:r>
          </w:p>
        </w:tc>
        <w:tc>
          <w:tcPr>
            <w:tcW w:w="1440" w:type="dxa"/>
          </w:tcPr>
          <w:p w:rsidR="00000000" w:rsidRDefault="001F233B">
            <w:pPr>
              <w:pStyle w:val="TableofFigures"/>
            </w:pPr>
            <w:r>
              <w:t>2 000</w:t>
            </w:r>
          </w:p>
        </w:tc>
        <w:tc>
          <w:tcPr>
            <w:tcW w:w="1170" w:type="dxa"/>
          </w:tcPr>
          <w:p w:rsidR="00000000" w:rsidRDefault="001F233B">
            <w:pPr>
              <w:pStyle w:val="TableofFigures"/>
            </w:pPr>
            <w:r>
              <w:noBreakHyphen/>
              <w:t xml:space="preserve"> 42</w:t>
            </w:r>
          </w:p>
        </w:tc>
      </w:tr>
      <w:tr w:rsidR="00000000">
        <w:tblPrEx>
          <w:tblCellMar>
            <w:top w:w="0" w:type="dxa"/>
            <w:bottom w:w="0" w:type="dxa"/>
          </w:tblCellMar>
        </w:tblPrEx>
        <w:trPr>
          <w:trHeight w:hRule="exact" w:val="280"/>
        </w:trPr>
        <w:tc>
          <w:tcPr>
            <w:tcW w:w="654" w:type="dxa"/>
          </w:tcPr>
          <w:p w:rsidR="00000000" w:rsidRDefault="001F233B">
            <w:pPr>
              <w:pStyle w:val="Tabletext"/>
            </w:pPr>
            <w:r>
              <w:t>SA</w:t>
            </w:r>
          </w:p>
        </w:tc>
        <w:tc>
          <w:tcPr>
            <w:tcW w:w="1177" w:type="dxa"/>
          </w:tcPr>
          <w:p w:rsidR="00000000" w:rsidRDefault="001F233B">
            <w:pPr>
              <w:pStyle w:val="TableofFigures"/>
            </w:pPr>
            <w:r>
              <w:t>1 925</w:t>
            </w:r>
          </w:p>
        </w:tc>
        <w:tc>
          <w:tcPr>
            <w:tcW w:w="1163" w:type="dxa"/>
          </w:tcPr>
          <w:p w:rsidR="00000000" w:rsidRDefault="001F233B">
            <w:pPr>
              <w:pStyle w:val="TableofFigures"/>
            </w:pPr>
            <w:r>
              <w:t>1 618</w:t>
            </w:r>
          </w:p>
        </w:tc>
        <w:tc>
          <w:tcPr>
            <w:tcW w:w="1260" w:type="dxa"/>
          </w:tcPr>
          <w:p w:rsidR="00000000" w:rsidRDefault="001F233B">
            <w:pPr>
              <w:pStyle w:val="TableofFigures"/>
            </w:pPr>
            <w:r>
              <w:t xml:space="preserve"> 307</w:t>
            </w:r>
          </w:p>
        </w:tc>
        <w:tc>
          <w:tcPr>
            <w:tcW w:w="1440" w:type="dxa"/>
          </w:tcPr>
          <w:p w:rsidR="00000000" w:rsidRDefault="001F233B">
            <w:pPr>
              <w:pStyle w:val="TableofFigures"/>
            </w:pPr>
            <w:r>
              <w:t>1 4</w:t>
            </w:r>
            <w:r>
              <w:t>45</w:t>
            </w:r>
          </w:p>
        </w:tc>
        <w:tc>
          <w:tcPr>
            <w:tcW w:w="1170" w:type="dxa"/>
          </w:tcPr>
          <w:p w:rsidR="00000000" w:rsidRDefault="001F233B">
            <w:pPr>
              <w:pStyle w:val="TableofFigures"/>
            </w:pPr>
            <w:r>
              <w:t xml:space="preserve"> 480</w:t>
            </w:r>
          </w:p>
        </w:tc>
      </w:tr>
      <w:tr w:rsidR="00000000">
        <w:tblPrEx>
          <w:tblCellMar>
            <w:top w:w="0" w:type="dxa"/>
            <w:bottom w:w="0" w:type="dxa"/>
          </w:tblCellMar>
        </w:tblPrEx>
        <w:trPr>
          <w:trHeight w:hRule="exact" w:val="280"/>
        </w:trPr>
        <w:tc>
          <w:tcPr>
            <w:tcW w:w="654" w:type="dxa"/>
          </w:tcPr>
          <w:p w:rsidR="00000000" w:rsidRDefault="001F233B">
            <w:pPr>
              <w:pStyle w:val="Tabletext"/>
            </w:pPr>
            <w:r>
              <w:t>TAS</w:t>
            </w:r>
          </w:p>
        </w:tc>
        <w:tc>
          <w:tcPr>
            <w:tcW w:w="1177" w:type="dxa"/>
          </w:tcPr>
          <w:p w:rsidR="00000000" w:rsidRDefault="001F233B">
            <w:pPr>
              <w:pStyle w:val="TableofFigures"/>
            </w:pPr>
            <w:r>
              <w:t xml:space="preserve"> 797</w:t>
            </w:r>
          </w:p>
        </w:tc>
        <w:tc>
          <w:tcPr>
            <w:tcW w:w="1163" w:type="dxa"/>
          </w:tcPr>
          <w:p w:rsidR="00000000" w:rsidRDefault="001F233B">
            <w:pPr>
              <w:pStyle w:val="TableofFigures"/>
            </w:pPr>
            <w:r>
              <w:t xml:space="preserve"> 515</w:t>
            </w:r>
          </w:p>
        </w:tc>
        <w:tc>
          <w:tcPr>
            <w:tcW w:w="1260" w:type="dxa"/>
          </w:tcPr>
          <w:p w:rsidR="00000000" w:rsidRDefault="001F233B">
            <w:pPr>
              <w:pStyle w:val="TableofFigures"/>
            </w:pPr>
            <w:r>
              <w:t xml:space="preserve"> 282</w:t>
            </w:r>
          </w:p>
        </w:tc>
        <w:tc>
          <w:tcPr>
            <w:tcW w:w="1440" w:type="dxa"/>
          </w:tcPr>
          <w:p w:rsidR="00000000" w:rsidRDefault="001F233B">
            <w:pPr>
              <w:pStyle w:val="TableofFigures"/>
            </w:pPr>
            <w:r>
              <w:t xml:space="preserve"> 438</w:t>
            </w:r>
          </w:p>
        </w:tc>
        <w:tc>
          <w:tcPr>
            <w:tcW w:w="1170" w:type="dxa"/>
          </w:tcPr>
          <w:p w:rsidR="00000000" w:rsidRDefault="001F233B">
            <w:pPr>
              <w:pStyle w:val="TableofFigures"/>
            </w:pPr>
            <w:r>
              <w:t xml:space="preserve"> 359</w:t>
            </w:r>
          </w:p>
        </w:tc>
      </w:tr>
      <w:tr w:rsidR="00000000">
        <w:tblPrEx>
          <w:tblCellMar>
            <w:top w:w="0" w:type="dxa"/>
            <w:bottom w:w="0" w:type="dxa"/>
          </w:tblCellMar>
        </w:tblPrEx>
        <w:trPr>
          <w:trHeight w:hRule="exact" w:val="280"/>
        </w:trPr>
        <w:tc>
          <w:tcPr>
            <w:tcW w:w="654" w:type="dxa"/>
          </w:tcPr>
          <w:p w:rsidR="00000000" w:rsidRDefault="001F233B">
            <w:pPr>
              <w:pStyle w:val="Tabletext"/>
            </w:pPr>
            <w:r>
              <w:t>ACT</w:t>
            </w:r>
          </w:p>
        </w:tc>
        <w:tc>
          <w:tcPr>
            <w:tcW w:w="1177" w:type="dxa"/>
          </w:tcPr>
          <w:p w:rsidR="00000000" w:rsidRDefault="001F233B">
            <w:pPr>
              <w:pStyle w:val="TableofFigures"/>
            </w:pPr>
            <w:r>
              <w:t xml:space="preserve"> 299</w:t>
            </w:r>
          </w:p>
        </w:tc>
        <w:tc>
          <w:tcPr>
            <w:tcW w:w="1163" w:type="dxa"/>
          </w:tcPr>
          <w:p w:rsidR="00000000" w:rsidRDefault="001F233B">
            <w:pPr>
              <w:pStyle w:val="TableofFigures"/>
            </w:pPr>
            <w:r>
              <w:t xml:space="preserve"> 339</w:t>
            </w:r>
          </w:p>
        </w:tc>
        <w:tc>
          <w:tcPr>
            <w:tcW w:w="1260" w:type="dxa"/>
          </w:tcPr>
          <w:p w:rsidR="00000000" w:rsidRDefault="001F233B">
            <w:pPr>
              <w:pStyle w:val="TableofFigures"/>
            </w:pPr>
            <w:r>
              <w:noBreakHyphen/>
              <w:t xml:space="preserve"> 39</w:t>
            </w:r>
          </w:p>
        </w:tc>
        <w:tc>
          <w:tcPr>
            <w:tcW w:w="1440" w:type="dxa"/>
          </w:tcPr>
          <w:p w:rsidR="00000000" w:rsidRDefault="001F233B">
            <w:pPr>
              <w:pStyle w:val="TableofFigures"/>
            </w:pPr>
            <w:r>
              <w:t xml:space="preserve"> 512</w:t>
            </w:r>
          </w:p>
        </w:tc>
        <w:tc>
          <w:tcPr>
            <w:tcW w:w="1170" w:type="dxa"/>
          </w:tcPr>
          <w:p w:rsidR="00000000" w:rsidRDefault="001F233B">
            <w:pPr>
              <w:pStyle w:val="TableofFigures"/>
            </w:pPr>
            <w:r>
              <w:noBreakHyphen/>
              <w:t xml:space="preserve"> 213</w:t>
            </w:r>
          </w:p>
        </w:tc>
      </w:tr>
      <w:tr w:rsidR="00000000">
        <w:tblPrEx>
          <w:tblCellMar>
            <w:top w:w="0" w:type="dxa"/>
            <w:bottom w:w="0" w:type="dxa"/>
          </w:tblCellMar>
        </w:tblPrEx>
        <w:trPr>
          <w:trHeight w:hRule="exact" w:val="280"/>
        </w:trPr>
        <w:tc>
          <w:tcPr>
            <w:tcW w:w="654" w:type="dxa"/>
          </w:tcPr>
          <w:p w:rsidR="00000000" w:rsidRDefault="001F233B">
            <w:pPr>
              <w:pStyle w:val="Tabletext"/>
            </w:pPr>
            <w:r>
              <w:t>NT</w:t>
            </w:r>
          </w:p>
        </w:tc>
        <w:tc>
          <w:tcPr>
            <w:tcW w:w="1177" w:type="dxa"/>
          </w:tcPr>
          <w:p w:rsidR="00000000" w:rsidRDefault="001F233B">
            <w:pPr>
              <w:pStyle w:val="TableofFigures"/>
            </w:pPr>
            <w:r>
              <w:t xml:space="preserve"> 979</w:t>
            </w:r>
          </w:p>
        </w:tc>
        <w:tc>
          <w:tcPr>
            <w:tcW w:w="1163" w:type="dxa"/>
          </w:tcPr>
          <w:p w:rsidR="00000000" w:rsidRDefault="001F233B">
            <w:pPr>
              <w:pStyle w:val="TableofFigures"/>
            </w:pPr>
            <w:r>
              <w:t xml:space="preserve"> 200</w:t>
            </w:r>
          </w:p>
        </w:tc>
        <w:tc>
          <w:tcPr>
            <w:tcW w:w="1260" w:type="dxa"/>
          </w:tcPr>
          <w:p w:rsidR="00000000" w:rsidRDefault="001F233B">
            <w:pPr>
              <w:pStyle w:val="TableofFigures"/>
            </w:pPr>
            <w:r>
              <w:t xml:space="preserve"> 779</w:t>
            </w:r>
          </w:p>
        </w:tc>
        <w:tc>
          <w:tcPr>
            <w:tcW w:w="1440" w:type="dxa"/>
          </w:tcPr>
          <w:p w:rsidR="00000000" w:rsidRDefault="001F233B">
            <w:pPr>
              <w:pStyle w:val="TableofFigures"/>
            </w:pPr>
            <w:r>
              <w:t xml:space="preserve"> 183</w:t>
            </w:r>
          </w:p>
        </w:tc>
        <w:tc>
          <w:tcPr>
            <w:tcW w:w="1170" w:type="dxa"/>
          </w:tcPr>
          <w:p w:rsidR="00000000" w:rsidRDefault="001F233B">
            <w:pPr>
              <w:pStyle w:val="TableofFigures"/>
            </w:pPr>
            <w:r>
              <w:t xml:space="preserve"> 796</w:t>
            </w:r>
          </w:p>
        </w:tc>
      </w:tr>
      <w:tr w:rsidR="00000000">
        <w:tblPrEx>
          <w:tblCellMar>
            <w:top w:w="0" w:type="dxa"/>
            <w:bottom w:w="0" w:type="dxa"/>
          </w:tblCellMar>
        </w:tblPrEx>
        <w:trPr>
          <w:trHeight w:hRule="exact" w:val="280"/>
        </w:trPr>
        <w:tc>
          <w:tcPr>
            <w:tcW w:w="654" w:type="dxa"/>
            <w:tcBorders>
              <w:top w:val="single" w:sz="6" w:space="0" w:color="auto"/>
              <w:bottom w:val="single" w:sz="12" w:space="0" w:color="auto"/>
            </w:tcBorders>
          </w:tcPr>
          <w:p w:rsidR="00000000" w:rsidRDefault="001F233B">
            <w:pPr>
              <w:pStyle w:val="Tabletext"/>
            </w:pPr>
            <w:r>
              <w:t>Total</w:t>
            </w:r>
          </w:p>
        </w:tc>
        <w:tc>
          <w:tcPr>
            <w:tcW w:w="1177" w:type="dxa"/>
            <w:tcBorders>
              <w:top w:val="single" w:sz="6" w:space="0" w:color="auto"/>
              <w:bottom w:val="single" w:sz="12" w:space="0" w:color="auto"/>
            </w:tcBorders>
          </w:tcPr>
          <w:p w:rsidR="00000000" w:rsidRDefault="001F233B">
            <w:pPr>
              <w:pStyle w:val="TableofFigures"/>
            </w:pPr>
            <w:r>
              <w:t>20 247</w:t>
            </w:r>
          </w:p>
        </w:tc>
        <w:tc>
          <w:tcPr>
            <w:tcW w:w="1163" w:type="dxa"/>
            <w:tcBorders>
              <w:top w:val="single" w:sz="6" w:space="0" w:color="auto"/>
              <w:bottom w:val="single" w:sz="12" w:space="0" w:color="auto"/>
            </w:tcBorders>
          </w:tcPr>
          <w:p w:rsidR="00000000" w:rsidRDefault="001F233B">
            <w:pPr>
              <w:pStyle w:val="TableofFigures"/>
            </w:pPr>
            <w:r>
              <w:t>20 247</w:t>
            </w:r>
          </w:p>
        </w:tc>
        <w:tc>
          <w:tcPr>
            <w:tcW w:w="1260" w:type="dxa"/>
            <w:tcBorders>
              <w:top w:val="single" w:sz="6" w:space="0" w:color="auto"/>
              <w:bottom w:val="single" w:sz="12" w:space="0" w:color="auto"/>
            </w:tcBorders>
          </w:tcPr>
          <w:p w:rsidR="00000000" w:rsidRDefault="001F233B">
            <w:pPr>
              <w:pStyle w:val="TableofFigures"/>
            </w:pPr>
            <w:r>
              <w:t xml:space="preserve"> 0</w:t>
            </w:r>
          </w:p>
        </w:tc>
        <w:tc>
          <w:tcPr>
            <w:tcW w:w="1440" w:type="dxa"/>
            <w:tcBorders>
              <w:top w:val="single" w:sz="6" w:space="0" w:color="auto"/>
              <w:bottom w:val="single" w:sz="12" w:space="0" w:color="auto"/>
            </w:tcBorders>
          </w:tcPr>
          <w:p w:rsidR="00000000" w:rsidRDefault="001F233B">
            <w:pPr>
              <w:pStyle w:val="TableofFigures"/>
            </w:pPr>
            <w:r>
              <w:t>20 247</w:t>
            </w:r>
          </w:p>
        </w:tc>
        <w:tc>
          <w:tcPr>
            <w:tcW w:w="1170" w:type="dxa"/>
            <w:tcBorders>
              <w:top w:val="single" w:sz="6" w:space="0" w:color="auto"/>
              <w:bottom w:val="single" w:sz="12" w:space="0" w:color="auto"/>
            </w:tcBorders>
          </w:tcPr>
          <w:p w:rsidR="00000000" w:rsidRDefault="001F233B">
            <w:pPr>
              <w:pStyle w:val="TableofFigures"/>
            </w:pPr>
            <w:r>
              <w:t xml:space="preserve"> 0</w:t>
            </w:r>
          </w:p>
        </w:tc>
      </w:tr>
    </w:tbl>
    <w:p w:rsidR="00000000" w:rsidRDefault="001F233B">
      <w:pPr>
        <w:pStyle w:val="Source"/>
      </w:pPr>
      <w:r>
        <w:t xml:space="preserve">Source: </w:t>
      </w:r>
      <w:r>
        <w:rPr>
          <w:color w:val="000000"/>
        </w:rPr>
        <w:t>Reproduced from Commonwealth</w:t>
      </w:r>
      <w:r>
        <w:rPr>
          <w:i w:val="0"/>
          <w:color w:val="000000"/>
        </w:rPr>
        <w:t xml:space="preserve"> </w:t>
      </w:r>
      <w:r>
        <w:rPr>
          <w:color w:val="000000"/>
        </w:rPr>
        <w:t>B</w:t>
      </w:r>
      <w:r>
        <w:t>udget Paper No. 3, 1997</w:t>
      </w:r>
      <w:r>
        <w:noBreakHyphen/>
        <w:t>98, p.18.</w:t>
      </w:r>
    </w:p>
    <w:p w:rsidR="00000000" w:rsidRDefault="001F233B">
      <w:pPr>
        <w:pStyle w:val="Notes"/>
      </w:pPr>
      <w:r>
        <w:t xml:space="preserve">Notes: </w:t>
      </w:r>
    </w:p>
    <w:p w:rsidR="00000000" w:rsidRDefault="001F233B">
      <w:pPr>
        <w:pStyle w:val="Notes"/>
        <w:ind w:left="450" w:hanging="450"/>
      </w:pPr>
      <w:r>
        <w:t>(a)</w:t>
      </w:r>
      <w:r>
        <w:tab/>
        <w:t>The pool consists of $16 144.0 million in financial assistance grants</w:t>
      </w:r>
      <w:r>
        <w:fldChar w:fldCharType="begin"/>
      </w:r>
      <w:r>
        <w:instrText>xe "Financial assistance grants"</w:instrText>
      </w:r>
      <w:r>
        <w:fldChar w:fldCharType="end"/>
      </w:r>
      <w:r>
        <w:t xml:space="preserve"> and $4 102.9 million in hospital funding grants.</w:t>
      </w:r>
    </w:p>
    <w:p w:rsidR="00000000" w:rsidRDefault="001F233B">
      <w:pPr>
        <w:pStyle w:val="Notes"/>
      </w:pPr>
      <w:r>
        <w:t>(b)</w:t>
      </w:r>
      <w:r>
        <w:tab/>
        <w:t>1997 relativities as recommended by the CGC</w:t>
      </w:r>
      <w:r>
        <w:fldChar w:fldCharType="begin"/>
      </w:r>
      <w:r>
        <w:instrText>xe "Commonwealth Grants Commission"</w:instrText>
      </w:r>
      <w:r>
        <w:fldChar w:fldCharType="end"/>
      </w:r>
      <w:r>
        <w:t>.</w:t>
      </w:r>
    </w:p>
    <w:p w:rsidR="00000000" w:rsidRDefault="001F233B">
      <w:pPr>
        <w:pStyle w:val="Notes"/>
      </w:pPr>
      <w:r>
        <w:t>(c)</w:t>
      </w:r>
      <w:r>
        <w:tab/>
        <w:t>Based on ABS population</w:t>
      </w:r>
      <w:r>
        <w:fldChar w:fldCharType="begin"/>
      </w:r>
      <w:r>
        <w:instrText>xe "Economy:Population"</w:instrText>
      </w:r>
      <w:r>
        <w:fldChar w:fldCharType="end"/>
      </w:r>
      <w:r>
        <w:t xml:space="preserve"> pro</w:t>
      </w:r>
      <w:r>
        <w:t>jections.</w:t>
      </w:r>
    </w:p>
    <w:p w:rsidR="00000000" w:rsidRDefault="001F233B">
      <w:pPr>
        <w:pStyle w:val="Notes"/>
      </w:pPr>
      <w:r>
        <w:t>(d)</w:t>
      </w:r>
      <w:r>
        <w:tab/>
        <w:t>Based on each State's contribution to total net tax paid by individuals for 1994</w:t>
      </w:r>
      <w:r>
        <w:noBreakHyphen/>
        <w:t xml:space="preserve">95, as </w:t>
      </w:r>
      <w:r>
        <w:tab/>
        <w:t>shown in Table, p. 15 of Australian Taxation Office, Taxation Statistics 1994</w:t>
      </w:r>
      <w:r>
        <w:noBreakHyphen/>
        <w:t>95.</w:t>
      </w:r>
    </w:p>
    <w:p w:rsidR="00000000" w:rsidRDefault="001F233B">
      <w:pPr>
        <w:pStyle w:val="Notes"/>
      </w:pPr>
    </w:p>
    <w:p w:rsidR="00000000" w:rsidRDefault="001F233B">
      <w:pPr>
        <w:pStyle w:val="Heading3"/>
      </w:pPr>
      <w:r>
        <w:t>Policy issues in Specific Purpose Payments</w:t>
      </w:r>
      <w:r>
        <w:fldChar w:fldCharType="begin"/>
      </w:r>
      <w:r>
        <w:instrText>xe "Specific purpose payments"</w:instrText>
      </w:r>
      <w:r>
        <w:fldChar w:fldCharType="end"/>
      </w:r>
    </w:p>
    <w:p w:rsidR="00000000" w:rsidRDefault="001F233B">
      <w:r>
        <w:t>The Victorian Government has identified a number of problems with the proportion of Commonwealth funding tied to SPPs</w:t>
      </w:r>
      <w:r>
        <w:fldChar w:fldCharType="begin"/>
      </w:r>
      <w:r>
        <w:instrText>xe "Specific purpose payments"</w:instrText>
      </w:r>
      <w:r>
        <w:fldChar w:fldCharType="end"/>
      </w:r>
      <w:r>
        <w:t xml:space="preserve"> and the conditions attached to them. These problems have arisen partly because many small SPPs are in</w:t>
      </w:r>
      <w:r>
        <w:t xml:space="preserve"> areas for which State Governments have traditionally been responsible. </w:t>
      </w:r>
    </w:p>
    <w:p w:rsidR="00000000" w:rsidRDefault="001F233B">
      <w:r>
        <w:t>The growth of agreements has confused the roles and responsibilities of Commonwealth and State Governments. As a result, the Victorian Government’s ability to achieve efficiencies through restructuring of operations has been severely constrained. Often the creation of a separate stream for program development and accountability has also resulted, leading to poor service for clients and duplication of administrative effort.</w:t>
      </w:r>
    </w:p>
    <w:p w:rsidR="00000000" w:rsidRDefault="001F233B">
      <w:r>
        <w:t>These are ma</w:t>
      </w:r>
      <w:r>
        <w:t>jor issues requiring resolution. The Victorian Government has been seeking a reduction of SPPs</w:t>
      </w:r>
      <w:r>
        <w:fldChar w:fldCharType="begin"/>
      </w:r>
      <w:r>
        <w:instrText>xe "Specific purpose payments"</w:instrText>
      </w:r>
      <w:r>
        <w:fldChar w:fldCharType="end"/>
      </w:r>
      <w:r>
        <w:fldChar w:fldCharType="begin"/>
      </w:r>
      <w:r>
        <w:instrText>xe "Specific purpose payments"</w:instrText>
      </w:r>
      <w:r>
        <w:fldChar w:fldCharType="end"/>
      </w:r>
      <w:r>
        <w:t>, both in number, and as a proportion of Commonwealth funding. Ideally, the State would prefer to be financially independent of the Commonwealth through reform of VFI</w:t>
      </w:r>
      <w:r>
        <w:fldChar w:fldCharType="begin"/>
      </w:r>
      <w:r>
        <w:instrText>xe "Vertical fiscal imbalance (VFI)"</w:instrText>
      </w:r>
      <w:r>
        <w:fldChar w:fldCharType="end"/>
      </w:r>
      <w:r>
        <w:t>, or next best, to receive funding that is untied with no restrictive terms or conditions attached.</w:t>
      </w:r>
    </w:p>
    <w:p w:rsidR="00000000" w:rsidRDefault="001F233B">
      <w:r>
        <w:t>As an intermediate step, SPPs</w:t>
      </w:r>
      <w:r>
        <w:fldChar w:fldCharType="begin"/>
      </w:r>
      <w:r>
        <w:instrText>xe "Specific purpose</w:instrText>
      </w:r>
      <w:r>
        <w:instrText xml:space="preserve"> payments"</w:instrText>
      </w:r>
      <w:r>
        <w:fldChar w:fldCharType="end"/>
      </w:r>
      <w:r>
        <w:t xml:space="preserve"> should, wherever possible, be replaced by identified funding grants</w:t>
      </w:r>
      <w:r>
        <w:fldChar w:fldCharType="begin"/>
      </w:r>
      <w:r>
        <w:instrText>xe "Identified funding grants (IFGs)"</w:instrText>
      </w:r>
      <w:r>
        <w:fldChar w:fldCharType="end"/>
      </w:r>
      <w:r>
        <w:t xml:space="preserve"> (IFGs) in the general purpose grant stream. An IFG is a grant for an identified area of broad activity, which is not accompanied by specific performance conditions applied by the Commonwealth. IFGs have none of the restrictions placed on SPPs and therefore yield budgetary and program flexibility and administrative savings. This means better value for money for taxpayers. Improved services a</w:t>
      </w:r>
      <w:r>
        <w:t>nd more responsive programs will result. Funds will be better targeted to changing needs and there will be greater flexibility in service delivery</w:t>
      </w:r>
      <w:r>
        <w:fldChar w:fldCharType="begin"/>
      </w:r>
      <w:r>
        <w:instrText>xe "Service delivery"</w:instrText>
      </w:r>
      <w:r>
        <w:fldChar w:fldCharType="end"/>
      </w:r>
      <w:r>
        <w:t>.</w:t>
      </w:r>
    </w:p>
    <w:p w:rsidR="00000000" w:rsidRDefault="001F233B">
      <w:r>
        <w:t>It is likely, however, that some agreements will continue to provide for Commonwealth funding in the form of SPPs</w:t>
      </w:r>
      <w:r>
        <w:fldChar w:fldCharType="begin"/>
      </w:r>
      <w:r>
        <w:instrText>xe "Specific purpose payments"</w:instrText>
      </w:r>
      <w:r>
        <w:fldChar w:fldCharType="end"/>
      </w:r>
      <w:r>
        <w:t>. In any such agreements, the general policy objectives of the Victorian Government are:</w:t>
      </w:r>
    </w:p>
    <w:p w:rsidR="00000000" w:rsidRDefault="001F233B" w:rsidP="001F233B">
      <w:pPr>
        <w:pStyle w:val="BulletText"/>
        <w:numPr>
          <w:ilvl w:val="0"/>
          <w:numId w:val="1"/>
        </w:numPr>
      </w:pPr>
      <w:r>
        <w:t>to identify the most efficient and effective means of meeting program objectives in areas that require coop</w:t>
      </w:r>
      <w:r>
        <w:t>eration with the Commonwealth;</w:t>
      </w:r>
    </w:p>
    <w:p w:rsidR="00000000" w:rsidRDefault="001F233B" w:rsidP="001F233B">
      <w:pPr>
        <w:pStyle w:val="BulletText"/>
        <w:numPr>
          <w:ilvl w:val="0"/>
          <w:numId w:val="1"/>
        </w:numPr>
      </w:pPr>
      <w:r>
        <w:t>to avoid distortion of State priorities in the provision of services;</w:t>
      </w:r>
    </w:p>
    <w:p w:rsidR="00000000" w:rsidRDefault="001F233B" w:rsidP="001F233B">
      <w:pPr>
        <w:pStyle w:val="BulletText"/>
        <w:numPr>
          <w:ilvl w:val="0"/>
          <w:numId w:val="1"/>
        </w:numPr>
      </w:pPr>
      <w:r>
        <w:t>to provide the State Government with a reliable source of revenue so that predicability, stability and forward planning may be improved, while maintaining flexibility in budget management;</w:t>
      </w:r>
    </w:p>
    <w:p w:rsidR="00000000" w:rsidRDefault="001F233B" w:rsidP="001F233B">
      <w:pPr>
        <w:pStyle w:val="BulletText"/>
        <w:numPr>
          <w:ilvl w:val="0"/>
          <w:numId w:val="1"/>
        </w:numPr>
      </w:pPr>
      <w:r>
        <w:t>to eliminate the unnecessary and costly duplication of functions; and</w:t>
      </w:r>
    </w:p>
    <w:p w:rsidR="00000000" w:rsidRDefault="001F233B" w:rsidP="001F233B">
      <w:pPr>
        <w:pStyle w:val="BulletText"/>
        <w:numPr>
          <w:ilvl w:val="0"/>
          <w:numId w:val="1"/>
        </w:numPr>
      </w:pPr>
      <w:r>
        <w:t>to minimise the administrative costs associated with monitoring and reporting mechanisms.</w:t>
      </w:r>
    </w:p>
    <w:p w:rsidR="00000000" w:rsidRDefault="001F233B">
      <w:pPr>
        <w:pStyle w:val="Heading4"/>
      </w:pPr>
      <w:r>
        <w:t>Removal of input controls</w:t>
      </w:r>
    </w:p>
    <w:p w:rsidR="00000000" w:rsidRDefault="001F233B">
      <w:r>
        <w:t>Increasingly, the Commonwealth Gover</w:t>
      </w:r>
      <w:r>
        <w:t>nment has been insisting that the States ‘maintain effort’ across a program area as a condition for receipt of new or increased Commonwealth funding. This has usually meant maintenance of inputs (i.e. expenditure) rather than outputs</w:t>
      </w:r>
      <w:r>
        <w:fldChar w:fldCharType="begin"/>
      </w:r>
      <w:r>
        <w:instrText>xe "Outputs"</w:instrText>
      </w:r>
      <w:r>
        <w:fldChar w:fldCharType="end"/>
      </w:r>
      <w:r>
        <w:t xml:space="preserve"> or outcomes. A recent example is the revised Home and Community Care (HACC) Agreement</w:t>
      </w:r>
      <w:r>
        <w:fldChar w:fldCharType="begin"/>
      </w:r>
      <w:r>
        <w:instrText>xe "Home and Community Care (HACC) Agreement"</w:instrText>
      </w:r>
      <w:r>
        <w:fldChar w:fldCharType="end"/>
      </w:r>
      <w:r>
        <w:t>. While this Agreement contains certain administrative improvements, it retains an input</w:t>
      </w:r>
      <w:r>
        <w:noBreakHyphen/>
        <w:t>based requirement for the State to maintain</w:t>
      </w:r>
      <w:r>
        <w:t xml:space="preserve"> expenditure in real terms. Victoria’s suggestion for an alternative arrangement based on achievement of agreed outputs was not accepted by the Commonwealth.</w:t>
      </w:r>
    </w:p>
    <w:p w:rsidR="00000000" w:rsidRDefault="001F233B">
      <w:r>
        <w:t>Victoria has increased output and improved efficiency in many areas over the past few years, yet the inclusion of maintenance of expenditure measures has prevented the State from making savings associated with increased productivity</w:t>
      </w:r>
      <w:r>
        <w:fldChar w:fldCharType="begin"/>
      </w:r>
      <w:r>
        <w:instrText>xe "Economy:Productivity"</w:instrText>
      </w:r>
      <w:r>
        <w:fldChar w:fldCharType="end"/>
      </w:r>
      <w:r>
        <w:t xml:space="preserve"> gains. Such requirements discourage improved efficiency in programs funded through SPPs</w:t>
      </w:r>
      <w:r>
        <w:fldChar w:fldCharType="begin"/>
      </w:r>
      <w:r>
        <w:instrText>xe "Sp</w:instrText>
      </w:r>
      <w:r>
        <w:instrText>ecific purpose payments"</w:instrText>
      </w:r>
      <w:r>
        <w:fldChar w:fldCharType="end"/>
      </w:r>
      <w:r>
        <w:t>.</w:t>
      </w:r>
      <w:r>
        <w:rPr>
          <w:b/>
        </w:rPr>
        <w:t xml:space="preserve"> </w:t>
      </w:r>
      <w:r>
        <w:t>The requirement is also in conflict with the view that the evaluation of programs should be based on outputs</w:t>
      </w:r>
      <w:r>
        <w:fldChar w:fldCharType="begin"/>
      </w:r>
      <w:r>
        <w:instrText>xe "Outputs"</w:instrText>
      </w:r>
      <w:r>
        <w:fldChar w:fldCharType="end"/>
      </w:r>
      <w:r>
        <w:t xml:space="preserve"> or outcomes rather than inputs.</w:t>
      </w:r>
    </w:p>
    <w:p w:rsidR="00000000" w:rsidRDefault="001F233B">
      <w:r>
        <w:t>Similarly, many Commonwealth–State agreements require States to match Commonwealth funding, usually dollar</w:t>
      </w:r>
      <w:r>
        <w:noBreakHyphen/>
        <w:t>for</w:t>
      </w:r>
      <w:r>
        <w:noBreakHyphen/>
        <w:t>dollar. Such matching requirements cause the State to redirect funds away from its priorities, place an added burden on State finances, and in some cases, leave the State responsible for a program when Commonwealth atte</w:t>
      </w:r>
      <w:r>
        <w:t xml:space="preserve">ntion has shifted to a new area. </w:t>
      </w:r>
    </w:p>
    <w:p w:rsidR="00000000" w:rsidRDefault="001F233B">
      <w:r>
        <w:t>The current interim Commonwealth</w:t>
      </w:r>
      <w:r>
        <w:noBreakHyphen/>
        <w:t>State Housing Agreement</w:t>
      </w:r>
      <w:r>
        <w:fldChar w:fldCharType="begin"/>
      </w:r>
      <w:r>
        <w:instrText>xe "Commonwealth-State Housing Agreement (CSHA)"</w:instrText>
      </w:r>
      <w:r>
        <w:fldChar w:fldCharType="end"/>
      </w:r>
      <w:r>
        <w:t xml:space="preserve"> (CSHA) is an example of the State having to direct its own expenditure under terms and conditions determined in Canberra, rather than in a manner it considers appropriate to the needs of the local community. The interim CSHA is due to expire in June 1999. In the forthcoming negotiations for a new agreement, Victoria will continue to pursue an IFG to provide greater fle</w:t>
      </w:r>
      <w:r>
        <w:t>xibility to respond to the changing needs of the community and be able to manage services more efficiently. As an absolute minimum, Victoria will argue for a more acceptable SPP arrangement, focused on outputs</w:t>
      </w:r>
      <w:r>
        <w:fldChar w:fldCharType="begin"/>
      </w:r>
      <w:r>
        <w:instrText>xe "Outputs"</w:instrText>
      </w:r>
      <w:r>
        <w:fldChar w:fldCharType="end"/>
      </w:r>
      <w:r>
        <w:t xml:space="preserve"> rather than input controls such as matching.</w:t>
      </w:r>
    </w:p>
    <w:p w:rsidR="00000000" w:rsidRDefault="001F233B">
      <w:pPr>
        <w:pStyle w:val="Heading4"/>
      </w:pPr>
      <w:r>
        <w:t>Australian Health</w:t>
      </w:r>
      <w:r>
        <w:fldChar w:fldCharType="begin"/>
      </w:r>
      <w:r>
        <w:instrText>xe "Health"</w:instrText>
      </w:r>
      <w:r>
        <w:fldChar w:fldCharType="end"/>
      </w:r>
      <w:r>
        <w:t xml:space="preserve"> Care Agreement</w:t>
      </w:r>
    </w:p>
    <w:p w:rsidR="00000000" w:rsidRDefault="001F233B">
      <w:r>
        <w:t>The most significant SPP currently under negotiation is a new AHCA</w:t>
      </w:r>
      <w:r>
        <w:fldChar w:fldCharType="begin"/>
      </w:r>
      <w:r>
        <w:instrText>xe "Australian Health Care Agreement (AHCA)"</w:instrText>
      </w:r>
      <w:r>
        <w:fldChar w:fldCharType="end"/>
      </w:r>
      <w:r>
        <w:t xml:space="preserve"> to replace the present ‘Medicare’ Agreement, which is due to expire on 30 June 1998.</w:t>
      </w:r>
    </w:p>
    <w:p w:rsidR="00000000" w:rsidRDefault="001F233B">
      <w:r>
        <w:t>The Commonwealth made an offer to States and Territories late last year. Following consideration, the States and the Northern Territory rejected this offer as inadequate to meet the health</w:t>
      </w:r>
      <w:r>
        <w:fldChar w:fldCharType="begin"/>
      </w:r>
      <w:r>
        <w:instrText>xe "Health"</w:instrText>
      </w:r>
      <w:r>
        <w:fldChar w:fldCharType="end"/>
      </w:r>
      <w:r>
        <w:t xml:space="preserve"> care needs of Australians over the next five years. The Commonwealth refused to reconsider its offer at the 1998 Premiers’ Conference. </w:t>
      </w:r>
    </w:p>
    <w:p w:rsidR="00000000" w:rsidRDefault="001F233B">
      <w:r>
        <w:t>State and Northern Territory concerns about the offer are twofold. The Commonwealth’s offer does not provide adequate funding for the expected growth in public hospital</w:t>
      </w:r>
      <w:r>
        <w:fldChar w:fldCharType="begin"/>
      </w:r>
      <w:r>
        <w:instrText>xe "</w:instrText>
      </w:r>
      <w:r>
        <w:instrText>Department of Human Services:Public hospital"</w:instrText>
      </w:r>
      <w:r>
        <w:fldChar w:fldCharType="end"/>
      </w:r>
      <w:r>
        <w:t xml:space="preserve"> demand over the next five years. Funding needs to be significantly increased to enable States and Territories to meet escalating cost and demand pressures in public hospitals. </w:t>
      </w:r>
    </w:p>
    <w:p w:rsidR="00000000" w:rsidRDefault="001F233B">
      <w:r>
        <w:br w:type="page"/>
        <w:t>Medicare is a Commonwealth commitment that guarantees Australians free and uncapped access to the public hospital</w:t>
      </w:r>
      <w:r>
        <w:fldChar w:fldCharType="begin"/>
      </w:r>
      <w:r>
        <w:instrText>xe "Department of Human Services:Public hospital"</w:instrText>
      </w:r>
      <w:r>
        <w:fldChar w:fldCharType="end"/>
      </w:r>
      <w:r>
        <w:t xml:space="preserve"> system. Accordingly, the Commonwealth must provide adequate funding to honour this. However, the Commonwealth proposal mak</w:t>
      </w:r>
      <w:r>
        <w:t>es no allowance for the major decline in private health</w:t>
      </w:r>
      <w:r>
        <w:fldChar w:fldCharType="begin"/>
      </w:r>
      <w:r>
        <w:instrText>xe "Health"</w:instrText>
      </w:r>
      <w:r>
        <w:fldChar w:fldCharType="end"/>
      </w:r>
      <w:r>
        <w:t xml:space="preserve"> insurance over recent years. On the Commonwealth’s own figures, this has placed an additional cost burden on the States and Territories of more than $600 million per annum. Due to projected growth in demand, all States and Territories are experiencing significant workload increases. While the Commonwealth’s proposal includes a 1.6 per cent utilisation growth factor, it is expected that the additional demand on State public hospital systems</w:t>
      </w:r>
      <w:r>
        <w:t xml:space="preserve"> will significantly exceed this provision. </w:t>
      </w:r>
    </w:p>
    <w:p w:rsidR="00000000" w:rsidRDefault="001F233B">
      <w:pPr>
        <w:sectPr w:rsidR="00000000">
          <w:footerReference w:type="even" r:id="rId99"/>
          <w:footerReference w:type="default" r:id="rId100"/>
          <w:type w:val="oddPage"/>
          <w:pgSz w:w="11907" w:h="16840" w:code="9"/>
          <w:pgMar w:top="1440" w:right="3398" w:bottom="4075" w:left="1411" w:header="720" w:footer="4248" w:gutter="0"/>
          <w:cols w:space="720"/>
        </w:sectPr>
      </w:pPr>
    </w:p>
    <w:p w:rsidR="00000000" w:rsidRDefault="001F233B">
      <w:pPr>
        <w:sectPr w:rsidR="00000000">
          <w:footerReference w:type="even" r:id="rId101"/>
          <w:footerReference w:type="default" r:id="rId102"/>
          <w:type w:val="continuous"/>
          <w:pgSz w:w="11907" w:h="16840" w:code="9"/>
          <w:pgMar w:top="1440" w:right="3402" w:bottom="4082" w:left="1418" w:header="720" w:footer="4253" w:gutter="0"/>
          <w:cols w:space="720"/>
        </w:sectPr>
      </w:pPr>
    </w:p>
    <w:p w:rsidR="00000000" w:rsidRDefault="001F233B">
      <w:pPr>
        <w:pStyle w:val="Heading1"/>
      </w:pPr>
      <w:bookmarkStart w:id="200" w:name="_Toc417119872"/>
      <w:bookmarkStart w:id="201" w:name="_Toc417552124"/>
      <w:r>
        <w:t>Appendix A:</w:t>
      </w:r>
      <w:bookmarkEnd w:id="200"/>
      <w:r>
        <w:t xml:space="preserve"> Reconciliation of Accrual Operating Result to Cash Result</w:t>
      </w:r>
      <w:bookmarkEnd w:id="201"/>
    </w:p>
    <w:p w:rsidR="00000000" w:rsidRDefault="001F233B">
      <w:r>
        <w:t xml:space="preserve">Table A1 provides a summary reconciliation of the factors contributing to the difference between the projected cash budget surplus for 1997-98, as published in the </w:t>
      </w:r>
      <w:r>
        <w:rPr>
          <w:i/>
        </w:rPr>
        <w:t>1997</w:t>
      </w:r>
      <w:r>
        <w:rPr>
          <w:i/>
        </w:rPr>
        <w:noBreakHyphen/>
        <w:t>98 Budget Statement</w:t>
      </w:r>
      <w:r>
        <w:t>, and the corresponding accruals operating surplus published in the 1998-99 budget papers. A reconciliation of the 1998</w:t>
      </w:r>
      <w:r>
        <w:noBreakHyphen/>
        <w:t>99 cash to accrual operating result is also provided for comparison. A detailed explanat</w:t>
      </w:r>
      <w:r>
        <w:t xml:space="preserve">ion of changes to the presentation of budget estimates in the 1998-99 Budget papers is provided in the </w:t>
      </w:r>
      <w:r>
        <w:rPr>
          <w:i/>
        </w:rPr>
        <w:t>Guide to the 1998</w:t>
      </w:r>
      <w:r>
        <w:rPr>
          <w:i/>
        </w:rPr>
        <w:noBreakHyphen/>
        <w:t>99 Budget Papers</w:t>
      </w:r>
      <w:r>
        <w:t>.</w:t>
      </w:r>
    </w:p>
    <w:p w:rsidR="00000000" w:rsidRDefault="001F233B">
      <w:pPr>
        <w:pStyle w:val="Tableheading"/>
        <w:spacing w:after="0"/>
      </w:pPr>
      <w:bookmarkStart w:id="202" w:name="_Toc417552771"/>
      <w:r>
        <w:rPr>
          <w:color w:val="000000"/>
        </w:rPr>
        <w:t xml:space="preserve">Table A1: </w:t>
      </w:r>
      <w:r>
        <w:t>Reconciliation of Accrual Operating Surplus  to Cash Surplus</w:t>
      </w:r>
      <w:bookmarkEnd w:id="202"/>
    </w:p>
    <w:p w:rsidR="00000000" w:rsidRDefault="001F233B">
      <w:pPr>
        <w:pStyle w:val="Heading3"/>
        <w:spacing w:before="0"/>
        <w:rPr>
          <w:rFonts w:ascii="Times New Roman" w:hAnsi="Times New Roman"/>
          <w:b w:val="0"/>
          <w:i/>
          <w:noProof/>
          <w:kern w:val="0"/>
          <w:sz w:val="20"/>
        </w:rPr>
      </w:pPr>
      <w:r>
        <w:rPr>
          <w:b w:val="0"/>
          <w:i/>
          <w:sz w:val="20"/>
        </w:rPr>
        <w:t>1997-98 Published Budget and 1998-99 Budget, $ Million</w:t>
      </w:r>
      <w:r>
        <w:rPr>
          <w:b w:val="0"/>
          <w:i/>
          <w:sz w:val="20"/>
        </w:rPr>
        <w:fldChar w:fldCharType="begin"/>
      </w:r>
      <w:r>
        <w:rPr>
          <w:b w:val="0"/>
          <w:i/>
          <w:sz w:val="20"/>
        </w:rPr>
        <w:instrText>LINK Excel.Sheet.8 "\\\\DTF\\DATA1\\BRANCH\\bud98_99\\bp2\\Appendix\\cash to accrual reconciliation.xls" "CASH TO ACCRUAL!R2C2:R26C7" \r</w:instrText>
      </w:r>
      <w:r>
        <w:rPr>
          <w:b w:val="0"/>
          <w:i/>
          <w:sz w:val="20"/>
        </w:rPr>
        <w:fldChar w:fldCharType="separate"/>
      </w:r>
    </w:p>
    <w:tbl>
      <w:tblPr>
        <w:tblW w:w="0" w:type="auto"/>
        <w:tblLayout w:type="fixed"/>
        <w:tblCellMar>
          <w:left w:w="30" w:type="dxa"/>
          <w:right w:w="30" w:type="dxa"/>
        </w:tblCellMar>
        <w:tblLook w:val="0000" w:firstRow="0" w:lastRow="0" w:firstColumn="0" w:lastColumn="0" w:noHBand="0" w:noVBand="0"/>
      </w:tblPr>
      <w:tblGrid>
        <w:gridCol w:w="4795"/>
        <w:gridCol w:w="576"/>
        <w:gridCol w:w="888"/>
        <w:gridCol w:w="888"/>
      </w:tblGrid>
      <w:tr w:rsidR="00000000">
        <w:tblPrEx>
          <w:tblCellMar>
            <w:top w:w="0" w:type="dxa"/>
            <w:bottom w:w="0" w:type="dxa"/>
          </w:tblCellMar>
        </w:tblPrEx>
        <w:trPr>
          <w:trHeight w:hRule="exact" w:val="240"/>
        </w:trPr>
        <w:tc>
          <w:tcPr>
            <w:tcW w:w="4795" w:type="dxa"/>
            <w:tcBorders>
              <w:top w:val="single" w:sz="6" w:space="0" w:color="auto"/>
            </w:tcBorders>
          </w:tcPr>
          <w:p w:rsidR="00000000" w:rsidRDefault="001F233B">
            <w:pPr>
              <w:jc w:val="right"/>
              <w:rPr>
                <w:rFonts w:ascii="Arial" w:hAnsi="Arial"/>
                <w:color w:val="000000"/>
                <w:sz w:val="18"/>
              </w:rPr>
            </w:pPr>
          </w:p>
        </w:tc>
        <w:tc>
          <w:tcPr>
            <w:tcW w:w="576" w:type="dxa"/>
            <w:tcBorders>
              <w:top w:val="single" w:sz="6" w:space="0" w:color="auto"/>
            </w:tcBorders>
          </w:tcPr>
          <w:p w:rsidR="00000000" w:rsidRDefault="001F233B">
            <w:pPr>
              <w:jc w:val="right"/>
              <w:rPr>
                <w:rFonts w:ascii="Arial" w:hAnsi="Arial"/>
                <w:color w:val="000000"/>
                <w:sz w:val="18"/>
              </w:rPr>
            </w:pPr>
          </w:p>
        </w:tc>
        <w:tc>
          <w:tcPr>
            <w:tcW w:w="888"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1997-98</w:t>
            </w:r>
          </w:p>
        </w:tc>
        <w:tc>
          <w:tcPr>
            <w:tcW w:w="888"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40"/>
        </w:trPr>
        <w:tc>
          <w:tcPr>
            <w:tcW w:w="4795" w:type="dxa"/>
          </w:tcPr>
          <w:p w:rsidR="00000000" w:rsidRDefault="001F233B">
            <w:pPr>
              <w:jc w:val="right"/>
              <w:rPr>
                <w:rFonts w:ascii="Arial" w:hAnsi="Arial"/>
                <w:color w:val="000000"/>
                <w:sz w:val="18"/>
              </w:rPr>
            </w:pPr>
          </w:p>
        </w:tc>
        <w:tc>
          <w:tcPr>
            <w:tcW w:w="576"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Note</w:t>
            </w:r>
          </w:p>
        </w:tc>
        <w:tc>
          <w:tcPr>
            <w:tcW w:w="888"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Budget</w:t>
            </w:r>
          </w:p>
        </w:tc>
        <w:tc>
          <w:tcPr>
            <w:tcW w:w="888"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140"/>
        </w:trPr>
        <w:tc>
          <w:tcPr>
            <w:tcW w:w="4795" w:type="dxa"/>
          </w:tcPr>
          <w:p w:rsidR="00000000" w:rsidRDefault="001F233B">
            <w:pPr>
              <w:jc w:val="right"/>
              <w:rPr>
                <w:rFonts w:ascii="Arial" w:hAnsi="Arial"/>
                <w:color w:val="000000"/>
                <w:sz w:val="18"/>
              </w:rPr>
            </w:pPr>
          </w:p>
        </w:tc>
        <w:tc>
          <w:tcPr>
            <w:tcW w:w="576" w:type="dxa"/>
          </w:tcPr>
          <w:p w:rsidR="00000000" w:rsidRDefault="001F233B">
            <w:pPr>
              <w:jc w:val="right"/>
              <w:rPr>
                <w:rFonts w:ascii="Arial" w:hAnsi="Arial"/>
                <w:color w:val="000000"/>
                <w:sz w:val="18"/>
              </w:rPr>
            </w:pPr>
          </w:p>
        </w:tc>
        <w:tc>
          <w:tcPr>
            <w:tcW w:w="888" w:type="dxa"/>
          </w:tcPr>
          <w:p w:rsidR="00000000" w:rsidRDefault="001F233B">
            <w:pPr>
              <w:jc w:val="right"/>
              <w:rPr>
                <w:rFonts w:ascii="Arial" w:hAnsi="Arial"/>
                <w:color w:val="000000"/>
                <w:sz w:val="18"/>
              </w:rPr>
            </w:pPr>
          </w:p>
        </w:tc>
        <w:tc>
          <w:tcPr>
            <w:tcW w:w="888" w:type="dxa"/>
          </w:tcPr>
          <w:p w:rsidR="00000000" w:rsidRDefault="001F233B">
            <w:pPr>
              <w:jc w:val="right"/>
              <w:rPr>
                <w:color w:val="000000"/>
              </w:rPr>
            </w:pPr>
          </w:p>
        </w:tc>
      </w:tr>
      <w:tr w:rsidR="00000000">
        <w:tblPrEx>
          <w:tblCellMar>
            <w:top w:w="0" w:type="dxa"/>
            <w:bottom w:w="0" w:type="dxa"/>
          </w:tblCellMar>
        </w:tblPrEx>
        <w:trPr>
          <w:trHeight w:hRule="exact" w:val="240"/>
        </w:trPr>
        <w:tc>
          <w:tcPr>
            <w:tcW w:w="4795" w:type="dxa"/>
          </w:tcPr>
          <w:p w:rsidR="00000000" w:rsidRDefault="001F233B">
            <w:pPr>
              <w:rPr>
                <w:rFonts w:ascii="Arial" w:hAnsi="Arial"/>
                <w:b/>
                <w:color w:val="000000"/>
                <w:sz w:val="18"/>
              </w:rPr>
            </w:pPr>
            <w:r>
              <w:rPr>
                <w:rFonts w:ascii="Arial" w:hAnsi="Arial"/>
                <w:b/>
                <w:color w:val="000000"/>
                <w:sz w:val="18"/>
              </w:rPr>
              <w:t>Published Cash Budget Surplus</w:t>
            </w:r>
          </w:p>
        </w:tc>
        <w:tc>
          <w:tcPr>
            <w:tcW w:w="576" w:type="dxa"/>
          </w:tcPr>
          <w:p w:rsidR="00000000" w:rsidRDefault="001F233B">
            <w:pPr>
              <w:jc w:val="right"/>
              <w:rPr>
                <w:rFonts w:ascii="Arial" w:hAnsi="Arial"/>
                <w:color w:val="000000"/>
                <w:sz w:val="18"/>
              </w:rPr>
            </w:pPr>
          </w:p>
        </w:tc>
        <w:tc>
          <w:tcPr>
            <w:tcW w:w="888" w:type="dxa"/>
          </w:tcPr>
          <w:p w:rsidR="00000000" w:rsidRDefault="001F233B">
            <w:pPr>
              <w:jc w:val="right"/>
              <w:rPr>
                <w:rFonts w:ascii="Arial" w:hAnsi="Arial"/>
                <w:color w:val="000000"/>
                <w:sz w:val="18"/>
              </w:rPr>
            </w:pPr>
            <w:r>
              <w:rPr>
                <w:rFonts w:ascii="Arial" w:hAnsi="Arial"/>
                <w:color w:val="000000"/>
                <w:sz w:val="18"/>
              </w:rPr>
              <w:t xml:space="preserve"> 443.7</w:t>
            </w:r>
          </w:p>
        </w:tc>
        <w:tc>
          <w:tcPr>
            <w:tcW w:w="888" w:type="dxa"/>
          </w:tcPr>
          <w:p w:rsidR="00000000" w:rsidRDefault="001F233B">
            <w:pPr>
              <w:jc w:val="right"/>
              <w:rPr>
                <w:rFonts w:ascii="Arial" w:hAnsi="Arial"/>
                <w:color w:val="000000"/>
                <w:sz w:val="18"/>
              </w:rPr>
            </w:pPr>
            <w:r>
              <w:rPr>
                <w:rFonts w:ascii="Arial" w:hAnsi="Arial"/>
                <w:color w:val="000000"/>
                <w:sz w:val="18"/>
              </w:rPr>
              <w:t xml:space="preserve"> 164.6</w:t>
            </w:r>
          </w:p>
        </w:tc>
      </w:tr>
      <w:tr w:rsidR="00000000">
        <w:tblPrEx>
          <w:tblCellMar>
            <w:top w:w="0" w:type="dxa"/>
            <w:bottom w:w="0" w:type="dxa"/>
          </w:tblCellMar>
        </w:tblPrEx>
        <w:trPr>
          <w:trHeight w:hRule="exact" w:val="140"/>
        </w:trPr>
        <w:tc>
          <w:tcPr>
            <w:tcW w:w="4795" w:type="dxa"/>
          </w:tcPr>
          <w:p w:rsidR="00000000" w:rsidRDefault="001F233B">
            <w:pPr>
              <w:jc w:val="right"/>
              <w:rPr>
                <w:rFonts w:ascii="Arial" w:hAnsi="Arial"/>
                <w:color w:val="000000"/>
                <w:sz w:val="18"/>
              </w:rPr>
            </w:pPr>
          </w:p>
        </w:tc>
        <w:tc>
          <w:tcPr>
            <w:tcW w:w="576" w:type="dxa"/>
          </w:tcPr>
          <w:p w:rsidR="00000000" w:rsidRDefault="001F233B">
            <w:pPr>
              <w:jc w:val="right"/>
              <w:rPr>
                <w:rFonts w:ascii="Arial" w:hAnsi="Arial"/>
                <w:color w:val="000000"/>
                <w:sz w:val="18"/>
              </w:rPr>
            </w:pPr>
          </w:p>
        </w:tc>
        <w:tc>
          <w:tcPr>
            <w:tcW w:w="888" w:type="dxa"/>
          </w:tcPr>
          <w:p w:rsidR="00000000" w:rsidRDefault="001F233B">
            <w:pPr>
              <w:jc w:val="right"/>
              <w:rPr>
                <w:rFonts w:ascii="Arial" w:hAnsi="Arial"/>
                <w:color w:val="000000"/>
                <w:sz w:val="18"/>
              </w:rPr>
            </w:pPr>
          </w:p>
        </w:tc>
        <w:tc>
          <w:tcPr>
            <w:tcW w:w="888"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795" w:type="dxa"/>
          </w:tcPr>
          <w:p w:rsidR="00000000" w:rsidRDefault="001F233B">
            <w:pPr>
              <w:rPr>
                <w:rFonts w:ascii="Arial" w:hAnsi="Arial"/>
                <w:color w:val="000000"/>
                <w:sz w:val="18"/>
              </w:rPr>
            </w:pPr>
            <w:r>
              <w:rPr>
                <w:rFonts w:ascii="Arial" w:hAnsi="Arial"/>
                <w:color w:val="000000"/>
                <w:sz w:val="18"/>
              </w:rPr>
              <w:t>Less : Carryo</w:t>
            </w:r>
            <w:r>
              <w:rPr>
                <w:rFonts w:ascii="Arial" w:hAnsi="Arial"/>
                <w:color w:val="000000"/>
                <w:sz w:val="18"/>
              </w:rPr>
              <w:t>ver adjustments</w:t>
            </w:r>
          </w:p>
        </w:tc>
        <w:tc>
          <w:tcPr>
            <w:tcW w:w="576" w:type="dxa"/>
          </w:tcPr>
          <w:p w:rsidR="00000000" w:rsidRDefault="001F233B">
            <w:pPr>
              <w:jc w:val="right"/>
              <w:rPr>
                <w:rFonts w:ascii="Arial" w:hAnsi="Arial"/>
                <w:i/>
                <w:color w:val="000000"/>
                <w:sz w:val="18"/>
              </w:rPr>
            </w:pPr>
            <w:r>
              <w:rPr>
                <w:rFonts w:ascii="Arial" w:hAnsi="Arial"/>
                <w:i/>
                <w:color w:val="000000"/>
                <w:sz w:val="18"/>
              </w:rPr>
              <w:t>1</w:t>
            </w:r>
          </w:p>
        </w:tc>
        <w:tc>
          <w:tcPr>
            <w:tcW w:w="888" w:type="dxa"/>
          </w:tcPr>
          <w:p w:rsidR="00000000" w:rsidRDefault="001F233B">
            <w:pPr>
              <w:jc w:val="right"/>
              <w:rPr>
                <w:rFonts w:ascii="Arial" w:hAnsi="Arial"/>
                <w:color w:val="000000"/>
                <w:sz w:val="18"/>
              </w:rPr>
            </w:pPr>
            <w:r>
              <w:rPr>
                <w:rFonts w:ascii="Arial" w:hAnsi="Arial"/>
                <w:color w:val="000000"/>
                <w:sz w:val="18"/>
              </w:rPr>
              <w:t xml:space="preserve"> 57.6</w:t>
            </w:r>
          </w:p>
        </w:tc>
        <w:tc>
          <w:tcPr>
            <w:tcW w:w="888" w:type="dxa"/>
          </w:tcPr>
          <w:p w:rsidR="00000000" w:rsidRDefault="001F233B">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140"/>
        </w:trPr>
        <w:tc>
          <w:tcPr>
            <w:tcW w:w="4795" w:type="dxa"/>
          </w:tcPr>
          <w:p w:rsidR="00000000" w:rsidRDefault="001F233B">
            <w:pPr>
              <w:jc w:val="right"/>
              <w:rPr>
                <w:rFonts w:ascii="Arial" w:hAnsi="Arial"/>
                <w:color w:val="000000"/>
                <w:sz w:val="18"/>
              </w:rPr>
            </w:pPr>
          </w:p>
        </w:tc>
        <w:tc>
          <w:tcPr>
            <w:tcW w:w="576" w:type="dxa"/>
          </w:tcPr>
          <w:p w:rsidR="00000000" w:rsidRDefault="001F233B">
            <w:pPr>
              <w:jc w:val="right"/>
              <w:rPr>
                <w:rFonts w:ascii="Arial" w:hAnsi="Arial"/>
                <w:i/>
                <w:color w:val="000000"/>
                <w:sz w:val="18"/>
              </w:rPr>
            </w:pPr>
          </w:p>
        </w:tc>
        <w:tc>
          <w:tcPr>
            <w:tcW w:w="888" w:type="dxa"/>
            <w:tcBorders>
              <w:bottom w:val="single" w:sz="6" w:space="0" w:color="auto"/>
            </w:tcBorders>
          </w:tcPr>
          <w:p w:rsidR="00000000" w:rsidRDefault="001F233B">
            <w:pPr>
              <w:jc w:val="right"/>
              <w:rPr>
                <w:rFonts w:ascii="Arial" w:hAnsi="Arial"/>
                <w:color w:val="000000"/>
                <w:sz w:val="18"/>
              </w:rPr>
            </w:pPr>
          </w:p>
        </w:tc>
        <w:tc>
          <w:tcPr>
            <w:tcW w:w="888" w:type="dxa"/>
            <w:tcBorders>
              <w:bottom w:val="single" w:sz="6" w:space="0" w:color="auto"/>
            </w:tcBorders>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795" w:type="dxa"/>
          </w:tcPr>
          <w:p w:rsidR="00000000" w:rsidRDefault="001F233B">
            <w:pPr>
              <w:rPr>
                <w:rFonts w:ascii="Arial" w:hAnsi="Arial"/>
                <w:color w:val="000000"/>
                <w:sz w:val="18"/>
              </w:rPr>
            </w:pPr>
            <w:r>
              <w:rPr>
                <w:rFonts w:ascii="Arial" w:hAnsi="Arial"/>
                <w:color w:val="000000"/>
                <w:sz w:val="18"/>
              </w:rPr>
              <w:t xml:space="preserve">Equals : </w:t>
            </w:r>
            <w:r>
              <w:rPr>
                <w:rFonts w:ascii="Arial" w:hAnsi="Arial"/>
                <w:i/>
                <w:color w:val="000000"/>
                <w:sz w:val="18"/>
              </w:rPr>
              <w:t xml:space="preserve">adjusted </w:t>
            </w:r>
            <w:r>
              <w:rPr>
                <w:rFonts w:ascii="Arial" w:hAnsi="Arial"/>
                <w:color w:val="000000"/>
                <w:sz w:val="18"/>
              </w:rPr>
              <w:t>cash Budget Surplus</w:t>
            </w:r>
          </w:p>
        </w:tc>
        <w:tc>
          <w:tcPr>
            <w:tcW w:w="576" w:type="dxa"/>
          </w:tcPr>
          <w:p w:rsidR="00000000" w:rsidRDefault="001F233B">
            <w:pPr>
              <w:jc w:val="right"/>
              <w:rPr>
                <w:rFonts w:ascii="Arial" w:hAnsi="Arial"/>
                <w:i/>
                <w:color w:val="000000"/>
                <w:sz w:val="18"/>
              </w:rPr>
            </w:pPr>
          </w:p>
        </w:tc>
        <w:tc>
          <w:tcPr>
            <w:tcW w:w="888" w:type="dxa"/>
          </w:tcPr>
          <w:p w:rsidR="00000000" w:rsidRDefault="001F233B">
            <w:pPr>
              <w:jc w:val="right"/>
              <w:rPr>
                <w:rFonts w:ascii="Arial" w:hAnsi="Arial"/>
                <w:color w:val="000000"/>
                <w:sz w:val="18"/>
              </w:rPr>
            </w:pPr>
            <w:r>
              <w:rPr>
                <w:rFonts w:ascii="Arial" w:hAnsi="Arial"/>
                <w:color w:val="000000"/>
                <w:sz w:val="18"/>
              </w:rPr>
              <w:t xml:space="preserve"> 386.2</w:t>
            </w:r>
          </w:p>
        </w:tc>
        <w:tc>
          <w:tcPr>
            <w:tcW w:w="888" w:type="dxa"/>
          </w:tcPr>
          <w:p w:rsidR="00000000" w:rsidRDefault="001F233B">
            <w:pPr>
              <w:jc w:val="right"/>
              <w:rPr>
                <w:rFonts w:ascii="Arial" w:hAnsi="Arial"/>
                <w:color w:val="000000"/>
                <w:sz w:val="18"/>
              </w:rPr>
            </w:pPr>
            <w:r>
              <w:rPr>
                <w:rFonts w:ascii="Arial" w:hAnsi="Arial"/>
                <w:color w:val="000000"/>
                <w:sz w:val="18"/>
              </w:rPr>
              <w:t xml:space="preserve"> 164.6</w:t>
            </w:r>
          </w:p>
        </w:tc>
      </w:tr>
      <w:tr w:rsidR="00000000">
        <w:tblPrEx>
          <w:tblCellMar>
            <w:top w:w="0" w:type="dxa"/>
            <w:bottom w:w="0" w:type="dxa"/>
          </w:tblCellMar>
        </w:tblPrEx>
        <w:trPr>
          <w:trHeight w:hRule="exact" w:val="240"/>
        </w:trPr>
        <w:tc>
          <w:tcPr>
            <w:tcW w:w="4795" w:type="dxa"/>
          </w:tcPr>
          <w:p w:rsidR="00000000" w:rsidRDefault="001F233B">
            <w:pPr>
              <w:jc w:val="right"/>
              <w:rPr>
                <w:rFonts w:ascii="Arial" w:hAnsi="Arial"/>
                <w:color w:val="000000"/>
                <w:sz w:val="18"/>
              </w:rPr>
            </w:pPr>
          </w:p>
        </w:tc>
        <w:tc>
          <w:tcPr>
            <w:tcW w:w="576" w:type="dxa"/>
          </w:tcPr>
          <w:p w:rsidR="00000000" w:rsidRDefault="001F233B">
            <w:pPr>
              <w:jc w:val="right"/>
              <w:rPr>
                <w:rFonts w:ascii="Arial" w:hAnsi="Arial"/>
                <w:i/>
                <w:color w:val="000000"/>
                <w:sz w:val="18"/>
              </w:rPr>
            </w:pPr>
          </w:p>
        </w:tc>
        <w:tc>
          <w:tcPr>
            <w:tcW w:w="888" w:type="dxa"/>
          </w:tcPr>
          <w:p w:rsidR="00000000" w:rsidRDefault="001F233B">
            <w:pPr>
              <w:jc w:val="right"/>
              <w:rPr>
                <w:rFonts w:ascii="Arial" w:hAnsi="Arial"/>
                <w:color w:val="000000"/>
                <w:sz w:val="18"/>
              </w:rPr>
            </w:pPr>
          </w:p>
        </w:tc>
        <w:tc>
          <w:tcPr>
            <w:tcW w:w="888"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795" w:type="dxa"/>
          </w:tcPr>
          <w:p w:rsidR="00000000" w:rsidRDefault="001F233B">
            <w:pPr>
              <w:rPr>
                <w:rFonts w:ascii="Arial" w:hAnsi="Arial"/>
                <w:b/>
                <w:color w:val="000000"/>
                <w:sz w:val="18"/>
              </w:rPr>
            </w:pPr>
            <w:r>
              <w:rPr>
                <w:rFonts w:ascii="Arial" w:hAnsi="Arial"/>
                <w:b/>
                <w:color w:val="000000"/>
                <w:sz w:val="18"/>
              </w:rPr>
              <w:t>Accrual Adjustments</w:t>
            </w:r>
          </w:p>
        </w:tc>
        <w:tc>
          <w:tcPr>
            <w:tcW w:w="576" w:type="dxa"/>
          </w:tcPr>
          <w:p w:rsidR="00000000" w:rsidRDefault="001F233B">
            <w:pPr>
              <w:jc w:val="right"/>
              <w:rPr>
                <w:rFonts w:ascii="Arial" w:hAnsi="Arial"/>
                <w:i/>
                <w:color w:val="000000"/>
                <w:sz w:val="18"/>
              </w:rPr>
            </w:pPr>
          </w:p>
        </w:tc>
        <w:tc>
          <w:tcPr>
            <w:tcW w:w="888" w:type="dxa"/>
          </w:tcPr>
          <w:p w:rsidR="00000000" w:rsidRDefault="001F233B">
            <w:pPr>
              <w:jc w:val="right"/>
              <w:rPr>
                <w:rFonts w:ascii="Arial" w:hAnsi="Arial"/>
                <w:color w:val="000000"/>
                <w:sz w:val="18"/>
              </w:rPr>
            </w:pPr>
          </w:p>
        </w:tc>
        <w:tc>
          <w:tcPr>
            <w:tcW w:w="888"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140"/>
        </w:trPr>
        <w:tc>
          <w:tcPr>
            <w:tcW w:w="4795" w:type="dxa"/>
          </w:tcPr>
          <w:p w:rsidR="00000000" w:rsidRDefault="001F233B">
            <w:pPr>
              <w:jc w:val="right"/>
              <w:rPr>
                <w:rFonts w:ascii="Arial" w:hAnsi="Arial"/>
                <w:color w:val="000000"/>
                <w:sz w:val="18"/>
              </w:rPr>
            </w:pPr>
          </w:p>
        </w:tc>
        <w:tc>
          <w:tcPr>
            <w:tcW w:w="576" w:type="dxa"/>
          </w:tcPr>
          <w:p w:rsidR="00000000" w:rsidRDefault="001F233B">
            <w:pPr>
              <w:jc w:val="right"/>
              <w:rPr>
                <w:rFonts w:ascii="Arial" w:hAnsi="Arial"/>
                <w:i/>
                <w:color w:val="000000"/>
                <w:sz w:val="18"/>
              </w:rPr>
            </w:pPr>
          </w:p>
        </w:tc>
        <w:tc>
          <w:tcPr>
            <w:tcW w:w="888" w:type="dxa"/>
          </w:tcPr>
          <w:p w:rsidR="00000000" w:rsidRDefault="001F233B">
            <w:pPr>
              <w:jc w:val="right"/>
              <w:rPr>
                <w:rFonts w:ascii="Arial" w:hAnsi="Arial"/>
                <w:color w:val="000000"/>
                <w:sz w:val="18"/>
              </w:rPr>
            </w:pPr>
          </w:p>
        </w:tc>
        <w:tc>
          <w:tcPr>
            <w:tcW w:w="888"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795" w:type="dxa"/>
          </w:tcPr>
          <w:p w:rsidR="00000000" w:rsidRDefault="001F233B">
            <w:pPr>
              <w:rPr>
                <w:rFonts w:ascii="Arial" w:hAnsi="Arial"/>
                <w:i/>
                <w:color w:val="000000"/>
                <w:sz w:val="18"/>
              </w:rPr>
            </w:pPr>
            <w:r>
              <w:rPr>
                <w:rFonts w:ascii="Arial" w:hAnsi="Arial"/>
                <w:i/>
                <w:color w:val="000000"/>
                <w:sz w:val="18"/>
              </w:rPr>
              <w:t>Add back :</w:t>
            </w:r>
          </w:p>
        </w:tc>
        <w:tc>
          <w:tcPr>
            <w:tcW w:w="576" w:type="dxa"/>
          </w:tcPr>
          <w:p w:rsidR="00000000" w:rsidRDefault="001F233B">
            <w:pPr>
              <w:jc w:val="right"/>
              <w:rPr>
                <w:rFonts w:ascii="Arial" w:hAnsi="Arial"/>
                <w:i/>
                <w:color w:val="000000"/>
                <w:sz w:val="18"/>
              </w:rPr>
            </w:pPr>
          </w:p>
        </w:tc>
        <w:tc>
          <w:tcPr>
            <w:tcW w:w="888" w:type="dxa"/>
          </w:tcPr>
          <w:p w:rsidR="00000000" w:rsidRDefault="001F233B">
            <w:pPr>
              <w:jc w:val="right"/>
              <w:rPr>
                <w:rFonts w:ascii="Arial" w:hAnsi="Arial"/>
                <w:color w:val="000000"/>
                <w:sz w:val="18"/>
              </w:rPr>
            </w:pPr>
          </w:p>
        </w:tc>
        <w:tc>
          <w:tcPr>
            <w:tcW w:w="888"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795" w:type="dxa"/>
          </w:tcPr>
          <w:p w:rsidR="00000000" w:rsidRDefault="001F233B">
            <w:pPr>
              <w:rPr>
                <w:rFonts w:ascii="Arial" w:hAnsi="Arial"/>
                <w:color w:val="000000"/>
                <w:sz w:val="18"/>
              </w:rPr>
            </w:pPr>
            <w:r>
              <w:rPr>
                <w:rFonts w:ascii="Arial" w:hAnsi="Arial"/>
                <w:color w:val="000000"/>
                <w:sz w:val="18"/>
              </w:rPr>
              <w:t>Gross Investment in fixed assets</w:t>
            </w:r>
          </w:p>
        </w:tc>
        <w:tc>
          <w:tcPr>
            <w:tcW w:w="576" w:type="dxa"/>
          </w:tcPr>
          <w:p w:rsidR="00000000" w:rsidRDefault="001F233B">
            <w:pPr>
              <w:jc w:val="right"/>
              <w:rPr>
                <w:rFonts w:ascii="Arial" w:hAnsi="Arial"/>
                <w:i/>
                <w:color w:val="000000"/>
                <w:sz w:val="18"/>
              </w:rPr>
            </w:pPr>
            <w:r>
              <w:rPr>
                <w:rFonts w:ascii="Arial" w:hAnsi="Arial"/>
                <w:i/>
                <w:color w:val="000000"/>
                <w:sz w:val="18"/>
              </w:rPr>
              <w:t>2</w:t>
            </w:r>
          </w:p>
        </w:tc>
        <w:tc>
          <w:tcPr>
            <w:tcW w:w="888" w:type="dxa"/>
          </w:tcPr>
          <w:p w:rsidR="00000000" w:rsidRDefault="001F233B">
            <w:pPr>
              <w:jc w:val="right"/>
              <w:rPr>
                <w:rFonts w:ascii="Arial" w:hAnsi="Arial"/>
                <w:color w:val="000000"/>
                <w:sz w:val="18"/>
              </w:rPr>
            </w:pPr>
            <w:r>
              <w:rPr>
                <w:rFonts w:ascii="Arial" w:hAnsi="Arial"/>
                <w:color w:val="000000"/>
                <w:sz w:val="18"/>
              </w:rPr>
              <w:t>1 415.6</w:t>
            </w:r>
          </w:p>
        </w:tc>
        <w:tc>
          <w:tcPr>
            <w:tcW w:w="888" w:type="dxa"/>
          </w:tcPr>
          <w:p w:rsidR="00000000" w:rsidRDefault="001F233B">
            <w:pPr>
              <w:jc w:val="right"/>
              <w:rPr>
                <w:rFonts w:ascii="Arial" w:hAnsi="Arial"/>
                <w:color w:val="000000"/>
                <w:sz w:val="18"/>
              </w:rPr>
            </w:pPr>
            <w:r>
              <w:rPr>
                <w:rFonts w:ascii="Arial" w:hAnsi="Arial"/>
                <w:color w:val="000000"/>
                <w:sz w:val="18"/>
              </w:rPr>
              <w:t>1 340.7</w:t>
            </w:r>
          </w:p>
        </w:tc>
      </w:tr>
      <w:tr w:rsidR="00000000">
        <w:tblPrEx>
          <w:tblCellMar>
            <w:top w:w="0" w:type="dxa"/>
            <w:bottom w:w="0" w:type="dxa"/>
          </w:tblCellMar>
        </w:tblPrEx>
        <w:trPr>
          <w:trHeight w:hRule="exact" w:val="240"/>
        </w:trPr>
        <w:tc>
          <w:tcPr>
            <w:tcW w:w="4795" w:type="dxa"/>
          </w:tcPr>
          <w:p w:rsidR="00000000" w:rsidRDefault="001F233B">
            <w:pPr>
              <w:rPr>
                <w:rFonts w:ascii="Arial" w:hAnsi="Arial"/>
                <w:color w:val="000000"/>
                <w:sz w:val="18"/>
              </w:rPr>
            </w:pPr>
            <w:r>
              <w:rPr>
                <w:rFonts w:ascii="Arial" w:hAnsi="Arial"/>
                <w:color w:val="000000"/>
                <w:sz w:val="18"/>
              </w:rPr>
              <w:t>Net advances/other capital outlays</w:t>
            </w:r>
          </w:p>
        </w:tc>
        <w:tc>
          <w:tcPr>
            <w:tcW w:w="576" w:type="dxa"/>
          </w:tcPr>
          <w:p w:rsidR="00000000" w:rsidRDefault="001F233B">
            <w:pPr>
              <w:jc w:val="right"/>
              <w:rPr>
                <w:rFonts w:ascii="Arial" w:hAnsi="Arial"/>
                <w:i/>
                <w:color w:val="000000"/>
                <w:sz w:val="18"/>
              </w:rPr>
            </w:pPr>
            <w:r>
              <w:rPr>
                <w:rFonts w:ascii="Arial" w:hAnsi="Arial"/>
                <w:i/>
                <w:color w:val="000000"/>
                <w:sz w:val="18"/>
              </w:rPr>
              <w:t>3</w:t>
            </w:r>
          </w:p>
        </w:tc>
        <w:tc>
          <w:tcPr>
            <w:tcW w:w="888" w:type="dxa"/>
          </w:tcPr>
          <w:p w:rsidR="00000000" w:rsidRDefault="001F233B">
            <w:pPr>
              <w:jc w:val="right"/>
              <w:rPr>
                <w:rFonts w:ascii="Arial" w:hAnsi="Arial"/>
                <w:color w:val="000000"/>
                <w:sz w:val="18"/>
              </w:rPr>
            </w:pPr>
            <w:r>
              <w:rPr>
                <w:rFonts w:ascii="Arial" w:hAnsi="Arial"/>
                <w:color w:val="000000"/>
                <w:sz w:val="18"/>
              </w:rPr>
              <w:t>- 159.7</w:t>
            </w:r>
          </w:p>
        </w:tc>
        <w:tc>
          <w:tcPr>
            <w:tcW w:w="888" w:type="dxa"/>
          </w:tcPr>
          <w:p w:rsidR="00000000" w:rsidRDefault="001F233B">
            <w:pPr>
              <w:jc w:val="right"/>
              <w:rPr>
                <w:rFonts w:ascii="Arial" w:hAnsi="Arial"/>
                <w:color w:val="000000"/>
                <w:sz w:val="18"/>
              </w:rPr>
            </w:pPr>
            <w:r>
              <w:rPr>
                <w:rFonts w:ascii="Arial" w:hAnsi="Arial"/>
                <w:color w:val="000000"/>
                <w:sz w:val="18"/>
              </w:rPr>
              <w:t xml:space="preserve"> 175.5</w:t>
            </w:r>
          </w:p>
        </w:tc>
      </w:tr>
      <w:tr w:rsidR="00000000">
        <w:tblPrEx>
          <w:tblCellMar>
            <w:top w:w="0" w:type="dxa"/>
            <w:bottom w:w="0" w:type="dxa"/>
          </w:tblCellMar>
        </w:tblPrEx>
        <w:trPr>
          <w:trHeight w:hRule="exact" w:val="140"/>
        </w:trPr>
        <w:tc>
          <w:tcPr>
            <w:tcW w:w="4795" w:type="dxa"/>
          </w:tcPr>
          <w:p w:rsidR="00000000" w:rsidRDefault="001F233B">
            <w:pPr>
              <w:jc w:val="right"/>
              <w:rPr>
                <w:rFonts w:ascii="Arial" w:hAnsi="Arial"/>
                <w:color w:val="000000"/>
                <w:sz w:val="18"/>
              </w:rPr>
            </w:pPr>
          </w:p>
        </w:tc>
        <w:tc>
          <w:tcPr>
            <w:tcW w:w="576" w:type="dxa"/>
          </w:tcPr>
          <w:p w:rsidR="00000000" w:rsidRDefault="001F233B">
            <w:pPr>
              <w:jc w:val="right"/>
              <w:rPr>
                <w:rFonts w:ascii="Arial" w:hAnsi="Arial"/>
                <w:i/>
                <w:color w:val="000000"/>
                <w:sz w:val="18"/>
              </w:rPr>
            </w:pPr>
          </w:p>
        </w:tc>
        <w:tc>
          <w:tcPr>
            <w:tcW w:w="888" w:type="dxa"/>
          </w:tcPr>
          <w:p w:rsidR="00000000" w:rsidRDefault="001F233B">
            <w:pPr>
              <w:jc w:val="right"/>
              <w:rPr>
                <w:rFonts w:ascii="Arial" w:hAnsi="Arial"/>
                <w:color w:val="000000"/>
                <w:sz w:val="18"/>
              </w:rPr>
            </w:pPr>
          </w:p>
        </w:tc>
        <w:tc>
          <w:tcPr>
            <w:tcW w:w="888"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795" w:type="dxa"/>
          </w:tcPr>
          <w:p w:rsidR="00000000" w:rsidRDefault="001F233B">
            <w:pPr>
              <w:rPr>
                <w:rFonts w:ascii="Arial" w:hAnsi="Arial"/>
                <w:i/>
                <w:color w:val="000000"/>
                <w:sz w:val="18"/>
              </w:rPr>
            </w:pPr>
            <w:r>
              <w:rPr>
                <w:rFonts w:ascii="Arial" w:hAnsi="Arial"/>
                <w:b/>
                <w:color w:val="000000"/>
                <w:sz w:val="18"/>
              </w:rPr>
              <w:t xml:space="preserve">Less : </w:t>
            </w:r>
            <w:r>
              <w:rPr>
                <w:rFonts w:ascii="Arial" w:hAnsi="Arial"/>
                <w:i/>
                <w:color w:val="000000"/>
                <w:sz w:val="18"/>
              </w:rPr>
              <w:t xml:space="preserve"> Accrued (non-cash) expenses</w:t>
            </w:r>
          </w:p>
        </w:tc>
        <w:tc>
          <w:tcPr>
            <w:tcW w:w="576" w:type="dxa"/>
          </w:tcPr>
          <w:p w:rsidR="00000000" w:rsidRDefault="001F233B">
            <w:pPr>
              <w:jc w:val="right"/>
              <w:rPr>
                <w:rFonts w:ascii="Arial" w:hAnsi="Arial"/>
                <w:i/>
                <w:color w:val="000000"/>
                <w:sz w:val="18"/>
              </w:rPr>
            </w:pPr>
          </w:p>
        </w:tc>
        <w:tc>
          <w:tcPr>
            <w:tcW w:w="888" w:type="dxa"/>
          </w:tcPr>
          <w:p w:rsidR="00000000" w:rsidRDefault="001F233B">
            <w:pPr>
              <w:jc w:val="right"/>
              <w:rPr>
                <w:rFonts w:ascii="Arial" w:hAnsi="Arial"/>
                <w:color w:val="000000"/>
                <w:sz w:val="18"/>
              </w:rPr>
            </w:pPr>
          </w:p>
        </w:tc>
        <w:tc>
          <w:tcPr>
            <w:tcW w:w="888"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795" w:type="dxa"/>
          </w:tcPr>
          <w:p w:rsidR="00000000" w:rsidRDefault="001F233B">
            <w:pPr>
              <w:rPr>
                <w:color w:val="000000"/>
              </w:rPr>
            </w:pPr>
            <w:r>
              <w:rPr>
                <w:color w:val="000000"/>
              </w:rPr>
              <w:t xml:space="preserve">Depreciation </w:t>
            </w:r>
          </w:p>
        </w:tc>
        <w:tc>
          <w:tcPr>
            <w:tcW w:w="576" w:type="dxa"/>
          </w:tcPr>
          <w:p w:rsidR="00000000" w:rsidRDefault="001F233B">
            <w:pPr>
              <w:jc w:val="right"/>
              <w:rPr>
                <w:rFonts w:ascii="Arial" w:hAnsi="Arial"/>
                <w:i/>
                <w:color w:val="000000"/>
                <w:sz w:val="18"/>
              </w:rPr>
            </w:pPr>
            <w:r>
              <w:rPr>
                <w:rFonts w:ascii="Arial" w:hAnsi="Arial"/>
                <w:i/>
                <w:color w:val="000000"/>
                <w:sz w:val="18"/>
              </w:rPr>
              <w:t>4</w:t>
            </w:r>
          </w:p>
        </w:tc>
        <w:tc>
          <w:tcPr>
            <w:tcW w:w="888" w:type="dxa"/>
          </w:tcPr>
          <w:p w:rsidR="00000000" w:rsidRDefault="001F233B">
            <w:pPr>
              <w:jc w:val="right"/>
              <w:rPr>
                <w:rFonts w:ascii="Arial" w:hAnsi="Arial"/>
                <w:color w:val="000000"/>
                <w:sz w:val="18"/>
              </w:rPr>
            </w:pPr>
            <w:r>
              <w:rPr>
                <w:rFonts w:ascii="Arial" w:hAnsi="Arial"/>
                <w:color w:val="000000"/>
                <w:sz w:val="18"/>
              </w:rPr>
              <w:t xml:space="preserve"> 757.3</w:t>
            </w:r>
          </w:p>
        </w:tc>
        <w:tc>
          <w:tcPr>
            <w:tcW w:w="888" w:type="dxa"/>
          </w:tcPr>
          <w:p w:rsidR="00000000" w:rsidRDefault="001F233B">
            <w:pPr>
              <w:jc w:val="right"/>
              <w:rPr>
                <w:rFonts w:ascii="Arial" w:hAnsi="Arial"/>
                <w:color w:val="000000"/>
                <w:sz w:val="18"/>
              </w:rPr>
            </w:pPr>
            <w:r>
              <w:rPr>
                <w:rFonts w:ascii="Arial" w:hAnsi="Arial"/>
                <w:color w:val="000000"/>
                <w:sz w:val="18"/>
              </w:rPr>
              <w:t xml:space="preserve"> 784.9</w:t>
            </w:r>
          </w:p>
        </w:tc>
      </w:tr>
      <w:tr w:rsidR="00000000">
        <w:tblPrEx>
          <w:tblCellMar>
            <w:top w:w="0" w:type="dxa"/>
            <w:bottom w:w="0" w:type="dxa"/>
          </w:tblCellMar>
        </w:tblPrEx>
        <w:trPr>
          <w:trHeight w:hRule="exact" w:val="240"/>
        </w:trPr>
        <w:tc>
          <w:tcPr>
            <w:tcW w:w="4795" w:type="dxa"/>
          </w:tcPr>
          <w:p w:rsidR="00000000" w:rsidRDefault="001F233B">
            <w:pPr>
              <w:rPr>
                <w:color w:val="000000"/>
              </w:rPr>
            </w:pPr>
            <w:r>
              <w:rPr>
                <w:color w:val="000000"/>
              </w:rPr>
              <w:t xml:space="preserve">Superannuation  </w:t>
            </w:r>
          </w:p>
        </w:tc>
        <w:tc>
          <w:tcPr>
            <w:tcW w:w="576" w:type="dxa"/>
          </w:tcPr>
          <w:p w:rsidR="00000000" w:rsidRDefault="001F233B">
            <w:pPr>
              <w:jc w:val="right"/>
              <w:rPr>
                <w:rFonts w:ascii="Arial" w:hAnsi="Arial"/>
                <w:i/>
                <w:color w:val="000000"/>
                <w:sz w:val="18"/>
              </w:rPr>
            </w:pPr>
            <w:r>
              <w:rPr>
                <w:rFonts w:ascii="Arial" w:hAnsi="Arial"/>
                <w:i/>
                <w:color w:val="000000"/>
                <w:sz w:val="18"/>
              </w:rPr>
              <w:t>5</w:t>
            </w:r>
          </w:p>
        </w:tc>
        <w:tc>
          <w:tcPr>
            <w:tcW w:w="888" w:type="dxa"/>
          </w:tcPr>
          <w:p w:rsidR="00000000" w:rsidRDefault="001F233B">
            <w:pPr>
              <w:jc w:val="right"/>
              <w:rPr>
                <w:rFonts w:ascii="Arial" w:hAnsi="Arial"/>
                <w:color w:val="000000"/>
                <w:sz w:val="18"/>
              </w:rPr>
            </w:pPr>
            <w:r>
              <w:rPr>
                <w:rFonts w:ascii="Arial" w:hAnsi="Arial"/>
                <w:color w:val="000000"/>
                <w:sz w:val="18"/>
              </w:rPr>
              <w:t xml:space="preserve"> 250.0</w:t>
            </w:r>
          </w:p>
        </w:tc>
        <w:tc>
          <w:tcPr>
            <w:tcW w:w="888" w:type="dxa"/>
          </w:tcPr>
          <w:p w:rsidR="00000000" w:rsidRDefault="001F233B">
            <w:pPr>
              <w:jc w:val="right"/>
              <w:rPr>
                <w:rFonts w:ascii="Arial" w:hAnsi="Arial"/>
                <w:color w:val="000000"/>
                <w:sz w:val="18"/>
              </w:rPr>
            </w:pPr>
            <w:r>
              <w:rPr>
                <w:rFonts w:ascii="Arial" w:hAnsi="Arial"/>
                <w:color w:val="000000"/>
                <w:sz w:val="18"/>
              </w:rPr>
              <w:t>- 64.0</w:t>
            </w:r>
          </w:p>
        </w:tc>
      </w:tr>
      <w:tr w:rsidR="00000000">
        <w:tblPrEx>
          <w:tblCellMar>
            <w:top w:w="0" w:type="dxa"/>
            <w:bottom w:w="0" w:type="dxa"/>
          </w:tblCellMar>
        </w:tblPrEx>
        <w:trPr>
          <w:trHeight w:hRule="exact" w:val="240"/>
        </w:trPr>
        <w:tc>
          <w:tcPr>
            <w:tcW w:w="4795" w:type="dxa"/>
          </w:tcPr>
          <w:p w:rsidR="00000000" w:rsidRDefault="001F233B">
            <w:pPr>
              <w:rPr>
                <w:color w:val="000000"/>
              </w:rPr>
            </w:pPr>
            <w:r>
              <w:rPr>
                <w:color w:val="000000"/>
              </w:rPr>
              <w:t xml:space="preserve">Long service leave and other employee entitlements </w:t>
            </w:r>
          </w:p>
        </w:tc>
        <w:tc>
          <w:tcPr>
            <w:tcW w:w="576" w:type="dxa"/>
          </w:tcPr>
          <w:p w:rsidR="00000000" w:rsidRDefault="001F233B">
            <w:pPr>
              <w:jc w:val="right"/>
              <w:rPr>
                <w:rFonts w:ascii="Arial" w:hAnsi="Arial"/>
                <w:i/>
                <w:color w:val="000000"/>
                <w:sz w:val="18"/>
              </w:rPr>
            </w:pPr>
            <w:r>
              <w:rPr>
                <w:rFonts w:ascii="Arial" w:hAnsi="Arial"/>
                <w:i/>
                <w:color w:val="000000"/>
                <w:sz w:val="18"/>
              </w:rPr>
              <w:t>6</w:t>
            </w:r>
          </w:p>
        </w:tc>
        <w:tc>
          <w:tcPr>
            <w:tcW w:w="888" w:type="dxa"/>
          </w:tcPr>
          <w:p w:rsidR="00000000" w:rsidRDefault="001F233B">
            <w:pPr>
              <w:jc w:val="right"/>
              <w:rPr>
                <w:rFonts w:ascii="Arial" w:hAnsi="Arial"/>
                <w:color w:val="000000"/>
                <w:sz w:val="18"/>
              </w:rPr>
            </w:pPr>
            <w:r>
              <w:rPr>
                <w:rFonts w:ascii="Arial" w:hAnsi="Arial"/>
                <w:color w:val="000000"/>
                <w:sz w:val="18"/>
              </w:rPr>
              <w:t xml:space="preserve"> 140.3</w:t>
            </w:r>
          </w:p>
        </w:tc>
        <w:tc>
          <w:tcPr>
            <w:tcW w:w="888" w:type="dxa"/>
          </w:tcPr>
          <w:p w:rsidR="00000000" w:rsidRDefault="001F233B">
            <w:pPr>
              <w:jc w:val="right"/>
              <w:rPr>
                <w:rFonts w:ascii="Arial" w:hAnsi="Arial"/>
                <w:color w:val="000000"/>
                <w:sz w:val="18"/>
              </w:rPr>
            </w:pPr>
            <w:r>
              <w:rPr>
                <w:rFonts w:ascii="Arial" w:hAnsi="Arial"/>
                <w:color w:val="000000"/>
                <w:sz w:val="18"/>
              </w:rPr>
              <w:t xml:space="preserve"> 156.6</w:t>
            </w:r>
          </w:p>
        </w:tc>
      </w:tr>
      <w:tr w:rsidR="00000000">
        <w:tblPrEx>
          <w:tblCellMar>
            <w:top w:w="0" w:type="dxa"/>
            <w:bottom w:w="0" w:type="dxa"/>
          </w:tblCellMar>
        </w:tblPrEx>
        <w:trPr>
          <w:trHeight w:hRule="exact" w:val="240"/>
        </w:trPr>
        <w:tc>
          <w:tcPr>
            <w:tcW w:w="4795" w:type="dxa"/>
          </w:tcPr>
          <w:p w:rsidR="00000000" w:rsidRDefault="001F233B">
            <w:pPr>
              <w:rPr>
                <w:color w:val="000000"/>
              </w:rPr>
            </w:pPr>
            <w:r>
              <w:rPr>
                <w:color w:val="000000"/>
              </w:rPr>
              <w:t>Other accrued expenses</w:t>
            </w:r>
          </w:p>
        </w:tc>
        <w:tc>
          <w:tcPr>
            <w:tcW w:w="576" w:type="dxa"/>
          </w:tcPr>
          <w:p w:rsidR="00000000" w:rsidRDefault="001F233B">
            <w:pPr>
              <w:jc w:val="right"/>
              <w:rPr>
                <w:rFonts w:ascii="Arial" w:hAnsi="Arial"/>
                <w:i/>
                <w:color w:val="000000"/>
                <w:sz w:val="18"/>
              </w:rPr>
            </w:pPr>
            <w:r>
              <w:rPr>
                <w:rFonts w:ascii="Arial" w:hAnsi="Arial"/>
                <w:i/>
                <w:color w:val="000000"/>
                <w:sz w:val="18"/>
              </w:rPr>
              <w:t>7</w:t>
            </w:r>
          </w:p>
        </w:tc>
        <w:tc>
          <w:tcPr>
            <w:tcW w:w="888" w:type="dxa"/>
          </w:tcPr>
          <w:p w:rsidR="00000000" w:rsidRDefault="001F233B">
            <w:pPr>
              <w:jc w:val="right"/>
              <w:rPr>
                <w:rFonts w:ascii="Arial" w:hAnsi="Arial"/>
                <w:color w:val="000000"/>
                <w:sz w:val="18"/>
              </w:rPr>
            </w:pPr>
            <w:r>
              <w:rPr>
                <w:rFonts w:ascii="Arial" w:hAnsi="Arial"/>
                <w:color w:val="000000"/>
                <w:sz w:val="18"/>
              </w:rPr>
              <w:t>- 42.2</w:t>
            </w:r>
          </w:p>
        </w:tc>
        <w:tc>
          <w:tcPr>
            <w:tcW w:w="888" w:type="dxa"/>
          </w:tcPr>
          <w:p w:rsidR="00000000" w:rsidRDefault="001F233B">
            <w:pPr>
              <w:jc w:val="right"/>
              <w:rPr>
                <w:rFonts w:ascii="Arial" w:hAnsi="Arial"/>
                <w:color w:val="000000"/>
                <w:sz w:val="18"/>
              </w:rPr>
            </w:pPr>
            <w:r>
              <w:rPr>
                <w:rFonts w:ascii="Arial" w:hAnsi="Arial"/>
                <w:color w:val="000000"/>
                <w:sz w:val="18"/>
              </w:rPr>
              <w:t>- 34.3</w:t>
            </w:r>
          </w:p>
        </w:tc>
      </w:tr>
      <w:tr w:rsidR="00000000">
        <w:tblPrEx>
          <w:tblCellMar>
            <w:top w:w="0" w:type="dxa"/>
            <w:bottom w:w="0" w:type="dxa"/>
          </w:tblCellMar>
        </w:tblPrEx>
        <w:trPr>
          <w:trHeight w:hRule="exact" w:val="140"/>
        </w:trPr>
        <w:tc>
          <w:tcPr>
            <w:tcW w:w="4795" w:type="dxa"/>
          </w:tcPr>
          <w:p w:rsidR="00000000" w:rsidRDefault="001F233B">
            <w:pPr>
              <w:jc w:val="right"/>
              <w:rPr>
                <w:rFonts w:ascii="Arial" w:hAnsi="Arial"/>
                <w:color w:val="000000"/>
                <w:sz w:val="18"/>
              </w:rPr>
            </w:pPr>
          </w:p>
        </w:tc>
        <w:tc>
          <w:tcPr>
            <w:tcW w:w="576" w:type="dxa"/>
          </w:tcPr>
          <w:p w:rsidR="00000000" w:rsidRDefault="001F233B">
            <w:pPr>
              <w:jc w:val="right"/>
              <w:rPr>
                <w:rFonts w:ascii="Arial" w:hAnsi="Arial"/>
                <w:i/>
                <w:color w:val="000000"/>
                <w:sz w:val="18"/>
              </w:rPr>
            </w:pPr>
          </w:p>
        </w:tc>
        <w:tc>
          <w:tcPr>
            <w:tcW w:w="888" w:type="dxa"/>
          </w:tcPr>
          <w:p w:rsidR="00000000" w:rsidRDefault="001F233B">
            <w:pPr>
              <w:jc w:val="right"/>
              <w:rPr>
                <w:rFonts w:ascii="Arial" w:hAnsi="Arial"/>
                <w:color w:val="000000"/>
                <w:sz w:val="18"/>
              </w:rPr>
            </w:pPr>
          </w:p>
        </w:tc>
        <w:tc>
          <w:tcPr>
            <w:tcW w:w="888"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795" w:type="dxa"/>
          </w:tcPr>
          <w:p w:rsidR="00000000" w:rsidRDefault="001F233B">
            <w:pPr>
              <w:rPr>
                <w:rFonts w:ascii="Arial" w:hAnsi="Arial"/>
                <w:color w:val="000000"/>
                <w:sz w:val="18"/>
              </w:rPr>
            </w:pPr>
            <w:r>
              <w:rPr>
                <w:rFonts w:ascii="Arial" w:hAnsi="Arial"/>
                <w:b/>
                <w:color w:val="000000"/>
                <w:sz w:val="18"/>
              </w:rPr>
              <w:t>Plus :</w:t>
            </w:r>
            <w:r>
              <w:rPr>
                <w:rFonts w:ascii="Arial" w:hAnsi="Arial"/>
                <w:color w:val="000000"/>
                <w:sz w:val="18"/>
              </w:rPr>
              <w:t xml:space="preserve"> Accrued (non-cash) revenue</w:t>
            </w:r>
          </w:p>
        </w:tc>
        <w:tc>
          <w:tcPr>
            <w:tcW w:w="576" w:type="dxa"/>
          </w:tcPr>
          <w:p w:rsidR="00000000" w:rsidRDefault="001F233B">
            <w:pPr>
              <w:jc w:val="right"/>
              <w:rPr>
                <w:rFonts w:ascii="Arial" w:hAnsi="Arial"/>
                <w:i/>
                <w:color w:val="000000"/>
                <w:sz w:val="18"/>
              </w:rPr>
            </w:pPr>
            <w:r>
              <w:rPr>
                <w:rFonts w:ascii="Arial" w:hAnsi="Arial"/>
                <w:i/>
                <w:color w:val="000000"/>
                <w:sz w:val="18"/>
              </w:rPr>
              <w:t>8</w:t>
            </w:r>
          </w:p>
        </w:tc>
        <w:tc>
          <w:tcPr>
            <w:tcW w:w="888" w:type="dxa"/>
          </w:tcPr>
          <w:p w:rsidR="00000000" w:rsidRDefault="001F233B">
            <w:pPr>
              <w:jc w:val="right"/>
              <w:rPr>
                <w:rFonts w:ascii="Arial" w:hAnsi="Arial"/>
                <w:color w:val="000000"/>
                <w:sz w:val="18"/>
              </w:rPr>
            </w:pPr>
            <w:r>
              <w:rPr>
                <w:rFonts w:ascii="Arial" w:hAnsi="Arial"/>
                <w:color w:val="000000"/>
                <w:sz w:val="18"/>
              </w:rPr>
              <w:t>- 12.3</w:t>
            </w:r>
          </w:p>
        </w:tc>
        <w:tc>
          <w:tcPr>
            <w:tcW w:w="888" w:type="dxa"/>
          </w:tcPr>
          <w:p w:rsidR="00000000" w:rsidRDefault="001F233B">
            <w:pPr>
              <w:jc w:val="right"/>
              <w:rPr>
                <w:rFonts w:ascii="Arial" w:hAnsi="Arial"/>
                <w:color w:val="000000"/>
                <w:sz w:val="18"/>
              </w:rPr>
            </w:pPr>
            <w:r>
              <w:rPr>
                <w:rFonts w:ascii="Arial" w:hAnsi="Arial"/>
                <w:color w:val="000000"/>
                <w:sz w:val="18"/>
              </w:rPr>
              <w:t xml:space="preserve"> 70.</w:t>
            </w:r>
            <w:r>
              <w:rPr>
                <w:rFonts w:ascii="Arial" w:hAnsi="Arial"/>
                <w:color w:val="000000"/>
                <w:sz w:val="18"/>
              </w:rPr>
              <w:t>2</w:t>
            </w:r>
          </w:p>
        </w:tc>
      </w:tr>
      <w:tr w:rsidR="00000000">
        <w:tblPrEx>
          <w:tblCellMar>
            <w:top w:w="0" w:type="dxa"/>
            <w:bottom w:w="0" w:type="dxa"/>
          </w:tblCellMar>
        </w:tblPrEx>
        <w:trPr>
          <w:trHeight w:hRule="exact" w:val="240"/>
        </w:trPr>
        <w:tc>
          <w:tcPr>
            <w:tcW w:w="4795" w:type="dxa"/>
          </w:tcPr>
          <w:p w:rsidR="00000000" w:rsidRDefault="001F233B">
            <w:pPr>
              <w:jc w:val="right"/>
              <w:rPr>
                <w:rFonts w:ascii="Arial" w:hAnsi="Arial"/>
                <w:color w:val="000000"/>
                <w:sz w:val="18"/>
              </w:rPr>
            </w:pPr>
          </w:p>
        </w:tc>
        <w:tc>
          <w:tcPr>
            <w:tcW w:w="576" w:type="dxa"/>
          </w:tcPr>
          <w:p w:rsidR="00000000" w:rsidRDefault="001F233B">
            <w:pPr>
              <w:jc w:val="right"/>
              <w:rPr>
                <w:rFonts w:ascii="Arial" w:hAnsi="Arial"/>
                <w:color w:val="000000"/>
                <w:sz w:val="18"/>
              </w:rPr>
            </w:pPr>
          </w:p>
        </w:tc>
        <w:tc>
          <w:tcPr>
            <w:tcW w:w="888" w:type="dxa"/>
            <w:tcBorders>
              <w:bottom w:val="single" w:sz="6" w:space="0" w:color="auto"/>
            </w:tcBorders>
          </w:tcPr>
          <w:p w:rsidR="00000000" w:rsidRDefault="001F233B">
            <w:pPr>
              <w:jc w:val="right"/>
              <w:rPr>
                <w:rFonts w:ascii="Arial" w:hAnsi="Arial"/>
                <w:color w:val="000000"/>
                <w:sz w:val="18"/>
              </w:rPr>
            </w:pPr>
          </w:p>
        </w:tc>
        <w:tc>
          <w:tcPr>
            <w:tcW w:w="888" w:type="dxa"/>
            <w:tcBorders>
              <w:bottom w:val="single" w:sz="6" w:space="0" w:color="auto"/>
            </w:tcBorders>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795" w:type="dxa"/>
            <w:tcBorders>
              <w:bottom w:val="single" w:sz="12" w:space="0" w:color="auto"/>
            </w:tcBorders>
          </w:tcPr>
          <w:p w:rsidR="00000000" w:rsidRDefault="001F233B">
            <w:pPr>
              <w:rPr>
                <w:rFonts w:ascii="Arial" w:hAnsi="Arial"/>
                <w:b/>
                <w:color w:val="000000"/>
                <w:sz w:val="18"/>
              </w:rPr>
            </w:pPr>
            <w:r>
              <w:rPr>
                <w:rFonts w:ascii="Arial" w:hAnsi="Arial"/>
                <w:b/>
                <w:color w:val="000000"/>
                <w:sz w:val="18"/>
              </w:rPr>
              <w:t>Equals :  Budget Accrual Operating Surplus</w:t>
            </w:r>
          </w:p>
        </w:tc>
        <w:tc>
          <w:tcPr>
            <w:tcW w:w="576" w:type="dxa"/>
            <w:tcBorders>
              <w:bottom w:val="single" w:sz="12" w:space="0" w:color="auto"/>
            </w:tcBorders>
          </w:tcPr>
          <w:p w:rsidR="00000000" w:rsidRDefault="001F233B">
            <w:pPr>
              <w:jc w:val="right"/>
              <w:rPr>
                <w:rFonts w:ascii="Arial" w:hAnsi="Arial"/>
                <w:color w:val="000000"/>
                <w:sz w:val="18"/>
              </w:rPr>
            </w:pPr>
          </w:p>
        </w:tc>
        <w:tc>
          <w:tcPr>
            <w:tcW w:w="888" w:type="dxa"/>
            <w:tcBorders>
              <w:bottom w:val="single" w:sz="12" w:space="0" w:color="auto"/>
            </w:tcBorders>
          </w:tcPr>
          <w:p w:rsidR="00000000" w:rsidRDefault="001F233B">
            <w:pPr>
              <w:jc w:val="right"/>
              <w:rPr>
                <w:rFonts w:ascii="Arial" w:hAnsi="Arial"/>
                <w:color w:val="000000"/>
                <w:sz w:val="18"/>
              </w:rPr>
            </w:pPr>
            <w:r>
              <w:rPr>
                <w:rFonts w:ascii="Arial" w:hAnsi="Arial"/>
                <w:color w:val="000000"/>
                <w:sz w:val="18"/>
              </w:rPr>
              <w:t xml:space="preserve"> 548.9</w:t>
            </w:r>
          </w:p>
        </w:tc>
        <w:tc>
          <w:tcPr>
            <w:tcW w:w="888" w:type="dxa"/>
            <w:tcBorders>
              <w:bottom w:val="single" w:sz="12" w:space="0" w:color="auto"/>
            </w:tcBorders>
          </w:tcPr>
          <w:p w:rsidR="00000000" w:rsidRDefault="001F233B">
            <w:pPr>
              <w:jc w:val="right"/>
              <w:rPr>
                <w:rFonts w:ascii="Arial" w:hAnsi="Arial"/>
                <w:color w:val="000000"/>
                <w:sz w:val="18"/>
              </w:rPr>
            </w:pPr>
            <w:r>
              <w:rPr>
                <w:rFonts w:ascii="Arial" w:hAnsi="Arial"/>
                <w:color w:val="000000"/>
                <w:sz w:val="18"/>
              </w:rPr>
              <w:t xml:space="preserve"> 767.3</w:t>
            </w:r>
          </w:p>
        </w:tc>
      </w:tr>
    </w:tbl>
    <w:p w:rsidR="00000000" w:rsidRDefault="001F233B">
      <w:pPr>
        <w:pStyle w:val="Source"/>
      </w:pPr>
      <w:r>
        <w:rPr>
          <w:b/>
          <w:i w:val="0"/>
          <w:sz w:val="20"/>
        </w:rPr>
        <w:fldChar w:fldCharType="end"/>
      </w:r>
      <w:r>
        <w:t>Source: Department of Treasury and Finance.</w:t>
      </w:r>
    </w:p>
    <w:p w:rsidR="00000000" w:rsidRDefault="001F233B">
      <w:pPr>
        <w:pStyle w:val="Heading3"/>
      </w:pPr>
      <w:r>
        <w:br w:type="page"/>
        <w:t>Notes to Accompany Reconciliation Adjustments</w:t>
      </w:r>
    </w:p>
    <w:p w:rsidR="00000000" w:rsidRDefault="001F233B" w:rsidP="001F233B">
      <w:pPr>
        <w:pStyle w:val="Heading4"/>
        <w:numPr>
          <w:ilvl w:val="0"/>
          <w:numId w:val="13"/>
        </w:numPr>
        <w:tabs>
          <w:tab w:val="left" w:pos="720"/>
        </w:tabs>
        <w:ind w:left="284" w:hanging="284"/>
      </w:pPr>
      <w:r>
        <w:t>Carryover adjustments</w:t>
      </w:r>
    </w:p>
    <w:p w:rsidR="00000000" w:rsidRDefault="001F233B">
      <w:r>
        <w:t>This adjustment reflects the impact of higher than originally budgeted actual carryovers of unspent appropriations from 1996-97 to 1997-98. It is the net result of a $60.7 million increase, relative to the published 1997-98 Budget, in current expenditure carryovers and a $3.2 million decrease in capital expenditure carryovers.</w:t>
      </w:r>
    </w:p>
    <w:p w:rsidR="00000000" w:rsidRDefault="001F233B">
      <w:pPr>
        <w:pStyle w:val="Heading4"/>
        <w:ind w:left="284" w:hanging="284"/>
      </w:pPr>
      <w:r>
        <w:t>2.</w:t>
      </w:r>
      <w:r>
        <w:tab/>
        <w:t>Gross investment in fixed assets</w:t>
      </w:r>
    </w:p>
    <w:p w:rsidR="00000000" w:rsidRDefault="001F233B">
      <w:r>
        <w:t>The cash budget statement includes all Budget sector expenditure on fixed assets and land, net of proceeds from sale of non</w:t>
      </w:r>
      <w:r>
        <w:noBreakHyphen/>
        <w:t xml:space="preserve">current physical assets. In contrast, the accrual operating result does not include any of this capital expenditure and includes as a revenue item only the net profit or loss on the book value of assets. </w:t>
      </w:r>
    </w:p>
    <w:p w:rsidR="00000000" w:rsidRDefault="001F233B">
      <w:r>
        <w:t>Gross investment in fixed assets (in cash terms equivalent to Gross Fixed Capital Expenditure, less any profit/loss on sale of fixed assets) therefor</w:t>
      </w:r>
      <w:r>
        <w:t xml:space="preserve">e makes a significant contribution to the difference between the reported cash and accruals budget results. </w:t>
      </w:r>
    </w:p>
    <w:p w:rsidR="00000000" w:rsidRDefault="001F233B">
      <w:pPr>
        <w:pStyle w:val="Heading4"/>
        <w:ind w:left="284" w:hanging="284"/>
      </w:pPr>
      <w:r>
        <w:t>3.</w:t>
      </w:r>
      <w:r>
        <w:tab/>
        <w:t>Net advances/other capital outlays</w:t>
      </w:r>
    </w:p>
    <w:p w:rsidR="00000000" w:rsidRDefault="001F233B">
      <w:r>
        <w:t>This cash budget balance takes into account net advances, loans and equity investment transactions in non-budget and private sector entities. These capital transactions are not included in the accrual operating result.</w:t>
      </w:r>
    </w:p>
    <w:p w:rsidR="00000000" w:rsidRDefault="001F233B">
      <w:pPr>
        <w:pStyle w:val="Heading4"/>
        <w:ind w:left="284" w:hanging="284"/>
      </w:pPr>
      <w:r>
        <w:t>4.</w:t>
      </w:r>
      <w:r>
        <w:tab/>
        <w:t xml:space="preserve">Depreciation </w:t>
      </w:r>
    </w:p>
    <w:p w:rsidR="00000000" w:rsidRDefault="001F233B">
      <w:r>
        <w:t>Depreciation is based on the book value of non-current physical assets used in the production of outputs by budget sector agencie</w:t>
      </w:r>
      <w:r>
        <w:t>s during the course of the year. Since this is a non-cash cost, it is not reflected in the cash</w:t>
      </w:r>
      <w:r>
        <w:noBreakHyphen/>
        <w:t xml:space="preserve">based result. </w:t>
      </w:r>
    </w:p>
    <w:p w:rsidR="00000000" w:rsidRDefault="001F233B">
      <w:pPr>
        <w:pStyle w:val="Heading4"/>
        <w:ind w:left="284" w:hanging="284"/>
      </w:pPr>
      <w:r>
        <w:t>5.</w:t>
      </w:r>
      <w:r>
        <w:tab/>
        <w:t>Superannuation</w:t>
      </w:r>
    </w:p>
    <w:p w:rsidR="00000000" w:rsidRDefault="001F233B">
      <w:r>
        <w:t>The accrual operating surplus includes a provision for the employer superannuation expense accruing during the year to all budget sector employees. Ordinarily, the accrual expense would be expected to be greater than the cash paid during the year, reflecting long term growth in the budget sector unfunded superannuation liability. However it is anticipated that in 1998</w:t>
      </w:r>
      <w:r>
        <w:noBreakHyphen/>
        <w:t>99 there wil</w:t>
      </w:r>
      <w:r>
        <w:t>l be a decline in the unfunded liability, reflecting a significant pay out of the existing superannuation liability for some Public Transport Corporation (PTC) employees. This is associated with the reorganisation of the PTC. As a result, cash superannuation costs during 1998</w:t>
      </w:r>
      <w:r>
        <w:noBreakHyphen/>
        <w:t xml:space="preserve">99 are anticipated to exceed the expense accruing during the year.  </w:t>
      </w:r>
    </w:p>
    <w:p w:rsidR="00000000" w:rsidRDefault="001F233B">
      <w:pPr>
        <w:pStyle w:val="Heading4"/>
        <w:ind w:left="284" w:hanging="284"/>
      </w:pPr>
      <w:r>
        <w:t>6.</w:t>
      </w:r>
      <w:r>
        <w:tab/>
        <w:t xml:space="preserve">Long service leave and other employee entitlements </w:t>
      </w:r>
    </w:p>
    <w:p w:rsidR="00000000" w:rsidRDefault="001F233B">
      <w:r>
        <w:t>The accrual operating surplus includes a provision for employee entitlements such as long service leave that bu</w:t>
      </w:r>
      <w:r>
        <w:t>ild up steadily during the course of employment but do not require cash payment until the employee exercises these entitlements. The accrual expense is expected to exceed the cash paid to employees actually exercising these entitlements during the course of the year.</w:t>
      </w:r>
    </w:p>
    <w:p w:rsidR="00000000" w:rsidRDefault="001F233B">
      <w:pPr>
        <w:pStyle w:val="Heading4"/>
        <w:ind w:left="284" w:hanging="284"/>
      </w:pPr>
      <w:r>
        <w:t>7.</w:t>
      </w:r>
      <w:r>
        <w:tab/>
      </w:r>
      <w:r>
        <w:rPr>
          <w:color w:val="000000"/>
        </w:rPr>
        <w:t>Other accrued expenses</w:t>
      </w:r>
    </w:p>
    <w:p w:rsidR="00000000" w:rsidRDefault="001F233B">
      <w:r>
        <w:t>The cash and accrual budget results both include a number of other operating costs such as purchases of goods and services, personal benefits payments and grants to other sectors. The accrual operating statement includ</w:t>
      </w:r>
      <w:r>
        <w:t>es expenses incurred, but not necessarily paid, during the course of the year (including purchases of goods and services on trade credit terms and commitments to pay grants). In 1997</w:t>
      </w:r>
      <w:r>
        <w:noBreakHyphen/>
        <w:t>98 and 1998</w:t>
      </w:r>
      <w:r>
        <w:noBreakHyphen/>
        <w:t>99, budgeted cash payments for these items (including payments in respect to expenses incurred in previous years) exceed the accrual expense.</w:t>
      </w:r>
    </w:p>
    <w:p w:rsidR="00000000" w:rsidRDefault="001F233B">
      <w:pPr>
        <w:pStyle w:val="Heading4"/>
        <w:ind w:left="284" w:hanging="284"/>
      </w:pPr>
      <w:r>
        <w:t>8.</w:t>
      </w:r>
      <w:r>
        <w:tab/>
        <w:t>Accrued (non cash) revenue</w:t>
      </w:r>
    </w:p>
    <w:p w:rsidR="00000000" w:rsidRDefault="001F233B">
      <w:r>
        <w:t>The accrual operating result includes revenue earned (including taxes receivable and revenue owing from Public Trading Enterprises) during the co</w:t>
      </w:r>
      <w:r>
        <w:t xml:space="preserve">urse of a year, even if the cash is not received during the year.  The difference between accrual and cash revenue primarily reflects timing factors. </w:t>
      </w:r>
    </w:p>
    <w:p w:rsidR="00000000" w:rsidRDefault="001F233B"/>
    <w:p w:rsidR="00000000" w:rsidRDefault="001F233B">
      <w:pPr>
        <w:sectPr w:rsidR="00000000">
          <w:headerReference w:type="even" r:id="rId103"/>
          <w:footerReference w:type="even" r:id="rId104"/>
          <w:footerReference w:type="default" r:id="rId105"/>
          <w:type w:val="oddPage"/>
          <w:pgSz w:w="11907" w:h="16840" w:code="9"/>
          <w:pgMar w:top="1440" w:right="3402" w:bottom="4082" w:left="1418" w:header="720" w:footer="4253" w:gutter="0"/>
          <w:cols w:space="720"/>
        </w:sectPr>
      </w:pPr>
      <w:r>
        <w:br w:type="page"/>
      </w:r>
    </w:p>
    <w:p w:rsidR="00000000" w:rsidRDefault="001F233B">
      <w:pPr>
        <w:pStyle w:val="Heading1"/>
      </w:pPr>
      <w:bookmarkStart w:id="203" w:name="_Toc366592682"/>
      <w:bookmarkStart w:id="204" w:name="_Toc366661949"/>
      <w:bookmarkStart w:id="205" w:name="_Toc366666190"/>
      <w:bookmarkStart w:id="206" w:name="_Toc417552125"/>
      <w:r>
        <w:t>Appendix B: Consolidated State Non Financial Public Sector Estimates</w:t>
      </w:r>
      <w:bookmarkEnd w:id="203"/>
      <w:bookmarkEnd w:id="204"/>
      <w:bookmarkEnd w:id="205"/>
      <w:bookmarkEnd w:id="206"/>
    </w:p>
    <w:p w:rsidR="00000000" w:rsidRDefault="001F233B">
      <w:pPr>
        <w:pStyle w:val="Heading2"/>
      </w:pPr>
      <w:bookmarkStart w:id="207" w:name="_Toc366592683"/>
      <w:bookmarkStart w:id="208" w:name="_Toc366661950"/>
      <w:bookmarkStart w:id="209" w:name="_Toc366666191"/>
      <w:bookmarkStart w:id="210" w:name="_Toc417552126"/>
      <w:r>
        <w:t>Consolidated State public sector estimates</w:t>
      </w:r>
      <w:bookmarkEnd w:id="207"/>
      <w:bookmarkEnd w:id="208"/>
      <w:bookmarkEnd w:id="209"/>
      <w:bookmarkEnd w:id="210"/>
    </w:p>
    <w:p w:rsidR="00000000" w:rsidRDefault="001F233B">
      <w:pPr>
        <w:pStyle w:val="Heading3"/>
      </w:pPr>
      <w:bookmarkStart w:id="211" w:name="_Toc366592684"/>
      <w:r>
        <w:t>Classification of Victorian state public sector bodies</w:t>
      </w:r>
      <w:bookmarkEnd w:id="211"/>
    </w:p>
    <w:p w:rsidR="00000000" w:rsidRDefault="001F233B">
      <w:pPr>
        <w:ind w:right="-7"/>
      </w:pPr>
      <w:r>
        <w:t>In the classification scheme for Government Finance Statistics (GFS), all state public sector bodies are categorised into one of three institutional sectors: general government (GG), public t</w:t>
      </w:r>
      <w:r>
        <w:t xml:space="preserve">rading enterprises (PTE) and public financial enterprises (PFE). The first two of these, when brought together and consolidated, constitute the </w:t>
      </w:r>
      <w:r>
        <w:rPr>
          <w:i/>
        </w:rPr>
        <w:t xml:space="preserve">non financial public sector. </w:t>
      </w:r>
      <w:r>
        <w:t>The PFEs, operating as financial intermediaries, are brought to account in the non financial public sector only to the extent of transfer payments between them and the GG/PTE sectors.</w:t>
      </w:r>
    </w:p>
    <w:p w:rsidR="00000000" w:rsidRDefault="001F233B">
      <w:pPr>
        <w:ind w:right="-7"/>
      </w:pPr>
      <w:r>
        <w:t>Table B1 sets out the administrative and institutional classifications adopted by the Department of Treasury and Finance and the Australian Bureau of Stati</w:t>
      </w:r>
      <w:r>
        <w:t>stics (ABS) for Victorian state non financial public sector bodies.</w:t>
      </w:r>
    </w:p>
    <w:p w:rsidR="00000000" w:rsidRDefault="001F233B">
      <w:pPr>
        <w:pStyle w:val="Heading2"/>
      </w:pPr>
      <w:bookmarkStart w:id="212" w:name="_Toc366592686"/>
      <w:bookmarkStart w:id="213" w:name="_Toc366661951"/>
      <w:bookmarkStart w:id="214" w:name="_Toc366666192"/>
      <w:bookmarkStart w:id="215" w:name="_Toc417552127"/>
      <w:r>
        <w:t>Uniform presentation of government finance statistics</w:t>
      </w:r>
      <w:bookmarkEnd w:id="212"/>
      <w:bookmarkEnd w:id="213"/>
      <w:bookmarkEnd w:id="214"/>
      <w:bookmarkEnd w:id="215"/>
    </w:p>
    <w:p w:rsidR="00000000" w:rsidRDefault="001F233B">
      <w:pPr>
        <w:ind w:right="-7"/>
      </w:pPr>
      <w:r>
        <w:t xml:space="preserve">Under the </w:t>
      </w:r>
      <w:r>
        <w:rPr>
          <w:i/>
        </w:rPr>
        <w:t>Uniform Reporting Framework Agreement</w:t>
      </w:r>
      <w:r>
        <w:t xml:space="preserve"> (URF) between the Commonwealth, State and Territory Governments, all Australian jurisdictions are required to provide timely publication of government financial data consistent with Australian Bureau of Statistics (ABS) </w:t>
      </w:r>
      <w:r>
        <w:rPr>
          <w:i/>
        </w:rPr>
        <w:t>Government Finance Statistics</w:t>
      </w:r>
      <w:r>
        <w:t xml:space="preserve"> (GFS) standards.</w:t>
      </w:r>
    </w:p>
    <w:p w:rsidR="00000000" w:rsidRDefault="001F233B">
      <w:pPr>
        <w:ind w:right="-7"/>
      </w:pPr>
      <w:r>
        <w:t>The URF was agreed by the Commonwealth, State and Territory Treasurers at t</w:t>
      </w:r>
      <w:r>
        <w:t xml:space="preserve">he March 1997 Loan Council meeting. </w:t>
      </w:r>
    </w:p>
    <w:p w:rsidR="00000000" w:rsidRDefault="001F233B">
      <w:pPr>
        <w:ind w:right="-7"/>
      </w:pPr>
      <w:r>
        <w:br w:type="page"/>
        <w:t>Reporting under the URF integrates and improves aggregate budget reporting previously required under the Uniform Budget Presentation Agreement of 1990 and Loan Council and National Fiscal Outlook reporting arrangements. Features of the URF are the inclusion of forward estimates for the GG sector and financial outcome information for the PFE sector. URF tables are to be published by jurisdictions at budget time, in February (a mid-year budget review report) and at year-e</w:t>
      </w:r>
      <w:r>
        <w:t xml:space="preserve">nd (a budget outcomes statement). The PFE Sector has been incorporated into the reporting arrangements for the first time. This inclusion will bring Government Finance Statistics’ coverage into line with the coverage of </w:t>
      </w:r>
      <w:r>
        <w:rPr>
          <w:i/>
        </w:rPr>
        <w:t xml:space="preserve">Annual Financial Statement </w:t>
      </w:r>
      <w:r>
        <w:t>(AFS) which was recently accepted as an accounting standard for whole of government reporting. The State PFE Sector includes state</w:t>
      </w:r>
      <w:r>
        <w:noBreakHyphen/>
        <w:t>owned financial intermediaries and insurance and superannuation bodies such as Treasury Corporation of Victoria, Rural Finance Corpora</w:t>
      </w:r>
      <w:r>
        <w:t>tion, WorkCover Authority, Transport</w:t>
      </w:r>
      <w:r>
        <w:fldChar w:fldCharType="begin"/>
      </w:r>
      <w:r>
        <w:instrText>xe "Transport"</w:instrText>
      </w:r>
      <w:r>
        <w:fldChar w:fldCharType="end"/>
      </w:r>
      <w:r>
        <w:t xml:space="preserve"> Accident Commission</w:t>
      </w:r>
      <w:r>
        <w:fldChar w:fldCharType="begin"/>
      </w:r>
      <w:r>
        <w:instrText>xe "Public authority income:Transport Accident Commission"</w:instrText>
      </w:r>
      <w:r>
        <w:fldChar w:fldCharType="end"/>
      </w:r>
      <w:r>
        <w:t>. Reporting of this sector will be on an outcomes basis only and is therefore not included in the following estimates tables.</w:t>
      </w:r>
    </w:p>
    <w:p w:rsidR="00000000" w:rsidRDefault="001F233B">
      <w:pPr>
        <w:ind w:right="-7"/>
      </w:pPr>
      <w:r>
        <w:t>Jurisdictions are formally required to implement the improved reporting arrangements in their 1998-99 Budget Papers - Victoria implemented the arrangements one year ahead of this, consistent with its commitment to enhanced financial reporting.</w:t>
      </w:r>
    </w:p>
    <w:p w:rsidR="00000000" w:rsidRDefault="001F233B">
      <w:pPr>
        <w:ind w:right="-7"/>
      </w:pPr>
      <w:r>
        <w:t>In Tables </w:t>
      </w:r>
      <w:r>
        <w:t>B2 to B6, financial information for the Victorian non financial public sector for 1997</w:t>
      </w:r>
      <w:r>
        <w:noBreakHyphen/>
        <w:t>98 revised and 1998</w:t>
      </w:r>
      <w:r>
        <w:noBreakHyphen/>
        <w:t>99 (and forward estimates for the GG sector) is presented on a basis consistent with the URF agreement.</w:t>
      </w:r>
    </w:p>
    <w:p w:rsidR="00000000" w:rsidRDefault="001F233B">
      <w:pPr>
        <w:pStyle w:val="Tableheading"/>
      </w:pPr>
      <w:bookmarkStart w:id="216" w:name="_Toc355672334"/>
      <w:r>
        <w:br w:type="page"/>
      </w:r>
      <w:bookmarkStart w:id="217" w:name="_Toc366592814"/>
      <w:bookmarkStart w:id="218" w:name="_Toc366662077"/>
      <w:bookmarkStart w:id="219" w:name="_Toc366666298"/>
      <w:bookmarkStart w:id="220" w:name="_Toc417552772"/>
      <w:r>
        <w:t>Table B1: Classification Of Public Sector Agencies</w:t>
      </w:r>
      <w:bookmarkEnd w:id="216"/>
      <w:bookmarkEnd w:id="217"/>
      <w:bookmarkEnd w:id="218"/>
      <w:bookmarkEnd w:id="219"/>
      <w:bookmarkEnd w:id="220"/>
    </w:p>
    <w:tbl>
      <w:tblPr>
        <w:tblW w:w="0" w:type="auto"/>
        <w:tblInd w:w="72" w:type="dxa"/>
        <w:tblLayout w:type="fixed"/>
        <w:tblCellMar>
          <w:left w:w="28" w:type="dxa"/>
          <w:right w:w="28" w:type="dxa"/>
        </w:tblCellMar>
        <w:tblLook w:val="0000" w:firstRow="0" w:lastRow="0" w:firstColumn="0" w:lastColumn="0" w:noHBand="0" w:noVBand="0"/>
      </w:tblPr>
      <w:tblGrid>
        <w:gridCol w:w="2881"/>
        <w:gridCol w:w="1089"/>
        <w:gridCol w:w="903"/>
        <w:gridCol w:w="1264"/>
        <w:gridCol w:w="909"/>
      </w:tblGrid>
      <w:tr w:rsidR="00000000">
        <w:tblPrEx>
          <w:tblCellMar>
            <w:top w:w="0" w:type="dxa"/>
            <w:bottom w:w="0" w:type="dxa"/>
          </w:tblCellMar>
        </w:tblPrEx>
        <w:tc>
          <w:tcPr>
            <w:tcW w:w="2881" w:type="dxa"/>
            <w:tcBorders>
              <w:top w:val="single" w:sz="6" w:space="0" w:color="auto"/>
              <w:bottom w:val="single" w:sz="6" w:space="0" w:color="auto"/>
            </w:tcBorders>
          </w:tcPr>
          <w:p w:rsidR="00000000" w:rsidRDefault="001F233B">
            <w:pPr>
              <w:rPr>
                <w:rFonts w:ascii="Arial" w:hAnsi="Arial"/>
                <w:sz w:val="18"/>
              </w:rPr>
            </w:pPr>
          </w:p>
        </w:tc>
        <w:tc>
          <w:tcPr>
            <w:tcW w:w="1088" w:type="dxa"/>
            <w:tcBorders>
              <w:top w:val="single" w:sz="6" w:space="0" w:color="auto"/>
              <w:bottom w:val="single" w:sz="6" w:space="0" w:color="auto"/>
            </w:tcBorders>
          </w:tcPr>
          <w:p w:rsidR="00000000" w:rsidRDefault="001F233B">
            <w:pPr>
              <w:spacing w:after="0"/>
              <w:jc w:val="center"/>
              <w:rPr>
                <w:rFonts w:ascii="Arial" w:hAnsi="Arial"/>
                <w:sz w:val="18"/>
              </w:rPr>
            </w:pPr>
            <w:r>
              <w:rPr>
                <w:rFonts w:ascii="Arial" w:hAnsi="Arial"/>
                <w:sz w:val="18"/>
              </w:rPr>
              <w:t>General</w:t>
            </w:r>
          </w:p>
          <w:p w:rsidR="00000000" w:rsidRDefault="001F233B">
            <w:pPr>
              <w:spacing w:after="0"/>
              <w:jc w:val="center"/>
              <w:rPr>
                <w:rFonts w:ascii="Arial" w:hAnsi="Arial"/>
                <w:sz w:val="18"/>
              </w:rPr>
            </w:pPr>
            <w:r>
              <w:rPr>
                <w:rFonts w:ascii="Arial" w:hAnsi="Arial"/>
                <w:sz w:val="18"/>
              </w:rPr>
              <w:t>Government</w:t>
            </w:r>
          </w:p>
          <w:p w:rsidR="00000000" w:rsidRDefault="001F233B">
            <w:pPr>
              <w:tabs>
                <w:tab w:val="center" w:pos="568"/>
                <w:tab w:val="right" w:pos="993"/>
              </w:tabs>
              <w:spacing w:after="0"/>
              <w:jc w:val="center"/>
              <w:rPr>
                <w:rFonts w:ascii="Arial" w:hAnsi="Arial"/>
                <w:i/>
                <w:sz w:val="18"/>
              </w:rPr>
            </w:pPr>
            <w:r>
              <w:rPr>
                <w:rFonts w:ascii="Arial" w:hAnsi="Arial"/>
                <w:sz w:val="18"/>
              </w:rPr>
              <w:t xml:space="preserve">Sector </w:t>
            </w:r>
            <w:r>
              <w:rPr>
                <w:rFonts w:ascii="Arial" w:hAnsi="Arial"/>
                <w:i/>
                <w:vertAlign w:val="superscript"/>
              </w:rPr>
              <w:t>(a)</w:t>
            </w:r>
          </w:p>
        </w:tc>
        <w:tc>
          <w:tcPr>
            <w:tcW w:w="903" w:type="dxa"/>
            <w:tcBorders>
              <w:top w:val="single" w:sz="6" w:space="0" w:color="auto"/>
              <w:bottom w:val="single" w:sz="6" w:space="0" w:color="auto"/>
            </w:tcBorders>
          </w:tcPr>
          <w:p w:rsidR="00000000" w:rsidRDefault="001F233B">
            <w:pPr>
              <w:spacing w:after="0"/>
              <w:jc w:val="center"/>
              <w:rPr>
                <w:rFonts w:ascii="Arial" w:hAnsi="Arial"/>
                <w:sz w:val="18"/>
              </w:rPr>
            </w:pPr>
          </w:p>
          <w:p w:rsidR="00000000" w:rsidRDefault="001F233B">
            <w:pPr>
              <w:spacing w:after="0"/>
              <w:jc w:val="center"/>
              <w:rPr>
                <w:rFonts w:ascii="Arial" w:hAnsi="Arial"/>
                <w:sz w:val="18"/>
              </w:rPr>
            </w:pPr>
            <w:r>
              <w:rPr>
                <w:rFonts w:ascii="Arial" w:hAnsi="Arial"/>
                <w:sz w:val="18"/>
              </w:rPr>
              <w:t>Budget</w:t>
            </w:r>
          </w:p>
          <w:p w:rsidR="00000000" w:rsidRDefault="001F233B">
            <w:pPr>
              <w:tabs>
                <w:tab w:val="center" w:pos="426"/>
                <w:tab w:val="right" w:pos="709"/>
              </w:tabs>
              <w:spacing w:after="0"/>
              <w:jc w:val="center"/>
              <w:rPr>
                <w:rFonts w:ascii="Arial" w:hAnsi="Arial"/>
                <w:i/>
                <w:sz w:val="18"/>
              </w:rPr>
            </w:pPr>
            <w:r>
              <w:rPr>
                <w:rFonts w:ascii="Arial" w:hAnsi="Arial"/>
                <w:sz w:val="18"/>
              </w:rPr>
              <w:t xml:space="preserve">Sector </w:t>
            </w:r>
            <w:r>
              <w:rPr>
                <w:rFonts w:ascii="Arial" w:hAnsi="Arial"/>
                <w:i/>
                <w:vertAlign w:val="superscript"/>
              </w:rPr>
              <w:t>(b)</w:t>
            </w:r>
          </w:p>
        </w:tc>
        <w:tc>
          <w:tcPr>
            <w:tcW w:w="1264" w:type="dxa"/>
            <w:tcBorders>
              <w:top w:val="single" w:sz="6" w:space="0" w:color="auto"/>
              <w:bottom w:val="single" w:sz="6" w:space="0" w:color="auto"/>
            </w:tcBorders>
          </w:tcPr>
          <w:p w:rsidR="00000000" w:rsidRDefault="001F233B">
            <w:pPr>
              <w:spacing w:after="0"/>
              <w:jc w:val="center"/>
              <w:rPr>
                <w:rFonts w:ascii="Arial" w:hAnsi="Arial"/>
                <w:sz w:val="18"/>
              </w:rPr>
            </w:pPr>
            <w:r>
              <w:rPr>
                <w:rFonts w:ascii="Arial" w:hAnsi="Arial"/>
                <w:sz w:val="18"/>
              </w:rPr>
              <w:t>Public</w:t>
            </w:r>
          </w:p>
          <w:p w:rsidR="00000000" w:rsidRDefault="001F233B">
            <w:pPr>
              <w:tabs>
                <w:tab w:val="center" w:pos="568"/>
              </w:tabs>
              <w:spacing w:after="0"/>
              <w:jc w:val="center"/>
              <w:rPr>
                <w:rFonts w:ascii="Arial" w:hAnsi="Arial"/>
                <w:sz w:val="18"/>
              </w:rPr>
            </w:pPr>
            <w:r>
              <w:rPr>
                <w:rFonts w:ascii="Arial" w:hAnsi="Arial"/>
                <w:sz w:val="18"/>
              </w:rPr>
              <w:t>Trading</w:t>
            </w:r>
          </w:p>
          <w:p w:rsidR="00000000" w:rsidRDefault="001F233B">
            <w:pPr>
              <w:tabs>
                <w:tab w:val="center" w:pos="568"/>
                <w:tab w:val="right" w:pos="1208"/>
              </w:tabs>
              <w:spacing w:after="0"/>
              <w:jc w:val="center"/>
              <w:rPr>
                <w:rFonts w:ascii="Arial" w:hAnsi="Arial"/>
                <w:i/>
                <w:sz w:val="18"/>
              </w:rPr>
            </w:pPr>
            <w:r>
              <w:rPr>
                <w:rFonts w:ascii="Arial" w:hAnsi="Arial"/>
                <w:sz w:val="18"/>
              </w:rPr>
              <w:t xml:space="preserve">Enterprises </w:t>
            </w:r>
            <w:r>
              <w:rPr>
                <w:rFonts w:ascii="Arial" w:hAnsi="Arial"/>
                <w:i/>
                <w:vertAlign w:val="superscript"/>
              </w:rPr>
              <w:t>(a)</w:t>
            </w:r>
          </w:p>
        </w:tc>
        <w:tc>
          <w:tcPr>
            <w:tcW w:w="908" w:type="dxa"/>
            <w:tcBorders>
              <w:top w:val="single" w:sz="6" w:space="0" w:color="auto"/>
              <w:bottom w:val="single" w:sz="6" w:space="0" w:color="auto"/>
            </w:tcBorders>
          </w:tcPr>
          <w:p w:rsidR="00000000" w:rsidRDefault="001F233B">
            <w:pPr>
              <w:spacing w:after="0"/>
              <w:jc w:val="center"/>
              <w:rPr>
                <w:rFonts w:ascii="Arial" w:hAnsi="Arial"/>
                <w:sz w:val="18"/>
              </w:rPr>
            </w:pPr>
            <w:r>
              <w:rPr>
                <w:rFonts w:ascii="Arial" w:hAnsi="Arial"/>
                <w:sz w:val="18"/>
              </w:rPr>
              <w:t>Non</w:t>
            </w:r>
          </w:p>
          <w:p w:rsidR="00000000" w:rsidRDefault="001F233B">
            <w:pPr>
              <w:spacing w:after="0"/>
              <w:jc w:val="center"/>
              <w:rPr>
                <w:rFonts w:ascii="Arial" w:hAnsi="Arial"/>
                <w:sz w:val="18"/>
              </w:rPr>
            </w:pPr>
            <w:r>
              <w:rPr>
                <w:rFonts w:ascii="Arial" w:hAnsi="Arial"/>
                <w:sz w:val="18"/>
              </w:rPr>
              <w:t>Budget</w:t>
            </w:r>
          </w:p>
          <w:p w:rsidR="00000000" w:rsidRDefault="001F233B">
            <w:pPr>
              <w:tabs>
                <w:tab w:val="center" w:pos="426"/>
                <w:tab w:val="right" w:pos="851"/>
              </w:tabs>
              <w:spacing w:after="0"/>
              <w:jc w:val="center"/>
              <w:rPr>
                <w:rFonts w:ascii="Arial" w:hAnsi="Arial"/>
                <w:i/>
                <w:sz w:val="18"/>
              </w:rPr>
            </w:pPr>
            <w:r>
              <w:rPr>
                <w:rFonts w:ascii="Arial" w:hAnsi="Arial"/>
                <w:sz w:val="18"/>
              </w:rPr>
              <w:t xml:space="preserve">Sector </w:t>
            </w:r>
            <w:r>
              <w:rPr>
                <w:rFonts w:ascii="Arial" w:hAnsi="Arial"/>
                <w:i/>
                <w:vertAlign w:val="superscript"/>
              </w:rPr>
              <w:t>(b)</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Parliament</w:t>
            </w:r>
          </w:p>
        </w:tc>
        <w:tc>
          <w:tcPr>
            <w:tcW w:w="1088" w:type="dxa"/>
          </w:tcPr>
          <w:p w:rsidR="00000000" w:rsidRDefault="001F233B">
            <w:pPr>
              <w:spacing w:after="40"/>
              <w:jc w:val="center"/>
              <w:rPr>
                <w:rFonts w:ascii="Arial" w:hAnsi="Arial"/>
                <w:sz w:val="18"/>
              </w:rPr>
            </w:pPr>
            <w:r>
              <w:rPr>
                <w:rFonts w:ascii="Arial" w:hAnsi="Arial"/>
                <w:sz w:val="18"/>
              </w:rPr>
              <w:t>*</w:t>
            </w:r>
          </w:p>
        </w:tc>
        <w:tc>
          <w:tcPr>
            <w:tcW w:w="903" w:type="dxa"/>
          </w:tcPr>
          <w:p w:rsidR="00000000" w:rsidRDefault="001F233B">
            <w:pPr>
              <w:spacing w:after="40"/>
              <w:jc w:val="center"/>
              <w:rPr>
                <w:rFonts w:ascii="Arial" w:hAnsi="Arial"/>
                <w:sz w:val="18"/>
              </w:rPr>
            </w:pPr>
            <w:r>
              <w:rPr>
                <w:rFonts w:ascii="Arial" w:hAnsi="Arial"/>
                <w:sz w:val="18"/>
              </w:rPr>
              <w:t>*</w:t>
            </w: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Education</w:t>
            </w:r>
            <w:r>
              <w:rPr>
                <w:rFonts w:ascii="Arial" w:hAnsi="Arial"/>
                <w:sz w:val="18"/>
              </w:rPr>
              <w:fldChar w:fldCharType="begin"/>
            </w:r>
            <w:r>
              <w:rPr>
                <w:rFonts w:ascii="Arial" w:hAnsi="Arial"/>
                <w:sz w:val="18"/>
              </w:rPr>
              <w:instrText>xe "Education"</w:instrText>
            </w:r>
            <w:r>
              <w:rPr>
                <w:rFonts w:ascii="Arial" w:hAnsi="Arial"/>
                <w:sz w:val="18"/>
              </w:rPr>
              <w:fldChar w:fldCharType="end"/>
            </w:r>
          </w:p>
        </w:tc>
        <w:tc>
          <w:tcPr>
            <w:tcW w:w="1088" w:type="dxa"/>
          </w:tcPr>
          <w:p w:rsidR="00000000" w:rsidRDefault="001F233B">
            <w:pPr>
              <w:spacing w:after="40"/>
              <w:jc w:val="center"/>
              <w:rPr>
                <w:rFonts w:ascii="Arial" w:hAnsi="Arial"/>
                <w:sz w:val="18"/>
              </w:rPr>
            </w:pPr>
            <w:r>
              <w:rPr>
                <w:rFonts w:ascii="Arial" w:hAnsi="Arial"/>
                <w:sz w:val="18"/>
              </w:rPr>
              <w:t>*</w:t>
            </w:r>
          </w:p>
        </w:tc>
        <w:tc>
          <w:tcPr>
            <w:tcW w:w="903" w:type="dxa"/>
          </w:tcPr>
          <w:p w:rsidR="00000000" w:rsidRDefault="001F233B">
            <w:pPr>
              <w:spacing w:after="40"/>
              <w:jc w:val="center"/>
              <w:rPr>
                <w:rFonts w:ascii="Arial" w:hAnsi="Arial"/>
                <w:sz w:val="18"/>
              </w:rPr>
            </w:pPr>
            <w:r>
              <w:rPr>
                <w:rFonts w:ascii="Arial" w:hAnsi="Arial"/>
                <w:sz w:val="18"/>
              </w:rPr>
              <w:t>*</w:t>
            </w: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 xml:space="preserve">    TAFE</w:t>
            </w:r>
            <w:r>
              <w:rPr>
                <w:rFonts w:ascii="Arial" w:hAnsi="Arial"/>
                <w:sz w:val="18"/>
              </w:rPr>
              <w:fldChar w:fldCharType="begin"/>
            </w:r>
            <w:r>
              <w:rPr>
                <w:rFonts w:ascii="Arial" w:hAnsi="Arial"/>
                <w:sz w:val="18"/>
              </w:rPr>
              <w:instrText>xe "Department of Education:TAFE"</w:instrText>
            </w:r>
            <w:r>
              <w:rPr>
                <w:rFonts w:ascii="Arial" w:hAnsi="Arial"/>
                <w:sz w:val="18"/>
              </w:rPr>
              <w:fldChar w:fldCharType="end"/>
            </w:r>
          </w:p>
        </w:tc>
        <w:tc>
          <w:tcPr>
            <w:tcW w:w="1088" w:type="dxa"/>
          </w:tcPr>
          <w:p w:rsidR="00000000" w:rsidRDefault="001F233B">
            <w:pPr>
              <w:spacing w:after="40"/>
              <w:jc w:val="center"/>
              <w:rPr>
                <w:rFonts w:ascii="Arial" w:hAnsi="Arial"/>
                <w:sz w:val="18"/>
              </w:rPr>
            </w:pPr>
            <w:r>
              <w:rPr>
                <w:rFonts w:ascii="Arial" w:hAnsi="Arial"/>
                <w:sz w:val="18"/>
              </w:rPr>
              <w:t>*</w:t>
            </w:r>
          </w:p>
        </w:tc>
        <w:tc>
          <w:tcPr>
            <w:tcW w:w="903" w:type="dxa"/>
          </w:tcPr>
          <w:p w:rsidR="00000000" w:rsidRDefault="001F233B">
            <w:pPr>
              <w:spacing w:after="40"/>
              <w:jc w:val="center"/>
              <w:rPr>
                <w:rFonts w:ascii="Arial" w:hAnsi="Arial"/>
                <w:sz w:val="18"/>
              </w:rPr>
            </w:pPr>
            <w:r>
              <w:rPr>
                <w:rFonts w:ascii="Arial" w:hAnsi="Arial"/>
                <w:sz w:val="18"/>
              </w:rPr>
              <w:t>*</w:t>
            </w: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Human Services</w:t>
            </w:r>
          </w:p>
        </w:tc>
        <w:tc>
          <w:tcPr>
            <w:tcW w:w="1088" w:type="dxa"/>
          </w:tcPr>
          <w:p w:rsidR="00000000" w:rsidRDefault="001F233B">
            <w:pPr>
              <w:spacing w:after="40"/>
              <w:jc w:val="center"/>
              <w:rPr>
                <w:rFonts w:ascii="Arial" w:hAnsi="Arial"/>
                <w:sz w:val="18"/>
              </w:rPr>
            </w:pPr>
            <w:r>
              <w:rPr>
                <w:rFonts w:ascii="Arial" w:hAnsi="Arial"/>
                <w:sz w:val="18"/>
              </w:rPr>
              <w:t>*</w:t>
            </w:r>
          </w:p>
        </w:tc>
        <w:tc>
          <w:tcPr>
            <w:tcW w:w="903" w:type="dxa"/>
          </w:tcPr>
          <w:p w:rsidR="00000000" w:rsidRDefault="001F233B">
            <w:pPr>
              <w:spacing w:after="40"/>
              <w:jc w:val="center"/>
              <w:rPr>
                <w:rFonts w:ascii="Arial" w:hAnsi="Arial"/>
                <w:sz w:val="18"/>
              </w:rPr>
            </w:pPr>
            <w:r>
              <w:rPr>
                <w:rFonts w:ascii="Arial" w:hAnsi="Arial"/>
                <w:sz w:val="18"/>
              </w:rPr>
              <w:t>*</w:t>
            </w: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 xml:space="preserve">  Hospitals, Nursing </w:t>
            </w:r>
            <w:r>
              <w:rPr>
                <w:rFonts w:ascii="Arial" w:hAnsi="Arial"/>
                <w:sz w:val="18"/>
              </w:rPr>
              <w:t xml:space="preserve">Homes and                 </w:t>
            </w:r>
          </w:p>
        </w:tc>
        <w:tc>
          <w:tcPr>
            <w:tcW w:w="1088" w:type="dxa"/>
          </w:tcPr>
          <w:p w:rsidR="00000000" w:rsidRDefault="001F233B">
            <w:pPr>
              <w:spacing w:after="40"/>
              <w:rPr>
                <w:rFonts w:ascii="Arial" w:hAnsi="Arial"/>
                <w:sz w:val="18"/>
              </w:rPr>
            </w:pPr>
          </w:p>
        </w:tc>
        <w:tc>
          <w:tcPr>
            <w:tcW w:w="903" w:type="dxa"/>
          </w:tcPr>
          <w:p w:rsidR="00000000" w:rsidRDefault="001F233B">
            <w:pPr>
              <w:spacing w:after="40"/>
              <w:rPr>
                <w:rFonts w:ascii="Arial" w:hAnsi="Arial"/>
                <w:sz w:val="18"/>
              </w:rPr>
            </w:pP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 xml:space="preserve">    Ambulance Service</w:t>
            </w:r>
          </w:p>
        </w:tc>
        <w:tc>
          <w:tcPr>
            <w:tcW w:w="1088" w:type="dxa"/>
          </w:tcPr>
          <w:p w:rsidR="00000000" w:rsidRDefault="001F233B">
            <w:pPr>
              <w:spacing w:after="40"/>
              <w:jc w:val="center"/>
              <w:rPr>
                <w:rFonts w:ascii="Arial" w:hAnsi="Arial"/>
                <w:sz w:val="18"/>
              </w:rPr>
            </w:pPr>
            <w:r>
              <w:rPr>
                <w:rFonts w:ascii="Arial" w:hAnsi="Arial"/>
                <w:sz w:val="18"/>
              </w:rPr>
              <w:t>*</w:t>
            </w:r>
          </w:p>
        </w:tc>
        <w:tc>
          <w:tcPr>
            <w:tcW w:w="903" w:type="dxa"/>
          </w:tcPr>
          <w:p w:rsidR="00000000" w:rsidRDefault="001F233B">
            <w:pPr>
              <w:spacing w:after="40"/>
              <w:jc w:val="center"/>
              <w:rPr>
                <w:rFonts w:ascii="Arial" w:hAnsi="Arial"/>
                <w:sz w:val="18"/>
              </w:rPr>
            </w:pPr>
            <w:r>
              <w:rPr>
                <w:rFonts w:ascii="Arial" w:hAnsi="Arial"/>
                <w:sz w:val="18"/>
              </w:rPr>
              <w:t>*</w:t>
            </w: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 xml:space="preserve">    Office of Housing </w:t>
            </w:r>
          </w:p>
        </w:tc>
        <w:tc>
          <w:tcPr>
            <w:tcW w:w="1088" w:type="dxa"/>
          </w:tcPr>
          <w:p w:rsidR="00000000" w:rsidRDefault="001F233B">
            <w:pPr>
              <w:spacing w:after="40"/>
              <w:rPr>
                <w:rFonts w:ascii="Arial" w:hAnsi="Arial"/>
                <w:sz w:val="18"/>
              </w:rPr>
            </w:pPr>
          </w:p>
        </w:tc>
        <w:tc>
          <w:tcPr>
            <w:tcW w:w="903" w:type="dxa"/>
          </w:tcPr>
          <w:p w:rsidR="00000000" w:rsidRDefault="001F233B">
            <w:pPr>
              <w:spacing w:after="40"/>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Infrastructure</w:t>
            </w:r>
            <w:r>
              <w:rPr>
                <w:rFonts w:ascii="Arial" w:hAnsi="Arial"/>
                <w:sz w:val="18"/>
              </w:rPr>
              <w:fldChar w:fldCharType="begin"/>
            </w:r>
            <w:r>
              <w:rPr>
                <w:rFonts w:ascii="Arial" w:hAnsi="Arial"/>
                <w:sz w:val="18"/>
              </w:rPr>
              <w:instrText>xe "Economy:Infrastructure"</w:instrText>
            </w:r>
            <w:r>
              <w:rPr>
                <w:rFonts w:ascii="Arial" w:hAnsi="Arial"/>
                <w:sz w:val="18"/>
              </w:rPr>
              <w:fldChar w:fldCharType="end"/>
            </w:r>
          </w:p>
        </w:tc>
        <w:tc>
          <w:tcPr>
            <w:tcW w:w="1088" w:type="dxa"/>
          </w:tcPr>
          <w:p w:rsidR="00000000" w:rsidRDefault="001F233B">
            <w:pPr>
              <w:spacing w:after="40"/>
              <w:jc w:val="center"/>
              <w:rPr>
                <w:rFonts w:ascii="Arial" w:hAnsi="Arial"/>
                <w:sz w:val="18"/>
              </w:rPr>
            </w:pPr>
          </w:p>
        </w:tc>
        <w:tc>
          <w:tcPr>
            <w:tcW w:w="903" w:type="dxa"/>
          </w:tcPr>
          <w:p w:rsidR="00000000" w:rsidRDefault="001F233B">
            <w:pPr>
              <w:spacing w:after="40"/>
              <w:jc w:val="center"/>
              <w:rPr>
                <w:rFonts w:ascii="Arial" w:hAnsi="Arial"/>
                <w:sz w:val="18"/>
              </w:rPr>
            </w:pP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 xml:space="preserve">   Public Transport Corporation</w:t>
            </w:r>
            <w:r>
              <w:rPr>
                <w:rFonts w:ascii="Arial" w:hAnsi="Arial"/>
                <w:sz w:val="18"/>
              </w:rPr>
              <w:fldChar w:fldCharType="begin"/>
            </w:r>
            <w:r>
              <w:rPr>
                <w:rFonts w:ascii="Arial" w:hAnsi="Arial"/>
                <w:sz w:val="18"/>
              </w:rPr>
              <w:instrText>xe "Public Transport Corporation"</w:instrText>
            </w:r>
            <w:r>
              <w:rPr>
                <w:rFonts w:ascii="Arial" w:hAnsi="Arial"/>
                <w:sz w:val="18"/>
              </w:rPr>
              <w:fldChar w:fldCharType="end"/>
            </w:r>
          </w:p>
        </w:tc>
        <w:tc>
          <w:tcPr>
            <w:tcW w:w="1088" w:type="dxa"/>
          </w:tcPr>
          <w:p w:rsidR="00000000" w:rsidRDefault="001F233B">
            <w:pPr>
              <w:spacing w:after="40"/>
              <w:rPr>
                <w:rFonts w:ascii="Arial" w:hAnsi="Arial"/>
                <w:sz w:val="18"/>
              </w:rPr>
            </w:pPr>
          </w:p>
        </w:tc>
        <w:tc>
          <w:tcPr>
            <w:tcW w:w="903" w:type="dxa"/>
          </w:tcPr>
          <w:p w:rsidR="00000000" w:rsidRDefault="001F233B">
            <w:pPr>
              <w:spacing w:after="40"/>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 xml:space="preserve">   Roads</w:t>
            </w:r>
            <w:r>
              <w:rPr>
                <w:rFonts w:ascii="Arial" w:hAnsi="Arial"/>
                <w:sz w:val="18"/>
              </w:rPr>
              <w:fldChar w:fldCharType="begin"/>
            </w:r>
            <w:r>
              <w:rPr>
                <w:rFonts w:ascii="Arial" w:hAnsi="Arial"/>
                <w:sz w:val="18"/>
              </w:rPr>
              <w:instrText>xe "Roads"</w:instrText>
            </w:r>
            <w:r>
              <w:rPr>
                <w:rFonts w:ascii="Arial" w:hAnsi="Arial"/>
                <w:sz w:val="18"/>
              </w:rPr>
              <w:fldChar w:fldCharType="end"/>
            </w:r>
            <w:r>
              <w:rPr>
                <w:rFonts w:ascii="Arial" w:hAnsi="Arial"/>
                <w:sz w:val="18"/>
              </w:rPr>
              <w:t xml:space="preserve"> Corporation</w:t>
            </w:r>
          </w:p>
        </w:tc>
        <w:tc>
          <w:tcPr>
            <w:tcW w:w="1088" w:type="dxa"/>
          </w:tcPr>
          <w:p w:rsidR="00000000" w:rsidRDefault="001F233B">
            <w:pPr>
              <w:spacing w:after="40"/>
              <w:jc w:val="center"/>
              <w:rPr>
                <w:rFonts w:ascii="Arial" w:hAnsi="Arial"/>
                <w:sz w:val="18"/>
              </w:rPr>
            </w:pPr>
            <w:r>
              <w:rPr>
                <w:rFonts w:ascii="Arial" w:hAnsi="Arial"/>
                <w:sz w:val="18"/>
              </w:rPr>
              <w:t>*</w:t>
            </w:r>
          </w:p>
        </w:tc>
        <w:tc>
          <w:tcPr>
            <w:tcW w:w="903" w:type="dxa"/>
          </w:tcPr>
          <w:p w:rsidR="00000000" w:rsidRDefault="001F233B">
            <w:pPr>
              <w:spacing w:after="40"/>
              <w:jc w:val="center"/>
              <w:rPr>
                <w:rFonts w:ascii="Arial" w:hAnsi="Arial"/>
                <w:sz w:val="18"/>
              </w:rPr>
            </w:pPr>
            <w:r>
              <w:rPr>
                <w:rFonts w:ascii="Arial" w:hAnsi="Arial"/>
                <w:sz w:val="18"/>
              </w:rPr>
              <w:t>*</w:t>
            </w: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 xml:space="preserve">   Other</w:t>
            </w:r>
          </w:p>
        </w:tc>
        <w:tc>
          <w:tcPr>
            <w:tcW w:w="1088" w:type="dxa"/>
          </w:tcPr>
          <w:p w:rsidR="00000000" w:rsidRDefault="001F233B">
            <w:pPr>
              <w:spacing w:after="40"/>
              <w:jc w:val="center"/>
              <w:rPr>
                <w:rFonts w:ascii="Arial" w:hAnsi="Arial"/>
                <w:sz w:val="18"/>
              </w:rPr>
            </w:pPr>
            <w:r>
              <w:rPr>
                <w:rFonts w:ascii="Arial" w:hAnsi="Arial"/>
                <w:sz w:val="18"/>
              </w:rPr>
              <w:t>*</w:t>
            </w:r>
          </w:p>
        </w:tc>
        <w:tc>
          <w:tcPr>
            <w:tcW w:w="903" w:type="dxa"/>
          </w:tcPr>
          <w:p w:rsidR="00000000" w:rsidRDefault="001F233B">
            <w:pPr>
              <w:spacing w:after="40"/>
              <w:jc w:val="center"/>
              <w:rPr>
                <w:rFonts w:ascii="Arial" w:hAnsi="Arial"/>
                <w:sz w:val="18"/>
              </w:rPr>
            </w:pPr>
            <w:r>
              <w:rPr>
                <w:rFonts w:ascii="Arial" w:hAnsi="Arial"/>
                <w:sz w:val="18"/>
              </w:rPr>
              <w:t>*</w:t>
            </w: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Justice</w:t>
            </w:r>
          </w:p>
        </w:tc>
        <w:tc>
          <w:tcPr>
            <w:tcW w:w="1088" w:type="dxa"/>
          </w:tcPr>
          <w:p w:rsidR="00000000" w:rsidRDefault="001F233B">
            <w:pPr>
              <w:spacing w:after="40"/>
              <w:jc w:val="center"/>
              <w:rPr>
                <w:rFonts w:ascii="Arial" w:hAnsi="Arial"/>
                <w:sz w:val="18"/>
              </w:rPr>
            </w:pPr>
            <w:r>
              <w:rPr>
                <w:rFonts w:ascii="Arial" w:hAnsi="Arial"/>
                <w:sz w:val="18"/>
              </w:rPr>
              <w:t>*</w:t>
            </w:r>
          </w:p>
        </w:tc>
        <w:tc>
          <w:tcPr>
            <w:tcW w:w="903" w:type="dxa"/>
          </w:tcPr>
          <w:p w:rsidR="00000000" w:rsidRDefault="001F233B">
            <w:pPr>
              <w:spacing w:after="40"/>
              <w:jc w:val="center"/>
              <w:rPr>
                <w:rFonts w:ascii="Arial" w:hAnsi="Arial"/>
                <w:sz w:val="18"/>
              </w:rPr>
            </w:pPr>
            <w:r>
              <w:rPr>
                <w:rFonts w:ascii="Arial" w:hAnsi="Arial"/>
                <w:sz w:val="18"/>
              </w:rPr>
              <w:t>*</w:t>
            </w: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 xml:space="preserve">Natural Resources and </w:t>
            </w:r>
          </w:p>
          <w:p w:rsidR="00000000" w:rsidRDefault="001F233B">
            <w:pPr>
              <w:spacing w:after="40"/>
              <w:rPr>
                <w:rFonts w:ascii="Arial" w:hAnsi="Arial"/>
                <w:sz w:val="18"/>
              </w:rPr>
            </w:pPr>
            <w:r>
              <w:rPr>
                <w:rFonts w:ascii="Arial" w:hAnsi="Arial"/>
                <w:sz w:val="18"/>
              </w:rPr>
              <w:t xml:space="preserve">  Environment</w:t>
            </w:r>
          </w:p>
        </w:tc>
        <w:tc>
          <w:tcPr>
            <w:tcW w:w="1088" w:type="dxa"/>
          </w:tcPr>
          <w:p w:rsidR="00000000" w:rsidRDefault="001F233B">
            <w:pPr>
              <w:spacing w:after="40"/>
              <w:rPr>
                <w:rFonts w:ascii="Arial" w:hAnsi="Arial"/>
                <w:sz w:val="18"/>
              </w:rPr>
            </w:pPr>
          </w:p>
          <w:p w:rsidR="00000000" w:rsidRDefault="001F233B">
            <w:pPr>
              <w:spacing w:after="40"/>
              <w:jc w:val="center"/>
              <w:rPr>
                <w:rFonts w:ascii="Arial" w:hAnsi="Arial"/>
                <w:sz w:val="18"/>
              </w:rPr>
            </w:pPr>
            <w:r>
              <w:rPr>
                <w:rFonts w:ascii="Arial" w:hAnsi="Arial"/>
                <w:sz w:val="18"/>
              </w:rPr>
              <w:t>*</w:t>
            </w:r>
          </w:p>
        </w:tc>
        <w:tc>
          <w:tcPr>
            <w:tcW w:w="903" w:type="dxa"/>
          </w:tcPr>
          <w:p w:rsidR="00000000" w:rsidRDefault="001F233B">
            <w:pPr>
              <w:spacing w:after="40"/>
              <w:rPr>
                <w:rFonts w:ascii="Arial" w:hAnsi="Arial"/>
                <w:sz w:val="18"/>
              </w:rPr>
            </w:pPr>
          </w:p>
          <w:p w:rsidR="00000000" w:rsidRDefault="001F233B">
            <w:pPr>
              <w:spacing w:after="40"/>
              <w:jc w:val="center"/>
              <w:rPr>
                <w:rFonts w:ascii="Arial" w:hAnsi="Arial"/>
                <w:sz w:val="18"/>
              </w:rPr>
            </w:pPr>
            <w:r>
              <w:rPr>
                <w:rFonts w:ascii="Arial" w:hAnsi="Arial"/>
                <w:sz w:val="18"/>
              </w:rPr>
              <w:t>*</w:t>
            </w: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Premier and Cabinet</w:t>
            </w:r>
          </w:p>
        </w:tc>
        <w:tc>
          <w:tcPr>
            <w:tcW w:w="1088" w:type="dxa"/>
          </w:tcPr>
          <w:p w:rsidR="00000000" w:rsidRDefault="001F233B">
            <w:pPr>
              <w:spacing w:after="40"/>
              <w:jc w:val="center"/>
              <w:rPr>
                <w:rFonts w:ascii="Arial" w:hAnsi="Arial"/>
                <w:sz w:val="18"/>
              </w:rPr>
            </w:pPr>
            <w:r>
              <w:rPr>
                <w:rFonts w:ascii="Arial" w:hAnsi="Arial"/>
                <w:sz w:val="18"/>
              </w:rPr>
              <w:t>*</w:t>
            </w:r>
          </w:p>
        </w:tc>
        <w:tc>
          <w:tcPr>
            <w:tcW w:w="903" w:type="dxa"/>
          </w:tcPr>
          <w:p w:rsidR="00000000" w:rsidRDefault="001F233B">
            <w:pPr>
              <w:spacing w:after="40"/>
              <w:jc w:val="center"/>
              <w:rPr>
                <w:rFonts w:ascii="Arial" w:hAnsi="Arial"/>
                <w:sz w:val="18"/>
              </w:rPr>
            </w:pPr>
            <w:r>
              <w:rPr>
                <w:rFonts w:ascii="Arial" w:hAnsi="Arial"/>
                <w:sz w:val="18"/>
              </w:rPr>
              <w:t>*</w:t>
            </w: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State Development</w:t>
            </w:r>
          </w:p>
        </w:tc>
        <w:tc>
          <w:tcPr>
            <w:tcW w:w="1088" w:type="dxa"/>
          </w:tcPr>
          <w:p w:rsidR="00000000" w:rsidRDefault="001F233B">
            <w:pPr>
              <w:spacing w:after="40"/>
              <w:jc w:val="center"/>
              <w:rPr>
                <w:rFonts w:ascii="Arial" w:hAnsi="Arial"/>
                <w:sz w:val="18"/>
              </w:rPr>
            </w:pPr>
            <w:r>
              <w:rPr>
                <w:rFonts w:ascii="Arial" w:hAnsi="Arial"/>
                <w:sz w:val="18"/>
              </w:rPr>
              <w:t>*</w:t>
            </w:r>
          </w:p>
        </w:tc>
        <w:tc>
          <w:tcPr>
            <w:tcW w:w="903" w:type="dxa"/>
          </w:tcPr>
          <w:p w:rsidR="00000000" w:rsidRDefault="001F233B">
            <w:pPr>
              <w:spacing w:after="40"/>
              <w:jc w:val="center"/>
              <w:rPr>
                <w:rFonts w:ascii="Arial" w:hAnsi="Arial"/>
                <w:sz w:val="18"/>
              </w:rPr>
            </w:pPr>
            <w:r>
              <w:rPr>
                <w:rFonts w:ascii="Arial" w:hAnsi="Arial"/>
                <w:sz w:val="18"/>
              </w:rPr>
              <w:t>*</w:t>
            </w: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Treasury and Finance</w:t>
            </w:r>
          </w:p>
        </w:tc>
        <w:tc>
          <w:tcPr>
            <w:tcW w:w="1088" w:type="dxa"/>
          </w:tcPr>
          <w:p w:rsidR="00000000" w:rsidRDefault="001F233B">
            <w:pPr>
              <w:spacing w:after="40"/>
              <w:jc w:val="center"/>
              <w:rPr>
                <w:rFonts w:ascii="Arial" w:hAnsi="Arial"/>
                <w:sz w:val="18"/>
              </w:rPr>
            </w:pPr>
            <w:r>
              <w:rPr>
                <w:rFonts w:ascii="Arial" w:hAnsi="Arial"/>
                <w:sz w:val="18"/>
              </w:rPr>
              <w:t>*</w:t>
            </w:r>
          </w:p>
        </w:tc>
        <w:tc>
          <w:tcPr>
            <w:tcW w:w="903" w:type="dxa"/>
          </w:tcPr>
          <w:p w:rsidR="00000000" w:rsidRDefault="001F233B">
            <w:pPr>
              <w:spacing w:after="40"/>
              <w:jc w:val="center"/>
              <w:rPr>
                <w:rFonts w:ascii="Arial" w:hAnsi="Arial"/>
                <w:sz w:val="18"/>
              </w:rPr>
            </w:pPr>
            <w:r>
              <w:rPr>
                <w:rFonts w:ascii="Arial" w:hAnsi="Arial"/>
                <w:sz w:val="18"/>
              </w:rPr>
              <w:t>*</w:t>
            </w:r>
          </w:p>
        </w:tc>
        <w:tc>
          <w:tcPr>
            <w:tcW w:w="1264" w:type="dxa"/>
          </w:tcPr>
          <w:p w:rsidR="00000000" w:rsidRDefault="001F233B">
            <w:pPr>
              <w:spacing w:after="40"/>
              <w:rPr>
                <w:rFonts w:ascii="Arial" w:hAnsi="Arial"/>
                <w:sz w:val="18"/>
              </w:rPr>
            </w:pPr>
          </w:p>
        </w:tc>
        <w:tc>
          <w:tcPr>
            <w:tcW w:w="908" w:type="dxa"/>
          </w:tcPr>
          <w:p w:rsidR="00000000" w:rsidRDefault="001F233B">
            <w:pPr>
              <w:spacing w:after="40"/>
              <w:rPr>
                <w:rFonts w:ascii="Arial" w:hAnsi="Arial"/>
                <w:sz w:val="18"/>
              </w:rPr>
            </w:pPr>
          </w:p>
        </w:tc>
      </w:tr>
      <w:tr w:rsidR="00000000">
        <w:tblPrEx>
          <w:tblCellMar>
            <w:top w:w="0" w:type="dxa"/>
            <w:bottom w:w="0" w:type="dxa"/>
          </w:tblCellMar>
        </w:tblPrEx>
        <w:tc>
          <w:tcPr>
            <w:tcW w:w="2880" w:type="dxa"/>
          </w:tcPr>
          <w:p w:rsidR="00000000" w:rsidRDefault="001F233B">
            <w:pPr>
              <w:spacing w:after="40"/>
              <w:rPr>
                <w:rFonts w:ascii="Arial" w:hAnsi="Arial"/>
                <w:sz w:val="18"/>
              </w:rPr>
            </w:pPr>
            <w:r>
              <w:rPr>
                <w:rFonts w:ascii="Arial" w:hAnsi="Arial"/>
                <w:sz w:val="18"/>
              </w:rPr>
              <w:t>Aluminium Smelters of Victoria</w:t>
            </w:r>
          </w:p>
        </w:tc>
        <w:tc>
          <w:tcPr>
            <w:tcW w:w="1089" w:type="dxa"/>
          </w:tcPr>
          <w:p w:rsidR="00000000" w:rsidRDefault="001F233B">
            <w:pPr>
              <w:spacing w:after="40"/>
              <w:rPr>
                <w:rFonts w:ascii="Arial" w:hAnsi="Arial"/>
                <w:sz w:val="18"/>
              </w:rPr>
            </w:pPr>
          </w:p>
        </w:tc>
        <w:tc>
          <w:tcPr>
            <w:tcW w:w="902" w:type="dxa"/>
          </w:tcPr>
          <w:p w:rsidR="00000000" w:rsidRDefault="001F233B">
            <w:pPr>
              <w:spacing w:after="40"/>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9"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 xml:space="preserve">Barwon Water </w:t>
            </w:r>
          </w:p>
        </w:tc>
        <w:tc>
          <w:tcPr>
            <w:tcW w:w="1088" w:type="dxa"/>
          </w:tcPr>
          <w:p w:rsidR="00000000" w:rsidRDefault="001F233B">
            <w:pPr>
              <w:spacing w:after="40"/>
              <w:rPr>
                <w:rFonts w:ascii="Arial" w:hAnsi="Arial"/>
                <w:sz w:val="18"/>
              </w:rPr>
            </w:pPr>
          </w:p>
        </w:tc>
        <w:tc>
          <w:tcPr>
            <w:tcW w:w="903" w:type="dxa"/>
          </w:tcPr>
          <w:p w:rsidR="00000000" w:rsidRDefault="001F233B">
            <w:pPr>
              <w:spacing w:after="40"/>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Central Gippsland Region Water</w:t>
            </w:r>
          </w:p>
        </w:tc>
        <w:tc>
          <w:tcPr>
            <w:tcW w:w="1088" w:type="dxa"/>
          </w:tcPr>
          <w:p w:rsidR="00000000" w:rsidRDefault="001F233B">
            <w:pPr>
              <w:spacing w:after="40"/>
              <w:jc w:val="center"/>
              <w:rPr>
                <w:rFonts w:ascii="Arial" w:hAnsi="Arial"/>
                <w:sz w:val="18"/>
              </w:rPr>
            </w:pPr>
          </w:p>
        </w:tc>
        <w:tc>
          <w:tcPr>
            <w:tcW w:w="903" w:type="dxa"/>
          </w:tcPr>
          <w:p w:rsidR="00000000" w:rsidRDefault="001F233B">
            <w:pPr>
              <w:spacing w:after="40"/>
              <w:jc w:val="center"/>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Cent</w:t>
            </w:r>
            <w:r>
              <w:rPr>
                <w:rFonts w:ascii="Arial" w:hAnsi="Arial"/>
                <w:sz w:val="18"/>
              </w:rPr>
              <w:t>ral Highlands Region</w:t>
            </w:r>
          </w:p>
        </w:tc>
        <w:tc>
          <w:tcPr>
            <w:tcW w:w="1088" w:type="dxa"/>
          </w:tcPr>
          <w:p w:rsidR="00000000" w:rsidRDefault="001F233B">
            <w:pPr>
              <w:spacing w:after="40"/>
              <w:jc w:val="center"/>
              <w:rPr>
                <w:rFonts w:ascii="Arial" w:hAnsi="Arial"/>
                <w:sz w:val="18"/>
              </w:rPr>
            </w:pPr>
          </w:p>
        </w:tc>
        <w:tc>
          <w:tcPr>
            <w:tcW w:w="903" w:type="dxa"/>
          </w:tcPr>
          <w:p w:rsidR="00000000" w:rsidRDefault="001F233B">
            <w:pPr>
              <w:spacing w:after="40"/>
              <w:jc w:val="center"/>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City West Water Ltd.</w:t>
            </w:r>
          </w:p>
        </w:tc>
        <w:tc>
          <w:tcPr>
            <w:tcW w:w="1088" w:type="dxa"/>
          </w:tcPr>
          <w:p w:rsidR="00000000" w:rsidRDefault="001F233B">
            <w:pPr>
              <w:spacing w:after="40"/>
              <w:jc w:val="center"/>
              <w:rPr>
                <w:rFonts w:ascii="Arial" w:hAnsi="Arial"/>
                <w:sz w:val="18"/>
              </w:rPr>
            </w:pPr>
          </w:p>
        </w:tc>
        <w:tc>
          <w:tcPr>
            <w:tcW w:w="903" w:type="dxa"/>
          </w:tcPr>
          <w:p w:rsidR="00000000" w:rsidRDefault="001F233B">
            <w:pPr>
              <w:spacing w:after="40"/>
              <w:jc w:val="center"/>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Coliban Region Water Authority</w:t>
            </w:r>
          </w:p>
        </w:tc>
        <w:tc>
          <w:tcPr>
            <w:tcW w:w="1088" w:type="dxa"/>
          </w:tcPr>
          <w:p w:rsidR="00000000" w:rsidRDefault="001F233B">
            <w:pPr>
              <w:spacing w:after="40"/>
              <w:jc w:val="center"/>
              <w:rPr>
                <w:rFonts w:ascii="Arial" w:hAnsi="Arial"/>
                <w:sz w:val="18"/>
              </w:rPr>
            </w:pPr>
          </w:p>
        </w:tc>
        <w:tc>
          <w:tcPr>
            <w:tcW w:w="903" w:type="dxa"/>
          </w:tcPr>
          <w:p w:rsidR="00000000" w:rsidRDefault="001F233B">
            <w:pPr>
              <w:spacing w:after="40"/>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Country Fire Authority and Appeals</w:t>
            </w:r>
          </w:p>
          <w:p w:rsidR="00000000" w:rsidRDefault="001F233B">
            <w:pPr>
              <w:spacing w:after="40"/>
              <w:rPr>
                <w:rFonts w:ascii="Arial" w:hAnsi="Arial"/>
                <w:sz w:val="18"/>
              </w:rPr>
            </w:pPr>
            <w:r>
              <w:rPr>
                <w:rFonts w:ascii="Arial" w:hAnsi="Arial"/>
                <w:sz w:val="18"/>
              </w:rPr>
              <w:t xml:space="preserve">  Tribunal</w:t>
            </w:r>
          </w:p>
        </w:tc>
        <w:tc>
          <w:tcPr>
            <w:tcW w:w="1088" w:type="dxa"/>
          </w:tcPr>
          <w:p w:rsidR="00000000" w:rsidRDefault="001F233B">
            <w:pPr>
              <w:spacing w:after="40"/>
              <w:jc w:val="center"/>
              <w:rPr>
                <w:rFonts w:ascii="Arial" w:hAnsi="Arial"/>
                <w:sz w:val="18"/>
              </w:rPr>
            </w:pPr>
          </w:p>
          <w:p w:rsidR="00000000" w:rsidRDefault="001F233B">
            <w:pPr>
              <w:spacing w:after="40"/>
              <w:jc w:val="center"/>
              <w:rPr>
                <w:rFonts w:ascii="Arial" w:hAnsi="Arial"/>
                <w:sz w:val="18"/>
              </w:rPr>
            </w:pPr>
            <w:r>
              <w:rPr>
                <w:rFonts w:ascii="Arial" w:hAnsi="Arial"/>
                <w:sz w:val="18"/>
              </w:rPr>
              <w:t>*</w:t>
            </w:r>
          </w:p>
        </w:tc>
        <w:tc>
          <w:tcPr>
            <w:tcW w:w="903" w:type="dxa"/>
          </w:tcPr>
          <w:p w:rsidR="00000000" w:rsidRDefault="001F233B">
            <w:pPr>
              <w:spacing w:after="40"/>
              <w:rPr>
                <w:rFonts w:ascii="Arial" w:hAnsi="Arial"/>
                <w:sz w:val="18"/>
              </w:rPr>
            </w:pPr>
          </w:p>
        </w:tc>
        <w:tc>
          <w:tcPr>
            <w:tcW w:w="1264" w:type="dxa"/>
          </w:tcPr>
          <w:p w:rsidR="00000000" w:rsidRDefault="001F233B">
            <w:pPr>
              <w:spacing w:after="40"/>
              <w:rPr>
                <w:rFonts w:ascii="Arial" w:hAnsi="Arial"/>
                <w:sz w:val="18"/>
              </w:rPr>
            </w:pPr>
          </w:p>
        </w:tc>
        <w:tc>
          <w:tcPr>
            <w:tcW w:w="908" w:type="dxa"/>
          </w:tcPr>
          <w:p w:rsidR="00000000" w:rsidRDefault="001F233B">
            <w:pPr>
              <w:spacing w:after="40"/>
              <w:jc w:val="center"/>
              <w:rPr>
                <w:rFonts w:ascii="Arial" w:hAnsi="Arial"/>
                <w:sz w:val="18"/>
              </w:rPr>
            </w:pPr>
          </w:p>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East Gippsland Region Water</w:t>
            </w:r>
          </w:p>
        </w:tc>
        <w:tc>
          <w:tcPr>
            <w:tcW w:w="1088" w:type="dxa"/>
          </w:tcPr>
          <w:p w:rsidR="00000000" w:rsidRDefault="001F233B">
            <w:pPr>
              <w:spacing w:after="40"/>
              <w:rPr>
                <w:rFonts w:ascii="Arial" w:hAnsi="Arial"/>
                <w:sz w:val="18"/>
              </w:rPr>
            </w:pPr>
          </w:p>
        </w:tc>
        <w:tc>
          <w:tcPr>
            <w:tcW w:w="903" w:type="dxa"/>
          </w:tcPr>
          <w:p w:rsidR="00000000" w:rsidRDefault="001F233B">
            <w:pPr>
              <w:spacing w:after="40"/>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Energy 21</w:t>
            </w:r>
          </w:p>
        </w:tc>
        <w:tc>
          <w:tcPr>
            <w:tcW w:w="1088" w:type="dxa"/>
          </w:tcPr>
          <w:p w:rsidR="00000000" w:rsidRDefault="001F233B">
            <w:pPr>
              <w:spacing w:after="40"/>
              <w:rPr>
                <w:rFonts w:ascii="Arial" w:hAnsi="Arial"/>
                <w:sz w:val="18"/>
              </w:rPr>
            </w:pPr>
          </w:p>
        </w:tc>
        <w:tc>
          <w:tcPr>
            <w:tcW w:w="903" w:type="dxa"/>
          </w:tcPr>
          <w:p w:rsidR="00000000" w:rsidRDefault="001F233B">
            <w:pPr>
              <w:spacing w:after="40"/>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First Mildura Irrigation Trust</w:t>
            </w:r>
          </w:p>
        </w:tc>
        <w:tc>
          <w:tcPr>
            <w:tcW w:w="1088" w:type="dxa"/>
          </w:tcPr>
          <w:p w:rsidR="00000000" w:rsidRDefault="001F233B">
            <w:pPr>
              <w:spacing w:after="40"/>
              <w:rPr>
                <w:rFonts w:ascii="Arial" w:hAnsi="Arial"/>
                <w:sz w:val="18"/>
              </w:rPr>
            </w:pPr>
          </w:p>
        </w:tc>
        <w:tc>
          <w:tcPr>
            <w:tcW w:w="903" w:type="dxa"/>
          </w:tcPr>
          <w:p w:rsidR="00000000" w:rsidRDefault="001F233B">
            <w:pPr>
              <w:spacing w:after="40"/>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Glenelg Region Water Authority</w:t>
            </w:r>
          </w:p>
        </w:tc>
        <w:tc>
          <w:tcPr>
            <w:tcW w:w="1088" w:type="dxa"/>
          </w:tcPr>
          <w:p w:rsidR="00000000" w:rsidRDefault="001F233B">
            <w:pPr>
              <w:spacing w:after="40"/>
              <w:rPr>
                <w:rFonts w:ascii="Arial" w:hAnsi="Arial"/>
                <w:sz w:val="18"/>
              </w:rPr>
            </w:pPr>
          </w:p>
        </w:tc>
        <w:tc>
          <w:tcPr>
            <w:tcW w:w="903" w:type="dxa"/>
          </w:tcPr>
          <w:p w:rsidR="00000000" w:rsidRDefault="001F233B">
            <w:pPr>
              <w:spacing w:after="40"/>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Gas</w:t>
            </w:r>
            <w:r>
              <w:rPr>
                <w:rFonts w:ascii="Arial" w:hAnsi="Arial"/>
                <w:sz w:val="18"/>
              </w:rPr>
              <w:fldChar w:fldCharType="begin"/>
            </w:r>
            <w:r>
              <w:rPr>
                <w:rFonts w:ascii="Arial" w:hAnsi="Arial"/>
                <w:sz w:val="18"/>
              </w:rPr>
              <w:instrText>xe "Gas"</w:instrText>
            </w:r>
            <w:r>
              <w:rPr>
                <w:rFonts w:ascii="Arial" w:hAnsi="Arial"/>
                <w:sz w:val="18"/>
              </w:rPr>
              <w:fldChar w:fldCharType="end"/>
            </w:r>
            <w:r>
              <w:rPr>
                <w:rFonts w:ascii="Arial" w:hAnsi="Arial"/>
                <w:sz w:val="18"/>
              </w:rPr>
              <w:t xml:space="preserve"> Service Business</w:t>
            </w:r>
          </w:p>
        </w:tc>
        <w:tc>
          <w:tcPr>
            <w:tcW w:w="1088" w:type="dxa"/>
          </w:tcPr>
          <w:p w:rsidR="00000000" w:rsidRDefault="001F233B">
            <w:pPr>
              <w:spacing w:after="40"/>
              <w:rPr>
                <w:rFonts w:ascii="Arial" w:hAnsi="Arial"/>
                <w:sz w:val="18"/>
              </w:rPr>
            </w:pPr>
          </w:p>
        </w:tc>
        <w:tc>
          <w:tcPr>
            <w:tcW w:w="903" w:type="dxa"/>
          </w:tcPr>
          <w:p w:rsidR="00000000" w:rsidRDefault="001F233B">
            <w:pPr>
              <w:spacing w:after="40"/>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Gas</w:t>
            </w:r>
            <w:r>
              <w:rPr>
                <w:rFonts w:ascii="Arial" w:hAnsi="Arial"/>
                <w:sz w:val="18"/>
              </w:rPr>
              <w:fldChar w:fldCharType="begin"/>
            </w:r>
            <w:r>
              <w:rPr>
                <w:rFonts w:ascii="Arial" w:hAnsi="Arial"/>
                <w:sz w:val="18"/>
              </w:rPr>
              <w:instrText>xe "Gas"</w:instrText>
            </w:r>
            <w:r>
              <w:rPr>
                <w:rFonts w:ascii="Arial" w:hAnsi="Arial"/>
                <w:sz w:val="18"/>
              </w:rPr>
              <w:fldChar w:fldCharType="end"/>
            </w:r>
            <w:r>
              <w:rPr>
                <w:rFonts w:ascii="Arial" w:hAnsi="Arial"/>
                <w:sz w:val="18"/>
              </w:rPr>
              <w:t xml:space="preserve"> Transmission Corporation</w:t>
            </w:r>
          </w:p>
        </w:tc>
        <w:tc>
          <w:tcPr>
            <w:tcW w:w="1088" w:type="dxa"/>
          </w:tcPr>
          <w:p w:rsidR="00000000" w:rsidRDefault="001F233B">
            <w:pPr>
              <w:spacing w:after="40"/>
              <w:rPr>
                <w:rFonts w:ascii="Arial" w:hAnsi="Arial"/>
                <w:sz w:val="18"/>
              </w:rPr>
            </w:pPr>
          </w:p>
        </w:tc>
        <w:tc>
          <w:tcPr>
            <w:tcW w:w="903" w:type="dxa"/>
          </w:tcPr>
          <w:p w:rsidR="00000000" w:rsidRDefault="001F233B">
            <w:pPr>
              <w:spacing w:after="40"/>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GasCor</w:t>
            </w:r>
          </w:p>
        </w:tc>
        <w:tc>
          <w:tcPr>
            <w:tcW w:w="1088" w:type="dxa"/>
          </w:tcPr>
          <w:p w:rsidR="00000000" w:rsidRDefault="001F233B">
            <w:pPr>
              <w:spacing w:after="40"/>
              <w:rPr>
                <w:rFonts w:ascii="Arial" w:hAnsi="Arial"/>
                <w:sz w:val="18"/>
              </w:rPr>
            </w:pPr>
          </w:p>
        </w:tc>
        <w:tc>
          <w:tcPr>
            <w:tcW w:w="903" w:type="dxa"/>
          </w:tcPr>
          <w:p w:rsidR="00000000" w:rsidRDefault="001F233B">
            <w:pPr>
              <w:spacing w:after="40"/>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Gasmart</w:t>
            </w:r>
          </w:p>
        </w:tc>
        <w:tc>
          <w:tcPr>
            <w:tcW w:w="1088" w:type="dxa"/>
          </w:tcPr>
          <w:p w:rsidR="00000000" w:rsidRDefault="001F233B">
            <w:pPr>
              <w:spacing w:after="40"/>
              <w:rPr>
                <w:rFonts w:ascii="Arial" w:hAnsi="Arial"/>
                <w:sz w:val="18"/>
              </w:rPr>
            </w:pPr>
          </w:p>
        </w:tc>
        <w:tc>
          <w:tcPr>
            <w:tcW w:w="903" w:type="dxa"/>
          </w:tcPr>
          <w:p w:rsidR="00000000" w:rsidRDefault="001F233B">
            <w:pPr>
              <w:spacing w:after="40"/>
              <w:rPr>
                <w:rFonts w:ascii="Arial" w:hAnsi="Arial"/>
                <w:sz w:val="18"/>
              </w:rPr>
            </w:pPr>
          </w:p>
        </w:tc>
        <w:tc>
          <w:tcPr>
            <w:tcW w:w="1264" w:type="dxa"/>
          </w:tcPr>
          <w:p w:rsidR="00000000" w:rsidRDefault="001F233B">
            <w:pPr>
              <w:spacing w:after="40"/>
              <w:jc w:val="center"/>
              <w:rPr>
                <w:rFonts w:ascii="Arial" w:hAnsi="Arial"/>
                <w:sz w:val="18"/>
              </w:rPr>
            </w:pPr>
            <w:r>
              <w:rPr>
                <w:rFonts w:ascii="Arial" w:hAnsi="Arial"/>
                <w:sz w:val="18"/>
              </w:rPr>
              <w:t>*</w:t>
            </w:r>
          </w:p>
        </w:tc>
        <w:tc>
          <w:tcPr>
            <w:tcW w:w="908" w:type="dxa"/>
          </w:tcPr>
          <w:p w:rsidR="00000000" w:rsidRDefault="001F233B">
            <w:pPr>
              <w:spacing w:after="40"/>
              <w:jc w:val="center"/>
              <w:rPr>
                <w:rFonts w:ascii="Arial" w:hAnsi="Arial"/>
                <w:sz w:val="18"/>
              </w:rPr>
            </w:pPr>
            <w:r>
              <w:rPr>
                <w:rFonts w:ascii="Arial" w:hAnsi="Arial"/>
                <w:sz w:val="18"/>
              </w:rPr>
              <w:t>*</w:t>
            </w:r>
          </w:p>
        </w:tc>
      </w:tr>
    </w:tbl>
    <w:p w:rsidR="00000000" w:rsidRDefault="001F233B">
      <w:pPr>
        <w:pStyle w:val="Tableheading"/>
      </w:pPr>
      <w:bookmarkStart w:id="221" w:name="_Toc355672335"/>
      <w:bookmarkStart w:id="222" w:name="_Toc366592815"/>
      <w:r>
        <w:br w:type="page"/>
      </w:r>
      <w:bookmarkStart w:id="223" w:name="_Toc417544585"/>
      <w:bookmarkStart w:id="224" w:name="_Toc417552773"/>
      <w:r>
        <w:t>Table B1</w:t>
      </w:r>
      <w:r>
        <w:rPr>
          <w:color w:val="000000"/>
        </w:rPr>
        <w:t>:</w:t>
      </w:r>
      <w:r>
        <w:rPr>
          <w:i/>
          <w:color w:val="000000"/>
        </w:rPr>
        <w:t xml:space="preserve"> </w:t>
      </w:r>
      <w:r>
        <w:rPr>
          <w:color w:val="000000"/>
        </w:rPr>
        <w:t>C</w:t>
      </w:r>
      <w:r>
        <w:t xml:space="preserve">lassification Of Public Sector Agencies - </w:t>
      </w:r>
      <w:r>
        <w:rPr>
          <w:i/>
          <w:color w:val="000000"/>
        </w:rPr>
        <w:t>continued</w:t>
      </w:r>
      <w:bookmarkEnd w:id="221"/>
      <w:bookmarkEnd w:id="222"/>
      <w:bookmarkEnd w:id="223"/>
      <w:bookmarkEnd w:id="224"/>
    </w:p>
    <w:tbl>
      <w:tblPr>
        <w:tblW w:w="0" w:type="auto"/>
        <w:tblInd w:w="72" w:type="dxa"/>
        <w:tblLayout w:type="fixed"/>
        <w:tblCellMar>
          <w:left w:w="28" w:type="dxa"/>
          <w:right w:w="28" w:type="dxa"/>
        </w:tblCellMar>
        <w:tblLook w:val="0000" w:firstRow="0" w:lastRow="0" w:firstColumn="0" w:lastColumn="0" w:noHBand="0" w:noVBand="0"/>
      </w:tblPr>
      <w:tblGrid>
        <w:gridCol w:w="2881"/>
        <w:gridCol w:w="45"/>
        <w:gridCol w:w="1044"/>
        <w:gridCol w:w="32"/>
        <w:gridCol w:w="871"/>
        <w:gridCol w:w="22"/>
        <w:gridCol w:w="1242"/>
        <w:gridCol w:w="9"/>
        <w:gridCol w:w="900"/>
      </w:tblGrid>
      <w:tr w:rsidR="00000000">
        <w:tblPrEx>
          <w:tblCellMar>
            <w:top w:w="0" w:type="dxa"/>
            <w:bottom w:w="0" w:type="dxa"/>
          </w:tblCellMar>
        </w:tblPrEx>
        <w:tc>
          <w:tcPr>
            <w:tcW w:w="2926" w:type="dxa"/>
            <w:gridSpan w:val="2"/>
            <w:tcBorders>
              <w:top w:val="single" w:sz="6" w:space="0" w:color="auto"/>
              <w:bottom w:val="single" w:sz="6" w:space="0" w:color="auto"/>
            </w:tcBorders>
          </w:tcPr>
          <w:p w:rsidR="00000000" w:rsidRDefault="001F233B">
            <w:pPr>
              <w:rPr>
                <w:rFonts w:ascii="Arial" w:hAnsi="Arial"/>
                <w:sz w:val="18"/>
              </w:rPr>
            </w:pPr>
          </w:p>
          <w:p w:rsidR="00000000" w:rsidRDefault="001F233B">
            <w:pPr>
              <w:rPr>
                <w:rFonts w:ascii="Arial" w:hAnsi="Arial"/>
                <w:sz w:val="18"/>
              </w:rPr>
            </w:pPr>
          </w:p>
        </w:tc>
        <w:tc>
          <w:tcPr>
            <w:tcW w:w="1076" w:type="dxa"/>
            <w:gridSpan w:val="2"/>
            <w:tcBorders>
              <w:top w:val="single" w:sz="6" w:space="0" w:color="auto"/>
              <w:bottom w:val="single" w:sz="6" w:space="0" w:color="auto"/>
            </w:tcBorders>
          </w:tcPr>
          <w:p w:rsidR="00000000" w:rsidRDefault="001F233B">
            <w:pPr>
              <w:spacing w:after="0"/>
              <w:jc w:val="center"/>
              <w:rPr>
                <w:rFonts w:ascii="Arial" w:hAnsi="Arial"/>
                <w:sz w:val="18"/>
              </w:rPr>
            </w:pPr>
            <w:r>
              <w:rPr>
                <w:rFonts w:ascii="Arial" w:hAnsi="Arial"/>
                <w:sz w:val="18"/>
              </w:rPr>
              <w:t>General</w:t>
            </w:r>
          </w:p>
          <w:p w:rsidR="00000000" w:rsidRDefault="001F233B">
            <w:pPr>
              <w:spacing w:after="0"/>
              <w:jc w:val="center"/>
              <w:rPr>
                <w:rFonts w:ascii="Arial" w:hAnsi="Arial"/>
                <w:sz w:val="18"/>
              </w:rPr>
            </w:pPr>
            <w:r>
              <w:rPr>
                <w:rFonts w:ascii="Arial" w:hAnsi="Arial"/>
                <w:sz w:val="18"/>
              </w:rPr>
              <w:t>Government</w:t>
            </w:r>
          </w:p>
          <w:p w:rsidR="00000000" w:rsidRDefault="001F233B">
            <w:pPr>
              <w:spacing w:after="0"/>
              <w:jc w:val="center"/>
              <w:rPr>
                <w:rFonts w:ascii="Arial" w:hAnsi="Arial"/>
                <w:i/>
                <w:sz w:val="18"/>
              </w:rPr>
            </w:pPr>
            <w:r>
              <w:rPr>
                <w:rFonts w:ascii="Arial" w:hAnsi="Arial"/>
                <w:sz w:val="18"/>
              </w:rPr>
              <w:t xml:space="preserve">Sector </w:t>
            </w:r>
            <w:r>
              <w:rPr>
                <w:rFonts w:ascii="Arial" w:hAnsi="Arial"/>
                <w:i/>
                <w:sz w:val="18"/>
                <w:vertAlign w:val="superscript"/>
              </w:rPr>
              <w:t>(a)</w:t>
            </w:r>
          </w:p>
        </w:tc>
        <w:tc>
          <w:tcPr>
            <w:tcW w:w="893" w:type="dxa"/>
            <w:gridSpan w:val="2"/>
            <w:tcBorders>
              <w:top w:val="single" w:sz="6" w:space="0" w:color="auto"/>
              <w:bottom w:val="single" w:sz="6" w:space="0" w:color="auto"/>
            </w:tcBorders>
          </w:tcPr>
          <w:p w:rsidR="00000000" w:rsidRDefault="001F233B">
            <w:pPr>
              <w:spacing w:after="0"/>
              <w:jc w:val="center"/>
              <w:rPr>
                <w:rFonts w:ascii="Arial" w:hAnsi="Arial"/>
                <w:sz w:val="18"/>
              </w:rPr>
            </w:pPr>
          </w:p>
          <w:p w:rsidR="00000000" w:rsidRDefault="001F233B">
            <w:pPr>
              <w:spacing w:after="0"/>
              <w:jc w:val="center"/>
              <w:rPr>
                <w:rFonts w:ascii="Arial" w:hAnsi="Arial"/>
                <w:sz w:val="18"/>
              </w:rPr>
            </w:pPr>
            <w:r>
              <w:rPr>
                <w:rFonts w:ascii="Arial" w:hAnsi="Arial"/>
                <w:sz w:val="18"/>
              </w:rPr>
              <w:t>Budget</w:t>
            </w:r>
          </w:p>
          <w:p w:rsidR="00000000" w:rsidRDefault="001F233B">
            <w:pPr>
              <w:spacing w:after="0"/>
              <w:jc w:val="center"/>
              <w:rPr>
                <w:rFonts w:ascii="Arial" w:hAnsi="Arial"/>
                <w:i/>
                <w:sz w:val="18"/>
              </w:rPr>
            </w:pPr>
            <w:r>
              <w:rPr>
                <w:rFonts w:ascii="Arial" w:hAnsi="Arial"/>
                <w:sz w:val="18"/>
              </w:rPr>
              <w:t xml:space="preserve">Sector </w:t>
            </w:r>
            <w:r>
              <w:rPr>
                <w:rFonts w:ascii="Arial" w:hAnsi="Arial"/>
                <w:i/>
                <w:sz w:val="18"/>
                <w:vertAlign w:val="superscript"/>
              </w:rPr>
              <w:t>(b)</w:t>
            </w:r>
          </w:p>
        </w:tc>
        <w:tc>
          <w:tcPr>
            <w:tcW w:w="1251" w:type="dxa"/>
            <w:gridSpan w:val="2"/>
            <w:tcBorders>
              <w:top w:val="single" w:sz="6" w:space="0" w:color="auto"/>
              <w:bottom w:val="single" w:sz="6" w:space="0" w:color="auto"/>
            </w:tcBorders>
          </w:tcPr>
          <w:p w:rsidR="00000000" w:rsidRDefault="001F233B">
            <w:pPr>
              <w:spacing w:after="0"/>
              <w:jc w:val="center"/>
              <w:rPr>
                <w:rFonts w:ascii="Arial" w:hAnsi="Arial"/>
                <w:sz w:val="18"/>
              </w:rPr>
            </w:pPr>
            <w:r>
              <w:rPr>
                <w:rFonts w:ascii="Arial" w:hAnsi="Arial"/>
                <w:sz w:val="18"/>
              </w:rPr>
              <w:t>Public</w:t>
            </w:r>
          </w:p>
          <w:p w:rsidR="00000000" w:rsidRDefault="001F233B">
            <w:pPr>
              <w:spacing w:after="0"/>
              <w:jc w:val="center"/>
              <w:rPr>
                <w:rFonts w:ascii="Arial" w:hAnsi="Arial"/>
                <w:sz w:val="18"/>
              </w:rPr>
            </w:pPr>
            <w:r>
              <w:rPr>
                <w:rFonts w:ascii="Arial" w:hAnsi="Arial"/>
                <w:sz w:val="18"/>
              </w:rPr>
              <w:t>Trading</w:t>
            </w:r>
          </w:p>
          <w:p w:rsidR="00000000" w:rsidRDefault="001F233B">
            <w:pPr>
              <w:spacing w:after="0"/>
              <w:jc w:val="center"/>
              <w:rPr>
                <w:rFonts w:ascii="Arial" w:hAnsi="Arial"/>
                <w:i/>
                <w:sz w:val="18"/>
              </w:rPr>
            </w:pPr>
            <w:r>
              <w:rPr>
                <w:rFonts w:ascii="Arial" w:hAnsi="Arial"/>
                <w:sz w:val="18"/>
              </w:rPr>
              <w:t xml:space="preserve">Enterprises </w:t>
            </w:r>
            <w:r>
              <w:rPr>
                <w:rFonts w:ascii="Arial" w:hAnsi="Arial"/>
                <w:i/>
                <w:sz w:val="18"/>
                <w:vertAlign w:val="superscript"/>
              </w:rPr>
              <w:t>(a)</w:t>
            </w:r>
          </w:p>
        </w:tc>
        <w:tc>
          <w:tcPr>
            <w:tcW w:w="896" w:type="dxa"/>
            <w:tcBorders>
              <w:top w:val="single" w:sz="6" w:space="0" w:color="auto"/>
              <w:bottom w:val="single" w:sz="6" w:space="0" w:color="auto"/>
            </w:tcBorders>
          </w:tcPr>
          <w:p w:rsidR="00000000" w:rsidRDefault="001F233B">
            <w:pPr>
              <w:spacing w:after="0"/>
              <w:jc w:val="center"/>
              <w:rPr>
                <w:rFonts w:ascii="Arial" w:hAnsi="Arial"/>
                <w:sz w:val="18"/>
              </w:rPr>
            </w:pPr>
            <w:r>
              <w:rPr>
                <w:rFonts w:ascii="Arial" w:hAnsi="Arial"/>
                <w:sz w:val="18"/>
              </w:rPr>
              <w:t>Non</w:t>
            </w:r>
          </w:p>
          <w:p w:rsidR="00000000" w:rsidRDefault="001F233B">
            <w:pPr>
              <w:spacing w:after="0"/>
              <w:jc w:val="center"/>
              <w:rPr>
                <w:rFonts w:ascii="Arial" w:hAnsi="Arial"/>
                <w:sz w:val="18"/>
              </w:rPr>
            </w:pPr>
            <w:r>
              <w:rPr>
                <w:rFonts w:ascii="Arial" w:hAnsi="Arial"/>
                <w:sz w:val="18"/>
              </w:rPr>
              <w:t>Budget</w:t>
            </w:r>
          </w:p>
          <w:p w:rsidR="00000000" w:rsidRDefault="001F233B">
            <w:pPr>
              <w:spacing w:after="0"/>
              <w:jc w:val="center"/>
              <w:rPr>
                <w:rFonts w:ascii="Arial" w:hAnsi="Arial"/>
                <w:i/>
                <w:sz w:val="18"/>
              </w:rPr>
            </w:pPr>
            <w:r>
              <w:rPr>
                <w:rFonts w:ascii="Arial" w:hAnsi="Arial"/>
                <w:sz w:val="18"/>
              </w:rPr>
              <w:t xml:space="preserve">Sector </w:t>
            </w:r>
            <w:r>
              <w:rPr>
                <w:rFonts w:ascii="Arial" w:hAnsi="Arial"/>
                <w:i/>
                <w:sz w:val="18"/>
                <w:vertAlign w:val="superscript"/>
              </w:rPr>
              <w:t>(b)</w:t>
            </w:r>
          </w:p>
        </w:tc>
      </w:tr>
      <w:tr w:rsidR="00000000">
        <w:tblPrEx>
          <w:tblCellMar>
            <w:top w:w="0" w:type="dxa"/>
            <w:bottom w:w="0" w:type="dxa"/>
          </w:tblCellMar>
        </w:tblPrEx>
        <w:tc>
          <w:tcPr>
            <w:tcW w:w="2880" w:type="dxa"/>
          </w:tcPr>
          <w:p w:rsidR="00000000" w:rsidRDefault="001F233B">
            <w:pPr>
              <w:spacing w:after="40"/>
              <w:rPr>
                <w:rFonts w:ascii="Arial" w:hAnsi="Arial"/>
                <w:sz w:val="18"/>
              </w:rPr>
            </w:pPr>
            <w:r>
              <w:rPr>
                <w:rFonts w:ascii="Arial" w:hAnsi="Arial"/>
                <w:sz w:val="18"/>
              </w:rPr>
              <w:t>Goulburn Valley Region Water</w:t>
            </w:r>
          </w:p>
        </w:tc>
        <w:tc>
          <w:tcPr>
            <w:tcW w:w="1089" w:type="dxa"/>
            <w:gridSpan w:val="2"/>
          </w:tcPr>
          <w:p w:rsidR="00000000" w:rsidRDefault="001F233B">
            <w:pPr>
              <w:spacing w:after="40"/>
              <w:rPr>
                <w:rFonts w:ascii="Arial" w:hAnsi="Arial"/>
                <w:sz w:val="18"/>
              </w:rPr>
            </w:pPr>
          </w:p>
        </w:tc>
        <w:tc>
          <w:tcPr>
            <w:tcW w:w="902" w:type="dxa"/>
            <w:gridSpan w:val="2"/>
          </w:tcPr>
          <w:p w:rsidR="00000000" w:rsidRDefault="001F233B">
            <w:pPr>
              <w:spacing w:after="40"/>
              <w:rPr>
                <w:rFonts w:ascii="Arial" w:hAnsi="Arial"/>
                <w:sz w:val="18"/>
              </w:rPr>
            </w:pPr>
          </w:p>
        </w:tc>
        <w:tc>
          <w:tcPr>
            <w:tcW w:w="1264" w:type="dxa"/>
            <w:gridSpan w:val="2"/>
          </w:tcPr>
          <w:p w:rsidR="00000000" w:rsidRDefault="001F233B">
            <w:pPr>
              <w:spacing w:after="40"/>
              <w:jc w:val="center"/>
              <w:rPr>
                <w:rFonts w:ascii="Arial" w:hAnsi="Arial"/>
                <w:sz w:val="18"/>
              </w:rPr>
            </w:pPr>
            <w:r>
              <w:rPr>
                <w:rFonts w:ascii="Arial" w:hAnsi="Arial"/>
                <w:sz w:val="18"/>
              </w:rPr>
              <w:t>*</w:t>
            </w:r>
          </w:p>
        </w:tc>
        <w:tc>
          <w:tcPr>
            <w:tcW w:w="909" w:type="dxa"/>
            <w:gridSpan w:val="2"/>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0" w:type="dxa"/>
          </w:tcPr>
          <w:p w:rsidR="00000000" w:rsidRDefault="001F233B">
            <w:pPr>
              <w:spacing w:after="40"/>
              <w:rPr>
                <w:rFonts w:ascii="Arial" w:hAnsi="Arial"/>
                <w:sz w:val="18"/>
              </w:rPr>
            </w:pPr>
            <w:r>
              <w:rPr>
                <w:rFonts w:ascii="Arial" w:hAnsi="Arial"/>
                <w:sz w:val="18"/>
              </w:rPr>
              <w:t>Grampians Region Water</w:t>
            </w:r>
          </w:p>
        </w:tc>
        <w:tc>
          <w:tcPr>
            <w:tcW w:w="1089" w:type="dxa"/>
            <w:gridSpan w:val="2"/>
          </w:tcPr>
          <w:p w:rsidR="00000000" w:rsidRDefault="001F233B">
            <w:pPr>
              <w:spacing w:after="40"/>
              <w:rPr>
                <w:rFonts w:ascii="Arial" w:hAnsi="Arial"/>
                <w:sz w:val="18"/>
              </w:rPr>
            </w:pPr>
          </w:p>
        </w:tc>
        <w:tc>
          <w:tcPr>
            <w:tcW w:w="902" w:type="dxa"/>
            <w:gridSpan w:val="2"/>
          </w:tcPr>
          <w:p w:rsidR="00000000" w:rsidRDefault="001F233B">
            <w:pPr>
              <w:spacing w:after="40"/>
              <w:rPr>
                <w:rFonts w:ascii="Arial" w:hAnsi="Arial"/>
                <w:sz w:val="18"/>
              </w:rPr>
            </w:pPr>
          </w:p>
        </w:tc>
        <w:tc>
          <w:tcPr>
            <w:tcW w:w="1264" w:type="dxa"/>
            <w:gridSpan w:val="2"/>
          </w:tcPr>
          <w:p w:rsidR="00000000" w:rsidRDefault="001F233B">
            <w:pPr>
              <w:spacing w:after="40"/>
              <w:jc w:val="center"/>
              <w:rPr>
                <w:rFonts w:ascii="Arial" w:hAnsi="Arial"/>
                <w:sz w:val="18"/>
              </w:rPr>
            </w:pPr>
            <w:r>
              <w:rPr>
                <w:rFonts w:ascii="Arial" w:hAnsi="Arial"/>
                <w:sz w:val="18"/>
              </w:rPr>
              <w:t>*</w:t>
            </w:r>
          </w:p>
        </w:tc>
        <w:tc>
          <w:tcPr>
            <w:tcW w:w="909" w:type="dxa"/>
            <w:gridSpan w:val="2"/>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0" w:type="dxa"/>
          </w:tcPr>
          <w:p w:rsidR="00000000" w:rsidRDefault="001F233B">
            <w:pPr>
              <w:spacing w:after="40"/>
              <w:rPr>
                <w:rFonts w:ascii="Arial" w:hAnsi="Arial"/>
                <w:sz w:val="18"/>
              </w:rPr>
            </w:pPr>
            <w:r>
              <w:rPr>
                <w:rFonts w:ascii="Arial" w:hAnsi="Arial"/>
                <w:sz w:val="18"/>
              </w:rPr>
              <w:t>Ikon Energy</w:t>
            </w:r>
          </w:p>
        </w:tc>
        <w:tc>
          <w:tcPr>
            <w:tcW w:w="1089" w:type="dxa"/>
            <w:gridSpan w:val="2"/>
          </w:tcPr>
          <w:p w:rsidR="00000000" w:rsidRDefault="001F233B">
            <w:pPr>
              <w:spacing w:after="40"/>
              <w:rPr>
                <w:rFonts w:ascii="Arial" w:hAnsi="Arial"/>
                <w:sz w:val="18"/>
              </w:rPr>
            </w:pPr>
          </w:p>
        </w:tc>
        <w:tc>
          <w:tcPr>
            <w:tcW w:w="902" w:type="dxa"/>
            <w:gridSpan w:val="2"/>
          </w:tcPr>
          <w:p w:rsidR="00000000" w:rsidRDefault="001F233B">
            <w:pPr>
              <w:spacing w:after="40"/>
              <w:rPr>
                <w:rFonts w:ascii="Arial" w:hAnsi="Arial"/>
                <w:sz w:val="18"/>
              </w:rPr>
            </w:pPr>
          </w:p>
        </w:tc>
        <w:tc>
          <w:tcPr>
            <w:tcW w:w="1264" w:type="dxa"/>
            <w:gridSpan w:val="2"/>
          </w:tcPr>
          <w:p w:rsidR="00000000" w:rsidRDefault="001F233B">
            <w:pPr>
              <w:spacing w:after="40"/>
              <w:jc w:val="center"/>
              <w:rPr>
                <w:rFonts w:ascii="Arial" w:hAnsi="Arial"/>
                <w:sz w:val="18"/>
              </w:rPr>
            </w:pPr>
            <w:r>
              <w:rPr>
                <w:rFonts w:ascii="Arial" w:hAnsi="Arial"/>
                <w:sz w:val="18"/>
              </w:rPr>
              <w:t>*</w:t>
            </w:r>
          </w:p>
        </w:tc>
        <w:tc>
          <w:tcPr>
            <w:tcW w:w="909" w:type="dxa"/>
            <w:gridSpan w:val="2"/>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0" w:type="dxa"/>
          </w:tcPr>
          <w:p w:rsidR="00000000" w:rsidRDefault="001F233B">
            <w:pPr>
              <w:spacing w:after="40"/>
              <w:rPr>
                <w:rFonts w:ascii="Arial" w:hAnsi="Arial"/>
                <w:sz w:val="18"/>
              </w:rPr>
            </w:pPr>
            <w:r>
              <w:rPr>
                <w:rFonts w:ascii="Arial" w:hAnsi="Arial"/>
                <w:sz w:val="18"/>
              </w:rPr>
              <w:t>Kinetik Energy</w:t>
            </w:r>
          </w:p>
        </w:tc>
        <w:tc>
          <w:tcPr>
            <w:tcW w:w="1089" w:type="dxa"/>
            <w:gridSpan w:val="2"/>
          </w:tcPr>
          <w:p w:rsidR="00000000" w:rsidRDefault="001F233B">
            <w:pPr>
              <w:spacing w:after="40"/>
              <w:rPr>
                <w:rFonts w:ascii="Arial" w:hAnsi="Arial"/>
                <w:sz w:val="18"/>
              </w:rPr>
            </w:pPr>
          </w:p>
        </w:tc>
        <w:tc>
          <w:tcPr>
            <w:tcW w:w="902" w:type="dxa"/>
            <w:gridSpan w:val="2"/>
          </w:tcPr>
          <w:p w:rsidR="00000000" w:rsidRDefault="001F233B">
            <w:pPr>
              <w:spacing w:after="40"/>
              <w:rPr>
                <w:rFonts w:ascii="Arial" w:hAnsi="Arial"/>
                <w:sz w:val="18"/>
              </w:rPr>
            </w:pPr>
          </w:p>
        </w:tc>
        <w:tc>
          <w:tcPr>
            <w:tcW w:w="1264" w:type="dxa"/>
            <w:gridSpan w:val="2"/>
          </w:tcPr>
          <w:p w:rsidR="00000000" w:rsidRDefault="001F233B">
            <w:pPr>
              <w:spacing w:after="40"/>
              <w:jc w:val="center"/>
              <w:rPr>
                <w:rFonts w:ascii="Arial" w:hAnsi="Arial"/>
                <w:sz w:val="18"/>
              </w:rPr>
            </w:pPr>
            <w:r>
              <w:rPr>
                <w:rFonts w:ascii="Arial" w:hAnsi="Arial"/>
                <w:sz w:val="18"/>
              </w:rPr>
              <w:t>*</w:t>
            </w:r>
          </w:p>
        </w:tc>
        <w:tc>
          <w:tcPr>
            <w:tcW w:w="909" w:type="dxa"/>
            <w:gridSpan w:val="2"/>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0" w:type="dxa"/>
          </w:tcPr>
          <w:p w:rsidR="00000000" w:rsidRDefault="001F233B">
            <w:pPr>
              <w:spacing w:after="40"/>
              <w:rPr>
                <w:rFonts w:ascii="Arial" w:hAnsi="Arial"/>
                <w:sz w:val="18"/>
              </w:rPr>
            </w:pPr>
            <w:r>
              <w:rPr>
                <w:rFonts w:ascii="Arial" w:hAnsi="Arial"/>
                <w:sz w:val="18"/>
              </w:rPr>
              <w:t>Lower Murray Region Water</w:t>
            </w:r>
          </w:p>
        </w:tc>
        <w:tc>
          <w:tcPr>
            <w:tcW w:w="1089" w:type="dxa"/>
            <w:gridSpan w:val="2"/>
          </w:tcPr>
          <w:p w:rsidR="00000000" w:rsidRDefault="001F233B">
            <w:pPr>
              <w:spacing w:after="40"/>
              <w:rPr>
                <w:rFonts w:ascii="Arial" w:hAnsi="Arial"/>
                <w:sz w:val="18"/>
              </w:rPr>
            </w:pPr>
          </w:p>
        </w:tc>
        <w:tc>
          <w:tcPr>
            <w:tcW w:w="902" w:type="dxa"/>
            <w:gridSpan w:val="2"/>
          </w:tcPr>
          <w:p w:rsidR="00000000" w:rsidRDefault="001F233B">
            <w:pPr>
              <w:spacing w:after="40"/>
              <w:rPr>
                <w:rFonts w:ascii="Arial" w:hAnsi="Arial"/>
                <w:sz w:val="18"/>
              </w:rPr>
            </w:pPr>
          </w:p>
        </w:tc>
        <w:tc>
          <w:tcPr>
            <w:tcW w:w="1264" w:type="dxa"/>
            <w:gridSpan w:val="2"/>
          </w:tcPr>
          <w:p w:rsidR="00000000" w:rsidRDefault="001F233B">
            <w:pPr>
              <w:spacing w:after="40"/>
              <w:jc w:val="center"/>
              <w:rPr>
                <w:rFonts w:ascii="Arial" w:hAnsi="Arial"/>
                <w:sz w:val="18"/>
              </w:rPr>
            </w:pPr>
            <w:r>
              <w:rPr>
                <w:rFonts w:ascii="Arial" w:hAnsi="Arial"/>
                <w:sz w:val="18"/>
              </w:rPr>
              <w:t>*</w:t>
            </w:r>
          </w:p>
        </w:tc>
        <w:tc>
          <w:tcPr>
            <w:tcW w:w="909" w:type="dxa"/>
            <w:gridSpan w:val="2"/>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Melbourne and Olympic Parks Trust</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p>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p>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Melbourne Port Corporation</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Melbourne Water Corporation</w:t>
            </w:r>
          </w:p>
        </w:tc>
        <w:tc>
          <w:tcPr>
            <w:tcW w:w="1088" w:type="dxa"/>
            <w:gridSpan w:val="2"/>
          </w:tcPr>
          <w:p w:rsidR="00000000" w:rsidRDefault="001F233B">
            <w:pPr>
              <w:spacing w:after="40"/>
              <w:rPr>
                <w:rFonts w:ascii="Arial" w:hAnsi="Arial"/>
                <w:sz w:val="18"/>
              </w:rPr>
            </w:pPr>
          </w:p>
        </w:tc>
        <w:tc>
          <w:tcPr>
            <w:tcW w:w="903" w:type="dxa"/>
            <w:gridSpan w:val="2"/>
          </w:tcPr>
          <w:p w:rsidR="00000000" w:rsidRDefault="001F233B">
            <w:pPr>
              <w:spacing w:after="40"/>
              <w:rPr>
                <w:rFonts w:ascii="Arial" w:hAnsi="Arial"/>
                <w:sz w:val="18"/>
              </w:rPr>
            </w:pPr>
          </w:p>
        </w:tc>
        <w:tc>
          <w:tcPr>
            <w:tcW w:w="1264" w:type="dxa"/>
            <w:gridSpan w:val="2"/>
          </w:tcPr>
          <w:p w:rsidR="00000000" w:rsidRDefault="001F233B">
            <w:pPr>
              <w:spacing w:after="40"/>
              <w:jc w:val="center"/>
              <w:rPr>
                <w:rFonts w:ascii="Arial" w:hAnsi="Arial"/>
                <w:sz w:val="18"/>
              </w:rPr>
            </w:pPr>
            <w:r>
              <w:rPr>
                <w:rFonts w:ascii="Arial" w:hAnsi="Arial"/>
                <w:sz w:val="18"/>
              </w:rPr>
              <w:t>*</w:t>
            </w:r>
          </w:p>
        </w:tc>
        <w:tc>
          <w:tcPr>
            <w:tcW w:w="908" w:type="dxa"/>
            <w:gridSpan w:val="2"/>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Metropolitan Parks &amp; Waterways</w:t>
            </w:r>
          </w:p>
        </w:tc>
        <w:tc>
          <w:tcPr>
            <w:tcW w:w="1088" w:type="dxa"/>
            <w:gridSpan w:val="2"/>
          </w:tcPr>
          <w:p w:rsidR="00000000" w:rsidRDefault="001F233B">
            <w:pPr>
              <w:spacing w:after="40"/>
              <w:jc w:val="center"/>
              <w:rPr>
                <w:rFonts w:ascii="Arial" w:hAnsi="Arial"/>
                <w:sz w:val="18"/>
              </w:rPr>
            </w:pPr>
            <w:r>
              <w:rPr>
                <w:rFonts w:ascii="Arial" w:hAnsi="Arial"/>
                <w:sz w:val="18"/>
              </w:rPr>
              <w:t>*</w:t>
            </w:r>
          </w:p>
        </w:tc>
        <w:tc>
          <w:tcPr>
            <w:tcW w:w="903" w:type="dxa"/>
            <w:gridSpan w:val="2"/>
          </w:tcPr>
          <w:p w:rsidR="00000000" w:rsidRDefault="001F233B">
            <w:pPr>
              <w:spacing w:after="40"/>
              <w:rPr>
                <w:rFonts w:ascii="Arial" w:hAnsi="Arial"/>
                <w:sz w:val="18"/>
              </w:rPr>
            </w:pPr>
          </w:p>
        </w:tc>
        <w:tc>
          <w:tcPr>
            <w:tcW w:w="1264" w:type="dxa"/>
            <w:gridSpan w:val="2"/>
          </w:tcPr>
          <w:p w:rsidR="00000000" w:rsidRDefault="001F233B">
            <w:pPr>
              <w:spacing w:after="40"/>
              <w:rPr>
                <w:rFonts w:ascii="Arial" w:hAnsi="Arial"/>
                <w:sz w:val="18"/>
              </w:rPr>
            </w:pPr>
          </w:p>
        </w:tc>
        <w:tc>
          <w:tcPr>
            <w:tcW w:w="908" w:type="dxa"/>
            <w:gridSpan w:val="2"/>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0" w:type="dxa"/>
          </w:tcPr>
          <w:p w:rsidR="00000000" w:rsidRDefault="001F233B">
            <w:pPr>
              <w:spacing w:after="40"/>
              <w:rPr>
                <w:rFonts w:ascii="Arial" w:hAnsi="Arial"/>
                <w:sz w:val="18"/>
              </w:rPr>
            </w:pPr>
            <w:r>
              <w:rPr>
                <w:rFonts w:ascii="Arial" w:hAnsi="Arial"/>
                <w:sz w:val="18"/>
              </w:rPr>
              <w:t>Metropolitan Fire  and Emergency Services Board</w:t>
            </w:r>
          </w:p>
        </w:tc>
        <w:tc>
          <w:tcPr>
            <w:tcW w:w="1089" w:type="dxa"/>
            <w:gridSpan w:val="2"/>
          </w:tcPr>
          <w:p w:rsidR="00000000" w:rsidRDefault="001F233B">
            <w:pPr>
              <w:spacing w:after="40"/>
              <w:jc w:val="center"/>
              <w:rPr>
                <w:rFonts w:ascii="Arial" w:hAnsi="Arial"/>
                <w:sz w:val="18"/>
              </w:rPr>
            </w:pPr>
          </w:p>
          <w:p w:rsidR="00000000" w:rsidRDefault="001F233B">
            <w:pPr>
              <w:spacing w:after="40"/>
              <w:jc w:val="center"/>
              <w:rPr>
                <w:rFonts w:ascii="Arial" w:hAnsi="Arial"/>
                <w:sz w:val="18"/>
              </w:rPr>
            </w:pPr>
            <w:r>
              <w:rPr>
                <w:rFonts w:ascii="Arial" w:hAnsi="Arial"/>
                <w:sz w:val="18"/>
              </w:rPr>
              <w:t>*</w:t>
            </w:r>
          </w:p>
        </w:tc>
        <w:tc>
          <w:tcPr>
            <w:tcW w:w="902" w:type="dxa"/>
            <w:gridSpan w:val="2"/>
          </w:tcPr>
          <w:p w:rsidR="00000000" w:rsidRDefault="001F233B">
            <w:pPr>
              <w:spacing w:after="40"/>
              <w:rPr>
                <w:rFonts w:ascii="Arial" w:hAnsi="Arial"/>
                <w:sz w:val="18"/>
              </w:rPr>
            </w:pPr>
          </w:p>
        </w:tc>
        <w:tc>
          <w:tcPr>
            <w:tcW w:w="1264" w:type="dxa"/>
            <w:gridSpan w:val="2"/>
          </w:tcPr>
          <w:p w:rsidR="00000000" w:rsidRDefault="001F233B">
            <w:pPr>
              <w:spacing w:after="40"/>
              <w:rPr>
                <w:rFonts w:ascii="Arial" w:hAnsi="Arial"/>
                <w:sz w:val="18"/>
              </w:rPr>
            </w:pPr>
          </w:p>
        </w:tc>
        <w:tc>
          <w:tcPr>
            <w:tcW w:w="909" w:type="dxa"/>
            <w:gridSpan w:val="2"/>
          </w:tcPr>
          <w:p w:rsidR="00000000" w:rsidRDefault="001F233B">
            <w:pPr>
              <w:spacing w:after="40"/>
              <w:jc w:val="center"/>
              <w:rPr>
                <w:rFonts w:ascii="Arial" w:hAnsi="Arial"/>
                <w:sz w:val="18"/>
              </w:rPr>
            </w:pPr>
          </w:p>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Multinet Gas</w:t>
            </w:r>
            <w:r>
              <w:rPr>
                <w:rFonts w:ascii="Arial" w:hAnsi="Arial"/>
                <w:sz w:val="18"/>
              </w:rPr>
              <w:fldChar w:fldCharType="begin"/>
            </w:r>
            <w:r>
              <w:rPr>
                <w:rFonts w:ascii="Arial" w:hAnsi="Arial"/>
                <w:sz w:val="18"/>
              </w:rPr>
              <w:instrText>xe "Gas"</w:instrText>
            </w:r>
            <w:r>
              <w:rPr>
                <w:rFonts w:ascii="Arial" w:hAnsi="Arial"/>
                <w:sz w:val="18"/>
              </w:rPr>
              <w:fldChar w:fldCharType="end"/>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6"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North East Region Water</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6"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p>
        </w:tc>
        <w:tc>
          <w:tcPr>
            <w:tcW w:w="896" w:type="dxa"/>
          </w:tcPr>
          <w:p w:rsidR="00000000" w:rsidRDefault="001F233B">
            <w:pPr>
              <w:spacing w:after="40"/>
              <w:jc w:val="center"/>
              <w:rPr>
                <w:rFonts w:ascii="Arial" w:hAnsi="Arial"/>
                <w:sz w:val="18"/>
              </w:rPr>
            </w:pP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Portland Coast Region Water</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6"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South East Water</w:t>
            </w:r>
            <w:r>
              <w:rPr>
                <w:rFonts w:ascii="Arial" w:hAnsi="Arial"/>
                <w:sz w:val="18"/>
              </w:rPr>
              <w:t xml:space="preserve"> Ltd</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6"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South Gippsland Region Water</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6"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South West Water</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6"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Southern Rural Water Authority</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6"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Former State Electricity</w:t>
            </w:r>
            <w:r>
              <w:rPr>
                <w:rFonts w:ascii="Arial" w:hAnsi="Arial"/>
                <w:sz w:val="18"/>
              </w:rPr>
              <w:fldChar w:fldCharType="begin"/>
            </w:r>
            <w:r>
              <w:rPr>
                <w:rFonts w:ascii="Arial" w:hAnsi="Arial"/>
                <w:sz w:val="18"/>
              </w:rPr>
              <w:instrText>xe "Electricity"</w:instrText>
            </w:r>
            <w:r>
              <w:rPr>
                <w:rFonts w:ascii="Arial" w:hAnsi="Arial"/>
                <w:sz w:val="18"/>
              </w:rPr>
              <w:fldChar w:fldCharType="end"/>
            </w:r>
            <w:r>
              <w:rPr>
                <w:rFonts w:ascii="Arial" w:hAnsi="Arial"/>
                <w:sz w:val="18"/>
              </w:rPr>
              <w:t xml:space="preserve"> </w:t>
            </w:r>
          </w:p>
          <w:p w:rsidR="00000000" w:rsidRDefault="001F233B">
            <w:pPr>
              <w:spacing w:after="40"/>
              <w:rPr>
                <w:rFonts w:ascii="Arial" w:hAnsi="Arial"/>
                <w:sz w:val="18"/>
              </w:rPr>
            </w:pPr>
            <w:r>
              <w:rPr>
                <w:rFonts w:ascii="Arial" w:hAnsi="Arial"/>
                <w:sz w:val="18"/>
              </w:rPr>
              <w:t xml:space="preserve">  Commission of Victoria</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rPr>
                <w:rFonts w:ascii="Arial" w:hAnsi="Arial"/>
                <w:sz w:val="18"/>
              </w:rPr>
            </w:pPr>
          </w:p>
        </w:tc>
        <w:tc>
          <w:tcPr>
            <w:tcW w:w="896" w:type="dxa"/>
          </w:tcPr>
          <w:p w:rsidR="00000000" w:rsidRDefault="001F233B">
            <w:pPr>
              <w:spacing w:after="40"/>
              <w:rPr>
                <w:rFonts w:ascii="Arial" w:hAnsi="Arial"/>
                <w:sz w:val="18"/>
              </w:rPr>
            </w:pPr>
          </w:p>
        </w:tc>
      </w:tr>
      <w:tr w:rsidR="00000000">
        <w:tblPrEx>
          <w:tblCellMar>
            <w:top w:w="0" w:type="dxa"/>
            <w:bottom w:w="0" w:type="dxa"/>
          </w:tblCellMar>
        </w:tblPrEx>
        <w:tc>
          <w:tcPr>
            <w:tcW w:w="2926" w:type="dxa"/>
            <w:gridSpan w:val="2"/>
          </w:tcPr>
          <w:p w:rsidR="00000000" w:rsidRDefault="001F233B">
            <w:pPr>
              <w:spacing w:after="40"/>
              <w:ind w:left="212" w:hanging="212"/>
              <w:rPr>
                <w:rFonts w:ascii="Arial" w:hAnsi="Arial"/>
                <w:sz w:val="18"/>
              </w:rPr>
            </w:pPr>
            <w:r>
              <w:rPr>
                <w:rFonts w:ascii="Arial" w:hAnsi="Arial"/>
                <w:sz w:val="18"/>
              </w:rPr>
              <w:t xml:space="preserve">  SECV</w:t>
            </w:r>
            <w:r>
              <w:rPr>
                <w:rFonts w:ascii="Arial" w:hAnsi="Arial"/>
                <w:sz w:val="18"/>
              </w:rPr>
              <w:fldChar w:fldCharType="begin"/>
            </w:r>
            <w:r>
              <w:rPr>
                <w:rFonts w:ascii="Arial" w:hAnsi="Arial"/>
                <w:sz w:val="18"/>
              </w:rPr>
              <w:instrText>xe "State Electricity Commission of Victoria"</w:instrText>
            </w:r>
            <w:r>
              <w:rPr>
                <w:rFonts w:ascii="Arial" w:hAnsi="Arial"/>
                <w:sz w:val="18"/>
              </w:rPr>
              <w:fldChar w:fldCharType="end"/>
            </w:r>
            <w:r>
              <w:rPr>
                <w:rFonts w:ascii="Arial" w:hAnsi="Arial"/>
                <w:sz w:val="18"/>
              </w:rPr>
              <w:t xml:space="preserve"> Shell</w:t>
            </w:r>
            <w:r>
              <w:rPr>
                <w:rFonts w:ascii="Arial" w:hAnsi="Arial"/>
                <w:sz w:val="18"/>
              </w:rPr>
              <w:fldChar w:fldCharType="begin"/>
            </w:r>
            <w:r>
              <w:rPr>
                <w:rFonts w:ascii="Arial" w:hAnsi="Arial"/>
                <w:sz w:val="18"/>
              </w:rPr>
              <w:instrText>xe "Public authority income:SECV Shell"</w:instrText>
            </w:r>
            <w:r>
              <w:rPr>
                <w:rFonts w:ascii="Arial" w:hAnsi="Arial"/>
                <w:sz w:val="18"/>
              </w:rPr>
              <w:fldChar w:fldCharType="end"/>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ind w:left="212" w:hanging="212"/>
              <w:rPr>
                <w:rFonts w:ascii="Arial" w:hAnsi="Arial"/>
                <w:i/>
                <w:sz w:val="18"/>
              </w:rPr>
            </w:pPr>
            <w:r>
              <w:rPr>
                <w:rFonts w:ascii="Arial" w:hAnsi="Arial"/>
                <w:sz w:val="18"/>
              </w:rPr>
              <w:t xml:space="preserve">  PowerNet Victoria</w:t>
            </w:r>
            <w:r>
              <w:rPr>
                <w:rFonts w:ascii="Arial" w:hAnsi="Arial"/>
                <w:sz w:val="18"/>
              </w:rPr>
              <w:fldChar w:fldCharType="begin"/>
            </w:r>
            <w:r>
              <w:rPr>
                <w:rFonts w:ascii="Arial" w:hAnsi="Arial"/>
                <w:sz w:val="18"/>
              </w:rPr>
              <w:instrText>xe "Power Net Victoria"</w:instrText>
            </w:r>
            <w:r>
              <w:rPr>
                <w:rFonts w:ascii="Arial" w:hAnsi="Arial"/>
                <w:sz w:val="18"/>
              </w:rPr>
              <w:fldChar w:fldCharType="end"/>
            </w:r>
            <w:r>
              <w:rPr>
                <w:rFonts w:ascii="Arial" w:hAnsi="Arial"/>
                <w:sz w:val="18"/>
              </w:rPr>
              <w:t xml:space="preserve"> </w:t>
            </w:r>
            <w:r>
              <w:rPr>
                <w:rFonts w:ascii="Arial" w:hAnsi="Arial"/>
                <w:i/>
                <w:vertAlign w:val="superscript"/>
              </w:rPr>
              <w:t>(c)</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ind w:left="212" w:hanging="212"/>
              <w:rPr>
                <w:rFonts w:ascii="Arial" w:hAnsi="Arial"/>
                <w:sz w:val="18"/>
              </w:rPr>
            </w:pPr>
            <w:r>
              <w:rPr>
                <w:rFonts w:ascii="Arial" w:hAnsi="Arial"/>
                <w:sz w:val="18"/>
              </w:rPr>
              <w:t xml:space="preserve">  Victoria Power Exchange</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ind w:left="212" w:hanging="212"/>
              <w:rPr>
                <w:rFonts w:ascii="Arial" w:hAnsi="Arial"/>
                <w:sz w:val="18"/>
              </w:rPr>
            </w:pPr>
            <w:r>
              <w:rPr>
                <w:rFonts w:ascii="Arial" w:hAnsi="Arial"/>
                <w:sz w:val="18"/>
              </w:rPr>
              <w:t xml:space="preserve">  Generation Victoria (ECOGEN Energy Ltd)</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p>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p>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ind w:left="212" w:hanging="212"/>
              <w:rPr>
                <w:rFonts w:ascii="Arial" w:hAnsi="Arial"/>
                <w:sz w:val="18"/>
              </w:rPr>
            </w:pPr>
            <w:r>
              <w:rPr>
                <w:rFonts w:ascii="Arial" w:hAnsi="Arial"/>
                <w:sz w:val="18"/>
              </w:rPr>
              <w:t xml:space="preserve">  Southern Hydro</w:t>
            </w:r>
            <w:r>
              <w:rPr>
                <w:rFonts w:ascii="Arial" w:hAnsi="Arial"/>
                <w:sz w:val="18"/>
              </w:rPr>
              <w:fldChar w:fldCharType="begin"/>
            </w:r>
            <w:r>
              <w:rPr>
                <w:rFonts w:ascii="Arial" w:hAnsi="Arial"/>
                <w:sz w:val="18"/>
              </w:rPr>
              <w:instrText>xe "Southern Hydro"</w:instrText>
            </w:r>
            <w:r>
              <w:rPr>
                <w:rFonts w:ascii="Arial" w:hAnsi="Arial"/>
                <w:sz w:val="18"/>
              </w:rPr>
              <w:fldChar w:fldCharType="end"/>
            </w:r>
            <w:r>
              <w:rPr>
                <w:rFonts w:ascii="Arial" w:hAnsi="Arial"/>
                <w:sz w:val="18"/>
              </w:rPr>
              <w:t xml:space="preserve"> Ltd </w:t>
            </w:r>
            <w:r>
              <w:rPr>
                <w:rFonts w:ascii="Arial" w:hAnsi="Arial"/>
                <w:i/>
                <w:vertAlign w:val="superscript"/>
              </w:rPr>
              <w:t>(c)</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Stratus Networks</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Sun</w:t>
            </w:r>
            <w:r>
              <w:rPr>
                <w:rFonts w:ascii="Arial" w:hAnsi="Arial"/>
                <w:sz w:val="18"/>
              </w:rPr>
              <w:t>raysia Rural Water Authority</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bl>
    <w:p w:rsidR="00000000" w:rsidRDefault="001F233B">
      <w:pPr>
        <w:pStyle w:val="Tableheading"/>
      </w:pPr>
    </w:p>
    <w:p w:rsidR="00000000" w:rsidRDefault="001F233B">
      <w:pPr>
        <w:pStyle w:val="Tableheading"/>
      </w:pPr>
      <w:bookmarkStart w:id="225" w:name="_Toc417544586"/>
      <w:bookmarkStart w:id="226" w:name="_Toc417552774"/>
      <w:r>
        <w:br w:type="page"/>
        <w:t>Table B1</w:t>
      </w:r>
      <w:r>
        <w:rPr>
          <w:color w:val="000000"/>
        </w:rPr>
        <w:t>:</w:t>
      </w:r>
      <w:r>
        <w:rPr>
          <w:i/>
          <w:color w:val="000000"/>
        </w:rPr>
        <w:t xml:space="preserve"> </w:t>
      </w:r>
      <w:r>
        <w:rPr>
          <w:color w:val="000000"/>
        </w:rPr>
        <w:t>C</w:t>
      </w:r>
      <w:r>
        <w:t xml:space="preserve">lassification Of Public Sector Agencies - </w:t>
      </w:r>
      <w:r>
        <w:rPr>
          <w:i/>
          <w:color w:val="000000"/>
        </w:rPr>
        <w:t>continued</w:t>
      </w:r>
      <w:bookmarkEnd w:id="225"/>
      <w:bookmarkEnd w:id="226"/>
    </w:p>
    <w:tbl>
      <w:tblPr>
        <w:tblW w:w="0" w:type="auto"/>
        <w:tblInd w:w="72" w:type="dxa"/>
        <w:tblLayout w:type="fixed"/>
        <w:tblCellMar>
          <w:left w:w="28" w:type="dxa"/>
          <w:right w:w="28" w:type="dxa"/>
        </w:tblCellMar>
        <w:tblLook w:val="0000" w:firstRow="0" w:lastRow="0" w:firstColumn="0" w:lastColumn="0" w:noHBand="0" w:noVBand="0"/>
      </w:tblPr>
      <w:tblGrid>
        <w:gridCol w:w="2881"/>
        <w:gridCol w:w="45"/>
        <w:gridCol w:w="1043"/>
        <w:gridCol w:w="33"/>
        <w:gridCol w:w="870"/>
        <w:gridCol w:w="23"/>
        <w:gridCol w:w="1241"/>
        <w:gridCol w:w="10"/>
        <w:gridCol w:w="898"/>
      </w:tblGrid>
      <w:tr w:rsidR="00000000">
        <w:tblPrEx>
          <w:tblCellMar>
            <w:top w:w="0" w:type="dxa"/>
            <w:bottom w:w="0" w:type="dxa"/>
          </w:tblCellMar>
        </w:tblPrEx>
        <w:tc>
          <w:tcPr>
            <w:tcW w:w="2926" w:type="dxa"/>
            <w:gridSpan w:val="2"/>
            <w:tcBorders>
              <w:top w:val="single" w:sz="6" w:space="0" w:color="auto"/>
              <w:bottom w:val="single" w:sz="6" w:space="0" w:color="auto"/>
            </w:tcBorders>
          </w:tcPr>
          <w:p w:rsidR="00000000" w:rsidRDefault="001F233B">
            <w:pPr>
              <w:rPr>
                <w:rFonts w:ascii="Arial" w:hAnsi="Arial"/>
                <w:sz w:val="18"/>
              </w:rPr>
            </w:pPr>
          </w:p>
          <w:p w:rsidR="00000000" w:rsidRDefault="001F233B">
            <w:pPr>
              <w:rPr>
                <w:rFonts w:ascii="Arial" w:hAnsi="Arial"/>
                <w:sz w:val="18"/>
              </w:rPr>
            </w:pPr>
          </w:p>
        </w:tc>
        <w:tc>
          <w:tcPr>
            <w:tcW w:w="1076" w:type="dxa"/>
            <w:gridSpan w:val="2"/>
            <w:tcBorders>
              <w:top w:val="single" w:sz="6" w:space="0" w:color="auto"/>
              <w:bottom w:val="single" w:sz="6" w:space="0" w:color="auto"/>
            </w:tcBorders>
          </w:tcPr>
          <w:p w:rsidR="00000000" w:rsidRDefault="001F233B">
            <w:pPr>
              <w:spacing w:after="0"/>
              <w:jc w:val="center"/>
              <w:rPr>
                <w:rFonts w:ascii="Arial" w:hAnsi="Arial"/>
                <w:sz w:val="18"/>
              </w:rPr>
            </w:pPr>
            <w:r>
              <w:rPr>
                <w:rFonts w:ascii="Arial" w:hAnsi="Arial"/>
                <w:sz w:val="18"/>
              </w:rPr>
              <w:t>General</w:t>
            </w:r>
          </w:p>
          <w:p w:rsidR="00000000" w:rsidRDefault="001F233B">
            <w:pPr>
              <w:spacing w:after="0"/>
              <w:jc w:val="center"/>
              <w:rPr>
                <w:rFonts w:ascii="Arial" w:hAnsi="Arial"/>
                <w:sz w:val="18"/>
              </w:rPr>
            </w:pPr>
            <w:r>
              <w:rPr>
                <w:rFonts w:ascii="Arial" w:hAnsi="Arial"/>
                <w:sz w:val="18"/>
              </w:rPr>
              <w:t>Government</w:t>
            </w:r>
          </w:p>
          <w:p w:rsidR="00000000" w:rsidRDefault="001F233B">
            <w:pPr>
              <w:spacing w:after="0"/>
              <w:jc w:val="center"/>
              <w:rPr>
                <w:rFonts w:ascii="Arial" w:hAnsi="Arial"/>
                <w:i/>
                <w:sz w:val="18"/>
              </w:rPr>
            </w:pPr>
            <w:r>
              <w:rPr>
                <w:rFonts w:ascii="Arial" w:hAnsi="Arial"/>
                <w:sz w:val="18"/>
              </w:rPr>
              <w:t xml:space="preserve">Sector </w:t>
            </w:r>
            <w:r>
              <w:rPr>
                <w:rFonts w:ascii="Arial" w:hAnsi="Arial"/>
                <w:i/>
                <w:sz w:val="18"/>
                <w:vertAlign w:val="superscript"/>
              </w:rPr>
              <w:t>(a)</w:t>
            </w:r>
          </w:p>
        </w:tc>
        <w:tc>
          <w:tcPr>
            <w:tcW w:w="893" w:type="dxa"/>
            <w:gridSpan w:val="2"/>
            <w:tcBorders>
              <w:top w:val="single" w:sz="6" w:space="0" w:color="auto"/>
              <w:bottom w:val="single" w:sz="6" w:space="0" w:color="auto"/>
            </w:tcBorders>
          </w:tcPr>
          <w:p w:rsidR="00000000" w:rsidRDefault="001F233B">
            <w:pPr>
              <w:spacing w:after="0"/>
              <w:jc w:val="center"/>
              <w:rPr>
                <w:rFonts w:ascii="Arial" w:hAnsi="Arial"/>
                <w:sz w:val="18"/>
              </w:rPr>
            </w:pPr>
          </w:p>
          <w:p w:rsidR="00000000" w:rsidRDefault="001F233B">
            <w:pPr>
              <w:spacing w:after="0"/>
              <w:jc w:val="center"/>
              <w:rPr>
                <w:rFonts w:ascii="Arial" w:hAnsi="Arial"/>
                <w:sz w:val="18"/>
              </w:rPr>
            </w:pPr>
            <w:r>
              <w:rPr>
                <w:rFonts w:ascii="Arial" w:hAnsi="Arial"/>
                <w:sz w:val="18"/>
              </w:rPr>
              <w:t>Budget</w:t>
            </w:r>
          </w:p>
          <w:p w:rsidR="00000000" w:rsidRDefault="001F233B">
            <w:pPr>
              <w:spacing w:after="0"/>
              <w:jc w:val="center"/>
              <w:rPr>
                <w:rFonts w:ascii="Arial" w:hAnsi="Arial"/>
                <w:i/>
                <w:sz w:val="18"/>
              </w:rPr>
            </w:pPr>
            <w:r>
              <w:rPr>
                <w:rFonts w:ascii="Arial" w:hAnsi="Arial"/>
                <w:sz w:val="18"/>
              </w:rPr>
              <w:t xml:space="preserve">Sector </w:t>
            </w:r>
            <w:r>
              <w:rPr>
                <w:rFonts w:ascii="Arial" w:hAnsi="Arial"/>
                <w:i/>
                <w:sz w:val="18"/>
                <w:vertAlign w:val="superscript"/>
              </w:rPr>
              <w:t>(b)</w:t>
            </w:r>
          </w:p>
        </w:tc>
        <w:tc>
          <w:tcPr>
            <w:tcW w:w="1251" w:type="dxa"/>
            <w:gridSpan w:val="2"/>
            <w:tcBorders>
              <w:top w:val="single" w:sz="6" w:space="0" w:color="auto"/>
              <w:bottom w:val="single" w:sz="6" w:space="0" w:color="auto"/>
            </w:tcBorders>
          </w:tcPr>
          <w:p w:rsidR="00000000" w:rsidRDefault="001F233B">
            <w:pPr>
              <w:spacing w:after="0"/>
              <w:jc w:val="center"/>
              <w:rPr>
                <w:rFonts w:ascii="Arial" w:hAnsi="Arial"/>
                <w:sz w:val="18"/>
              </w:rPr>
            </w:pPr>
            <w:r>
              <w:rPr>
                <w:rFonts w:ascii="Arial" w:hAnsi="Arial"/>
                <w:sz w:val="18"/>
              </w:rPr>
              <w:t>Public</w:t>
            </w:r>
          </w:p>
          <w:p w:rsidR="00000000" w:rsidRDefault="001F233B">
            <w:pPr>
              <w:spacing w:after="0"/>
              <w:jc w:val="center"/>
              <w:rPr>
                <w:rFonts w:ascii="Arial" w:hAnsi="Arial"/>
                <w:sz w:val="18"/>
              </w:rPr>
            </w:pPr>
            <w:r>
              <w:rPr>
                <w:rFonts w:ascii="Arial" w:hAnsi="Arial"/>
                <w:sz w:val="18"/>
              </w:rPr>
              <w:t>Trading</w:t>
            </w:r>
          </w:p>
          <w:p w:rsidR="00000000" w:rsidRDefault="001F233B">
            <w:pPr>
              <w:spacing w:after="0"/>
              <w:jc w:val="center"/>
              <w:rPr>
                <w:rFonts w:ascii="Arial" w:hAnsi="Arial"/>
                <w:i/>
                <w:sz w:val="18"/>
              </w:rPr>
            </w:pPr>
            <w:r>
              <w:rPr>
                <w:rFonts w:ascii="Arial" w:hAnsi="Arial"/>
                <w:sz w:val="18"/>
              </w:rPr>
              <w:t xml:space="preserve">Enterprises </w:t>
            </w:r>
            <w:r>
              <w:rPr>
                <w:rFonts w:ascii="Arial" w:hAnsi="Arial"/>
                <w:i/>
                <w:sz w:val="18"/>
                <w:vertAlign w:val="superscript"/>
              </w:rPr>
              <w:t>(a)</w:t>
            </w:r>
          </w:p>
        </w:tc>
        <w:tc>
          <w:tcPr>
            <w:tcW w:w="896" w:type="dxa"/>
            <w:tcBorders>
              <w:top w:val="single" w:sz="6" w:space="0" w:color="auto"/>
              <w:bottom w:val="single" w:sz="6" w:space="0" w:color="auto"/>
            </w:tcBorders>
          </w:tcPr>
          <w:p w:rsidR="00000000" w:rsidRDefault="001F233B">
            <w:pPr>
              <w:spacing w:after="0"/>
              <w:jc w:val="center"/>
              <w:rPr>
                <w:rFonts w:ascii="Arial" w:hAnsi="Arial"/>
                <w:sz w:val="18"/>
              </w:rPr>
            </w:pPr>
            <w:r>
              <w:rPr>
                <w:rFonts w:ascii="Arial" w:hAnsi="Arial"/>
                <w:sz w:val="18"/>
              </w:rPr>
              <w:t>Non</w:t>
            </w:r>
          </w:p>
          <w:p w:rsidR="00000000" w:rsidRDefault="001F233B">
            <w:pPr>
              <w:spacing w:after="0"/>
              <w:jc w:val="center"/>
              <w:rPr>
                <w:rFonts w:ascii="Arial" w:hAnsi="Arial"/>
                <w:sz w:val="18"/>
              </w:rPr>
            </w:pPr>
            <w:r>
              <w:rPr>
                <w:rFonts w:ascii="Arial" w:hAnsi="Arial"/>
                <w:sz w:val="18"/>
              </w:rPr>
              <w:t>Budget</w:t>
            </w:r>
          </w:p>
          <w:p w:rsidR="00000000" w:rsidRDefault="001F233B">
            <w:pPr>
              <w:spacing w:after="0"/>
              <w:jc w:val="center"/>
              <w:rPr>
                <w:rFonts w:ascii="Arial" w:hAnsi="Arial"/>
                <w:i/>
                <w:sz w:val="18"/>
              </w:rPr>
            </w:pPr>
            <w:r>
              <w:rPr>
                <w:rFonts w:ascii="Arial" w:hAnsi="Arial"/>
                <w:sz w:val="18"/>
              </w:rPr>
              <w:t xml:space="preserve">Sector </w:t>
            </w:r>
            <w:r>
              <w:rPr>
                <w:rFonts w:ascii="Arial" w:hAnsi="Arial"/>
                <w:i/>
                <w:sz w:val="18"/>
                <w:vertAlign w:val="superscript"/>
              </w:rPr>
              <w:t>(b)</w:t>
            </w:r>
          </w:p>
        </w:tc>
      </w:tr>
      <w:tr w:rsidR="00000000">
        <w:tblPrEx>
          <w:tblCellMar>
            <w:top w:w="0" w:type="dxa"/>
            <w:bottom w:w="0" w:type="dxa"/>
          </w:tblCellMar>
        </w:tblPrEx>
        <w:trPr>
          <w:trHeight w:hRule="exact" w:val="220"/>
        </w:trPr>
        <w:tc>
          <w:tcPr>
            <w:tcW w:w="2926" w:type="dxa"/>
            <w:gridSpan w:val="2"/>
          </w:tcPr>
          <w:p w:rsidR="00000000" w:rsidRDefault="001F233B">
            <w:pPr>
              <w:spacing w:after="40"/>
              <w:rPr>
                <w:rFonts w:ascii="Arial" w:hAnsi="Arial"/>
                <w:sz w:val="18"/>
              </w:rPr>
            </w:pPr>
            <w:r>
              <w:rPr>
                <w:rFonts w:ascii="Arial" w:hAnsi="Arial"/>
                <w:sz w:val="18"/>
              </w:rPr>
              <w:t>Urban Land Authority</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6"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Vic Energy Network</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Victorian Channels Authority</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Victorian Dairy Industry Authority</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Victorian Plantations Corporation</w:t>
            </w:r>
            <w:r>
              <w:rPr>
                <w:rFonts w:ascii="Arial" w:hAnsi="Arial"/>
                <w:sz w:val="18"/>
              </w:rPr>
              <w:fldChar w:fldCharType="begin"/>
            </w:r>
            <w:r>
              <w:rPr>
                <w:rFonts w:ascii="Arial" w:hAnsi="Arial"/>
                <w:sz w:val="18"/>
              </w:rPr>
              <w:instrText>xe "Victorian Plantations Corporation"</w:instrText>
            </w:r>
            <w:r>
              <w:rPr>
                <w:rFonts w:ascii="Arial" w:hAnsi="Arial"/>
                <w:sz w:val="18"/>
              </w:rPr>
              <w:fldChar w:fldCharType="end"/>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Westar</w:t>
            </w:r>
          </w:p>
        </w:tc>
        <w:tc>
          <w:tcPr>
            <w:tcW w:w="1076" w:type="dxa"/>
            <w:gridSpan w:val="2"/>
          </w:tcPr>
          <w:p w:rsidR="00000000" w:rsidRDefault="001F233B">
            <w:pPr>
              <w:spacing w:after="40"/>
              <w:jc w:val="center"/>
              <w:rPr>
                <w:rFonts w:ascii="Arial" w:hAnsi="Arial"/>
                <w:sz w:val="18"/>
              </w:rPr>
            </w:pPr>
          </w:p>
        </w:tc>
        <w:tc>
          <w:tcPr>
            <w:tcW w:w="893" w:type="dxa"/>
            <w:gridSpan w:val="2"/>
          </w:tcPr>
          <w:p w:rsidR="00000000" w:rsidRDefault="001F233B">
            <w:pPr>
              <w:spacing w:after="40"/>
              <w:jc w:val="center"/>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Western Region Water</w:t>
            </w:r>
          </w:p>
        </w:tc>
        <w:tc>
          <w:tcPr>
            <w:tcW w:w="1076" w:type="dxa"/>
            <w:gridSpan w:val="2"/>
          </w:tcPr>
          <w:p w:rsidR="00000000" w:rsidRDefault="001F233B">
            <w:pPr>
              <w:spacing w:after="40"/>
              <w:jc w:val="center"/>
              <w:rPr>
                <w:rFonts w:ascii="Arial" w:hAnsi="Arial"/>
                <w:sz w:val="18"/>
              </w:rPr>
            </w:pPr>
          </w:p>
        </w:tc>
        <w:tc>
          <w:tcPr>
            <w:tcW w:w="893" w:type="dxa"/>
            <w:gridSpan w:val="2"/>
          </w:tcPr>
          <w:p w:rsidR="00000000" w:rsidRDefault="001F233B">
            <w:pPr>
              <w:spacing w:after="40"/>
              <w:jc w:val="center"/>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926" w:type="dxa"/>
            <w:gridSpan w:val="2"/>
          </w:tcPr>
          <w:p w:rsidR="00000000" w:rsidRDefault="001F233B">
            <w:pPr>
              <w:spacing w:after="40"/>
              <w:rPr>
                <w:rFonts w:ascii="Arial" w:hAnsi="Arial"/>
                <w:sz w:val="18"/>
              </w:rPr>
            </w:pPr>
            <w:r>
              <w:rPr>
                <w:rFonts w:ascii="Arial" w:hAnsi="Arial"/>
                <w:sz w:val="18"/>
              </w:rPr>
              <w:t>Westernport Region Water</w:t>
            </w:r>
          </w:p>
        </w:tc>
        <w:tc>
          <w:tcPr>
            <w:tcW w:w="1076" w:type="dxa"/>
            <w:gridSpan w:val="2"/>
          </w:tcPr>
          <w:p w:rsidR="00000000" w:rsidRDefault="001F233B">
            <w:pPr>
              <w:spacing w:after="40"/>
              <w:jc w:val="center"/>
              <w:rPr>
                <w:rFonts w:ascii="Arial" w:hAnsi="Arial"/>
                <w:sz w:val="18"/>
              </w:rPr>
            </w:pPr>
          </w:p>
        </w:tc>
        <w:tc>
          <w:tcPr>
            <w:tcW w:w="893" w:type="dxa"/>
            <w:gridSpan w:val="2"/>
          </w:tcPr>
          <w:p w:rsidR="00000000" w:rsidRDefault="001F233B">
            <w:pPr>
              <w:spacing w:after="40"/>
              <w:jc w:val="center"/>
              <w:rPr>
                <w:rFonts w:ascii="Arial" w:hAnsi="Arial"/>
                <w:sz w:val="18"/>
              </w:rPr>
            </w:pPr>
          </w:p>
        </w:tc>
        <w:tc>
          <w:tcPr>
            <w:tcW w:w="1251" w:type="dxa"/>
            <w:gridSpan w:val="2"/>
          </w:tcPr>
          <w:p w:rsidR="00000000" w:rsidRDefault="001F233B">
            <w:pPr>
              <w:spacing w:after="40"/>
              <w:jc w:val="center"/>
              <w:rPr>
                <w:rFonts w:ascii="Arial" w:hAnsi="Arial"/>
                <w:sz w:val="18"/>
              </w:rPr>
            </w:pPr>
            <w:r>
              <w:rPr>
                <w:rFonts w:ascii="Arial" w:hAnsi="Arial"/>
                <w:sz w:val="18"/>
              </w:rPr>
              <w:t>*</w:t>
            </w:r>
          </w:p>
        </w:tc>
        <w:tc>
          <w:tcPr>
            <w:tcW w:w="898" w:type="dxa"/>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rPr>
          <w:trHeight w:hRule="exact" w:val="480"/>
        </w:trPr>
        <w:tc>
          <w:tcPr>
            <w:tcW w:w="2926" w:type="dxa"/>
            <w:gridSpan w:val="2"/>
          </w:tcPr>
          <w:p w:rsidR="00000000" w:rsidRDefault="001F233B">
            <w:pPr>
              <w:spacing w:after="40"/>
              <w:rPr>
                <w:rFonts w:ascii="Arial" w:hAnsi="Arial"/>
                <w:sz w:val="18"/>
              </w:rPr>
            </w:pPr>
            <w:r>
              <w:rPr>
                <w:rFonts w:ascii="Arial" w:hAnsi="Arial"/>
                <w:sz w:val="18"/>
              </w:rPr>
              <w:t>Wimmera Mallee Rura</w:t>
            </w:r>
            <w:r>
              <w:rPr>
                <w:rFonts w:ascii="Arial" w:hAnsi="Arial"/>
                <w:sz w:val="18"/>
              </w:rPr>
              <w:t xml:space="preserve">l Water </w:t>
            </w:r>
          </w:p>
          <w:p w:rsidR="00000000" w:rsidRDefault="001F233B">
            <w:pPr>
              <w:spacing w:after="40"/>
              <w:rPr>
                <w:rFonts w:ascii="Arial" w:hAnsi="Arial"/>
                <w:sz w:val="18"/>
              </w:rPr>
            </w:pPr>
            <w:r>
              <w:rPr>
                <w:rFonts w:ascii="Arial" w:hAnsi="Arial"/>
                <w:sz w:val="18"/>
              </w:rPr>
              <w:t xml:space="preserve">  Authority</w:t>
            </w:r>
          </w:p>
        </w:tc>
        <w:tc>
          <w:tcPr>
            <w:tcW w:w="1076" w:type="dxa"/>
            <w:gridSpan w:val="2"/>
          </w:tcPr>
          <w:p w:rsidR="00000000" w:rsidRDefault="001F233B">
            <w:pPr>
              <w:spacing w:after="40"/>
              <w:rPr>
                <w:rFonts w:ascii="Arial" w:hAnsi="Arial"/>
                <w:sz w:val="18"/>
              </w:rPr>
            </w:pPr>
          </w:p>
        </w:tc>
        <w:tc>
          <w:tcPr>
            <w:tcW w:w="893" w:type="dxa"/>
            <w:gridSpan w:val="2"/>
          </w:tcPr>
          <w:p w:rsidR="00000000" w:rsidRDefault="001F233B">
            <w:pPr>
              <w:spacing w:after="40"/>
              <w:rPr>
                <w:rFonts w:ascii="Arial" w:hAnsi="Arial"/>
                <w:sz w:val="18"/>
              </w:rPr>
            </w:pPr>
          </w:p>
        </w:tc>
        <w:tc>
          <w:tcPr>
            <w:tcW w:w="1251" w:type="dxa"/>
            <w:gridSpan w:val="2"/>
          </w:tcPr>
          <w:p w:rsidR="00000000" w:rsidRDefault="001F233B">
            <w:pPr>
              <w:spacing w:after="40"/>
              <w:rPr>
                <w:rFonts w:ascii="Arial" w:hAnsi="Arial"/>
                <w:sz w:val="18"/>
              </w:rPr>
            </w:pPr>
          </w:p>
          <w:p w:rsidR="00000000" w:rsidRDefault="001F233B">
            <w:pPr>
              <w:spacing w:after="40"/>
              <w:jc w:val="center"/>
              <w:rPr>
                <w:rFonts w:ascii="Arial" w:hAnsi="Arial"/>
                <w:sz w:val="18"/>
              </w:rPr>
            </w:pPr>
            <w:r>
              <w:rPr>
                <w:rFonts w:ascii="Arial" w:hAnsi="Arial"/>
                <w:sz w:val="18"/>
              </w:rPr>
              <w:t>*</w:t>
            </w:r>
          </w:p>
        </w:tc>
        <w:tc>
          <w:tcPr>
            <w:tcW w:w="896" w:type="dxa"/>
          </w:tcPr>
          <w:p w:rsidR="00000000" w:rsidRDefault="001F233B">
            <w:pPr>
              <w:spacing w:after="40"/>
              <w:rPr>
                <w:rFonts w:ascii="Arial" w:hAnsi="Arial"/>
                <w:sz w:val="18"/>
              </w:rPr>
            </w:pPr>
          </w:p>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c>
          <w:tcPr>
            <w:tcW w:w="2881" w:type="dxa"/>
          </w:tcPr>
          <w:p w:rsidR="00000000" w:rsidRDefault="001F233B">
            <w:pPr>
              <w:spacing w:after="40"/>
              <w:rPr>
                <w:rFonts w:ascii="Arial" w:hAnsi="Arial"/>
                <w:sz w:val="18"/>
              </w:rPr>
            </w:pPr>
            <w:r>
              <w:rPr>
                <w:rFonts w:ascii="Arial" w:hAnsi="Arial"/>
                <w:sz w:val="18"/>
              </w:rPr>
              <w:t>Yarra Valley Water Ltd.</w:t>
            </w:r>
          </w:p>
        </w:tc>
        <w:tc>
          <w:tcPr>
            <w:tcW w:w="1088" w:type="dxa"/>
            <w:gridSpan w:val="2"/>
          </w:tcPr>
          <w:p w:rsidR="00000000" w:rsidRDefault="001F233B">
            <w:pPr>
              <w:spacing w:after="40"/>
              <w:jc w:val="center"/>
              <w:rPr>
                <w:rFonts w:ascii="Arial" w:hAnsi="Arial"/>
                <w:sz w:val="18"/>
              </w:rPr>
            </w:pPr>
          </w:p>
        </w:tc>
        <w:tc>
          <w:tcPr>
            <w:tcW w:w="903" w:type="dxa"/>
            <w:gridSpan w:val="2"/>
          </w:tcPr>
          <w:p w:rsidR="00000000" w:rsidRDefault="001F233B">
            <w:pPr>
              <w:spacing w:after="40"/>
              <w:jc w:val="center"/>
              <w:rPr>
                <w:rFonts w:ascii="Arial" w:hAnsi="Arial"/>
                <w:sz w:val="18"/>
              </w:rPr>
            </w:pPr>
          </w:p>
        </w:tc>
        <w:tc>
          <w:tcPr>
            <w:tcW w:w="1264" w:type="dxa"/>
            <w:gridSpan w:val="2"/>
          </w:tcPr>
          <w:p w:rsidR="00000000" w:rsidRDefault="001F233B">
            <w:pPr>
              <w:spacing w:after="40"/>
              <w:jc w:val="center"/>
              <w:rPr>
                <w:rFonts w:ascii="Arial" w:hAnsi="Arial"/>
                <w:sz w:val="18"/>
              </w:rPr>
            </w:pPr>
            <w:r>
              <w:rPr>
                <w:rFonts w:ascii="Arial" w:hAnsi="Arial"/>
                <w:sz w:val="18"/>
              </w:rPr>
              <w:t>*</w:t>
            </w:r>
          </w:p>
        </w:tc>
        <w:tc>
          <w:tcPr>
            <w:tcW w:w="908" w:type="dxa"/>
            <w:gridSpan w:val="2"/>
          </w:tcPr>
          <w:p w:rsidR="00000000" w:rsidRDefault="001F233B">
            <w:pPr>
              <w:spacing w:after="40"/>
              <w:jc w:val="center"/>
              <w:rPr>
                <w:rFonts w:ascii="Arial" w:hAnsi="Arial"/>
                <w:sz w:val="18"/>
              </w:rPr>
            </w:pPr>
            <w:r>
              <w:rPr>
                <w:rFonts w:ascii="Arial" w:hAnsi="Arial"/>
                <w:sz w:val="18"/>
              </w:rPr>
              <w:t>*</w:t>
            </w:r>
          </w:p>
        </w:tc>
      </w:tr>
      <w:tr w:rsidR="00000000">
        <w:tblPrEx>
          <w:tblCellMar>
            <w:top w:w="0" w:type="dxa"/>
            <w:bottom w:w="0" w:type="dxa"/>
          </w:tblCellMar>
        </w:tblPrEx>
        <w:trPr>
          <w:trHeight w:hRule="exact" w:val="480"/>
        </w:trPr>
        <w:tc>
          <w:tcPr>
            <w:tcW w:w="2926" w:type="dxa"/>
            <w:gridSpan w:val="2"/>
            <w:tcBorders>
              <w:bottom w:val="single" w:sz="12" w:space="0" w:color="auto"/>
            </w:tcBorders>
          </w:tcPr>
          <w:p w:rsidR="00000000" w:rsidRDefault="001F233B">
            <w:pPr>
              <w:spacing w:after="40"/>
              <w:rPr>
                <w:rFonts w:ascii="Arial" w:hAnsi="Arial"/>
                <w:sz w:val="18"/>
              </w:rPr>
            </w:pPr>
            <w:r>
              <w:rPr>
                <w:rFonts w:ascii="Arial" w:hAnsi="Arial"/>
                <w:sz w:val="18"/>
              </w:rPr>
              <w:t>Commonwealth Contribution to Debt Retirement Reserve Trust A/c</w:t>
            </w:r>
          </w:p>
        </w:tc>
        <w:tc>
          <w:tcPr>
            <w:tcW w:w="1076" w:type="dxa"/>
            <w:gridSpan w:val="2"/>
            <w:tcBorders>
              <w:bottom w:val="single" w:sz="12" w:space="0" w:color="auto"/>
            </w:tcBorders>
          </w:tcPr>
          <w:p w:rsidR="00000000" w:rsidRDefault="001F233B">
            <w:pPr>
              <w:spacing w:after="40"/>
              <w:rPr>
                <w:rFonts w:ascii="Arial" w:hAnsi="Arial"/>
                <w:sz w:val="18"/>
              </w:rPr>
            </w:pPr>
          </w:p>
          <w:p w:rsidR="00000000" w:rsidRDefault="001F233B">
            <w:pPr>
              <w:spacing w:after="40"/>
              <w:jc w:val="center"/>
              <w:rPr>
                <w:rFonts w:ascii="Arial" w:hAnsi="Arial"/>
                <w:sz w:val="18"/>
              </w:rPr>
            </w:pPr>
            <w:r>
              <w:rPr>
                <w:rFonts w:ascii="Arial" w:hAnsi="Arial"/>
                <w:sz w:val="18"/>
              </w:rPr>
              <w:t>*</w:t>
            </w:r>
          </w:p>
        </w:tc>
        <w:tc>
          <w:tcPr>
            <w:tcW w:w="893" w:type="dxa"/>
            <w:gridSpan w:val="2"/>
            <w:tcBorders>
              <w:bottom w:val="single" w:sz="12" w:space="0" w:color="auto"/>
            </w:tcBorders>
          </w:tcPr>
          <w:p w:rsidR="00000000" w:rsidRDefault="001F233B">
            <w:pPr>
              <w:spacing w:after="40"/>
              <w:rPr>
                <w:rFonts w:ascii="Arial" w:hAnsi="Arial"/>
                <w:sz w:val="18"/>
              </w:rPr>
            </w:pPr>
          </w:p>
          <w:p w:rsidR="00000000" w:rsidRDefault="001F233B">
            <w:pPr>
              <w:spacing w:after="40"/>
              <w:jc w:val="center"/>
              <w:rPr>
                <w:rFonts w:ascii="Arial" w:hAnsi="Arial"/>
                <w:sz w:val="18"/>
              </w:rPr>
            </w:pPr>
            <w:r>
              <w:rPr>
                <w:rFonts w:ascii="Arial" w:hAnsi="Arial"/>
                <w:sz w:val="18"/>
              </w:rPr>
              <w:t>*</w:t>
            </w:r>
          </w:p>
        </w:tc>
        <w:tc>
          <w:tcPr>
            <w:tcW w:w="1251" w:type="dxa"/>
            <w:gridSpan w:val="2"/>
            <w:tcBorders>
              <w:bottom w:val="single" w:sz="12" w:space="0" w:color="auto"/>
            </w:tcBorders>
          </w:tcPr>
          <w:p w:rsidR="00000000" w:rsidRDefault="001F233B">
            <w:pPr>
              <w:spacing w:after="40"/>
              <w:rPr>
                <w:rFonts w:ascii="Arial" w:hAnsi="Arial"/>
                <w:sz w:val="18"/>
              </w:rPr>
            </w:pPr>
          </w:p>
        </w:tc>
        <w:tc>
          <w:tcPr>
            <w:tcW w:w="896" w:type="dxa"/>
            <w:tcBorders>
              <w:bottom w:val="single" w:sz="12" w:space="0" w:color="auto"/>
            </w:tcBorders>
          </w:tcPr>
          <w:p w:rsidR="00000000" w:rsidRDefault="001F233B">
            <w:pPr>
              <w:spacing w:after="40"/>
              <w:rPr>
                <w:rFonts w:ascii="Arial" w:hAnsi="Arial"/>
                <w:sz w:val="18"/>
              </w:rPr>
            </w:pPr>
          </w:p>
        </w:tc>
      </w:tr>
    </w:tbl>
    <w:p w:rsidR="00000000" w:rsidRDefault="001F233B">
      <w:pPr>
        <w:pStyle w:val="Source"/>
        <w:spacing w:after="60"/>
      </w:pPr>
      <w:r>
        <w:t>Source: Department of Treasury and Finance</w:t>
      </w:r>
    </w:p>
    <w:p w:rsidR="00000000" w:rsidRDefault="001F233B">
      <w:pPr>
        <w:pStyle w:val="Notes"/>
      </w:pPr>
      <w:r>
        <w:t>Notes:</w:t>
      </w:r>
    </w:p>
    <w:p w:rsidR="00000000" w:rsidRDefault="001F233B">
      <w:pPr>
        <w:pStyle w:val="Notes"/>
      </w:pPr>
      <w:r>
        <w:t>(a)</w:t>
      </w:r>
      <w:r>
        <w:tab/>
        <w:t>As presented in ABS, Government Financial Estimates, Australia.</w:t>
      </w:r>
    </w:p>
    <w:p w:rsidR="00000000" w:rsidRDefault="001F233B" w:rsidP="001F233B">
      <w:pPr>
        <w:pStyle w:val="Notes"/>
        <w:numPr>
          <w:ilvl w:val="0"/>
          <w:numId w:val="14"/>
        </w:numPr>
        <w:tabs>
          <w:tab w:val="clear" w:pos="454"/>
          <w:tab w:val="left" w:pos="456"/>
        </w:tabs>
      </w:pPr>
      <w:r>
        <w:t>As presented in Victorian Budget Papers.</w:t>
      </w:r>
    </w:p>
    <w:p w:rsidR="00000000" w:rsidRDefault="001F233B" w:rsidP="001F233B">
      <w:pPr>
        <w:pStyle w:val="Notes"/>
        <w:numPr>
          <w:ilvl w:val="0"/>
          <w:numId w:val="14"/>
        </w:numPr>
        <w:tabs>
          <w:tab w:val="clear" w:pos="454"/>
          <w:tab w:val="left" w:pos="456"/>
        </w:tabs>
      </w:pPr>
      <w:r>
        <w:t>Agencies sold during 1997-98.</w:t>
      </w:r>
    </w:p>
    <w:p w:rsidR="00000000" w:rsidRDefault="001F233B">
      <w:pPr>
        <w:pStyle w:val="Heading3"/>
      </w:pPr>
      <w:r>
        <w:br w:type="page"/>
      </w:r>
      <w:bookmarkStart w:id="227" w:name="_Toc366592690"/>
      <w:r>
        <w:t>Uniform Reporting Format Presentation</w:t>
      </w:r>
      <w:bookmarkEnd w:id="227"/>
    </w:p>
    <w:p w:rsidR="00000000" w:rsidRDefault="001F233B">
      <w:r>
        <w:t>B2</w:t>
      </w:r>
      <w:r>
        <w:tab/>
        <w:t>General Government Sector Transactions 1997</w:t>
      </w:r>
      <w:r>
        <w:noBreakHyphen/>
        <w:t>98 to 2001</w:t>
      </w:r>
      <w:r>
        <w:noBreakHyphen/>
        <w:t>02</w:t>
      </w:r>
    </w:p>
    <w:p w:rsidR="00000000" w:rsidRDefault="001F233B">
      <w:pPr>
        <w:ind w:right="-7"/>
      </w:pPr>
      <w:r>
        <w:t>B3</w:t>
      </w:r>
      <w:r>
        <w:tab/>
        <w:t>Public Trading Enterprise Sector Transactions 1997</w:t>
      </w:r>
      <w:r>
        <w:noBreakHyphen/>
        <w:t xml:space="preserve">98 and </w:t>
      </w:r>
      <w:r>
        <w:tab/>
        <w:t>1998</w:t>
      </w:r>
      <w:r>
        <w:noBreakHyphen/>
        <w:t>99</w:t>
      </w:r>
    </w:p>
    <w:p w:rsidR="00000000" w:rsidRDefault="001F233B">
      <w:pPr>
        <w:ind w:right="-7"/>
      </w:pPr>
      <w:r>
        <w:t>B4</w:t>
      </w:r>
      <w:r>
        <w:tab/>
        <w:t>State Public Sect</w:t>
      </w:r>
      <w:r>
        <w:t>or Transactions 1997</w:t>
      </w:r>
      <w:r>
        <w:noBreakHyphen/>
        <w:t>98 and 1998</w:t>
      </w:r>
      <w:r>
        <w:noBreakHyphen/>
        <w:t>99</w:t>
      </w:r>
    </w:p>
    <w:p w:rsidR="00000000" w:rsidRDefault="001F233B">
      <w:pPr>
        <w:ind w:right="-7"/>
      </w:pPr>
      <w:r>
        <w:t>B5</w:t>
      </w:r>
      <w:r>
        <w:tab/>
        <w:t>State Public Sector Taxes, Fees and Fines 1997</w:t>
      </w:r>
      <w:r>
        <w:noBreakHyphen/>
        <w:t>98 and 1998</w:t>
      </w:r>
      <w:r>
        <w:noBreakHyphen/>
        <w:t>99</w:t>
      </w:r>
    </w:p>
    <w:p w:rsidR="00000000" w:rsidRDefault="001F233B">
      <w:pPr>
        <w:spacing w:line="120" w:lineRule="atLeast"/>
        <w:ind w:right="-7"/>
      </w:pPr>
      <w:r>
        <w:t>B6</w:t>
      </w:r>
      <w:r>
        <w:tab/>
        <w:t>State Public Sector Outlays by Purpose 1997</w:t>
      </w:r>
      <w:r>
        <w:noBreakHyphen/>
        <w:t>98 and 1998</w:t>
      </w:r>
      <w:r>
        <w:noBreakHyphen/>
        <w:t xml:space="preserve">99 </w:t>
      </w:r>
    </w:p>
    <w:p w:rsidR="00000000" w:rsidRDefault="001F233B">
      <w:pPr>
        <w:spacing w:line="120" w:lineRule="atLeast"/>
        <w:ind w:right="-7"/>
      </w:pPr>
    </w:p>
    <w:p w:rsidR="00000000" w:rsidRDefault="001F233B">
      <w:pPr>
        <w:pStyle w:val="Tableheading"/>
        <w:spacing w:before="0"/>
      </w:pPr>
      <w:r>
        <w:rPr>
          <w:sz w:val="18"/>
        </w:rPr>
        <w:br w:type="page"/>
      </w:r>
      <w:bookmarkStart w:id="228" w:name="_Toc366662087"/>
      <w:bookmarkStart w:id="229" w:name="_Toc366666308"/>
      <w:bookmarkStart w:id="230" w:name="_Toc417552775"/>
      <w:r>
        <w:t>Table B2: Uniform Reporting Format - General Government Sector Transactions</w:t>
      </w:r>
      <w:bookmarkEnd w:id="228"/>
      <w:bookmarkEnd w:id="229"/>
      <w:bookmarkEnd w:id="230"/>
    </w:p>
    <w:p w:rsidR="00000000" w:rsidRDefault="001F233B">
      <w:pPr>
        <w:pStyle w:val="dollars"/>
        <w:rPr>
          <w:rFonts w:ascii="Times New Roman" w:hAnsi="Times New Roman"/>
          <w:noProof/>
        </w:rPr>
      </w:pPr>
      <w:r>
        <w:t>($ million)</w:t>
      </w:r>
      <w:bookmarkStart w:id="231" w:name="_Toc366662088"/>
      <w:bookmarkStart w:id="232" w:name="_Toc366666309"/>
    </w:p>
    <w:tbl>
      <w:tblPr>
        <w:tblW w:w="0" w:type="auto"/>
        <w:tblLayout w:type="fixed"/>
        <w:tblCellMar>
          <w:left w:w="30" w:type="dxa"/>
          <w:right w:w="30" w:type="dxa"/>
        </w:tblCellMar>
        <w:tblLook w:val="0000" w:firstRow="0" w:lastRow="0" w:firstColumn="0" w:lastColumn="0" w:noHBand="0" w:noVBand="0"/>
      </w:tblPr>
      <w:tblGrid>
        <w:gridCol w:w="3402"/>
        <w:gridCol w:w="749"/>
        <w:gridCol w:w="749"/>
        <w:gridCol w:w="749"/>
        <w:gridCol w:w="749"/>
        <w:gridCol w:w="749"/>
      </w:tblGrid>
      <w:tr w:rsidR="00000000">
        <w:tblPrEx>
          <w:tblCellMar>
            <w:top w:w="0" w:type="dxa"/>
            <w:bottom w:w="0" w:type="dxa"/>
          </w:tblCellMar>
        </w:tblPrEx>
        <w:trPr>
          <w:trHeight w:hRule="exact" w:val="240"/>
        </w:trPr>
        <w:tc>
          <w:tcPr>
            <w:tcW w:w="3402" w:type="dxa"/>
            <w:tcBorders>
              <w:top w:val="single" w:sz="6" w:space="0" w:color="auto"/>
            </w:tcBorders>
          </w:tcPr>
          <w:p w:rsidR="00000000" w:rsidRDefault="001F233B">
            <w:pPr>
              <w:jc w:val="right"/>
              <w:rPr>
                <w:rFonts w:ascii="Arial" w:hAnsi="Arial"/>
                <w:color w:val="000000"/>
                <w:sz w:val="17"/>
              </w:rPr>
            </w:pPr>
          </w:p>
        </w:tc>
        <w:tc>
          <w:tcPr>
            <w:tcW w:w="749" w:type="dxa"/>
            <w:tcBorders>
              <w:top w:val="single" w:sz="6" w:space="0" w:color="auto"/>
            </w:tcBorders>
          </w:tcPr>
          <w:p w:rsidR="00000000" w:rsidRDefault="001F233B">
            <w:pPr>
              <w:jc w:val="right"/>
              <w:rPr>
                <w:rFonts w:ascii="Arial" w:hAnsi="Arial"/>
                <w:i/>
                <w:color w:val="000000"/>
                <w:sz w:val="17"/>
              </w:rPr>
            </w:pPr>
            <w:r>
              <w:rPr>
                <w:rFonts w:ascii="Arial" w:hAnsi="Arial"/>
                <w:i/>
                <w:color w:val="000000"/>
                <w:sz w:val="17"/>
              </w:rPr>
              <w:t>1997-98</w:t>
            </w:r>
          </w:p>
        </w:tc>
        <w:tc>
          <w:tcPr>
            <w:tcW w:w="749" w:type="dxa"/>
            <w:tcBorders>
              <w:top w:val="single" w:sz="6" w:space="0" w:color="auto"/>
            </w:tcBorders>
          </w:tcPr>
          <w:p w:rsidR="00000000" w:rsidRDefault="001F233B">
            <w:pPr>
              <w:jc w:val="right"/>
              <w:rPr>
                <w:rFonts w:ascii="Arial" w:hAnsi="Arial"/>
                <w:i/>
                <w:color w:val="000000"/>
                <w:sz w:val="17"/>
              </w:rPr>
            </w:pPr>
            <w:r>
              <w:rPr>
                <w:rFonts w:ascii="Arial" w:hAnsi="Arial"/>
                <w:i/>
                <w:color w:val="000000"/>
                <w:sz w:val="17"/>
              </w:rPr>
              <w:t>1998-99</w:t>
            </w:r>
          </w:p>
        </w:tc>
        <w:tc>
          <w:tcPr>
            <w:tcW w:w="749" w:type="dxa"/>
            <w:tcBorders>
              <w:top w:val="single" w:sz="6" w:space="0" w:color="auto"/>
            </w:tcBorders>
          </w:tcPr>
          <w:p w:rsidR="00000000" w:rsidRDefault="001F233B">
            <w:pPr>
              <w:jc w:val="right"/>
              <w:rPr>
                <w:rFonts w:ascii="Arial" w:hAnsi="Arial"/>
                <w:i/>
                <w:color w:val="000000"/>
                <w:sz w:val="17"/>
              </w:rPr>
            </w:pPr>
            <w:r>
              <w:rPr>
                <w:rFonts w:ascii="Arial" w:hAnsi="Arial"/>
                <w:i/>
                <w:color w:val="000000"/>
                <w:sz w:val="17"/>
              </w:rPr>
              <w:t>1999-2000</w:t>
            </w:r>
          </w:p>
        </w:tc>
        <w:tc>
          <w:tcPr>
            <w:tcW w:w="749" w:type="dxa"/>
            <w:tcBorders>
              <w:top w:val="single" w:sz="6" w:space="0" w:color="auto"/>
            </w:tcBorders>
          </w:tcPr>
          <w:p w:rsidR="00000000" w:rsidRDefault="001F233B">
            <w:pPr>
              <w:jc w:val="right"/>
              <w:rPr>
                <w:rFonts w:ascii="Arial" w:hAnsi="Arial"/>
                <w:i/>
                <w:color w:val="000000"/>
                <w:sz w:val="17"/>
              </w:rPr>
            </w:pPr>
            <w:r>
              <w:rPr>
                <w:rFonts w:ascii="Arial" w:hAnsi="Arial"/>
                <w:i/>
                <w:color w:val="000000"/>
                <w:sz w:val="17"/>
              </w:rPr>
              <w:t>2000-01</w:t>
            </w:r>
          </w:p>
        </w:tc>
        <w:tc>
          <w:tcPr>
            <w:tcW w:w="749" w:type="dxa"/>
            <w:tcBorders>
              <w:top w:val="single" w:sz="6" w:space="0" w:color="auto"/>
            </w:tcBorders>
          </w:tcPr>
          <w:p w:rsidR="00000000" w:rsidRDefault="001F233B">
            <w:pPr>
              <w:jc w:val="right"/>
              <w:rPr>
                <w:rFonts w:ascii="Arial" w:hAnsi="Arial"/>
                <w:i/>
                <w:color w:val="000000"/>
                <w:sz w:val="17"/>
              </w:rPr>
            </w:pPr>
            <w:r>
              <w:rPr>
                <w:rFonts w:ascii="Arial" w:hAnsi="Arial"/>
                <w:i/>
                <w:color w:val="000000"/>
                <w:sz w:val="17"/>
              </w:rPr>
              <w:t>2001-02</w:t>
            </w:r>
          </w:p>
        </w:tc>
      </w:tr>
      <w:tr w:rsidR="00000000">
        <w:tblPrEx>
          <w:tblCellMar>
            <w:top w:w="0" w:type="dxa"/>
            <w:bottom w:w="0" w:type="dxa"/>
          </w:tblCellMar>
        </w:tblPrEx>
        <w:trPr>
          <w:trHeight w:hRule="exact" w:val="240"/>
        </w:trPr>
        <w:tc>
          <w:tcPr>
            <w:tcW w:w="3402" w:type="dxa"/>
            <w:tcBorders>
              <w:bottom w:val="single" w:sz="6" w:space="0" w:color="auto"/>
            </w:tcBorders>
          </w:tcPr>
          <w:p w:rsidR="00000000" w:rsidRDefault="001F233B">
            <w:pPr>
              <w:jc w:val="right"/>
              <w:rPr>
                <w:rFonts w:ascii="Arial" w:hAnsi="Arial"/>
                <w:color w:val="000000"/>
                <w:sz w:val="17"/>
              </w:rPr>
            </w:pPr>
          </w:p>
        </w:tc>
        <w:tc>
          <w:tcPr>
            <w:tcW w:w="749" w:type="dxa"/>
            <w:tcBorders>
              <w:bottom w:val="single" w:sz="6" w:space="0" w:color="auto"/>
            </w:tcBorders>
          </w:tcPr>
          <w:p w:rsidR="00000000" w:rsidRDefault="001F233B">
            <w:pPr>
              <w:jc w:val="right"/>
              <w:rPr>
                <w:rFonts w:ascii="Arial" w:hAnsi="Arial"/>
                <w:i/>
                <w:color w:val="000000"/>
                <w:sz w:val="17"/>
              </w:rPr>
            </w:pPr>
            <w:r>
              <w:rPr>
                <w:rFonts w:ascii="Arial" w:hAnsi="Arial"/>
                <w:i/>
                <w:color w:val="000000"/>
                <w:sz w:val="17"/>
              </w:rPr>
              <w:t>Revised</w:t>
            </w:r>
          </w:p>
        </w:tc>
        <w:tc>
          <w:tcPr>
            <w:tcW w:w="749" w:type="dxa"/>
            <w:tcBorders>
              <w:bottom w:val="single" w:sz="6" w:space="0" w:color="auto"/>
            </w:tcBorders>
          </w:tcPr>
          <w:p w:rsidR="00000000" w:rsidRDefault="001F233B">
            <w:pPr>
              <w:jc w:val="right"/>
              <w:rPr>
                <w:rFonts w:ascii="Arial" w:hAnsi="Arial"/>
                <w:i/>
                <w:color w:val="000000"/>
                <w:sz w:val="17"/>
              </w:rPr>
            </w:pPr>
            <w:r>
              <w:rPr>
                <w:rFonts w:ascii="Arial" w:hAnsi="Arial"/>
                <w:i/>
                <w:color w:val="000000"/>
                <w:sz w:val="17"/>
              </w:rPr>
              <w:t>Budget</w:t>
            </w:r>
          </w:p>
        </w:tc>
        <w:tc>
          <w:tcPr>
            <w:tcW w:w="749" w:type="dxa"/>
            <w:tcBorders>
              <w:bottom w:val="single" w:sz="6" w:space="0" w:color="auto"/>
            </w:tcBorders>
          </w:tcPr>
          <w:p w:rsidR="00000000" w:rsidRDefault="001F233B">
            <w:pPr>
              <w:jc w:val="right"/>
              <w:rPr>
                <w:rFonts w:ascii="Arial" w:hAnsi="Arial"/>
                <w:i/>
                <w:color w:val="000000"/>
                <w:sz w:val="17"/>
              </w:rPr>
            </w:pPr>
            <w:r>
              <w:rPr>
                <w:rFonts w:ascii="Arial" w:hAnsi="Arial"/>
                <w:i/>
                <w:color w:val="000000"/>
                <w:sz w:val="17"/>
              </w:rPr>
              <w:t>Estimate</w:t>
            </w:r>
          </w:p>
        </w:tc>
        <w:tc>
          <w:tcPr>
            <w:tcW w:w="749" w:type="dxa"/>
            <w:tcBorders>
              <w:bottom w:val="single" w:sz="6" w:space="0" w:color="auto"/>
            </w:tcBorders>
          </w:tcPr>
          <w:p w:rsidR="00000000" w:rsidRDefault="001F233B">
            <w:pPr>
              <w:jc w:val="right"/>
              <w:rPr>
                <w:rFonts w:ascii="Arial" w:hAnsi="Arial"/>
                <w:i/>
                <w:color w:val="000000"/>
                <w:sz w:val="17"/>
              </w:rPr>
            </w:pPr>
            <w:r>
              <w:rPr>
                <w:rFonts w:ascii="Arial" w:hAnsi="Arial"/>
                <w:i/>
                <w:color w:val="000000"/>
                <w:sz w:val="17"/>
              </w:rPr>
              <w:t>Estimate</w:t>
            </w:r>
          </w:p>
        </w:tc>
        <w:tc>
          <w:tcPr>
            <w:tcW w:w="749" w:type="dxa"/>
            <w:tcBorders>
              <w:bottom w:val="single" w:sz="6" w:space="0" w:color="auto"/>
            </w:tcBorders>
          </w:tcPr>
          <w:p w:rsidR="00000000" w:rsidRDefault="001F233B">
            <w:pPr>
              <w:jc w:val="right"/>
              <w:rPr>
                <w:rFonts w:ascii="Arial" w:hAnsi="Arial"/>
                <w:i/>
                <w:color w:val="000000"/>
                <w:sz w:val="17"/>
              </w:rPr>
            </w:pPr>
            <w:r>
              <w:rPr>
                <w:rFonts w:ascii="Arial" w:hAnsi="Arial"/>
                <w:i/>
                <w:color w:val="000000"/>
                <w:sz w:val="17"/>
              </w:rPr>
              <w:t>Estimate</w:t>
            </w:r>
          </w:p>
        </w:tc>
      </w:tr>
      <w:tr w:rsidR="00000000">
        <w:tblPrEx>
          <w:tblCellMar>
            <w:top w:w="0" w:type="dxa"/>
            <w:bottom w:w="0" w:type="dxa"/>
          </w:tblCellMar>
        </w:tblPrEx>
        <w:trPr>
          <w:trHeight w:hRule="exact" w:val="240"/>
        </w:trPr>
        <w:tc>
          <w:tcPr>
            <w:tcW w:w="3402" w:type="dxa"/>
          </w:tcPr>
          <w:p w:rsidR="00000000" w:rsidRDefault="001F233B">
            <w:pPr>
              <w:rPr>
                <w:rFonts w:ascii="Arial" w:hAnsi="Arial"/>
                <w:b/>
                <w:color w:val="000000"/>
                <w:sz w:val="17"/>
              </w:rPr>
            </w:pPr>
            <w:r>
              <w:rPr>
                <w:rFonts w:ascii="Arial" w:hAnsi="Arial"/>
                <w:b/>
                <w:color w:val="000000"/>
                <w:sz w:val="17"/>
              </w:rPr>
              <w:t>Current Outlays</w:t>
            </w: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Final consumption expenditure</w:t>
            </w:r>
          </w:p>
        </w:tc>
        <w:tc>
          <w:tcPr>
            <w:tcW w:w="749" w:type="dxa"/>
          </w:tcPr>
          <w:p w:rsidR="00000000" w:rsidRDefault="001F233B">
            <w:pPr>
              <w:jc w:val="right"/>
              <w:rPr>
                <w:rFonts w:ascii="Arial" w:hAnsi="Arial"/>
                <w:color w:val="000000"/>
                <w:sz w:val="17"/>
              </w:rPr>
            </w:pPr>
            <w:r>
              <w:rPr>
                <w:rFonts w:ascii="Arial" w:hAnsi="Arial"/>
                <w:color w:val="000000"/>
                <w:sz w:val="17"/>
              </w:rPr>
              <w:t>10 398.6</w:t>
            </w:r>
          </w:p>
        </w:tc>
        <w:tc>
          <w:tcPr>
            <w:tcW w:w="749" w:type="dxa"/>
          </w:tcPr>
          <w:p w:rsidR="00000000" w:rsidRDefault="001F233B">
            <w:pPr>
              <w:jc w:val="right"/>
              <w:rPr>
                <w:rFonts w:ascii="Arial" w:hAnsi="Arial"/>
                <w:color w:val="000000"/>
                <w:sz w:val="17"/>
              </w:rPr>
            </w:pPr>
            <w:r>
              <w:rPr>
                <w:rFonts w:ascii="Arial" w:hAnsi="Arial"/>
                <w:color w:val="000000"/>
                <w:sz w:val="17"/>
              </w:rPr>
              <w:t>11 417.4</w:t>
            </w:r>
          </w:p>
        </w:tc>
        <w:tc>
          <w:tcPr>
            <w:tcW w:w="749" w:type="dxa"/>
          </w:tcPr>
          <w:p w:rsidR="00000000" w:rsidRDefault="001F233B">
            <w:pPr>
              <w:jc w:val="right"/>
              <w:rPr>
                <w:rFonts w:ascii="Arial" w:hAnsi="Arial"/>
                <w:color w:val="000000"/>
                <w:sz w:val="17"/>
              </w:rPr>
            </w:pPr>
            <w:r>
              <w:rPr>
                <w:rFonts w:ascii="Arial" w:hAnsi="Arial"/>
                <w:color w:val="000000"/>
                <w:sz w:val="17"/>
              </w:rPr>
              <w:t>11 629.0</w:t>
            </w:r>
          </w:p>
        </w:tc>
        <w:tc>
          <w:tcPr>
            <w:tcW w:w="749" w:type="dxa"/>
          </w:tcPr>
          <w:p w:rsidR="00000000" w:rsidRDefault="001F233B">
            <w:pPr>
              <w:jc w:val="right"/>
              <w:rPr>
                <w:rFonts w:ascii="Arial" w:hAnsi="Arial"/>
                <w:color w:val="000000"/>
                <w:sz w:val="17"/>
              </w:rPr>
            </w:pPr>
            <w:r>
              <w:rPr>
                <w:rFonts w:ascii="Arial" w:hAnsi="Arial"/>
                <w:color w:val="000000"/>
                <w:sz w:val="17"/>
              </w:rPr>
              <w:t>12 120.8</w:t>
            </w:r>
          </w:p>
        </w:tc>
        <w:tc>
          <w:tcPr>
            <w:tcW w:w="749" w:type="dxa"/>
          </w:tcPr>
          <w:p w:rsidR="00000000" w:rsidRDefault="001F233B">
            <w:pPr>
              <w:jc w:val="right"/>
              <w:rPr>
                <w:rFonts w:ascii="Arial" w:hAnsi="Arial"/>
                <w:color w:val="000000"/>
                <w:sz w:val="17"/>
              </w:rPr>
            </w:pPr>
            <w:r>
              <w:rPr>
                <w:rFonts w:ascii="Arial" w:hAnsi="Arial"/>
                <w:color w:val="000000"/>
                <w:sz w:val="17"/>
              </w:rPr>
              <w:t>12 424.4</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Interest payments</w:t>
            </w:r>
          </w:p>
        </w:tc>
        <w:tc>
          <w:tcPr>
            <w:tcW w:w="749" w:type="dxa"/>
          </w:tcPr>
          <w:p w:rsidR="00000000" w:rsidRDefault="001F233B">
            <w:pPr>
              <w:jc w:val="right"/>
              <w:rPr>
                <w:rFonts w:ascii="Arial" w:hAnsi="Arial"/>
                <w:color w:val="000000"/>
                <w:sz w:val="17"/>
              </w:rPr>
            </w:pPr>
            <w:r>
              <w:rPr>
                <w:rFonts w:ascii="Arial" w:hAnsi="Arial"/>
                <w:color w:val="000000"/>
                <w:sz w:val="17"/>
              </w:rPr>
              <w:t>1 158.0</w:t>
            </w:r>
          </w:p>
        </w:tc>
        <w:tc>
          <w:tcPr>
            <w:tcW w:w="749" w:type="dxa"/>
          </w:tcPr>
          <w:p w:rsidR="00000000" w:rsidRDefault="001F233B">
            <w:pPr>
              <w:jc w:val="right"/>
              <w:rPr>
                <w:rFonts w:ascii="Arial" w:hAnsi="Arial"/>
                <w:color w:val="000000"/>
                <w:sz w:val="17"/>
              </w:rPr>
            </w:pPr>
            <w:r>
              <w:rPr>
                <w:rFonts w:ascii="Arial" w:hAnsi="Arial"/>
                <w:color w:val="000000"/>
                <w:sz w:val="17"/>
              </w:rPr>
              <w:t xml:space="preserve"> 808.7</w:t>
            </w:r>
          </w:p>
        </w:tc>
        <w:tc>
          <w:tcPr>
            <w:tcW w:w="749" w:type="dxa"/>
          </w:tcPr>
          <w:p w:rsidR="00000000" w:rsidRDefault="001F233B">
            <w:pPr>
              <w:jc w:val="right"/>
              <w:rPr>
                <w:rFonts w:ascii="Arial" w:hAnsi="Arial"/>
                <w:color w:val="000000"/>
                <w:sz w:val="17"/>
              </w:rPr>
            </w:pPr>
            <w:r>
              <w:rPr>
                <w:rFonts w:ascii="Arial" w:hAnsi="Arial"/>
                <w:color w:val="000000"/>
                <w:sz w:val="17"/>
              </w:rPr>
              <w:t xml:space="preserve"> 757.0</w:t>
            </w:r>
          </w:p>
        </w:tc>
        <w:tc>
          <w:tcPr>
            <w:tcW w:w="749" w:type="dxa"/>
          </w:tcPr>
          <w:p w:rsidR="00000000" w:rsidRDefault="001F233B">
            <w:pPr>
              <w:jc w:val="right"/>
              <w:rPr>
                <w:rFonts w:ascii="Arial" w:hAnsi="Arial"/>
                <w:color w:val="000000"/>
                <w:sz w:val="17"/>
              </w:rPr>
            </w:pPr>
            <w:r>
              <w:rPr>
                <w:rFonts w:ascii="Arial" w:hAnsi="Arial"/>
                <w:color w:val="000000"/>
                <w:sz w:val="17"/>
              </w:rPr>
              <w:t xml:space="preserve"> 708.8</w:t>
            </w:r>
          </w:p>
        </w:tc>
        <w:tc>
          <w:tcPr>
            <w:tcW w:w="749" w:type="dxa"/>
          </w:tcPr>
          <w:p w:rsidR="00000000" w:rsidRDefault="001F233B">
            <w:pPr>
              <w:jc w:val="right"/>
              <w:rPr>
                <w:rFonts w:ascii="Arial" w:hAnsi="Arial"/>
                <w:color w:val="000000"/>
                <w:sz w:val="17"/>
              </w:rPr>
            </w:pPr>
            <w:r>
              <w:rPr>
                <w:rFonts w:ascii="Arial" w:hAnsi="Arial"/>
                <w:color w:val="000000"/>
                <w:sz w:val="17"/>
              </w:rPr>
              <w:t xml:space="preserve"> 686.6</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Subsidies to PTEs</w:t>
            </w:r>
          </w:p>
        </w:tc>
        <w:tc>
          <w:tcPr>
            <w:tcW w:w="749" w:type="dxa"/>
          </w:tcPr>
          <w:p w:rsidR="00000000" w:rsidRDefault="001F233B">
            <w:pPr>
              <w:jc w:val="right"/>
              <w:rPr>
                <w:rFonts w:ascii="Arial" w:hAnsi="Arial"/>
                <w:color w:val="000000"/>
                <w:sz w:val="17"/>
              </w:rPr>
            </w:pPr>
            <w:r>
              <w:rPr>
                <w:rFonts w:ascii="Arial" w:hAnsi="Arial"/>
                <w:color w:val="000000"/>
                <w:sz w:val="17"/>
              </w:rPr>
              <w:t xml:space="preserve"> 279.6</w:t>
            </w:r>
          </w:p>
        </w:tc>
        <w:tc>
          <w:tcPr>
            <w:tcW w:w="749" w:type="dxa"/>
          </w:tcPr>
          <w:p w:rsidR="00000000" w:rsidRDefault="001F233B">
            <w:pPr>
              <w:jc w:val="right"/>
              <w:rPr>
                <w:rFonts w:ascii="Arial" w:hAnsi="Arial"/>
                <w:color w:val="000000"/>
                <w:sz w:val="17"/>
              </w:rPr>
            </w:pPr>
            <w:r>
              <w:rPr>
                <w:rFonts w:ascii="Arial" w:hAnsi="Arial"/>
                <w:color w:val="000000"/>
                <w:sz w:val="17"/>
              </w:rPr>
              <w:t xml:space="preserve"> 391.6</w:t>
            </w:r>
          </w:p>
        </w:tc>
        <w:tc>
          <w:tcPr>
            <w:tcW w:w="749" w:type="dxa"/>
          </w:tcPr>
          <w:p w:rsidR="00000000" w:rsidRDefault="001F233B">
            <w:pPr>
              <w:jc w:val="right"/>
              <w:rPr>
                <w:rFonts w:ascii="Arial" w:hAnsi="Arial"/>
                <w:color w:val="000000"/>
                <w:sz w:val="17"/>
              </w:rPr>
            </w:pPr>
            <w:r>
              <w:rPr>
                <w:rFonts w:ascii="Arial" w:hAnsi="Arial"/>
                <w:color w:val="000000"/>
                <w:sz w:val="17"/>
              </w:rPr>
              <w:t xml:space="preserve"> 251.7</w:t>
            </w:r>
          </w:p>
        </w:tc>
        <w:tc>
          <w:tcPr>
            <w:tcW w:w="749" w:type="dxa"/>
          </w:tcPr>
          <w:p w:rsidR="00000000" w:rsidRDefault="001F233B">
            <w:pPr>
              <w:jc w:val="right"/>
              <w:rPr>
                <w:rFonts w:ascii="Arial" w:hAnsi="Arial"/>
                <w:color w:val="000000"/>
                <w:sz w:val="17"/>
              </w:rPr>
            </w:pPr>
            <w:r>
              <w:rPr>
                <w:rFonts w:ascii="Arial" w:hAnsi="Arial"/>
                <w:color w:val="000000"/>
                <w:sz w:val="17"/>
              </w:rPr>
              <w:t xml:space="preserve"> 298.3</w:t>
            </w:r>
          </w:p>
        </w:tc>
        <w:tc>
          <w:tcPr>
            <w:tcW w:w="749" w:type="dxa"/>
          </w:tcPr>
          <w:p w:rsidR="00000000" w:rsidRDefault="001F233B">
            <w:pPr>
              <w:jc w:val="right"/>
              <w:rPr>
                <w:rFonts w:ascii="Arial" w:hAnsi="Arial"/>
                <w:color w:val="000000"/>
                <w:sz w:val="17"/>
              </w:rPr>
            </w:pPr>
            <w:r>
              <w:rPr>
                <w:rFonts w:ascii="Arial" w:hAnsi="Arial"/>
                <w:color w:val="000000"/>
                <w:sz w:val="17"/>
              </w:rPr>
              <w:t xml:space="preserve"> 356.4</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Current grants</w:t>
            </w:r>
          </w:p>
        </w:tc>
        <w:tc>
          <w:tcPr>
            <w:tcW w:w="749" w:type="dxa"/>
          </w:tcPr>
          <w:p w:rsidR="00000000" w:rsidRDefault="001F233B">
            <w:pPr>
              <w:jc w:val="right"/>
              <w:rPr>
                <w:rFonts w:ascii="Arial" w:hAnsi="Arial"/>
                <w:color w:val="000000"/>
                <w:sz w:val="17"/>
              </w:rPr>
            </w:pPr>
            <w:r>
              <w:rPr>
                <w:rFonts w:ascii="Arial" w:hAnsi="Arial"/>
                <w:color w:val="000000"/>
                <w:sz w:val="17"/>
              </w:rPr>
              <w:t>2 076.2</w:t>
            </w:r>
          </w:p>
        </w:tc>
        <w:tc>
          <w:tcPr>
            <w:tcW w:w="749" w:type="dxa"/>
          </w:tcPr>
          <w:p w:rsidR="00000000" w:rsidRDefault="001F233B">
            <w:pPr>
              <w:jc w:val="right"/>
              <w:rPr>
                <w:rFonts w:ascii="Arial" w:hAnsi="Arial"/>
                <w:color w:val="000000"/>
                <w:sz w:val="17"/>
              </w:rPr>
            </w:pPr>
            <w:r>
              <w:rPr>
                <w:rFonts w:ascii="Arial" w:hAnsi="Arial"/>
                <w:color w:val="000000"/>
                <w:sz w:val="17"/>
              </w:rPr>
              <w:t>2 159.2</w:t>
            </w:r>
          </w:p>
        </w:tc>
        <w:tc>
          <w:tcPr>
            <w:tcW w:w="749" w:type="dxa"/>
          </w:tcPr>
          <w:p w:rsidR="00000000" w:rsidRDefault="001F233B">
            <w:pPr>
              <w:jc w:val="right"/>
              <w:rPr>
                <w:rFonts w:ascii="Arial" w:hAnsi="Arial"/>
                <w:color w:val="000000"/>
                <w:sz w:val="17"/>
              </w:rPr>
            </w:pPr>
            <w:r>
              <w:rPr>
                <w:rFonts w:ascii="Arial" w:hAnsi="Arial"/>
                <w:color w:val="000000"/>
                <w:sz w:val="17"/>
              </w:rPr>
              <w:t>2 140.7</w:t>
            </w:r>
          </w:p>
        </w:tc>
        <w:tc>
          <w:tcPr>
            <w:tcW w:w="749" w:type="dxa"/>
          </w:tcPr>
          <w:p w:rsidR="00000000" w:rsidRDefault="001F233B">
            <w:pPr>
              <w:jc w:val="right"/>
              <w:rPr>
                <w:rFonts w:ascii="Arial" w:hAnsi="Arial"/>
                <w:color w:val="000000"/>
                <w:sz w:val="17"/>
              </w:rPr>
            </w:pPr>
            <w:r>
              <w:rPr>
                <w:rFonts w:ascii="Arial" w:hAnsi="Arial"/>
                <w:color w:val="000000"/>
                <w:sz w:val="17"/>
              </w:rPr>
              <w:t>2 179.4</w:t>
            </w:r>
          </w:p>
        </w:tc>
        <w:tc>
          <w:tcPr>
            <w:tcW w:w="749" w:type="dxa"/>
          </w:tcPr>
          <w:p w:rsidR="00000000" w:rsidRDefault="001F233B">
            <w:pPr>
              <w:jc w:val="right"/>
              <w:rPr>
                <w:rFonts w:ascii="Arial" w:hAnsi="Arial"/>
                <w:color w:val="000000"/>
                <w:sz w:val="17"/>
              </w:rPr>
            </w:pPr>
            <w:r>
              <w:rPr>
                <w:rFonts w:ascii="Arial" w:hAnsi="Arial"/>
                <w:color w:val="000000"/>
                <w:sz w:val="17"/>
              </w:rPr>
              <w:t>2 229.8</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Other current payments</w:t>
            </w:r>
          </w:p>
        </w:tc>
        <w:tc>
          <w:tcPr>
            <w:tcW w:w="749" w:type="dxa"/>
          </w:tcPr>
          <w:p w:rsidR="00000000" w:rsidRDefault="001F233B">
            <w:pPr>
              <w:jc w:val="right"/>
              <w:rPr>
                <w:rFonts w:ascii="Arial" w:hAnsi="Arial"/>
                <w:color w:val="000000"/>
                <w:sz w:val="17"/>
              </w:rPr>
            </w:pPr>
            <w:r>
              <w:rPr>
                <w:rFonts w:ascii="Arial" w:hAnsi="Arial"/>
                <w:color w:val="000000"/>
                <w:sz w:val="17"/>
              </w:rPr>
              <w:t xml:space="preserve"> 852.3</w:t>
            </w:r>
          </w:p>
        </w:tc>
        <w:tc>
          <w:tcPr>
            <w:tcW w:w="749" w:type="dxa"/>
          </w:tcPr>
          <w:p w:rsidR="00000000" w:rsidRDefault="001F233B">
            <w:pPr>
              <w:jc w:val="right"/>
              <w:rPr>
                <w:rFonts w:ascii="Arial" w:hAnsi="Arial"/>
                <w:color w:val="000000"/>
                <w:sz w:val="17"/>
              </w:rPr>
            </w:pPr>
            <w:r>
              <w:rPr>
                <w:rFonts w:ascii="Arial" w:hAnsi="Arial"/>
                <w:color w:val="000000"/>
                <w:sz w:val="17"/>
              </w:rPr>
              <w:t xml:space="preserve"> 542.3</w:t>
            </w:r>
          </w:p>
        </w:tc>
        <w:tc>
          <w:tcPr>
            <w:tcW w:w="749" w:type="dxa"/>
          </w:tcPr>
          <w:p w:rsidR="00000000" w:rsidRDefault="001F233B">
            <w:pPr>
              <w:jc w:val="right"/>
              <w:rPr>
                <w:rFonts w:ascii="Arial" w:hAnsi="Arial"/>
                <w:color w:val="000000"/>
                <w:sz w:val="17"/>
              </w:rPr>
            </w:pPr>
            <w:r>
              <w:rPr>
                <w:rFonts w:ascii="Arial" w:hAnsi="Arial"/>
                <w:color w:val="000000"/>
                <w:sz w:val="17"/>
              </w:rPr>
              <w:t xml:space="preserve"> 527.0</w:t>
            </w:r>
          </w:p>
        </w:tc>
        <w:tc>
          <w:tcPr>
            <w:tcW w:w="749" w:type="dxa"/>
          </w:tcPr>
          <w:p w:rsidR="00000000" w:rsidRDefault="001F233B">
            <w:pPr>
              <w:jc w:val="right"/>
              <w:rPr>
                <w:rFonts w:ascii="Arial" w:hAnsi="Arial"/>
                <w:color w:val="000000"/>
                <w:sz w:val="17"/>
              </w:rPr>
            </w:pPr>
            <w:r>
              <w:rPr>
                <w:rFonts w:ascii="Arial" w:hAnsi="Arial"/>
                <w:color w:val="000000"/>
                <w:sz w:val="17"/>
              </w:rPr>
              <w:t xml:space="preserve"> 531.4</w:t>
            </w:r>
          </w:p>
        </w:tc>
        <w:tc>
          <w:tcPr>
            <w:tcW w:w="749" w:type="dxa"/>
          </w:tcPr>
          <w:p w:rsidR="00000000" w:rsidRDefault="001F233B">
            <w:pPr>
              <w:jc w:val="right"/>
              <w:rPr>
                <w:rFonts w:ascii="Arial" w:hAnsi="Arial"/>
                <w:color w:val="000000"/>
                <w:sz w:val="17"/>
              </w:rPr>
            </w:pPr>
            <w:r>
              <w:rPr>
                <w:rFonts w:ascii="Arial" w:hAnsi="Arial"/>
                <w:color w:val="000000"/>
                <w:sz w:val="17"/>
              </w:rPr>
              <w:t xml:space="preserve"> 427.4</w:t>
            </w:r>
          </w:p>
        </w:tc>
      </w:tr>
      <w:tr w:rsidR="00000000">
        <w:tblPrEx>
          <w:tblCellMar>
            <w:top w:w="0" w:type="dxa"/>
            <w:bottom w:w="0" w:type="dxa"/>
          </w:tblCellMar>
        </w:tblPrEx>
        <w:trPr>
          <w:trHeight w:hRule="exact" w:val="240"/>
        </w:trPr>
        <w:tc>
          <w:tcPr>
            <w:tcW w:w="3402" w:type="dxa"/>
            <w:tcBorders>
              <w:top w:val="single" w:sz="6" w:space="0" w:color="auto"/>
              <w:bottom w:val="single" w:sz="6" w:space="0" w:color="auto"/>
            </w:tcBorders>
          </w:tcPr>
          <w:p w:rsidR="00000000" w:rsidRDefault="001F233B">
            <w:pPr>
              <w:rPr>
                <w:rFonts w:ascii="Arial" w:hAnsi="Arial"/>
                <w:b/>
                <w:color w:val="000000"/>
                <w:sz w:val="17"/>
              </w:rPr>
            </w:pPr>
            <w:r>
              <w:rPr>
                <w:rFonts w:ascii="Arial" w:hAnsi="Arial"/>
                <w:b/>
                <w:color w:val="000000"/>
                <w:sz w:val="17"/>
              </w:rPr>
              <w:t>Total Current outlays</w:t>
            </w:r>
            <w:r>
              <w:rPr>
                <w:rFonts w:ascii="Arial" w:hAnsi="Arial"/>
                <w:b/>
                <w:color w:val="000000"/>
                <w:sz w:val="17"/>
              </w:rPr>
              <w:fldChar w:fldCharType="begin"/>
            </w:r>
            <w:r>
              <w:rPr>
                <w:rFonts w:ascii="Arial" w:hAnsi="Arial"/>
                <w:b/>
                <w:color w:val="000000"/>
                <w:sz w:val="17"/>
              </w:rPr>
              <w:instrText>xe "Current outlays"</w:instrText>
            </w:r>
            <w:r>
              <w:rPr>
                <w:rFonts w:ascii="Arial" w:hAnsi="Arial"/>
                <w:b/>
                <w:color w:val="000000"/>
                <w:sz w:val="17"/>
              </w:rPr>
              <w:fldChar w:fldCharType="end"/>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14 764.7</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15 319.2</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15 305.4</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15 838.8</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16 124.7</w:t>
            </w:r>
          </w:p>
        </w:tc>
      </w:tr>
      <w:tr w:rsidR="00000000">
        <w:tblPrEx>
          <w:tblCellMar>
            <w:top w:w="0" w:type="dxa"/>
            <w:bottom w:w="0" w:type="dxa"/>
          </w:tblCellMar>
        </w:tblPrEx>
        <w:trPr>
          <w:trHeight w:hRule="exact" w:val="140"/>
        </w:trPr>
        <w:tc>
          <w:tcPr>
            <w:tcW w:w="3402" w:type="dxa"/>
          </w:tcPr>
          <w:p w:rsidR="00000000" w:rsidRDefault="001F233B">
            <w:pPr>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r>
      <w:tr w:rsidR="00000000">
        <w:tblPrEx>
          <w:tblCellMar>
            <w:top w:w="0" w:type="dxa"/>
            <w:bottom w:w="0" w:type="dxa"/>
          </w:tblCellMar>
        </w:tblPrEx>
        <w:trPr>
          <w:trHeight w:hRule="exact" w:val="240"/>
        </w:trPr>
        <w:tc>
          <w:tcPr>
            <w:tcW w:w="3402" w:type="dxa"/>
          </w:tcPr>
          <w:p w:rsidR="00000000" w:rsidRDefault="001F233B">
            <w:pPr>
              <w:rPr>
                <w:rFonts w:ascii="Arial" w:hAnsi="Arial"/>
                <w:b/>
                <w:color w:val="000000"/>
                <w:sz w:val="17"/>
              </w:rPr>
            </w:pPr>
            <w:r>
              <w:rPr>
                <w:rFonts w:ascii="Arial" w:hAnsi="Arial"/>
                <w:b/>
                <w:color w:val="000000"/>
                <w:sz w:val="17"/>
              </w:rPr>
              <w:t>Capital Outlays</w:t>
            </w: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Expenditure on new fixed assets</w:t>
            </w:r>
          </w:p>
        </w:tc>
        <w:tc>
          <w:tcPr>
            <w:tcW w:w="749" w:type="dxa"/>
          </w:tcPr>
          <w:p w:rsidR="00000000" w:rsidRDefault="001F233B">
            <w:pPr>
              <w:jc w:val="right"/>
              <w:rPr>
                <w:rFonts w:ascii="Arial" w:hAnsi="Arial"/>
                <w:color w:val="000000"/>
                <w:sz w:val="17"/>
              </w:rPr>
            </w:pPr>
            <w:r>
              <w:rPr>
                <w:rFonts w:ascii="Arial" w:hAnsi="Arial"/>
                <w:color w:val="000000"/>
                <w:sz w:val="17"/>
              </w:rPr>
              <w:t>1 467.9</w:t>
            </w:r>
          </w:p>
        </w:tc>
        <w:tc>
          <w:tcPr>
            <w:tcW w:w="749" w:type="dxa"/>
          </w:tcPr>
          <w:p w:rsidR="00000000" w:rsidRDefault="001F233B">
            <w:pPr>
              <w:jc w:val="right"/>
              <w:rPr>
                <w:rFonts w:ascii="Arial" w:hAnsi="Arial"/>
                <w:color w:val="000000"/>
                <w:sz w:val="17"/>
              </w:rPr>
            </w:pPr>
            <w:r>
              <w:rPr>
                <w:rFonts w:ascii="Arial" w:hAnsi="Arial"/>
                <w:color w:val="000000"/>
                <w:sz w:val="17"/>
              </w:rPr>
              <w:t>1 457.9</w:t>
            </w:r>
          </w:p>
        </w:tc>
        <w:tc>
          <w:tcPr>
            <w:tcW w:w="749" w:type="dxa"/>
          </w:tcPr>
          <w:p w:rsidR="00000000" w:rsidRDefault="001F233B">
            <w:pPr>
              <w:jc w:val="right"/>
              <w:rPr>
                <w:rFonts w:ascii="Arial" w:hAnsi="Arial"/>
                <w:color w:val="000000"/>
                <w:sz w:val="17"/>
              </w:rPr>
            </w:pPr>
            <w:r>
              <w:rPr>
                <w:rFonts w:ascii="Arial" w:hAnsi="Arial"/>
                <w:color w:val="000000"/>
                <w:sz w:val="17"/>
              </w:rPr>
              <w:t>1 658.6</w:t>
            </w:r>
          </w:p>
        </w:tc>
        <w:tc>
          <w:tcPr>
            <w:tcW w:w="749" w:type="dxa"/>
          </w:tcPr>
          <w:p w:rsidR="00000000" w:rsidRDefault="001F233B">
            <w:pPr>
              <w:jc w:val="right"/>
              <w:rPr>
                <w:rFonts w:ascii="Arial" w:hAnsi="Arial"/>
                <w:color w:val="000000"/>
                <w:sz w:val="17"/>
              </w:rPr>
            </w:pPr>
            <w:r>
              <w:rPr>
                <w:rFonts w:ascii="Arial" w:hAnsi="Arial"/>
                <w:color w:val="000000"/>
                <w:sz w:val="17"/>
              </w:rPr>
              <w:t>1 804.1</w:t>
            </w:r>
          </w:p>
        </w:tc>
        <w:tc>
          <w:tcPr>
            <w:tcW w:w="749" w:type="dxa"/>
          </w:tcPr>
          <w:p w:rsidR="00000000" w:rsidRDefault="001F233B">
            <w:pPr>
              <w:jc w:val="right"/>
              <w:rPr>
                <w:rFonts w:ascii="Arial" w:hAnsi="Arial"/>
                <w:color w:val="000000"/>
                <w:sz w:val="17"/>
              </w:rPr>
            </w:pPr>
            <w:r>
              <w:rPr>
                <w:rFonts w:ascii="Arial" w:hAnsi="Arial"/>
                <w:color w:val="000000"/>
                <w:sz w:val="17"/>
              </w:rPr>
              <w:t>1 960.2</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Expenditure on secondhand assets (net)</w:t>
            </w:r>
          </w:p>
        </w:tc>
        <w:tc>
          <w:tcPr>
            <w:tcW w:w="749" w:type="dxa"/>
          </w:tcPr>
          <w:p w:rsidR="00000000" w:rsidRDefault="001F233B">
            <w:pPr>
              <w:jc w:val="right"/>
              <w:rPr>
                <w:rFonts w:ascii="Arial" w:hAnsi="Arial"/>
                <w:color w:val="000000"/>
                <w:sz w:val="17"/>
              </w:rPr>
            </w:pPr>
            <w:r>
              <w:rPr>
                <w:rFonts w:ascii="Arial" w:hAnsi="Arial"/>
                <w:color w:val="000000"/>
                <w:sz w:val="17"/>
              </w:rPr>
              <w:t>- 156.9</w:t>
            </w:r>
          </w:p>
        </w:tc>
        <w:tc>
          <w:tcPr>
            <w:tcW w:w="749" w:type="dxa"/>
          </w:tcPr>
          <w:p w:rsidR="00000000" w:rsidRDefault="001F233B">
            <w:pPr>
              <w:jc w:val="right"/>
              <w:rPr>
                <w:rFonts w:ascii="Arial" w:hAnsi="Arial"/>
                <w:color w:val="000000"/>
                <w:sz w:val="17"/>
              </w:rPr>
            </w:pPr>
            <w:r>
              <w:rPr>
                <w:rFonts w:ascii="Arial" w:hAnsi="Arial"/>
                <w:color w:val="000000"/>
                <w:sz w:val="17"/>
              </w:rPr>
              <w:t>- 7.4</w:t>
            </w:r>
          </w:p>
        </w:tc>
        <w:tc>
          <w:tcPr>
            <w:tcW w:w="749" w:type="dxa"/>
          </w:tcPr>
          <w:p w:rsidR="00000000" w:rsidRDefault="001F233B">
            <w:pPr>
              <w:jc w:val="right"/>
              <w:rPr>
                <w:rFonts w:ascii="Arial" w:hAnsi="Arial"/>
                <w:color w:val="000000"/>
                <w:sz w:val="17"/>
              </w:rPr>
            </w:pPr>
            <w:r>
              <w:rPr>
                <w:rFonts w:ascii="Arial" w:hAnsi="Arial"/>
                <w:color w:val="000000"/>
                <w:sz w:val="17"/>
              </w:rPr>
              <w:t>- 6.5</w:t>
            </w:r>
          </w:p>
        </w:tc>
        <w:tc>
          <w:tcPr>
            <w:tcW w:w="749" w:type="dxa"/>
          </w:tcPr>
          <w:p w:rsidR="00000000" w:rsidRDefault="001F233B">
            <w:pPr>
              <w:jc w:val="right"/>
              <w:rPr>
                <w:rFonts w:ascii="Arial" w:hAnsi="Arial"/>
                <w:color w:val="000000"/>
                <w:sz w:val="17"/>
              </w:rPr>
            </w:pPr>
            <w:r>
              <w:rPr>
                <w:rFonts w:ascii="Arial" w:hAnsi="Arial"/>
                <w:color w:val="000000"/>
                <w:sz w:val="17"/>
              </w:rPr>
              <w:t>- 18.8</w:t>
            </w:r>
          </w:p>
        </w:tc>
        <w:tc>
          <w:tcPr>
            <w:tcW w:w="749" w:type="dxa"/>
          </w:tcPr>
          <w:p w:rsidR="00000000" w:rsidRDefault="001F233B">
            <w:pPr>
              <w:jc w:val="right"/>
              <w:rPr>
                <w:rFonts w:ascii="Arial" w:hAnsi="Arial"/>
                <w:color w:val="000000"/>
                <w:sz w:val="17"/>
              </w:rPr>
            </w:pPr>
            <w:r>
              <w:rPr>
                <w:rFonts w:ascii="Arial" w:hAnsi="Arial"/>
                <w:color w:val="000000"/>
                <w:sz w:val="17"/>
              </w:rPr>
              <w:t>- 17.1</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Gross fixed capital expenditure</w:t>
            </w:r>
          </w:p>
        </w:tc>
        <w:tc>
          <w:tcPr>
            <w:tcW w:w="749" w:type="dxa"/>
            <w:tcBorders>
              <w:top w:val="single" w:sz="6" w:space="0" w:color="auto"/>
            </w:tcBorders>
          </w:tcPr>
          <w:p w:rsidR="00000000" w:rsidRDefault="001F233B">
            <w:pPr>
              <w:jc w:val="right"/>
              <w:rPr>
                <w:rFonts w:ascii="Arial" w:hAnsi="Arial"/>
                <w:color w:val="000000"/>
                <w:sz w:val="17"/>
              </w:rPr>
            </w:pPr>
            <w:r>
              <w:rPr>
                <w:rFonts w:ascii="Arial" w:hAnsi="Arial"/>
                <w:color w:val="000000"/>
                <w:sz w:val="17"/>
              </w:rPr>
              <w:t>1 311.1</w:t>
            </w:r>
          </w:p>
        </w:tc>
        <w:tc>
          <w:tcPr>
            <w:tcW w:w="749" w:type="dxa"/>
            <w:tcBorders>
              <w:top w:val="single" w:sz="6" w:space="0" w:color="auto"/>
            </w:tcBorders>
          </w:tcPr>
          <w:p w:rsidR="00000000" w:rsidRDefault="001F233B">
            <w:pPr>
              <w:jc w:val="right"/>
              <w:rPr>
                <w:rFonts w:ascii="Arial" w:hAnsi="Arial"/>
                <w:color w:val="000000"/>
                <w:sz w:val="17"/>
              </w:rPr>
            </w:pPr>
            <w:r>
              <w:rPr>
                <w:rFonts w:ascii="Arial" w:hAnsi="Arial"/>
                <w:color w:val="000000"/>
                <w:sz w:val="17"/>
              </w:rPr>
              <w:t>1 450.5</w:t>
            </w:r>
          </w:p>
        </w:tc>
        <w:tc>
          <w:tcPr>
            <w:tcW w:w="749" w:type="dxa"/>
            <w:tcBorders>
              <w:top w:val="single" w:sz="6" w:space="0" w:color="auto"/>
            </w:tcBorders>
          </w:tcPr>
          <w:p w:rsidR="00000000" w:rsidRDefault="001F233B">
            <w:pPr>
              <w:jc w:val="right"/>
              <w:rPr>
                <w:rFonts w:ascii="Arial" w:hAnsi="Arial"/>
                <w:color w:val="000000"/>
                <w:sz w:val="17"/>
              </w:rPr>
            </w:pPr>
            <w:r>
              <w:rPr>
                <w:rFonts w:ascii="Arial" w:hAnsi="Arial"/>
                <w:color w:val="000000"/>
                <w:sz w:val="17"/>
              </w:rPr>
              <w:t>1 652.1</w:t>
            </w:r>
          </w:p>
        </w:tc>
        <w:tc>
          <w:tcPr>
            <w:tcW w:w="749" w:type="dxa"/>
            <w:tcBorders>
              <w:top w:val="single" w:sz="6" w:space="0" w:color="auto"/>
            </w:tcBorders>
          </w:tcPr>
          <w:p w:rsidR="00000000" w:rsidRDefault="001F233B">
            <w:pPr>
              <w:jc w:val="right"/>
              <w:rPr>
                <w:rFonts w:ascii="Arial" w:hAnsi="Arial"/>
                <w:color w:val="000000"/>
                <w:sz w:val="17"/>
              </w:rPr>
            </w:pPr>
            <w:r>
              <w:rPr>
                <w:rFonts w:ascii="Arial" w:hAnsi="Arial"/>
                <w:color w:val="000000"/>
                <w:sz w:val="17"/>
              </w:rPr>
              <w:t>1 785.3</w:t>
            </w:r>
          </w:p>
        </w:tc>
        <w:tc>
          <w:tcPr>
            <w:tcW w:w="749" w:type="dxa"/>
            <w:tcBorders>
              <w:top w:val="single" w:sz="6" w:space="0" w:color="auto"/>
            </w:tcBorders>
          </w:tcPr>
          <w:p w:rsidR="00000000" w:rsidRDefault="001F233B">
            <w:pPr>
              <w:jc w:val="right"/>
              <w:rPr>
                <w:rFonts w:ascii="Arial" w:hAnsi="Arial"/>
                <w:color w:val="000000"/>
                <w:sz w:val="17"/>
              </w:rPr>
            </w:pPr>
            <w:r>
              <w:rPr>
                <w:rFonts w:ascii="Arial" w:hAnsi="Arial"/>
                <w:color w:val="000000"/>
                <w:sz w:val="17"/>
              </w:rPr>
              <w:t>1 943.1</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Capital grants</w:t>
            </w:r>
          </w:p>
        </w:tc>
        <w:tc>
          <w:tcPr>
            <w:tcW w:w="749" w:type="dxa"/>
          </w:tcPr>
          <w:p w:rsidR="00000000" w:rsidRDefault="001F233B">
            <w:pPr>
              <w:jc w:val="right"/>
              <w:rPr>
                <w:rFonts w:ascii="Arial" w:hAnsi="Arial"/>
                <w:color w:val="000000"/>
                <w:sz w:val="17"/>
              </w:rPr>
            </w:pPr>
            <w:r>
              <w:rPr>
                <w:rFonts w:ascii="Arial" w:hAnsi="Arial"/>
                <w:color w:val="000000"/>
                <w:sz w:val="17"/>
              </w:rPr>
              <w:t xml:space="preserve"> 329.9</w:t>
            </w:r>
          </w:p>
        </w:tc>
        <w:tc>
          <w:tcPr>
            <w:tcW w:w="749" w:type="dxa"/>
          </w:tcPr>
          <w:p w:rsidR="00000000" w:rsidRDefault="001F233B">
            <w:pPr>
              <w:jc w:val="right"/>
              <w:rPr>
                <w:rFonts w:ascii="Arial" w:hAnsi="Arial"/>
                <w:color w:val="000000"/>
                <w:sz w:val="17"/>
              </w:rPr>
            </w:pPr>
            <w:r>
              <w:rPr>
                <w:rFonts w:ascii="Arial" w:hAnsi="Arial"/>
                <w:color w:val="000000"/>
                <w:sz w:val="17"/>
              </w:rPr>
              <w:t xml:space="preserve"> 389.9</w:t>
            </w:r>
          </w:p>
        </w:tc>
        <w:tc>
          <w:tcPr>
            <w:tcW w:w="749" w:type="dxa"/>
          </w:tcPr>
          <w:p w:rsidR="00000000" w:rsidRDefault="001F233B">
            <w:pPr>
              <w:jc w:val="right"/>
              <w:rPr>
                <w:rFonts w:ascii="Arial" w:hAnsi="Arial"/>
                <w:color w:val="000000"/>
                <w:sz w:val="17"/>
              </w:rPr>
            </w:pPr>
            <w:r>
              <w:rPr>
                <w:rFonts w:ascii="Arial" w:hAnsi="Arial"/>
                <w:color w:val="000000"/>
                <w:sz w:val="17"/>
              </w:rPr>
              <w:t xml:space="preserve"> 357.4</w:t>
            </w:r>
          </w:p>
        </w:tc>
        <w:tc>
          <w:tcPr>
            <w:tcW w:w="749" w:type="dxa"/>
          </w:tcPr>
          <w:p w:rsidR="00000000" w:rsidRDefault="001F233B">
            <w:pPr>
              <w:jc w:val="right"/>
              <w:rPr>
                <w:rFonts w:ascii="Arial" w:hAnsi="Arial"/>
                <w:color w:val="000000"/>
                <w:sz w:val="17"/>
              </w:rPr>
            </w:pPr>
            <w:r>
              <w:rPr>
                <w:rFonts w:ascii="Arial" w:hAnsi="Arial"/>
                <w:color w:val="000000"/>
                <w:sz w:val="17"/>
              </w:rPr>
              <w:t xml:space="preserve"> 336.0</w:t>
            </w:r>
          </w:p>
        </w:tc>
        <w:tc>
          <w:tcPr>
            <w:tcW w:w="749" w:type="dxa"/>
          </w:tcPr>
          <w:p w:rsidR="00000000" w:rsidRDefault="001F233B">
            <w:pPr>
              <w:jc w:val="right"/>
              <w:rPr>
                <w:rFonts w:ascii="Arial" w:hAnsi="Arial"/>
                <w:color w:val="000000"/>
                <w:sz w:val="17"/>
              </w:rPr>
            </w:pPr>
            <w:r>
              <w:rPr>
                <w:rFonts w:ascii="Arial" w:hAnsi="Arial"/>
                <w:color w:val="000000"/>
                <w:sz w:val="17"/>
              </w:rPr>
              <w:t xml:space="preserve"> 326.4</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Net advances paid</w:t>
            </w:r>
          </w:p>
        </w:tc>
        <w:tc>
          <w:tcPr>
            <w:tcW w:w="749" w:type="dxa"/>
          </w:tcPr>
          <w:p w:rsidR="00000000" w:rsidRDefault="001F233B">
            <w:pPr>
              <w:jc w:val="right"/>
              <w:rPr>
                <w:rFonts w:ascii="Arial" w:hAnsi="Arial"/>
                <w:color w:val="000000"/>
                <w:sz w:val="17"/>
              </w:rPr>
            </w:pPr>
            <w:r>
              <w:rPr>
                <w:rFonts w:ascii="Arial" w:hAnsi="Arial"/>
                <w:color w:val="000000"/>
                <w:sz w:val="17"/>
              </w:rPr>
              <w:t>-1 359.5</w:t>
            </w:r>
          </w:p>
        </w:tc>
        <w:tc>
          <w:tcPr>
            <w:tcW w:w="749" w:type="dxa"/>
          </w:tcPr>
          <w:p w:rsidR="00000000" w:rsidRDefault="001F233B">
            <w:pPr>
              <w:jc w:val="right"/>
              <w:rPr>
                <w:rFonts w:ascii="Arial" w:hAnsi="Arial"/>
                <w:color w:val="000000"/>
                <w:sz w:val="17"/>
              </w:rPr>
            </w:pPr>
            <w:r>
              <w:rPr>
                <w:rFonts w:ascii="Arial" w:hAnsi="Arial"/>
                <w:color w:val="000000"/>
                <w:sz w:val="17"/>
              </w:rPr>
              <w:t xml:space="preserve"> 324.2</w:t>
            </w:r>
          </w:p>
        </w:tc>
        <w:tc>
          <w:tcPr>
            <w:tcW w:w="749" w:type="dxa"/>
          </w:tcPr>
          <w:p w:rsidR="00000000" w:rsidRDefault="001F233B">
            <w:pPr>
              <w:jc w:val="right"/>
              <w:rPr>
                <w:rFonts w:ascii="Arial" w:hAnsi="Arial"/>
                <w:color w:val="000000"/>
                <w:sz w:val="17"/>
              </w:rPr>
            </w:pPr>
            <w:r>
              <w:rPr>
                <w:rFonts w:ascii="Arial" w:hAnsi="Arial"/>
                <w:color w:val="000000"/>
                <w:sz w:val="17"/>
              </w:rPr>
              <w:t xml:space="preserve"> 56.7</w:t>
            </w:r>
          </w:p>
        </w:tc>
        <w:tc>
          <w:tcPr>
            <w:tcW w:w="749" w:type="dxa"/>
          </w:tcPr>
          <w:p w:rsidR="00000000" w:rsidRDefault="001F233B">
            <w:pPr>
              <w:jc w:val="right"/>
              <w:rPr>
                <w:rFonts w:ascii="Arial" w:hAnsi="Arial"/>
                <w:color w:val="000000"/>
                <w:sz w:val="17"/>
              </w:rPr>
            </w:pPr>
            <w:r>
              <w:rPr>
                <w:rFonts w:ascii="Arial" w:hAnsi="Arial"/>
                <w:color w:val="000000"/>
                <w:sz w:val="17"/>
              </w:rPr>
              <w:t xml:space="preserve"> 23.3</w:t>
            </w:r>
          </w:p>
        </w:tc>
        <w:tc>
          <w:tcPr>
            <w:tcW w:w="749" w:type="dxa"/>
          </w:tcPr>
          <w:p w:rsidR="00000000" w:rsidRDefault="001F233B">
            <w:pPr>
              <w:jc w:val="right"/>
              <w:rPr>
                <w:rFonts w:ascii="Arial" w:hAnsi="Arial"/>
                <w:color w:val="000000"/>
                <w:sz w:val="17"/>
              </w:rPr>
            </w:pPr>
            <w:r>
              <w:rPr>
                <w:rFonts w:ascii="Arial" w:hAnsi="Arial"/>
                <w:color w:val="000000"/>
                <w:sz w:val="17"/>
              </w:rPr>
              <w:t xml:space="preserve"> 10.0</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Other capital outlays</w:t>
            </w:r>
          </w:p>
        </w:tc>
        <w:tc>
          <w:tcPr>
            <w:tcW w:w="749" w:type="dxa"/>
          </w:tcPr>
          <w:p w:rsidR="00000000" w:rsidRDefault="001F233B">
            <w:pPr>
              <w:jc w:val="right"/>
              <w:rPr>
                <w:rFonts w:ascii="Arial" w:hAnsi="Arial"/>
                <w:color w:val="000000"/>
                <w:sz w:val="17"/>
              </w:rPr>
            </w:pPr>
            <w:r>
              <w:rPr>
                <w:rFonts w:ascii="Arial" w:hAnsi="Arial"/>
                <w:color w:val="000000"/>
                <w:sz w:val="17"/>
              </w:rPr>
              <w:t>- 91.2</w:t>
            </w:r>
          </w:p>
        </w:tc>
        <w:tc>
          <w:tcPr>
            <w:tcW w:w="749" w:type="dxa"/>
          </w:tcPr>
          <w:p w:rsidR="00000000" w:rsidRDefault="001F233B">
            <w:pPr>
              <w:jc w:val="right"/>
              <w:rPr>
                <w:rFonts w:ascii="Arial" w:hAnsi="Arial"/>
                <w:color w:val="000000"/>
                <w:sz w:val="17"/>
              </w:rPr>
            </w:pPr>
            <w:r>
              <w:rPr>
                <w:rFonts w:ascii="Arial" w:hAnsi="Arial"/>
                <w:color w:val="000000"/>
                <w:sz w:val="17"/>
              </w:rPr>
              <w:t>- 66.1</w:t>
            </w:r>
          </w:p>
        </w:tc>
        <w:tc>
          <w:tcPr>
            <w:tcW w:w="749" w:type="dxa"/>
          </w:tcPr>
          <w:p w:rsidR="00000000" w:rsidRDefault="001F233B">
            <w:pPr>
              <w:jc w:val="right"/>
              <w:rPr>
                <w:rFonts w:ascii="Arial" w:hAnsi="Arial"/>
                <w:color w:val="000000"/>
                <w:sz w:val="17"/>
              </w:rPr>
            </w:pPr>
            <w:r>
              <w:rPr>
                <w:rFonts w:ascii="Arial" w:hAnsi="Arial"/>
                <w:color w:val="000000"/>
                <w:sz w:val="17"/>
              </w:rPr>
              <w:t>- 53.9</w:t>
            </w:r>
          </w:p>
        </w:tc>
        <w:tc>
          <w:tcPr>
            <w:tcW w:w="749" w:type="dxa"/>
          </w:tcPr>
          <w:p w:rsidR="00000000" w:rsidRDefault="001F233B">
            <w:pPr>
              <w:jc w:val="right"/>
              <w:rPr>
                <w:rFonts w:ascii="Arial" w:hAnsi="Arial"/>
                <w:color w:val="000000"/>
                <w:sz w:val="17"/>
              </w:rPr>
            </w:pPr>
            <w:r>
              <w:rPr>
                <w:rFonts w:ascii="Arial" w:hAnsi="Arial"/>
                <w:color w:val="000000"/>
                <w:sz w:val="17"/>
              </w:rPr>
              <w:t>- 62.6</w:t>
            </w:r>
          </w:p>
        </w:tc>
        <w:tc>
          <w:tcPr>
            <w:tcW w:w="749" w:type="dxa"/>
          </w:tcPr>
          <w:p w:rsidR="00000000" w:rsidRDefault="001F233B">
            <w:pPr>
              <w:jc w:val="right"/>
              <w:rPr>
                <w:rFonts w:ascii="Arial" w:hAnsi="Arial"/>
                <w:color w:val="000000"/>
                <w:sz w:val="17"/>
              </w:rPr>
            </w:pPr>
            <w:r>
              <w:rPr>
                <w:rFonts w:ascii="Arial" w:hAnsi="Arial"/>
                <w:color w:val="000000"/>
                <w:sz w:val="17"/>
              </w:rPr>
              <w:t>- 45.5</w:t>
            </w:r>
          </w:p>
        </w:tc>
      </w:tr>
      <w:tr w:rsidR="00000000">
        <w:tblPrEx>
          <w:tblCellMar>
            <w:top w:w="0" w:type="dxa"/>
            <w:bottom w:w="0" w:type="dxa"/>
          </w:tblCellMar>
        </w:tblPrEx>
        <w:trPr>
          <w:trHeight w:hRule="exact" w:val="240"/>
        </w:trPr>
        <w:tc>
          <w:tcPr>
            <w:tcW w:w="3402" w:type="dxa"/>
            <w:tcBorders>
              <w:top w:val="single" w:sz="6" w:space="0" w:color="auto"/>
              <w:bottom w:val="single" w:sz="6" w:space="0" w:color="auto"/>
            </w:tcBorders>
          </w:tcPr>
          <w:p w:rsidR="00000000" w:rsidRDefault="001F233B">
            <w:pPr>
              <w:rPr>
                <w:rFonts w:ascii="Arial" w:hAnsi="Arial"/>
                <w:b/>
                <w:color w:val="000000"/>
                <w:sz w:val="17"/>
              </w:rPr>
            </w:pPr>
            <w:r>
              <w:rPr>
                <w:rFonts w:ascii="Arial" w:hAnsi="Arial"/>
                <w:b/>
                <w:color w:val="000000"/>
                <w:sz w:val="17"/>
              </w:rPr>
              <w:t>Total Capital outlays</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 xml:space="preserve"> 190.2</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2 098.5</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2 012.3</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2 082.0</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2 233.9</w:t>
            </w:r>
          </w:p>
        </w:tc>
      </w:tr>
      <w:tr w:rsidR="00000000">
        <w:tblPrEx>
          <w:tblCellMar>
            <w:top w:w="0" w:type="dxa"/>
            <w:bottom w:w="0" w:type="dxa"/>
          </w:tblCellMar>
        </w:tblPrEx>
        <w:trPr>
          <w:trHeight w:hRule="exact" w:val="140"/>
        </w:trPr>
        <w:tc>
          <w:tcPr>
            <w:tcW w:w="3402" w:type="dxa"/>
            <w:tcBorders>
              <w:bottom w:val="single" w:sz="6" w:space="0" w:color="auto"/>
            </w:tcBorders>
          </w:tcPr>
          <w:p w:rsidR="00000000" w:rsidRDefault="001F233B">
            <w:pPr>
              <w:rPr>
                <w:rFonts w:ascii="Arial" w:hAnsi="Arial"/>
                <w:b/>
                <w:color w:val="000000"/>
                <w:sz w:val="17"/>
              </w:rPr>
            </w:pPr>
          </w:p>
        </w:tc>
        <w:tc>
          <w:tcPr>
            <w:tcW w:w="749" w:type="dxa"/>
            <w:tcBorders>
              <w:bottom w:val="single" w:sz="6" w:space="0" w:color="auto"/>
            </w:tcBorders>
          </w:tcPr>
          <w:p w:rsidR="00000000" w:rsidRDefault="001F233B">
            <w:pPr>
              <w:jc w:val="right"/>
              <w:rPr>
                <w:rFonts w:ascii="Arial" w:hAnsi="Arial"/>
                <w:b/>
                <w:color w:val="000000"/>
                <w:sz w:val="17"/>
              </w:rPr>
            </w:pPr>
          </w:p>
        </w:tc>
        <w:tc>
          <w:tcPr>
            <w:tcW w:w="749" w:type="dxa"/>
            <w:tcBorders>
              <w:bottom w:val="single" w:sz="6" w:space="0" w:color="auto"/>
            </w:tcBorders>
          </w:tcPr>
          <w:p w:rsidR="00000000" w:rsidRDefault="001F233B">
            <w:pPr>
              <w:jc w:val="right"/>
              <w:rPr>
                <w:rFonts w:ascii="Arial" w:hAnsi="Arial"/>
                <w:b/>
                <w:color w:val="000000"/>
                <w:sz w:val="17"/>
              </w:rPr>
            </w:pPr>
          </w:p>
        </w:tc>
        <w:tc>
          <w:tcPr>
            <w:tcW w:w="749" w:type="dxa"/>
            <w:tcBorders>
              <w:bottom w:val="single" w:sz="6" w:space="0" w:color="auto"/>
            </w:tcBorders>
          </w:tcPr>
          <w:p w:rsidR="00000000" w:rsidRDefault="001F233B">
            <w:pPr>
              <w:jc w:val="right"/>
              <w:rPr>
                <w:rFonts w:ascii="Arial" w:hAnsi="Arial"/>
                <w:b/>
                <w:color w:val="000000"/>
                <w:sz w:val="17"/>
              </w:rPr>
            </w:pPr>
          </w:p>
        </w:tc>
        <w:tc>
          <w:tcPr>
            <w:tcW w:w="749" w:type="dxa"/>
            <w:tcBorders>
              <w:bottom w:val="single" w:sz="6" w:space="0" w:color="auto"/>
            </w:tcBorders>
          </w:tcPr>
          <w:p w:rsidR="00000000" w:rsidRDefault="001F233B">
            <w:pPr>
              <w:jc w:val="right"/>
              <w:rPr>
                <w:rFonts w:ascii="Arial" w:hAnsi="Arial"/>
                <w:b/>
                <w:color w:val="000000"/>
                <w:sz w:val="17"/>
              </w:rPr>
            </w:pPr>
          </w:p>
        </w:tc>
        <w:tc>
          <w:tcPr>
            <w:tcW w:w="749" w:type="dxa"/>
            <w:tcBorders>
              <w:bottom w:val="single" w:sz="6" w:space="0" w:color="auto"/>
            </w:tcBorders>
          </w:tcPr>
          <w:p w:rsidR="00000000" w:rsidRDefault="001F233B">
            <w:pPr>
              <w:jc w:val="right"/>
              <w:rPr>
                <w:rFonts w:ascii="Arial" w:hAnsi="Arial"/>
                <w:b/>
                <w:color w:val="000000"/>
                <w:sz w:val="17"/>
              </w:rPr>
            </w:pPr>
          </w:p>
        </w:tc>
      </w:tr>
      <w:tr w:rsidR="00000000">
        <w:tblPrEx>
          <w:tblCellMar>
            <w:top w:w="0" w:type="dxa"/>
            <w:bottom w:w="0" w:type="dxa"/>
          </w:tblCellMar>
        </w:tblPrEx>
        <w:trPr>
          <w:trHeight w:hRule="exact" w:val="240"/>
        </w:trPr>
        <w:tc>
          <w:tcPr>
            <w:tcW w:w="3402" w:type="dxa"/>
            <w:tcBorders>
              <w:bottom w:val="single" w:sz="6" w:space="0" w:color="auto"/>
            </w:tcBorders>
          </w:tcPr>
          <w:p w:rsidR="00000000" w:rsidRDefault="001F233B">
            <w:pPr>
              <w:rPr>
                <w:rFonts w:ascii="Arial" w:hAnsi="Arial"/>
                <w:b/>
                <w:color w:val="000000"/>
                <w:sz w:val="17"/>
              </w:rPr>
            </w:pPr>
            <w:r>
              <w:rPr>
                <w:rFonts w:ascii="Arial" w:hAnsi="Arial"/>
                <w:b/>
                <w:color w:val="000000"/>
                <w:sz w:val="17"/>
              </w:rPr>
              <w:t>Total Outlays</w:t>
            </w:r>
          </w:p>
        </w:tc>
        <w:tc>
          <w:tcPr>
            <w:tcW w:w="749" w:type="dxa"/>
            <w:tcBorders>
              <w:bottom w:val="single" w:sz="6" w:space="0" w:color="auto"/>
            </w:tcBorders>
          </w:tcPr>
          <w:p w:rsidR="00000000" w:rsidRDefault="001F233B">
            <w:pPr>
              <w:jc w:val="right"/>
              <w:rPr>
                <w:rFonts w:ascii="Arial" w:hAnsi="Arial"/>
                <w:b/>
                <w:color w:val="000000"/>
                <w:sz w:val="17"/>
              </w:rPr>
            </w:pPr>
            <w:r>
              <w:rPr>
                <w:rFonts w:ascii="Arial" w:hAnsi="Arial"/>
                <w:b/>
                <w:color w:val="000000"/>
                <w:sz w:val="17"/>
              </w:rPr>
              <w:t>14 954.8</w:t>
            </w:r>
          </w:p>
        </w:tc>
        <w:tc>
          <w:tcPr>
            <w:tcW w:w="749" w:type="dxa"/>
            <w:tcBorders>
              <w:bottom w:val="single" w:sz="6" w:space="0" w:color="auto"/>
            </w:tcBorders>
          </w:tcPr>
          <w:p w:rsidR="00000000" w:rsidRDefault="001F233B">
            <w:pPr>
              <w:jc w:val="right"/>
              <w:rPr>
                <w:rFonts w:ascii="Arial" w:hAnsi="Arial"/>
                <w:b/>
                <w:color w:val="000000"/>
                <w:sz w:val="17"/>
              </w:rPr>
            </w:pPr>
            <w:r>
              <w:rPr>
                <w:rFonts w:ascii="Arial" w:hAnsi="Arial"/>
                <w:b/>
                <w:color w:val="000000"/>
                <w:sz w:val="17"/>
              </w:rPr>
              <w:t>17 417.7</w:t>
            </w:r>
          </w:p>
        </w:tc>
        <w:tc>
          <w:tcPr>
            <w:tcW w:w="749" w:type="dxa"/>
            <w:tcBorders>
              <w:bottom w:val="single" w:sz="6" w:space="0" w:color="auto"/>
            </w:tcBorders>
          </w:tcPr>
          <w:p w:rsidR="00000000" w:rsidRDefault="001F233B">
            <w:pPr>
              <w:jc w:val="right"/>
              <w:rPr>
                <w:rFonts w:ascii="Arial" w:hAnsi="Arial"/>
                <w:b/>
                <w:color w:val="000000"/>
                <w:sz w:val="17"/>
              </w:rPr>
            </w:pPr>
            <w:r>
              <w:rPr>
                <w:rFonts w:ascii="Arial" w:hAnsi="Arial"/>
                <w:b/>
                <w:color w:val="000000"/>
                <w:sz w:val="17"/>
              </w:rPr>
              <w:t>17 317.8</w:t>
            </w:r>
          </w:p>
        </w:tc>
        <w:tc>
          <w:tcPr>
            <w:tcW w:w="749" w:type="dxa"/>
            <w:tcBorders>
              <w:bottom w:val="single" w:sz="6" w:space="0" w:color="auto"/>
            </w:tcBorders>
          </w:tcPr>
          <w:p w:rsidR="00000000" w:rsidRDefault="001F233B">
            <w:pPr>
              <w:jc w:val="right"/>
              <w:rPr>
                <w:rFonts w:ascii="Arial" w:hAnsi="Arial"/>
                <w:b/>
                <w:color w:val="000000"/>
                <w:sz w:val="17"/>
              </w:rPr>
            </w:pPr>
            <w:r>
              <w:rPr>
                <w:rFonts w:ascii="Arial" w:hAnsi="Arial"/>
                <w:b/>
                <w:color w:val="000000"/>
                <w:sz w:val="17"/>
              </w:rPr>
              <w:t>17 920.7</w:t>
            </w:r>
          </w:p>
        </w:tc>
        <w:tc>
          <w:tcPr>
            <w:tcW w:w="749" w:type="dxa"/>
            <w:tcBorders>
              <w:bottom w:val="single" w:sz="6" w:space="0" w:color="auto"/>
            </w:tcBorders>
          </w:tcPr>
          <w:p w:rsidR="00000000" w:rsidRDefault="001F233B">
            <w:pPr>
              <w:jc w:val="right"/>
              <w:rPr>
                <w:rFonts w:ascii="Arial" w:hAnsi="Arial"/>
                <w:b/>
                <w:color w:val="000000"/>
                <w:sz w:val="17"/>
              </w:rPr>
            </w:pPr>
            <w:r>
              <w:rPr>
                <w:rFonts w:ascii="Arial" w:hAnsi="Arial"/>
                <w:b/>
                <w:color w:val="000000"/>
                <w:sz w:val="17"/>
              </w:rPr>
              <w:t>18 358.6</w:t>
            </w:r>
          </w:p>
        </w:tc>
      </w:tr>
      <w:tr w:rsidR="00000000">
        <w:tblPrEx>
          <w:tblCellMar>
            <w:top w:w="0" w:type="dxa"/>
            <w:bottom w:w="0" w:type="dxa"/>
          </w:tblCellMar>
        </w:tblPrEx>
        <w:trPr>
          <w:trHeight w:hRule="exact" w:val="240"/>
        </w:trPr>
        <w:tc>
          <w:tcPr>
            <w:tcW w:w="3402" w:type="dxa"/>
            <w:tcBorders>
              <w:bottom w:val="single" w:sz="6" w:space="0" w:color="auto"/>
            </w:tcBorders>
          </w:tcPr>
          <w:p w:rsidR="00000000" w:rsidRDefault="001F233B">
            <w:pPr>
              <w:rPr>
                <w:rFonts w:ascii="Arial" w:hAnsi="Arial"/>
                <w:b/>
                <w:color w:val="000000"/>
                <w:sz w:val="17"/>
              </w:rPr>
            </w:pPr>
            <w:r>
              <w:rPr>
                <w:rFonts w:ascii="Arial" w:hAnsi="Arial"/>
                <w:b/>
                <w:color w:val="000000"/>
                <w:sz w:val="17"/>
              </w:rPr>
              <w:t>Total Outlays excluding net advances paid</w:t>
            </w:r>
          </w:p>
        </w:tc>
        <w:tc>
          <w:tcPr>
            <w:tcW w:w="749" w:type="dxa"/>
            <w:tcBorders>
              <w:bottom w:val="single" w:sz="6" w:space="0" w:color="auto"/>
            </w:tcBorders>
          </w:tcPr>
          <w:p w:rsidR="00000000" w:rsidRDefault="001F233B">
            <w:pPr>
              <w:jc w:val="right"/>
              <w:rPr>
                <w:rFonts w:ascii="Arial" w:hAnsi="Arial"/>
                <w:b/>
                <w:color w:val="000000"/>
                <w:sz w:val="17"/>
              </w:rPr>
            </w:pPr>
            <w:r>
              <w:rPr>
                <w:rFonts w:ascii="Arial" w:hAnsi="Arial"/>
                <w:b/>
                <w:color w:val="000000"/>
                <w:sz w:val="17"/>
              </w:rPr>
              <w:t>16 314.4</w:t>
            </w:r>
          </w:p>
        </w:tc>
        <w:tc>
          <w:tcPr>
            <w:tcW w:w="749" w:type="dxa"/>
            <w:tcBorders>
              <w:bottom w:val="single" w:sz="6" w:space="0" w:color="auto"/>
            </w:tcBorders>
          </w:tcPr>
          <w:p w:rsidR="00000000" w:rsidRDefault="001F233B">
            <w:pPr>
              <w:jc w:val="right"/>
              <w:rPr>
                <w:rFonts w:ascii="Arial" w:hAnsi="Arial"/>
                <w:b/>
                <w:color w:val="000000"/>
                <w:sz w:val="17"/>
              </w:rPr>
            </w:pPr>
            <w:r>
              <w:rPr>
                <w:rFonts w:ascii="Arial" w:hAnsi="Arial"/>
                <w:b/>
                <w:color w:val="000000"/>
                <w:sz w:val="17"/>
              </w:rPr>
              <w:t>17 093.5</w:t>
            </w:r>
          </w:p>
        </w:tc>
        <w:tc>
          <w:tcPr>
            <w:tcW w:w="749" w:type="dxa"/>
            <w:tcBorders>
              <w:bottom w:val="single" w:sz="6" w:space="0" w:color="auto"/>
            </w:tcBorders>
          </w:tcPr>
          <w:p w:rsidR="00000000" w:rsidRDefault="001F233B">
            <w:pPr>
              <w:jc w:val="right"/>
              <w:rPr>
                <w:rFonts w:ascii="Arial" w:hAnsi="Arial"/>
                <w:b/>
                <w:color w:val="000000"/>
                <w:sz w:val="17"/>
              </w:rPr>
            </w:pPr>
            <w:r>
              <w:rPr>
                <w:rFonts w:ascii="Arial" w:hAnsi="Arial"/>
                <w:b/>
                <w:color w:val="000000"/>
                <w:sz w:val="17"/>
              </w:rPr>
              <w:t>17 261.0</w:t>
            </w:r>
          </w:p>
        </w:tc>
        <w:tc>
          <w:tcPr>
            <w:tcW w:w="749" w:type="dxa"/>
            <w:tcBorders>
              <w:bottom w:val="single" w:sz="6" w:space="0" w:color="auto"/>
            </w:tcBorders>
          </w:tcPr>
          <w:p w:rsidR="00000000" w:rsidRDefault="001F233B">
            <w:pPr>
              <w:jc w:val="right"/>
              <w:rPr>
                <w:rFonts w:ascii="Arial" w:hAnsi="Arial"/>
                <w:b/>
                <w:color w:val="000000"/>
                <w:sz w:val="17"/>
              </w:rPr>
            </w:pPr>
            <w:r>
              <w:rPr>
                <w:rFonts w:ascii="Arial" w:hAnsi="Arial"/>
                <w:b/>
                <w:color w:val="000000"/>
                <w:sz w:val="17"/>
              </w:rPr>
              <w:t>17 897.5</w:t>
            </w:r>
          </w:p>
        </w:tc>
        <w:tc>
          <w:tcPr>
            <w:tcW w:w="749" w:type="dxa"/>
            <w:tcBorders>
              <w:bottom w:val="single" w:sz="6" w:space="0" w:color="auto"/>
            </w:tcBorders>
          </w:tcPr>
          <w:p w:rsidR="00000000" w:rsidRDefault="001F233B">
            <w:pPr>
              <w:jc w:val="right"/>
              <w:rPr>
                <w:rFonts w:ascii="Arial" w:hAnsi="Arial"/>
                <w:b/>
                <w:color w:val="000000"/>
                <w:sz w:val="17"/>
              </w:rPr>
            </w:pPr>
            <w:r>
              <w:rPr>
                <w:rFonts w:ascii="Arial" w:hAnsi="Arial"/>
                <w:b/>
                <w:color w:val="000000"/>
                <w:sz w:val="17"/>
              </w:rPr>
              <w:t>18 348.6</w:t>
            </w:r>
          </w:p>
        </w:tc>
      </w:tr>
      <w:tr w:rsidR="00000000">
        <w:tblPrEx>
          <w:tblCellMar>
            <w:top w:w="0" w:type="dxa"/>
            <w:bottom w:w="0" w:type="dxa"/>
          </w:tblCellMar>
        </w:tblPrEx>
        <w:trPr>
          <w:trHeight w:hRule="exact" w:val="140"/>
        </w:trPr>
        <w:tc>
          <w:tcPr>
            <w:tcW w:w="3402" w:type="dxa"/>
          </w:tcPr>
          <w:p w:rsidR="00000000" w:rsidRDefault="001F233B">
            <w:pPr>
              <w:jc w:val="right"/>
              <w:rPr>
                <w:rFonts w:ascii="Arial" w:hAnsi="Arial"/>
                <w:b/>
                <w:i/>
                <w:color w:val="000000"/>
                <w:sz w:val="17"/>
              </w:rPr>
            </w:pPr>
          </w:p>
        </w:tc>
        <w:tc>
          <w:tcPr>
            <w:tcW w:w="749" w:type="dxa"/>
          </w:tcPr>
          <w:p w:rsidR="00000000" w:rsidRDefault="001F233B">
            <w:pPr>
              <w:jc w:val="right"/>
              <w:rPr>
                <w:rFonts w:ascii="Arial" w:hAnsi="Arial"/>
                <w:b/>
                <w:i/>
                <w:color w:val="000000"/>
                <w:sz w:val="17"/>
              </w:rPr>
            </w:pPr>
          </w:p>
        </w:tc>
        <w:tc>
          <w:tcPr>
            <w:tcW w:w="749" w:type="dxa"/>
          </w:tcPr>
          <w:p w:rsidR="00000000" w:rsidRDefault="001F233B">
            <w:pPr>
              <w:jc w:val="right"/>
              <w:rPr>
                <w:rFonts w:ascii="Arial" w:hAnsi="Arial"/>
                <w:b/>
                <w:i/>
                <w:color w:val="000000"/>
                <w:sz w:val="17"/>
              </w:rPr>
            </w:pPr>
          </w:p>
        </w:tc>
        <w:tc>
          <w:tcPr>
            <w:tcW w:w="749" w:type="dxa"/>
          </w:tcPr>
          <w:p w:rsidR="00000000" w:rsidRDefault="001F233B">
            <w:pPr>
              <w:jc w:val="right"/>
              <w:rPr>
                <w:rFonts w:ascii="Arial" w:hAnsi="Arial"/>
                <w:b/>
                <w:i/>
                <w:color w:val="000000"/>
                <w:sz w:val="17"/>
              </w:rPr>
            </w:pPr>
          </w:p>
        </w:tc>
        <w:tc>
          <w:tcPr>
            <w:tcW w:w="749" w:type="dxa"/>
          </w:tcPr>
          <w:p w:rsidR="00000000" w:rsidRDefault="001F233B">
            <w:pPr>
              <w:jc w:val="right"/>
              <w:rPr>
                <w:rFonts w:ascii="Arial" w:hAnsi="Arial"/>
                <w:b/>
                <w:i/>
                <w:color w:val="000000"/>
                <w:sz w:val="17"/>
              </w:rPr>
            </w:pPr>
          </w:p>
        </w:tc>
        <w:tc>
          <w:tcPr>
            <w:tcW w:w="749" w:type="dxa"/>
          </w:tcPr>
          <w:p w:rsidR="00000000" w:rsidRDefault="001F233B">
            <w:pPr>
              <w:jc w:val="right"/>
              <w:rPr>
                <w:rFonts w:ascii="Arial" w:hAnsi="Arial"/>
                <w:b/>
                <w:i/>
                <w:color w:val="000000"/>
                <w:sz w:val="17"/>
              </w:rPr>
            </w:pPr>
          </w:p>
        </w:tc>
      </w:tr>
      <w:tr w:rsidR="00000000">
        <w:tblPrEx>
          <w:tblCellMar>
            <w:top w:w="0" w:type="dxa"/>
            <w:bottom w:w="0" w:type="dxa"/>
          </w:tblCellMar>
        </w:tblPrEx>
        <w:trPr>
          <w:trHeight w:hRule="exact" w:val="240"/>
        </w:trPr>
        <w:tc>
          <w:tcPr>
            <w:tcW w:w="3402" w:type="dxa"/>
          </w:tcPr>
          <w:p w:rsidR="00000000" w:rsidRDefault="001F233B">
            <w:pPr>
              <w:rPr>
                <w:rFonts w:ascii="Arial" w:hAnsi="Arial"/>
                <w:b/>
                <w:color w:val="000000"/>
                <w:sz w:val="17"/>
              </w:rPr>
            </w:pPr>
            <w:r>
              <w:rPr>
                <w:rFonts w:ascii="Arial" w:hAnsi="Arial"/>
                <w:b/>
                <w:color w:val="000000"/>
                <w:sz w:val="17"/>
              </w:rPr>
              <w:t>Revenue and Grants Received</w:t>
            </w: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Taxes, fees and fines</w:t>
            </w:r>
          </w:p>
        </w:tc>
        <w:tc>
          <w:tcPr>
            <w:tcW w:w="749" w:type="dxa"/>
          </w:tcPr>
          <w:p w:rsidR="00000000" w:rsidRDefault="001F233B">
            <w:pPr>
              <w:jc w:val="right"/>
              <w:rPr>
                <w:rFonts w:ascii="Arial" w:hAnsi="Arial"/>
                <w:color w:val="000000"/>
                <w:sz w:val="17"/>
              </w:rPr>
            </w:pPr>
            <w:r>
              <w:rPr>
                <w:rFonts w:ascii="Arial" w:hAnsi="Arial"/>
                <w:color w:val="000000"/>
                <w:sz w:val="17"/>
              </w:rPr>
              <w:t>8 787.9</w:t>
            </w:r>
          </w:p>
        </w:tc>
        <w:tc>
          <w:tcPr>
            <w:tcW w:w="749" w:type="dxa"/>
          </w:tcPr>
          <w:p w:rsidR="00000000" w:rsidRDefault="001F233B">
            <w:pPr>
              <w:jc w:val="right"/>
              <w:rPr>
                <w:rFonts w:ascii="Arial" w:hAnsi="Arial"/>
                <w:color w:val="000000"/>
                <w:sz w:val="17"/>
              </w:rPr>
            </w:pPr>
            <w:r>
              <w:rPr>
                <w:rFonts w:ascii="Arial" w:hAnsi="Arial"/>
                <w:color w:val="000000"/>
                <w:sz w:val="17"/>
              </w:rPr>
              <w:t>9 028.9</w:t>
            </w:r>
          </w:p>
        </w:tc>
        <w:tc>
          <w:tcPr>
            <w:tcW w:w="749" w:type="dxa"/>
          </w:tcPr>
          <w:p w:rsidR="00000000" w:rsidRDefault="001F233B">
            <w:pPr>
              <w:jc w:val="right"/>
              <w:rPr>
                <w:rFonts w:ascii="Arial" w:hAnsi="Arial"/>
                <w:color w:val="000000"/>
                <w:sz w:val="17"/>
              </w:rPr>
            </w:pPr>
            <w:r>
              <w:rPr>
                <w:rFonts w:ascii="Arial" w:hAnsi="Arial"/>
                <w:color w:val="000000"/>
                <w:sz w:val="17"/>
              </w:rPr>
              <w:t>9 162.7</w:t>
            </w:r>
          </w:p>
        </w:tc>
        <w:tc>
          <w:tcPr>
            <w:tcW w:w="749" w:type="dxa"/>
          </w:tcPr>
          <w:p w:rsidR="00000000" w:rsidRDefault="001F233B">
            <w:pPr>
              <w:jc w:val="right"/>
              <w:rPr>
                <w:rFonts w:ascii="Arial" w:hAnsi="Arial"/>
                <w:color w:val="000000"/>
                <w:sz w:val="17"/>
              </w:rPr>
            </w:pPr>
            <w:r>
              <w:rPr>
                <w:rFonts w:ascii="Arial" w:hAnsi="Arial"/>
                <w:color w:val="000000"/>
                <w:sz w:val="17"/>
              </w:rPr>
              <w:t>9 380.4</w:t>
            </w:r>
          </w:p>
        </w:tc>
        <w:tc>
          <w:tcPr>
            <w:tcW w:w="749" w:type="dxa"/>
          </w:tcPr>
          <w:p w:rsidR="00000000" w:rsidRDefault="001F233B">
            <w:pPr>
              <w:jc w:val="right"/>
              <w:rPr>
                <w:rFonts w:ascii="Arial" w:hAnsi="Arial"/>
                <w:color w:val="000000"/>
                <w:sz w:val="17"/>
              </w:rPr>
            </w:pPr>
            <w:r>
              <w:rPr>
                <w:rFonts w:ascii="Arial" w:hAnsi="Arial"/>
                <w:color w:val="000000"/>
                <w:sz w:val="17"/>
              </w:rPr>
              <w:t>9 577.1</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Interest received</w:t>
            </w:r>
          </w:p>
        </w:tc>
        <w:tc>
          <w:tcPr>
            <w:tcW w:w="749" w:type="dxa"/>
          </w:tcPr>
          <w:p w:rsidR="00000000" w:rsidRDefault="001F233B">
            <w:pPr>
              <w:jc w:val="right"/>
              <w:rPr>
                <w:rFonts w:ascii="Arial" w:hAnsi="Arial"/>
                <w:color w:val="000000"/>
                <w:sz w:val="17"/>
              </w:rPr>
            </w:pPr>
            <w:r>
              <w:rPr>
                <w:rFonts w:ascii="Arial" w:hAnsi="Arial"/>
                <w:color w:val="000000"/>
                <w:sz w:val="17"/>
              </w:rPr>
              <w:t xml:space="preserve"> 114.5</w:t>
            </w:r>
          </w:p>
        </w:tc>
        <w:tc>
          <w:tcPr>
            <w:tcW w:w="749" w:type="dxa"/>
          </w:tcPr>
          <w:p w:rsidR="00000000" w:rsidRDefault="001F233B">
            <w:pPr>
              <w:jc w:val="right"/>
              <w:rPr>
                <w:rFonts w:ascii="Arial" w:hAnsi="Arial"/>
                <w:color w:val="000000"/>
                <w:sz w:val="17"/>
              </w:rPr>
            </w:pPr>
            <w:r>
              <w:rPr>
                <w:rFonts w:ascii="Arial" w:hAnsi="Arial"/>
                <w:color w:val="000000"/>
                <w:sz w:val="17"/>
              </w:rPr>
              <w:t xml:space="preserve"> 105.9</w:t>
            </w:r>
          </w:p>
        </w:tc>
        <w:tc>
          <w:tcPr>
            <w:tcW w:w="749" w:type="dxa"/>
          </w:tcPr>
          <w:p w:rsidR="00000000" w:rsidRDefault="001F233B">
            <w:pPr>
              <w:jc w:val="right"/>
              <w:rPr>
                <w:rFonts w:ascii="Arial" w:hAnsi="Arial"/>
                <w:color w:val="000000"/>
                <w:sz w:val="17"/>
              </w:rPr>
            </w:pPr>
            <w:r>
              <w:rPr>
                <w:rFonts w:ascii="Arial" w:hAnsi="Arial"/>
                <w:color w:val="000000"/>
                <w:sz w:val="17"/>
              </w:rPr>
              <w:t xml:space="preserve"> 92.2</w:t>
            </w:r>
          </w:p>
        </w:tc>
        <w:tc>
          <w:tcPr>
            <w:tcW w:w="749" w:type="dxa"/>
          </w:tcPr>
          <w:p w:rsidR="00000000" w:rsidRDefault="001F233B">
            <w:pPr>
              <w:jc w:val="right"/>
              <w:rPr>
                <w:rFonts w:ascii="Arial" w:hAnsi="Arial"/>
                <w:color w:val="000000"/>
                <w:sz w:val="17"/>
              </w:rPr>
            </w:pPr>
            <w:r>
              <w:rPr>
                <w:rFonts w:ascii="Arial" w:hAnsi="Arial"/>
                <w:color w:val="000000"/>
                <w:sz w:val="17"/>
              </w:rPr>
              <w:t xml:space="preserve"> 91.0</w:t>
            </w:r>
          </w:p>
        </w:tc>
        <w:tc>
          <w:tcPr>
            <w:tcW w:w="749" w:type="dxa"/>
          </w:tcPr>
          <w:p w:rsidR="00000000" w:rsidRDefault="001F233B">
            <w:pPr>
              <w:jc w:val="right"/>
              <w:rPr>
                <w:rFonts w:ascii="Arial" w:hAnsi="Arial"/>
                <w:color w:val="000000"/>
                <w:sz w:val="17"/>
              </w:rPr>
            </w:pPr>
            <w:r>
              <w:rPr>
                <w:rFonts w:ascii="Arial" w:hAnsi="Arial"/>
                <w:color w:val="000000"/>
                <w:sz w:val="17"/>
              </w:rPr>
              <w:t xml:space="preserve"> 89.6</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 xml:space="preserve">Grants received </w:t>
            </w:r>
          </w:p>
        </w:tc>
        <w:tc>
          <w:tcPr>
            <w:tcW w:w="749" w:type="dxa"/>
          </w:tcPr>
          <w:p w:rsidR="00000000" w:rsidRDefault="001F233B">
            <w:pPr>
              <w:jc w:val="right"/>
              <w:rPr>
                <w:rFonts w:ascii="Arial" w:hAnsi="Arial"/>
                <w:color w:val="000000"/>
                <w:sz w:val="17"/>
              </w:rPr>
            </w:pPr>
            <w:r>
              <w:rPr>
                <w:rFonts w:ascii="Arial" w:hAnsi="Arial"/>
                <w:color w:val="000000"/>
                <w:sz w:val="17"/>
              </w:rPr>
              <w:t>7 213.3</w:t>
            </w:r>
          </w:p>
        </w:tc>
        <w:tc>
          <w:tcPr>
            <w:tcW w:w="749" w:type="dxa"/>
          </w:tcPr>
          <w:p w:rsidR="00000000" w:rsidRDefault="001F233B">
            <w:pPr>
              <w:jc w:val="right"/>
              <w:rPr>
                <w:rFonts w:ascii="Arial" w:hAnsi="Arial"/>
                <w:color w:val="000000"/>
                <w:sz w:val="17"/>
              </w:rPr>
            </w:pPr>
            <w:r>
              <w:rPr>
                <w:rFonts w:ascii="Arial" w:hAnsi="Arial"/>
                <w:color w:val="000000"/>
                <w:sz w:val="17"/>
              </w:rPr>
              <w:t>7 353.2</w:t>
            </w:r>
          </w:p>
        </w:tc>
        <w:tc>
          <w:tcPr>
            <w:tcW w:w="749" w:type="dxa"/>
          </w:tcPr>
          <w:p w:rsidR="00000000" w:rsidRDefault="001F233B">
            <w:pPr>
              <w:jc w:val="right"/>
              <w:rPr>
                <w:rFonts w:ascii="Arial" w:hAnsi="Arial"/>
                <w:color w:val="000000"/>
                <w:sz w:val="17"/>
              </w:rPr>
            </w:pPr>
            <w:r>
              <w:rPr>
                <w:rFonts w:ascii="Arial" w:hAnsi="Arial"/>
                <w:color w:val="000000"/>
                <w:sz w:val="17"/>
              </w:rPr>
              <w:t>7 671.1</w:t>
            </w:r>
          </w:p>
        </w:tc>
        <w:tc>
          <w:tcPr>
            <w:tcW w:w="749" w:type="dxa"/>
          </w:tcPr>
          <w:p w:rsidR="00000000" w:rsidRDefault="001F233B">
            <w:pPr>
              <w:jc w:val="right"/>
              <w:rPr>
                <w:rFonts w:ascii="Arial" w:hAnsi="Arial"/>
                <w:color w:val="000000"/>
                <w:sz w:val="17"/>
              </w:rPr>
            </w:pPr>
            <w:r>
              <w:rPr>
                <w:rFonts w:ascii="Arial" w:hAnsi="Arial"/>
                <w:color w:val="000000"/>
                <w:sz w:val="17"/>
              </w:rPr>
              <w:t>7 895.3</w:t>
            </w:r>
          </w:p>
        </w:tc>
        <w:tc>
          <w:tcPr>
            <w:tcW w:w="749" w:type="dxa"/>
          </w:tcPr>
          <w:p w:rsidR="00000000" w:rsidRDefault="001F233B">
            <w:pPr>
              <w:jc w:val="right"/>
              <w:rPr>
                <w:rFonts w:ascii="Arial" w:hAnsi="Arial"/>
                <w:color w:val="000000"/>
                <w:sz w:val="17"/>
              </w:rPr>
            </w:pPr>
            <w:r>
              <w:rPr>
                <w:rFonts w:ascii="Arial" w:hAnsi="Arial"/>
                <w:color w:val="000000"/>
                <w:sz w:val="17"/>
              </w:rPr>
              <w:t>8 161.2</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Dividends received from PTEs and PFEs</w:t>
            </w:r>
          </w:p>
        </w:tc>
        <w:tc>
          <w:tcPr>
            <w:tcW w:w="749" w:type="dxa"/>
          </w:tcPr>
          <w:p w:rsidR="00000000" w:rsidRDefault="001F233B">
            <w:pPr>
              <w:jc w:val="right"/>
              <w:rPr>
                <w:rFonts w:ascii="Arial" w:hAnsi="Arial"/>
                <w:color w:val="000000"/>
                <w:sz w:val="17"/>
              </w:rPr>
            </w:pPr>
            <w:r>
              <w:rPr>
                <w:rFonts w:ascii="Arial" w:hAnsi="Arial"/>
                <w:color w:val="000000"/>
                <w:sz w:val="17"/>
              </w:rPr>
              <w:t>1 180.2</w:t>
            </w:r>
          </w:p>
        </w:tc>
        <w:tc>
          <w:tcPr>
            <w:tcW w:w="749" w:type="dxa"/>
          </w:tcPr>
          <w:p w:rsidR="00000000" w:rsidRDefault="001F233B">
            <w:pPr>
              <w:jc w:val="right"/>
              <w:rPr>
                <w:rFonts w:ascii="Arial" w:hAnsi="Arial"/>
                <w:color w:val="000000"/>
                <w:sz w:val="17"/>
              </w:rPr>
            </w:pPr>
            <w:r>
              <w:rPr>
                <w:rFonts w:ascii="Arial" w:hAnsi="Arial"/>
                <w:color w:val="000000"/>
                <w:sz w:val="17"/>
              </w:rPr>
              <w:t xml:space="preserve"> 953.5</w:t>
            </w:r>
          </w:p>
        </w:tc>
        <w:tc>
          <w:tcPr>
            <w:tcW w:w="749" w:type="dxa"/>
          </w:tcPr>
          <w:p w:rsidR="00000000" w:rsidRDefault="001F233B">
            <w:pPr>
              <w:jc w:val="right"/>
              <w:rPr>
                <w:rFonts w:ascii="Arial" w:hAnsi="Arial"/>
                <w:color w:val="000000"/>
                <w:sz w:val="17"/>
              </w:rPr>
            </w:pPr>
            <w:r>
              <w:rPr>
                <w:rFonts w:ascii="Arial" w:hAnsi="Arial"/>
                <w:color w:val="000000"/>
                <w:sz w:val="17"/>
              </w:rPr>
              <w:t xml:space="preserve"> 866.2</w:t>
            </w:r>
          </w:p>
        </w:tc>
        <w:tc>
          <w:tcPr>
            <w:tcW w:w="749" w:type="dxa"/>
          </w:tcPr>
          <w:p w:rsidR="00000000" w:rsidRDefault="001F233B">
            <w:pPr>
              <w:jc w:val="right"/>
              <w:rPr>
                <w:rFonts w:ascii="Arial" w:hAnsi="Arial"/>
                <w:color w:val="000000"/>
                <w:sz w:val="17"/>
              </w:rPr>
            </w:pPr>
            <w:r>
              <w:rPr>
                <w:rFonts w:ascii="Arial" w:hAnsi="Arial"/>
                <w:color w:val="000000"/>
                <w:sz w:val="17"/>
              </w:rPr>
              <w:t xml:space="preserve"> 862.7</w:t>
            </w:r>
          </w:p>
        </w:tc>
        <w:tc>
          <w:tcPr>
            <w:tcW w:w="749" w:type="dxa"/>
          </w:tcPr>
          <w:p w:rsidR="00000000" w:rsidRDefault="001F233B">
            <w:pPr>
              <w:jc w:val="right"/>
              <w:rPr>
                <w:rFonts w:ascii="Arial" w:hAnsi="Arial"/>
                <w:color w:val="000000"/>
                <w:sz w:val="17"/>
              </w:rPr>
            </w:pPr>
            <w:r>
              <w:rPr>
                <w:rFonts w:ascii="Arial" w:hAnsi="Arial"/>
                <w:color w:val="000000"/>
                <w:sz w:val="17"/>
              </w:rPr>
              <w:t xml:space="preserve"> 663.2</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Other revenue</w:t>
            </w:r>
          </w:p>
        </w:tc>
        <w:tc>
          <w:tcPr>
            <w:tcW w:w="749" w:type="dxa"/>
          </w:tcPr>
          <w:p w:rsidR="00000000" w:rsidRDefault="001F233B">
            <w:pPr>
              <w:jc w:val="right"/>
              <w:rPr>
                <w:rFonts w:ascii="Arial" w:hAnsi="Arial"/>
                <w:color w:val="000000"/>
                <w:sz w:val="17"/>
              </w:rPr>
            </w:pPr>
            <w:r>
              <w:rPr>
                <w:rFonts w:ascii="Arial" w:hAnsi="Arial"/>
                <w:color w:val="000000"/>
                <w:sz w:val="17"/>
              </w:rPr>
              <w:t xml:space="preserve"> 383.9</w:t>
            </w:r>
          </w:p>
        </w:tc>
        <w:tc>
          <w:tcPr>
            <w:tcW w:w="749" w:type="dxa"/>
          </w:tcPr>
          <w:p w:rsidR="00000000" w:rsidRDefault="001F233B">
            <w:pPr>
              <w:jc w:val="right"/>
              <w:rPr>
                <w:rFonts w:ascii="Arial" w:hAnsi="Arial"/>
                <w:color w:val="000000"/>
                <w:sz w:val="17"/>
              </w:rPr>
            </w:pPr>
            <w:r>
              <w:rPr>
                <w:rFonts w:ascii="Arial" w:hAnsi="Arial"/>
                <w:color w:val="000000"/>
                <w:sz w:val="17"/>
              </w:rPr>
              <w:t xml:space="preserve"> 142.7</w:t>
            </w:r>
          </w:p>
        </w:tc>
        <w:tc>
          <w:tcPr>
            <w:tcW w:w="749" w:type="dxa"/>
          </w:tcPr>
          <w:p w:rsidR="00000000" w:rsidRDefault="001F233B">
            <w:pPr>
              <w:jc w:val="right"/>
              <w:rPr>
                <w:rFonts w:ascii="Arial" w:hAnsi="Arial"/>
                <w:color w:val="000000"/>
                <w:sz w:val="17"/>
              </w:rPr>
            </w:pPr>
            <w:r>
              <w:rPr>
                <w:rFonts w:ascii="Arial" w:hAnsi="Arial"/>
                <w:color w:val="000000"/>
                <w:sz w:val="17"/>
              </w:rPr>
              <w:t xml:space="preserve"> 145.0</w:t>
            </w:r>
          </w:p>
        </w:tc>
        <w:tc>
          <w:tcPr>
            <w:tcW w:w="749" w:type="dxa"/>
          </w:tcPr>
          <w:p w:rsidR="00000000" w:rsidRDefault="001F233B">
            <w:pPr>
              <w:jc w:val="right"/>
              <w:rPr>
                <w:rFonts w:ascii="Arial" w:hAnsi="Arial"/>
                <w:color w:val="000000"/>
                <w:sz w:val="17"/>
              </w:rPr>
            </w:pPr>
            <w:r>
              <w:rPr>
                <w:rFonts w:ascii="Arial" w:hAnsi="Arial"/>
                <w:color w:val="000000"/>
                <w:sz w:val="17"/>
              </w:rPr>
              <w:t xml:space="preserve"> 148.2</w:t>
            </w:r>
          </w:p>
        </w:tc>
        <w:tc>
          <w:tcPr>
            <w:tcW w:w="749" w:type="dxa"/>
          </w:tcPr>
          <w:p w:rsidR="00000000" w:rsidRDefault="001F233B">
            <w:pPr>
              <w:jc w:val="right"/>
              <w:rPr>
                <w:rFonts w:ascii="Arial" w:hAnsi="Arial"/>
                <w:color w:val="000000"/>
                <w:sz w:val="17"/>
              </w:rPr>
            </w:pPr>
            <w:r>
              <w:rPr>
                <w:rFonts w:ascii="Arial" w:hAnsi="Arial"/>
                <w:color w:val="000000"/>
                <w:sz w:val="17"/>
              </w:rPr>
              <w:t xml:space="preserve"> 147.4</w:t>
            </w:r>
          </w:p>
        </w:tc>
      </w:tr>
      <w:tr w:rsidR="00000000">
        <w:tblPrEx>
          <w:tblCellMar>
            <w:top w:w="0" w:type="dxa"/>
            <w:bottom w:w="0" w:type="dxa"/>
          </w:tblCellMar>
        </w:tblPrEx>
        <w:trPr>
          <w:trHeight w:hRule="exact" w:val="240"/>
        </w:trPr>
        <w:tc>
          <w:tcPr>
            <w:tcW w:w="3402" w:type="dxa"/>
            <w:tcBorders>
              <w:top w:val="single" w:sz="6" w:space="0" w:color="auto"/>
              <w:bottom w:val="single" w:sz="6" w:space="0" w:color="auto"/>
            </w:tcBorders>
          </w:tcPr>
          <w:p w:rsidR="00000000" w:rsidRDefault="001F233B">
            <w:pPr>
              <w:rPr>
                <w:rFonts w:ascii="Arial" w:hAnsi="Arial"/>
                <w:b/>
                <w:color w:val="000000"/>
                <w:sz w:val="17"/>
              </w:rPr>
            </w:pPr>
            <w:r>
              <w:rPr>
                <w:rFonts w:ascii="Arial" w:hAnsi="Arial"/>
                <w:b/>
                <w:color w:val="000000"/>
                <w:sz w:val="17"/>
              </w:rPr>
              <w:t>Total Revenue and Grants Received</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17 679.8</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17 584.2</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17 937.1</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18 377.6</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18 638.4</w:t>
            </w:r>
          </w:p>
        </w:tc>
      </w:tr>
      <w:tr w:rsidR="00000000">
        <w:tblPrEx>
          <w:tblCellMar>
            <w:top w:w="0" w:type="dxa"/>
            <w:bottom w:w="0" w:type="dxa"/>
          </w:tblCellMar>
        </w:tblPrEx>
        <w:trPr>
          <w:trHeight w:hRule="exact" w:val="140"/>
        </w:trPr>
        <w:tc>
          <w:tcPr>
            <w:tcW w:w="3402" w:type="dxa"/>
          </w:tcPr>
          <w:p w:rsidR="00000000" w:rsidRDefault="001F233B">
            <w:pPr>
              <w:jc w:val="right"/>
              <w:rPr>
                <w:rFonts w:ascii="Arial" w:hAnsi="Arial"/>
                <w:b/>
                <w:color w:val="000000"/>
                <w:sz w:val="17"/>
              </w:rPr>
            </w:pPr>
          </w:p>
        </w:tc>
        <w:tc>
          <w:tcPr>
            <w:tcW w:w="749" w:type="dxa"/>
          </w:tcPr>
          <w:p w:rsidR="00000000" w:rsidRDefault="001F233B">
            <w:pPr>
              <w:jc w:val="right"/>
              <w:rPr>
                <w:rFonts w:ascii="Arial" w:hAnsi="Arial"/>
                <w:b/>
                <w:color w:val="000000"/>
                <w:sz w:val="17"/>
              </w:rPr>
            </w:pPr>
          </w:p>
        </w:tc>
        <w:tc>
          <w:tcPr>
            <w:tcW w:w="749" w:type="dxa"/>
          </w:tcPr>
          <w:p w:rsidR="00000000" w:rsidRDefault="001F233B">
            <w:pPr>
              <w:jc w:val="right"/>
              <w:rPr>
                <w:rFonts w:ascii="Arial" w:hAnsi="Arial"/>
                <w:b/>
                <w:color w:val="000000"/>
                <w:sz w:val="17"/>
              </w:rPr>
            </w:pPr>
          </w:p>
        </w:tc>
        <w:tc>
          <w:tcPr>
            <w:tcW w:w="749" w:type="dxa"/>
          </w:tcPr>
          <w:p w:rsidR="00000000" w:rsidRDefault="001F233B">
            <w:pPr>
              <w:jc w:val="right"/>
              <w:rPr>
                <w:rFonts w:ascii="Arial" w:hAnsi="Arial"/>
                <w:b/>
                <w:color w:val="000000"/>
                <w:sz w:val="17"/>
              </w:rPr>
            </w:pPr>
          </w:p>
        </w:tc>
        <w:tc>
          <w:tcPr>
            <w:tcW w:w="749" w:type="dxa"/>
          </w:tcPr>
          <w:p w:rsidR="00000000" w:rsidRDefault="001F233B">
            <w:pPr>
              <w:jc w:val="right"/>
              <w:rPr>
                <w:rFonts w:ascii="Arial" w:hAnsi="Arial"/>
                <w:b/>
                <w:color w:val="000000"/>
                <w:sz w:val="17"/>
              </w:rPr>
            </w:pPr>
          </w:p>
        </w:tc>
        <w:tc>
          <w:tcPr>
            <w:tcW w:w="749" w:type="dxa"/>
          </w:tcPr>
          <w:p w:rsidR="00000000" w:rsidRDefault="001F233B">
            <w:pPr>
              <w:jc w:val="right"/>
              <w:rPr>
                <w:rFonts w:ascii="Arial" w:hAnsi="Arial"/>
                <w:b/>
                <w:color w:val="000000"/>
                <w:sz w:val="17"/>
              </w:rPr>
            </w:pPr>
          </w:p>
        </w:tc>
      </w:tr>
      <w:tr w:rsidR="00000000">
        <w:tblPrEx>
          <w:tblCellMar>
            <w:top w:w="0" w:type="dxa"/>
            <w:bottom w:w="0" w:type="dxa"/>
          </w:tblCellMar>
        </w:tblPrEx>
        <w:trPr>
          <w:trHeight w:hRule="exact" w:val="240"/>
        </w:trPr>
        <w:tc>
          <w:tcPr>
            <w:tcW w:w="3402" w:type="dxa"/>
          </w:tcPr>
          <w:p w:rsidR="00000000" w:rsidRDefault="001F233B">
            <w:pPr>
              <w:rPr>
                <w:rFonts w:ascii="Arial" w:hAnsi="Arial"/>
                <w:b/>
                <w:color w:val="000000"/>
                <w:sz w:val="17"/>
              </w:rPr>
            </w:pPr>
            <w:r>
              <w:rPr>
                <w:rFonts w:ascii="Arial" w:hAnsi="Arial"/>
                <w:b/>
                <w:color w:val="000000"/>
                <w:sz w:val="17"/>
              </w:rPr>
              <w:t>Financing Transactions</w:t>
            </w: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Net advances received</w:t>
            </w:r>
          </w:p>
        </w:tc>
        <w:tc>
          <w:tcPr>
            <w:tcW w:w="749" w:type="dxa"/>
          </w:tcPr>
          <w:p w:rsidR="00000000" w:rsidRDefault="001F233B">
            <w:pPr>
              <w:jc w:val="right"/>
              <w:rPr>
                <w:rFonts w:ascii="Arial" w:hAnsi="Arial"/>
                <w:color w:val="000000"/>
                <w:sz w:val="17"/>
              </w:rPr>
            </w:pPr>
            <w:r>
              <w:rPr>
                <w:rFonts w:ascii="Arial" w:hAnsi="Arial"/>
                <w:color w:val="000000"/>
                <w:sz w:val="17"/>
              </w:rPr>
              <w:t>- 0.4</w:t>
            </w:r>
          </w:p>
        </w:tc>
        <w:tc>
          <w:tcPr>
            <w:tcW w:w="749" w:type="dxa"/>
          </w:tcPr>
          <w:p w:rsidR="00000000" w:rsidRDefault="001F233B">
            <w:pPr>
              <w:jc w:val="right"/>
              <w:rPr>
                <w:rFonts w:ascii="Arial" w:hAnsi="Arial"/>
                <w:color w:val="000000"/>
                <w:sz w:val="17"/>
              </w:rPr>
            </w:pPr>
            <w:r>
              <w:rPr>
                <w:rFonts w:ascii="Arial" w:hAnsi="Arial"/>
                <w:color w:val="000000"/>
                <w:sz w:val="17"/>
              </w:rPr>
              <w:t>- 0.3</w:t>
            </w:r>
          </w:p>
        </w:tc>
        <w:tc>
          <w:tcPr>
            <w:tcW w:w="749" w:type="dxa"/>
          </w:tcPr>
          <w:p w:rsidR="00000000" w:rsidRDefault="001F233B">
            <w:pPr>
              <w:jc w:val="right"/>
              <w:rPr>
                <w:rFonts w:ascii="Arial" w:hAnsi="Arial"/>
                <w:color w:val="000000"/>
                <w:sz w:val="17"/>
              </w:rPr>
            </w:pPr>
            <w:r>
              <w:rPr>
                <w:rFonts w:ascii="Arial" w:hAnsi="Arial"/>
                <w:color w:val="000000"/>
                <w:sz w:val="17"/>
              </w:rPr>
              <w:t>- 0.4</w:t>
            </w:r>
          </w:p>
        </w:tc>
        <w:tc>
          <w:tcPr>
            <w:tcW w:w="749" w:type="dxa"/>
          </w:tcPr>
          <w:p w:rsidR="00000000" w:rsidRDefault="001F233B">
            <w:pPr>
              <w:jc w:val="right"/>
              <w:rPr>
                <w:rFonts w:ascii="Arial" w:hAnsi="Arial"/>
                <w:color w:val="000000"/>
                <w:sz w:val="17"/>
              </w:rPr>
            </w:pPr>
            <w:r>
              <w:rPr>
                <w:rFonts w:ascii="Arial" w:hAnsi="Arial"/>
                <w:color w:val="000000"/>
                <w:sz w:val="17"/>
              </w:rPr>
              <w:t>- 0.2</w:t>
            </w:r>
          </w:p>
        </w:tc>
        <w:tc>
          <w:tcPr>
            <w:tcW w:w="749" w:type="dxa"/>
          </w:tcPr>
          <w:p w:rsidR="00000000" w:rsidRDefault="001F233B">
            <w:pPr>
              <w:jc w:val="right"/>
              <w:rPr>
                <w:rFonts w:ascii="Arial" w:hAnsi="Arial"/>
                <w:color w:val="000000"/>
                <w:sz w:val="17"/>
              </w:rPr>
            </w:pPr>
            <w:r>
              <w:rPr>
                <w:rFonts w:ascii="Arial" w:hAnsi="Arial"/>
                <w:color w:val="000000"/>
                <w:sz w:val="17"/>
              </w:rPr>
              <w:t>- 0.2</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Net domestic and overseas borrowing</w:t>
            </w:r>
          </w:p>
        </w:tc>
        <w:tc>
          <w:tcPr>
            <w:tcW w:w="749" w:type="dxa"/>
          </w:tcPr>
          <w:p w:rsidR="00000000" w:rsidRDefault="001F233B">
            <w:pPr>
              <w:jc w:val="right"/>
              <w:rPr>
                <w:rFonts w:ascii="Arial" w:hAnsi="Arial"/>
                <w:color w:val="000000"/>
                <w:sz w:val="17"/>
              </w:rPr>
            </w:pPr>
            <w:r>
              <w:rPr>
                <w:rFonts w:ascii="Arial" w:hAnsi="Arial"/>
                <w:color w:val="000000"/>
                <w:sz w:val="17"/>
              </w:rPr>
              <w:t>-2 786.0</w:t>
            </w:r>
          </w:p>
        </w:tc>
        <w:tc>
          <w:tcPr>
            <w:tcW w:w="749" w:type="dxa"/>
          </w:tcPr>
          <w:p w:rsidR="00000000" w:rsidRDefault="001F233B">
            <w:pPr>
              <w:jc w:val="right"/>
              <w:rPr>
                <w:rFonts w:ascii="Arial" w:hAnsi="Arial"/>
                <w:color w:val="000000"/>
                <w:sz w:val="17"/>
              </w:rPr>
            </w:pPr>
            <w:r>
              <w:rPr>
                <w:rFonts w:ascii="Arial" w:hAnsi="Arial"/>
                <w:color w:val="000000"/>
                <w:sz w:val="17"/>
              </w:rPr>
              <w:t xml:space="preserve"> 226.3</w:t>
            </w:r>
          </w:p>
        </w:tc>
        <w:tc>
          <w:tcPr>
            <w:tcW w:w="749" w:type="dxa"/>
          </w:tcPr>
          <w:p w:rsidR="00000000" w:rsidRDefault="001F233B">
            <w:pPr>
              <w:jc w:val="right"/>
              <w:rPr>
                <w:rFonts w:ascii="Arial" w:hAnsi="Arial"/>
                <w:color w:val="000000"/>
                <w:sz w:val="17"/>
              </w:rPr>
            </w:pPr>
            <w:r>
              <w:rPr>
                <w:rFonts w:ascii="Arial" w:hAnsi="Arial"/>
                <w:color w:val="000000"/>
                <w:sz w:val="17"/>
              </w:rPr>
              <w:t>- 404.8</w:t>
            </w:r>
          </w:p>
        </w:tc>
        <w:tc>
          <w:tcPr>
            <w:tcW w:w="749" w:type="dxa"/>
          </w:tcPr>
          <w:p w:rsidR="00000000" w:rsidRDefault="001F233B">
            <w:pPr>
              <w:jc w:val="right"/>
              <w:rPr>
                <w:rFonts w:ascii="Arial" w:hAnsi="Arial"/>
                <w:color w:val="000000"/>
                <w:sz w:val="17"/>
              </w:rPr>
            </w:pPr>
            <w:r>
              <w:rPr>
                <w:rFonts w:ascii="Arial" w:hAnsi="Arial"/>
                <w:color w:val="000000"/>
                <w:sz w:val="17"/>
              </w:rPr>
              <w:t>- 2.5</w:t>
            </w:r>
          </w:p>
        </w:tc>
        <w:tc>
          <w:tcPr>
            <w:tcW w:w="749" w:type="dxa"/>
          </w:tcPr>
          <w:p w:rsidR="00000000" w:rsidRDefault="001F233B">
            <w:pPr>
              <w:jc w:val="right"/>
              <w:rPr>
                <w:rFonts w:ascii="Arial" w:hAnsi="Arial"/>
                <w:color w:val="000000"/>
                <w:sz w:val="17"/>
              </w:rPr>
            </w:pPr>
            <w:r>
              <w:rPr>
                <w:rFonts w:ascii="Arial" w:hAnsi="Arial"/>
                <w:color w:val="000000"/>
                <w:sz w:val="17"/>
              </w:rPr>
              <w:t xml:space="preserve"> 270.8</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Increase in provisions (net)</w:t>
            </w:r>
          </w:p>
        </w:tc>
        <w:tc>
          <w:tcPr>
            <w:tcW w:w="749" w:type="dxa"/>
          </w:tcPr>
          <w:p w:rsidR="00000000" w:rsidRDefault="001F233B">
            <w:pPr>
              <w:jc w:val="right"/>
              <w:rPr>
                <w:rFonts w:ascii="Arial" w:hAnsi="Arial"/>
                <w:color w:val="000000"/>
                <w:sz w:val="17"/>
              </w:rPr>
            </w:pPr>
            <w:r>
              <w:rPr>
                <w:rFonts w:ascii="Arial" w:hAnsi="Arial"/>
                <w:color w:val="000000"/>
                <w:sz w:val="17"/>
              </w:rPr>
              <w:t>..</w:t>
            </w:r>
          </w:p>
        </w:tc>
        <w:tc>
          <w:tcPr>
            <w:tcW w:w="749" w:type="dxa"/>
          </w:tcPr>
          <w:p w:rsidR="00000000" w:rsidRDefault="001F233B">
            <w:pPr>
              <w:jc w:val="right"/>
              <w:rPr>
                <w:rFonts w:ascii="Arial" w:hAnsi="Arial"/>
                <w:color w:val="000000"/>
                <w:sz w:val="17"/>
              </w:rPr>
            </w:pPr>
            <w:r>
              <w:rPr>
                <w:rFonts w:ascii="Arial" w:hAnsi="Arial"/>
                <w:color w:val="000000"/>
                <w:sz w:val="17"/>
              </w:rPr>
              <w:t>..</w:t>
            </w:r>
          </w:p>
        </w:tc>
        <w:tc>
          <w:tcPr>
            <w:tcW w:w="749" w:type="dxa"/>
          </w:tcPr>
          <w:p w:rsidR="00000000" w:rsidRDefault="001F233B">
            <w:pPr>
              <w:jc w:val="right"/>
              <w:rPr>
                <w:rFonts w:ascii="Arial" w:hAnsi="Arial"/>
                <w:color w:val="000000"/>
                <w:sz w:val="17"/>
              </w:rPr>
            </w:pPr>
            <w:r>
              <w:rPr>
                <w:rFonts w:ascii="Arial" w:hAnsi="Arial"/>
                <w:color w:val="000000"/>
                <w:sz w:val="17"/>
              </w:rPr>
              <w:t>..</w:t>
            </w:r>
          </w:p>
        </w:tc>
        <w:tc>
          <w:tcPr>
            <w:tcW w:w="749" w:type="dxa"/>
          </w:tcPr>
          <w:p w:rsidR="00000000" w:rsidRDefault="001F233B">
            <w:pPr>
              <w:jc w:val="right"/>
              <w:rPr>
                <w:rFonts w:ascii="Arial" w:hAnsi="Arial"/>
                <w:color w:val="000000"/>
                <w:sz w:val="17"/>
              </w:rPr>
            </w:pPr>
            <w:r>
              <w:rPr>
                <w:rFonts w:ascii="Arial" w:hAnsi="Arial"/>
                <w:color w:val="000000"/>
                <w:sz w:val="17"/>
              </w:rPr>
              <w:t>..</w:t>
            </w:r>
          </w:p>
        </w:tc>
        <w:tc>
          <w:tcPr>
            <w:tcW w:w="749" w:type="dxa"/>
          </w:tcPr>
          <w:p w:rsidR="00000000" w:rsidRDefault="001F233B">
            <w:pPr>
              <w:jc w:val="right"/>
              <w:rPr>
                <w:rFonts w:ascii="Arial" w:hAnsi="Arial"/>
                <w:color w:val="000000"/>
                <w:sz w:val="17"/>
              </w:rPr>
            </w:pPr>
            <w:r>
              <w:rPr>
                <w:rFonts w:ascii="Arial" w:hAnsi="Arial"/>
                <w:color w:val="000000"/>
                <w:sz w:val="17"/>
              </w:rPr>
              <w:t>..</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Other financing transactions</w:t>
            </w:r>
          </w:p>
        </w:tc>
        <w:tc>
          <w:tcPr>
            <w:tcW w:w="749" w:type="dxa"/>
          </w:tcPr>
          <w:p w:rsidR="00000000" w:rsidRDefault="001F233B">
            <w:pPr>
              <w:jc w:val="right"/>
              <w:rPr>
                <w:rFonts w:ascii="Arial" w:hAnsi="Arial"/>
                <w:color w:val="000000"/>
                <w:sz w:val="17"/>
              </w:rPr>
            </w:pPr>
            <w:r>
              <w:rPr>
                <w:rFonts w:ascii="Arial" w:hAnsi="Arial"/>
                <w:color w:val="000000"/>
                <w:sz w:val="17"/>
              </w:rPr>
              <w:t xml:space="preserve"> 61.5</w:t>
            </w:r>
          </w:p>
        </w:tc>
        <w:tc>
          <w:tcPr>
            <w:tcW w:w="749" w:type="dxa"/>
          </w:tcPr>
          <w:p w:rsidR="00000000" w:rsidRDefault="001F233B">
            <w:pPr>
              <w:jc w:val="right"/>
              <w:rPr>
                <w:rFonts w:ascii="Arial" w:hAnsi="Arial"/>
                <w:color w:val="000000"/>
                <w:sz w:val="17"/>
              </w:rPr>
            </w:pPr>
            <w:r>
              <w:rPr>
                <w:rFonts w:ascii="Arial" w:hAnsi="Arial"/>
                <w:color w:val="000000"/>
                <w:sz w:val="17"/>
              </w:rPr>
              <w:t>- 392</w:t>
            </w:r>
            <w:r>
              <w:rPr>
                <w:rFonts w:ascii="Arial" w:hAnsi="Arial"/>
                <w:color w:val="000000"/>
                <w:sz w:val="17"/>
              </w:rPr>
              <w:t>.5</w:t>
            </w:r>
          </w:p>
        </w:tc>
        <w:tc>
          <w:tcPr>
            <w:tcW w:w="749" w:type="dxa"/>
          </w:tcPr>
          <w:p w:rsidR="00000000" w:rsidRDefault="001F233B">
            <w:pPr>
              <w:jc w:val="right"/>
              <w:rPr>
                <w:rFonts w:ascii="Arial" w:hAnsi="Arial"/>
                <w:color w:val="000000"/>
                <w:sz w:val="17"/>
              </w:rPr>
            </w:pPr>
            <w:r>
              <w:rPr>
                <w:rFonts w:ascii="Arial" w:hAnsi="Arial"/>
                <w:color w:val="000000"/>
                <w:sz w:val="17"/>
              </w:rPr>
              <w:t>- 214.1</w:t>
            </w:r>
          </w:p>
        </w:tc>
        <w:tc>
          <w:tcPr>
            <w:tcW w:w="749" w:type="dxa"/>
          </w:tcPr>
          <w:p w:rsidR="00000000" w:rsidRDefault="001F233B">
            <w:pPr>
              <w:jc w:val="right"/>
              <w:rPr>
                <w:rFonts w:ascii="Arial" w:hAnsi="Arial"/>
                <w:color w:val="000000"/>
                <w:sz w:val="17"/>
              </w:rPr>
            </w:pPr>
            <w:r>
              <w:rPr>
                <w:rFonts w:ascii="Arial" w:hAnsi="Arial"/>
                <w:color w:val="000000"/>
                <w:sz w:val="17"/>
              </w:rPr>
              <w:t>- 454.1</w:t>
            </w:r>
          </w:p>
        </w:tc>
        <w:tc>
          <w:tcPr>
            <w:tcW w:w="749" w:type="dxa"/>
          </w:tcPr>
          <w:p w:rsidR="00000000" w:rsidRDefault="001F233B">
            <w:pPr>
              <w:jc w:val="right"/>
              <w:rPr>
                <w:rFonts w:ascii="Arial" w:hAnsi="Arial"/>
                <w:color w:val="000000"/>
                <w:sz w:val="17"/>
              </w:rPr>
            </w:pPr>
            <w:r>
              <w:rPr>
                <w:rFonts w:ascii="Arial" w:hAnsi="Arial"/>
                <w:color w:val="000000"/>
                <w:sz w:val="17"/>
              </w:rPr>
              <w:t>- 550.4</w:t>
            </w:r>
          </w:p>
        </w:tc>
      </w:tr>
      <w:tr w:rsidR="00000000">
        <w:tblPrEx>
          <w:tblCellMar>
            <w:top w:w="0" w:type="dxa"/>
            <w:bottom w:w="0" w:type="dxa"/>
          </w:tblCellMar>
        </w:tblPrEx>
        <w:trPr>
          <w:trHeight w:hRule="exact" w:val="240"/>
        </w:trPr>
        <w:tc>
          <w:tcPr>
            <w:tcW w:w="3402" w:type="dxa"/>
            <w:tcBorders>
              <w:top w:val="single" w:sz="6" w:space="0" w:color="auto"/>
              <w:bottom w:val="single" w:sz="6" w:space="0" w:color="auto"/>
            </w:tcBorders>
          </w:tcPr>
          <w:p w:rsidR="00000000" w:rsidRDefault="001F233B">
            <w:pPr>
              <w:rPr>
                <w:rFonts w:ascii="Arial" w:hAnsi="Arial"/>
                <w:b/>
                <w:color w:val="000000"/>
                <w:sz w:val="17"/>
              </w:rPr>
            </w:pPr>
            <w:r>
              <w:rPr>
                <w:rFonts w:ascii="Arial" w:hAnsi="Arial"/>
                <w:b/>
                <w:color w:val="000000"/>
                <w:sz w:val="17"/>
              </w:rPr>
              <w:t>Total Financing Transactions</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-2 724.9</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- 166.5</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- 619.4</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- 456.9</w:t>
            </w:r>
          </w:p>
        </w:tc>
        <w:tc>
          <w:tcPr>
            <w:tcW w:w="749" w:type="dxa"/>
            <w:tcBorders>
              <w:top w:val="single" w:sz="6" w:space="0" w:color="auto"/>
              <w:bottom w:val="single" w:sz="6" w:space="0" w:color="auto"/>
            </w:tcBorders>
          </w:tcPr>
          <w:p w:rsidR="00000000" w:rsidRDefault="001F233B">
            <w:pPr>
              <w:jc w:val="right"/>
              <w:rPr>
                <w:rFonts w:ascii="Arial" w:hAnsi="Arial"/>
                <w:b/>
                <w:color w:val="000000"/>
                <w:sz w:val="17"/>
              </w:rPr>
            </w:pPr>
            <w:r>
              <w:rPr>
                <w:rFonts w:ascii="Arial" w:hAnsi="Arial"/>
                <w:b/>
                <w:color w:val="000000"/>
                <w:sz w:val="17"/>
              </w:rPr>
              <w:t>- 279.8</w:t>
            </w:r>
          </w:p>
        </w:tc>
      </w:tr>
      <w:tr w:rsidR="00000000">
        <w:tblPrEx>
          <w:tblCellMar>
            <w:top w:w="0" w:type="dxa"/>
            <w:bottom w:w="0" w:type="dxa"/>
          </w:tblCellMar>
        </w:tblPrEx>
        <w:trPr>
          <w:trHeight w:hRule="exact" w:val="240"/>
        </w:trPr>
        <w:tc>
          <w:tcPr>
            <w:tcW w:w="3402" w:type="dxa"/>
          </w:tcPr>
          <w:p w:rsidR="00000000" w:rsidRDefault="001F233B">
            <w:pPr>
              <w:rPr>
                <w:rFonts w:ascii="Arial" w:hAnsi="Arial"/>
                <w:color w:val="000000"/>
                <w:sz w:val="17"/>
              </w:rPr>
            </w:pPr>
            <w:r>
              <w:rPr>
                <w:rFonts w:ascii="Arial" w:hAnsi="Arial"/>
                <w:color w:val="000000"/>
                <w:sz w:val="17"/>
              </w:rPr>
              <w:t>less increase in provisions (net)</w:t>
            </w:r>
          </w:p>
        </w:tc>
        <w:tc>
          <w:tcPr>
            <w:tcW w:w="749" w:type="dxa"/>
          </w:tcPr>
          <w:p w:rsidR="00000000" w:rsidRDefault="001F233B">
            <w:pPr>
              <w:jc w:val="right"/>
              <w:rPr>
                <w:rFonts w:ascii="Arial" w:hAnsi="Arial"/>
                <w:b/>
                <w:color w:val="000000"/>
                <w:sz w:val="17"/>
              </w:rPr>
            </w:pPr>
            <w:r>
              <w:rPr>
                <w:rFonts w:ascii="Arial" w:hAnsi="Arial"/>
                <w:b/>
                <w:color w:val="000000"/>
                <w:sz w:val="17"/>
              </w:rPr>
              <w:t>..</w:t>
            </w:r>
          </w:p>
        </w:tc>
        <w:tc>
          <w:tcPr>
            <w:tcW w:w="749" w:type="dxa"/>
          </w:tcPr>
          <w:p w:rsidR="00000000" w:rsidRDefault="001F233B">
            <w:pPr>
              <w:jc w:val="right"/>
              <w:rPr>
                <w:rFonts w:ascii="Arial" w:hAnsi="Arial"/>
                <w:b/>
                <w:color w:val="000000"/>
                <w:sz w:val="17"/>
              </w:rPr>
            </w:pPr>
            <w:r>
              <w:rPr>
                <w:rFonts w:ascii="Arial" w:hAnsi="Arial"/>
                <w:b/>
                <w:color w:val="000000"/>
                <w:sz w:val="17"/>
              </w:rPr>
              <w:t>..</w:t>
            </w:r>
          </w:p>
        </w:tc>
        <w:tc>
          <w:tcPr>
            <w:tcW w:w="749" w:type="dxa"/>
          </w:tcPr>
          <w:p w:rsidR="00000000" w:rsidRDefault="001F233B">
            <w:pPr>
              <w:jc w:val="right"/>
              <w:rPr>
                <w:rFonts w:ascii="Arial" w:hAnsi="Arial"/>
                <w:b/>
                <w:color w:val="000000"/>
                <w:sz w:val="17"/>
              </w:rPr>
            </w:pPr>
            <w:r>
              <w:rPr>
                <w:rFonts w:ascii="Arial" w:hAnsi="Arial"/>
                <w:b/>
                <w:color w:val="000000"/>
                <w:sz w:val="17"/>
              </w:rPr>
              <w:t>..</w:t>
            </w:r>
          </w:p>
        </w:tc>
        <w:tc>
          <w:tcPr>
            <w:tcW w:w="749" w:type="dxa"/>
          </w:tcPr>
          <w:p w:rsidR="00000000" w:rsidRDefault="001F233B">
            <w:pPr>
              <w:jc w:val="right"/>
              <w:rPr>
                <w:rFonts w:ascii="Arial" w:hAnsi="Arial"/>
                <w:b/>
                <w:color w:val="000000"/>
                <w:sz w:val="17"/>
              </w:rPr>
            </w:pPr>
            <w:r>
              <w:rPr>
                <w:rFonts w:ascii="Arial" w:hAnsi="Arial"/>
                <w:b/>
                <w:color w:val="000000"/>
                <w:sz w:val="17"/>
              </w:rPr>
              <w:t>..</w:t>
            </w:r>
          </w:p>
        </w:tc>
        <w:tc>
          <w:tcPr>
            <w:tcW w:w="749" w:type="dxa"/>
          </w:tcPr>
          <w:p w:rsidR="00000000" w:rsidRDefault="001F233B">
            <w:pPr>
              <w:jc w:val="right"/>
              <w:rPr>
                <w:rFonts w:ascii="Arial" w:hAnsi="Arial"/>
                <w:b/>
                <w:color w:val="000000"/>
                <w:sz w:val="17"/>
              </w:rPr>
            </w:pPr>
            <w:r>
              <w:rPr>
                <w:rFonts w:ascii="Arial" w:hAnsi="Arial"/>
                <w:b/>
                <w:color w:val="000000"/>
                <w:sz w:val="17"/>
              </w:rPr>
              <w:t>..</w:t>
            </w:r>
          </w:p>
        </w:tc>
      </w:tr>
      <w:tr w:rsidR="00000000">
        <w:tblPrEx>
          <w:tblCellMar>
            <w:top w:w="0" w:type="dxa"/>
            <w:bottom w:w="0" w:type="dxa"/>
          </w:tblCellMar>
        </w:tblPrEx>
        <w:trPr>
          <w:trHeight w:hRule="exact" w:val="240"/>
        </w:trPr>
        <w:tc>
          <w:tcPr>
            <w:tcW w:w="3402" w:type="dxa"/>
          </w:tcPr>
          <w:p w:rsidR="00000000" w:rsidRDefault="001F233B">
            <w:pPr>
              <w:rPr>
                <w:rFonts w:ascii="Arial" w:hAnsi="Arial"/>
                <w:b/>
                <w:color w:val="000000"/>
                <w:sz w:val="17"/>
              </w:rPr>
            </w:pPr>
            <w:r>
              <w:rPr>
                <w:rFonts w:ascii="Arial" w:hAnsi="Arial"/>
                <w:b/>
                <w:color w:val="000000"/>
                <w:sz w:val="17"/>
              </w:rPr>
              <w:t>Deficit</w:t>
            </w:r>
          </w:p>
        </w:tc>
        <w:tc>
          <w:tcPr>
            <w:tcW w:w="749" w:type="dxa"/>
          </w:tcPr>
          <w:p w:rsidR="00000000" w:rsidRDefault="001F233B">
            <w:pPr>
              <w:jc w:val="right"/>
              <w:rPr>
                <w:rFonts w:ascii="Arial" w:hAnsi="Arial"/>
                <w:b/>
                <w:color w:val="000000"/>
                <w:sz w:val="17"/>
              </w:rPr>
            </w:pPr>
            <w:r>
              <w:rPr>
                <w:rFonts w:ascii="Arial" w:hAnsi="Arial"/>
                <w:b/>
                <w:color w:val="000000"/>
                <w:sz w:val="17"/>
              </w:rPr>
              <w:t>-2 724.9</w:t>
            </w:r>
          </w:p>
        </w:tc>
        <w:tc>
          <w:tcPr>
            <w:tcW w:w="749" w:type="dxa"/>
          </w:tcPr>
          <w:p w:rsidR="00000000" w:rsidRDefault="001F233B">
            <w:pPr>
              <w:jc w:val="right"/>
              <w:rPr>
                <w:rFonts w:ascii="Arial" w:hAnsi="Arial"/>
                <w:b/>
                <w:color w:val="000000"/>
                <w:sz w:val="17"/>
              </w:rPr>
            </w:pPr>
            <w:r>
              <w:rPr>
                <w:rFonts w:ascii="Arial" w:hAnsi="Arial"/>
                <w:b/>
                <w:color w:val="000000"/>
                <w:sz w:val="17"/>
              </w:rPr>
              <w:t>- 166.5</w:t>
            </w:r>
          </w:p>
        </w:tc>
        <w:tc>
          <w:tcPr>
            <w:tcW w:w="749" w:type="dxa"/>
          </w:tcPr>
          <w:p w:rsidR="00000000" w:rsidRDefault="001F233B">
            <w:pPr>
              <w:jc w:val="right"/>
              <w:rPr>
                <w:rFonts w:ascii="Arial" w:hAnsi="Arial"/>
                <w:b/>
                <w:color w:val="000000"/>
                <w:sz w:val="17"/>
              </w:rPr>
            </w:pPr>
            <w:r>
              <w:rPr>
                <w:rFonts w:ascii="Arial" w:hAnsi="Arial"/>
                <w:b/>
                <w:color w:val="000000"/>
                <w:sz w:val="17"/>
              </w:rPr>
              <w:t>- 619.4</w:t>
            </w:r>
          </w:p>
        </w:tc>
        <w:tc>
          <w:tcPr>
            <w:tcW w:w="749" w:type="dxa"/>
          </w:tcPr>
          <w:p w:rsidR="00000000" w:rsidRDefault="001F233B">
            <w:pPr>
              <w:jc w:val="right"/>
              <w:rPr>
                <w:rFonts w:ascii="Arial" w:hAnsi="Arial"/>
                <w:b/>
                <w:color w:val="000000"/>
                <w:sz w:val="17"/>
              </w:rPr>
            </w:pPr>
            <w:r>
              <w:rPr>
                <w:rFonts w:ascii="Arial" w:hAnsi="Arial"/>
                <w:b/>
                <w:color w:val="000000"/>
                <w:sz w:val="17"/>
              </w:rPr>
              <w:t>- 456.9</w:t>
            </w:r>
          </w:p>
        </w:tc>
        <w:tc>
          <w:tcPr>
            <w:tcW w:w="749" w:type="dxa"/>
          </w:tcPr>
          <w:p w:rsidR="00000000" w:rsidRDefault="001F233B">
            <w:pPr>
              <w:jc w:val="right"/>
              <w:rPr>
                <w:rFonts w:ascii="Arial" w:hAnsi="Arial"/>
                <w:b/>
                <w:color w:val="000000"/>
                <w:sz w:val="17"/>
              </w:rPr>
            </w:pPr>
            <w:r>
              <w:rPr>
                <w:rFonts w:ascii="Arial" w:hAnsi="Arial"/>
                <w:b/>
                <w:color w:val="000000"/>
                <w:sz w:val="17"/>
              </w:rPr>
              <w:t>- 279.8</w:t>
            </w:r>
          </w:p>
        </w:tc>
      </w:tr>
      <w:tr w:rsidR="00000000">
        <w:tblPrEx>
          <w:tblCellMar>
            <w:top w:w="0" w:type="dxa"/>
            <w:bottom w:w="0" w:type="dxa"/>
          </w:tblCellMar>
        </w:tblPrEx>
        <w:trPr>
          <w:trHeight w:hRule="exact" w:val="140"/>
        </w:trPr>
        <w:tc>
          <w:tcPr>
            <w:tcW w:w="3402" w:type="dxa"/>
          </w:tcPr>
          <w:p w:rsidR="00000000" w:rsidRDefault="001F233B">
            <w:pPr>
              <w:rPr>
                <w:rFonts w:ascii="Arial" w:hAnsi="Arial"/>
                <w:b/>
                <w:color w:val="000000"/>
                <w:sz w:val="17"/>
              </w:rPr>
            </w:pPr>
          </w:p>
        </w:tc>
        <w:tc>
          <w:tcPr>
            <w:tcW w:w="749" w:type="dxa"/>
          </w:tcPr>
          <w:p w:rsidR="00000000" w:rsidRDefault="001F233B">
            <w:pPr>
              <w:jc w:val="right"/>
              <w:rPr>
                <w:rFonts w:ascii="Arial" w:hAnsi="Arial"/>
                <w:b/>
                <w:color w:val="000000"/>
                <w:sz w:val="17"/>
              </w:rPr>
            </w:pPr>
          </w:p>
        </w:tc>
        <w:tc>
          <w:tcPr>
            <w:tcW w:w="749" w:type="dxa"/>
          </w:tcPr>
          <w:p w:rsidR="00000000" w:rsidRDefault="001F233B">
            <w:pPr>
              <w:jc w:val="right"/>
              <w:rPr>
                <w:rFonts w:ascii="Arial" w:hAnsi="Arial"/>
                <w:b/>
                <w:color w:val="000000"/>
                <w:sz w:val="17"/>
              </w:rPr>
            </w:pPr>
          </w:p>
        </w:tc>
        <w:tc>
          <w:tcPr>
            <w:tcW w:w="749" w:type="dxa"/>
          </w:tcPr>
          <w:p w:rsidR="00000000" w:rsidRDefault="001F233B">
            <w:pPr>
              <w:jc w:val="right"/>
              <w:rPr>
                <w:rFonts w:ascii="Arial" w:hAnsi="Arial"/>
                <w:b/>
                <w:color w:val="000000"/>
                <w:sz w:val="17"/>
              </w:rPr>
            </w:pPr>
          </w:p>
        </w:tc>
        <w:tc>
          <w:tcPr>
            <w:tcW w:w="749" w:type="dxa"/>
          </w:tcPr>
          <w:p w:rsidR="00000000" w:rsidRDefault="001F233B">
            <w:pPr>
              <w:jc w:val="right"/>
              <w:rPr>
                <w:rFonts w:ascii="Arial" w:hAnsi="Arial"/>
                <w:b/>
                <w:color w:val="000000"/>
                <w:sz w:val="17"/>
              </w:rPr>
            </w:pPr>
          </w:p>
        </w:tc>
        <w:tc>
          <w:tcPr>
            <w:tcW w:w="749" w:type="dxa"/>
          </w:tcPr>
          <w:p w:rsidR="00000000" w:rsidRDefault="001F233B">
            <w:pPr>
              <w:jc w:val="right"/>
              <w:rPr>
                <w:rFonts w:ascii="Arial" w:hAnsi="Arial"/>
                <w:b/>
                <w:color w:val="000000"/>
                <w:sz w:val="17"/>
              </w:rPr>
            </w:pPr>
          </w:p>
        </w:tc>
      </w:tr>
      <w:tr w:rsidR="00000000">
        <w:tblPrEx>
          <w:tblCellMar>
            <w:top w:w="0" w:type="dxa"/>
            <w:bottom w:w="0" w:type="dxa"/>
          </w:tblCellMar>
        </w:tblPrEx>
        <w:trPr>
          <w:trHeight w:hRule="exact" w:val="240"/>
        </w:trPr>
        <w:tc>
          <w:tcPr>
            <w:tcW w:w="3402" w:type="dxa"/>
          </w:tcPr>
          <w:p w:rsidR="00000000" w:rsidRDefault="001F233B">
            <w:pPr>
              <w:rPr>
                <w:rFonts w:ascii="Arial" w:hAnsi="Arial"/>
                <w:b/>
                <w:color w:val="000000"/>
                <w:sz w:val="17"/>
              </w:rPr>
            </w:pPr>
            <w:r>
              <w:rPr>
                <w:rFonts w:ascii="Arial" w:hAnsi="Arial"/>
                <w:b/>
                <w:color w:val="000000"/>
                <w:sz w:val="17"/>
              </w:rPr>
              <w:t>Net Advances Paid</w:t>
            </w:r>
          </w:p>
        </w:tc>
        <w:tc>
          <w:tcPr>
            <w:tcW w:w="749" w:type="dxa"/>
          </w:tcPr>
          <w:p w:rsidR="00000000" w:rsidRDefault="001F233B">
            <w:pPr>
              <w:jc w:val="right"/>
              <w:rPr>
                <w:rFonts w:ascii="Arial" w:hAnsi="Arial"/>
                <w:b/>
                <w:color w:val="000000"/>
                <w:sz w:val="17"/>
              </w:rPr>
            </w:pPr>
            <w:r>
              <w:rPr>
                <w:rFonts w:ascii="Arial" w:hAnsi="Arial"/>
                <w:b/>
                <w:color w:val="000000"/>
                <w:sz w:val="17"/>
              </w:rPr>
              <w:t>-1 359.5</w:t>
            </w:r>
          </w:p>
        </w:tc>
        <w:tc>
          <w:tcPr>
            <w:tcW w:w="749" w:type="dxa"/>
          </w:tcPr>
          <w:p w:rsidR="00000000" w:rsidRDefault="001F233B">
            <w:pPr>
              <w:jc w:val="right"/>
              <w:rPr>
                <w:rFonts w:ascii="Arial" w:hAnsi="Arial"/>
                <w:b/>
                <w:color w:val="000000"/>
                <w:sz w:val="17"/>
              </w:rPr>
            </w:pPr>
            <w:r>
              <w:rPr>
                <w:rFonts w:ascii="Arial" w:hAnsi="Arial"/>
                <w:b/>
                <w:color w:val="000000"/>
                <w:sz w:val="17"/>
              </w:rPr>
              <w:t xml:space="preserve"> 324.2</w:t>
            </w:r>
          </w:p>
        </w:tc>
        <w:tc>
          <w:tcPr>
            <w:tcW w:w="749" w:type="dxa"/>
          </w:tcPr>
          <w:p w:rsidR="00000000" w:rsidRDefault="001F233B">
            <w:pPr>
              <w:jc w:val="right"/>
              <w:rPr>
                <w:rFonts w:ascii="Arial" w:hAnsi="Arial"/>
                <w:b/>
                <w:color w:val="000000"/>
                <w:sz w:val="17"/>
              </w:rPr>
            </w:pPr>
            <w:r>
              <w:rPr>
                <w:rFonts w:ascii="Arial" w:hAnsi="Arial"/>
                <w:b/>
                <w:color w:val="000000"/>
                <w:sz w:val="17"/>
              </w:rPr>
              <w:t xml:space="preserve"> 56.7</w:t>
            </w:r>
          </w:p>
        </w:tc>
        <w:tc>
          <w:tcPr>
            <w:tcW w:w="749" w:type="dxa"/>
          </w:tcPr>
          <w:p w:rsidR="00000000" w:rsidRDefault="001F233B">
            <w:pPr>
              <w:jc w:val="right"/>
              <w:rPr>
                <w:rFonts w:ascii="Arial" w:hAnsi="Arial"/>
                <w:b/>
                <w:color w:val="000000"/>
                <w:sz w:val="17"/>
              </w:rPr>
            </w:pPr>
            <w:r>
              <w:rPr>
                <w:rFonts w:ascii="Arial" w:hAnsi="Arial"/>
                <w:b/>
                <w:color w:val="000000"/>
                <w:sz w:val="17"/>
              </w:rPr>
              <w:t xml:space="preserve"> 23.3</w:t>
            </w:r>
          </w:p>
        </w:tc>
        <w:tc>
          <w:tcPr>
            <w:tcW w:w="749" w:type="dxa"/>
          </w:tcPr>
          <w:p w:rsidR="00000000" w:rsidRDefault="001F233B">
            <w:pPr>
              <w:jc w:val="right"/>
              <w:rPr>
                <w:rFonts w:ascii="Arial" w:hAnsi="Arial"/>
                <w:b/>
                <w:color w:val="000000"/>
                <w:sz w:val="17"/>
              </w:rPr>
            </w:pPr>
            <w:r>
              <w:rPr>
                <w:rFonts w:ascii="Arial" w:hAnsi="Arial"/>
                <w:b/>
                <w:color w:val="000000"/>
                <w:sz w:val="17"/>
              </w:rPr>
              <w:t xml:space="preserve"> 10.0</w:t>
            </w:r>
          </w:p>
        </w:tc>
      </w:tr>
      <w:tr w:rsidR="00000000">
        <w:tblPrEx>
          <w:tblCellMar>
            <w:top w:w="0" w:type="dxa"/>
            <w:bottom w:w="0" w:type="dxa"/>
          </w:tblCellMar>
        </w:tblPrEx>
        <w:trPr>
          <w:trHeight w:hRule="exact" w:val="240"/>
        </w:trPr>
        <w:tc>
          <w:tcPr>
            <w:tcW w:w="3402" w:type="dxa"/>
          </w:tcPr>
          <w:p w:rsidR="00000000" w:rsidRDefault="001F233B">
            <w:pPr>
              <w:rPr>
                <w:rFonts w:ascii="Arial" w:hAnsi="Arial"/>
                <w:b/>
                <w:color w:val="000000"/>
                <w:sz w:val="17"/>
              </w:rPr>
            </w:pPr>
            <w:r>
              <w:rPr>
                <w:rFonts w:ascii="Arial" w:hAnsi="Arial"/>
                <w:b/>
                <w:color w:val="000000"/>
                <w:sz w:val="17"/>
              </w:rPr>
              <w:t>Deficit adjusted for Net Advances Paid</w:t>
            </w:r>
          </w:p>
        </w:tc>
        <w:tc>
          <w:tcPr>
            <w:tcW w:w="749" w:type="dxa"/>
          </w:tcPr>
          <w:p w:rsidR="00000000" w:rsidRDefault="001F233B">
            <w:pPr>
              <w:jc w:val="right"/>
              <w:rPr>
                <w:rFonts w:ascii="Arial" w:hAnsi="Arial"/>
                <w:b/>
                <w:color w:val="000000"/>
                <w:sz w:val="17"/>
              </w:rPr>
            </w:pPr>
            <w:r>
              <w:rPr>
                <w:rFonts w:ascii="Arial" w:hAnsi="Arial"/>
                <w:b/>
                <w:color w:val="000000"/>
                <w:sz w:val="17"/>
              </w:rPr>
              <w:t>-1 365.4</w:t>
            </w:r>
          </w:p>
        </w:tc>
        <w:tc>
          <w:tcPr>
            <w:tcW w:w="749" w:type="dxa"/>
          </w:tcPr>
          <w:p w:rsidR="00000000" w:rsidRDefault="001F233B">
            <w:pPr>
              <w:jc w:val="right"/>
              <w:rPr>
                <w:rFonts w:ascii="Arial" w:hAnsi="Arial"/>
                <w:b/>
                <w:color w:val="000000"/>
                <w:sz w:val="17"/>
              </w:rPr>
            </w:pPr>
            <w:r>
              <w:rPr>
                <w:rFonts w:ascii="Arial" w:hAnsi="Arial"/>
                <w:b/>
                <w:color w:val="000000"/>
                <w:sz w:val="17"/>
              </w:rPr>
              <w:t>- 490.7</w:t>
            </w:r>
          </w:p>
        </w:tc>
        <w:tc>
          <w:tcPr>
            <w:tcW w:w="749" w:type="dxa"/>
          </w:tcPr>
          <w:p w:rsidR="00000000" w:rsidRDefault="001F233B">
            <w:pPr>
              <w:jc w:val="right"/>
              <w:rPr>
                <w:rFonts w:ascii="Arial" w:hAnsi="Arial"/>
                <w:b/>
                <w:color w:val="000000"/>
                <w:sz w:val="17"/>
              </w:rPr>
            </w:pPr>
            <w:r>
              <w:rPr>
                <w:rFonts w:ascii="Arial" w:hAnsi="Arial"/>
                <w:b/>
                <w:color w:val="000000"/>
                <w:sz w:val="17"/>
              </w:rPr>
              <w:t>- 676.1</w:t>
            </w:r>
          </w:p>
        </w:tc>
        <w:tc>
          <w:tcPr>
            <w:tcW w:w="749" w:type="dxa"/>
          </w:tcPr>
          <w:p w:rsidR="00000000" w:rsidRDefault="001F233B">
            <w:pPr>
              <w:jc w:val="right"/>
              <w:rPr>
                <w:rFonts w:ascii="Arial" w:hAnsi="Arial"/>
                <w:b/>
                <w:color w:val="000000"/>
                <w:sz w:val="17"/>
              </w:rPr>
            </w:pPr>
            <w:r>
              <w:rPr>
                <w:rFonts w:ascii="Arial" w:hAnsi="Arial"/>
                <w:b/>
                <w:color w:val="000000"/>
                <w:sz w:val="17"/>
              </w:rPr>
              <w:t>- 480.1</w:t>
            </w:r>
          </w:p>
        </w:tc>
        <w:tc>
          <w:tcPr>
            <w:tcW w:w="749" w:type="dxa"/>
          </w:tcPr>
          <w:p w:rsidR="00000000" w:rsidRDefault="001F233B">
            <w:pPr>
              <w:jc w:val="right"/>
              <w:rPr>
                <w:rFonts w:ascii="Arial" w:hAnsi="Arial"/>
                <w:b/>
                <w:color w:val="000000"/>
                <w:sz w:val="17"/>
              </w:rPr>
            </w:pPr>
            <w:r>
              <w:rPr>
                <w:rFonts w:ascii="Arial" w:hAnsi="Arial"/>
                <w:b/>
                <w:color w:val="000000"/>
                <w:sz w:val="17"/>
              </w:rPr>
              <w:t>- 289.8</w:t>
            </w:r>
          </w:p>
        </w:tc>
      </w:tr>
      <w:tr w:rsidR="00000000">
        <w:tblPrEx>
          <w:tblCellMar>
            <w:top w:w="0" w:type="dxa"/>
            <w:bottom w:w="0" w:type="dxa"/>
          </w:tblCellMar>
        </w:tblPrEx>
        <w:trPr>
          <w:trHeight w:hRule="exact" w:val="140"/>
        </w:trPr>
        <w:tc>
          <w:tcPr>
            <w:tcW w:w="3402"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c>
          <w:tcPr>
            <w:tcW w:w="749" w:type="dxa"/>
          </w:tcPr>
          <w:p w:rsidR="00000000" w:rsidRDefault="001F233B">
            <w:pPr>
              <w:jc w:val="right"/>
              <w:rPr>
                <w:rFonts w:ascii="Arial" w:hAnsi="Arial"/>
                <w:color w:val="000000"/>
                <w:sz w:val="17"/>
              </w:rPr>
            </w:pPr>
          </w:p>
        </w:tc>
      </w:tr>
      <w:tr w:rsidR="00000000">
        <w:tblPrEx>
          <w:tblCellMar>
            <w:top w:w="0" w:type="dxa"/>
            <w:bottom w:w="0" w:type="dxa"/>
          </w:tblCellMar>
        </w:tblPrEx>
        <w:trPr>
          <w:trHeight w:hRule="exact" w:val="240"/>
        </w:trPr>
        <w:tc>
          <w:tcPr>
            <w:tcW w:w="3402" w:type="dxa"/>
            <w:tcBorders>
              <w:bottom w:val="single" w:sz="12" w:space="0" w:color="auto"/>
            </w:tcBorders>
          </w:tcPr>
          <w:p w:rsidR="00000000" w:rsidRDefault="001F233B">
            <w:pPr>
              <w:rPr>
                <w:rFonts w:ascii="Arial" w:hAnsi="Arial"/>
                <w:b/>
                <w:color w:val="000000"/>
                <w:sz w:val="17"/>
              </w:rPr>
            </w:pPr>
            <w:r>
              <w:rPr>
                <w:rFonts w:ascii="Arial" w:hAnsi="Arial"/>
                <w:b/>
                <w:color w:val="000000"/>
                <w:sz w:val="17"/>
              </w:rPr>
              <w:t>Net Debt</w:t>
            </w:r>
          </w:p>
        </w:tc>
        <w:tc>
          <w:tcPr>
            <w:tcW w:w="749" w:type="dxa"/>
            <w:tcBorders>
              <w:bottom w:val="single" w:sz="12" w:space="0" w:color="auto"/>
            </w:tcBorders>
          </w:tcPr>
          <w:p w:rsidR="00000000" w:rsidRDefault="001F233B">
            <w:pPr>
              <w:jc w:val="right"/>
              <w:rPr>
                <w:rFonts w:ascii="Arial" w:hAnsi="Arial"/>
                <w:b/>
                <w:color w:val="000000"/>
                <w:sz w:val="17"/>
              </w:rPr>
            </w:pPr>
            <w:r>
              <w:rPr>
                <w:rFonts w:ascii="Arial" w:hAnsi="Arial"/>
                <w:b/>
                <w:color w:val="000000"/>
                <w:sz w:val="17"/>
              </w:rPr>
              <w:t>6 959.6</w:t>
            </w:r>
          </w:p>
        </w:tc>
        <w:tc>
          <w:tcPr>
            <w:tcW w:w="749" w:type="dxa"/>
            <w:tcBorders>
              <w:bottom w:val="single" w:sz="12" w:space="0" w:color="auto"/>
            </w:tcBorders>
          </w:tcPr>
          <w:p w:rsidR="00000000" w:rsidRDefault="001F233B">
            <w:pPr>
              <w:jc w:val="right"/>
              <w:rPr>
                <w:rFonts w:ascii="Arial" w:hAnsi="Arial"/>
                <w:b/>
                <w:color w:val="000000"/>
                <w:sz w:val="17"/>
              </w:rPr>
            </w:pPr>
            <w:r>
              <w:rPr>
                <w:rFonts w:ascii="Arial" w:hAnsi="Arial"/>
                <w:b/>
                <w:color w:val="000000"/>
                <w:sz w:val="17"/>
              </w:rPr>
              <w:t>6 468.9</w:t>
            </w:r>
          </w:p>
        </w:tc>
        <w:tc>
          <w:tcPr>
            <w:tcW w:w="749" w:type="dxa"/>
            <w:tcBorders>
              <w:bottom w:val="single" w:sz="12" w:space="0" w:color="auto"/>
            </w:tcBorders>
          </w:tcPr>
          <w:p w:rsidR="00000000" w:rsidRDefault="001F233B">
            <w:pPr>
              <w:jc w:val="right"/>
              <w:rPr>
                <w:rFonts w:ascii="Arial" w:hAnsi="Arial"/>
                <w:b/>
                <w:color w:val="000000"/>
                <w:sz w:val="17"/>
              </w:rPr>
            </w:pPr>
            <w:r>
              <w:rPr>
                <w:rFonts w:ascii="Arial" w:hAnsi="Arial"/>
                <w:b/>
                <w:color w:val="000000"/>
                <w:sz w:val="17"/>
              </w:rPr>
              <w:t>5 792.8</w:t>
            </w:r>
          </w:p>
        </w:tc>
        <w:tc>
          <w:tcPr>
            <w:tcW w:w="749" w:type="dxa"/>
            <w:tcBorders>
              <w:bottom w:val="single" w:sz="12" w:space="0" w:color="auto"/>
            </w:tcBorders>
          </w:tcPr>
          <w:p w:rsidR="00000000" w:rsidRDefault="001F233B">
            <w:pPr>
              <w:jc w:val="right"/>
              <w:rPr>
                <w:rFonts w:ascii="Arial" w:hAnsi="Arial"/>
                <w:b/>
                <w:color w:val="000000"/>
                <w:sz w:val="17"/>
              </w:rPr>
            </w:pPr>
            <w:r>
              <w:rPr>
                <w:rFonts w:ascii="Arial" w:hAnsi="Arial"/>
                <w:b/>
                <w:color w:val="000000"/>
                <w:sz w:val="17"/>
              </w:rPr>
              <w:t>5 312.7</w:t>
            </w:r>
          </w:p>
        </w:tc>
        <w:tc>
          <w:tcPr>
            <w:tcW w:w="749" w:type="dxa"/>
            <w:tcBorders>
              <w:bottom w:val="single" w:sz="12" w:space="0" w:color="auto"/>
            </w:tcBorders>
          </w:tcPr>
          <w:p w:rsidR="00000000" w:rsidRDefault="001F233B">
            <w:pPr>
              <w:jc w:val="right"/>
              <w:rPr>
                <w:rFonts w:ascii="Arial" w:hAnsi="Arial"/>
                <w:b/>
                <w:color w:val="000000"/>
                <w:sz w:val="17"/>
              </w:rPr>
            </w:pPr>
            <w:r>
              <w:rPr>
                <w:rFonts w:ascii="Arial" w:hAnsi="Arial"/>
                <w:b/>
                <w:color w:val="000000"/>
                <w:sz w:val="17"/>
              </w:rPr>
              <w:t>5 022.9</w:t>
            </w:r>
          </w:p>
        </w:tc>
      </w:tr>
    </w:tbl>
    <w:p w:rsidR="00000000" w:rsidRDefault="001F233B">
      <w:pPr>
        <w:pStyle w:val="Source"/>
      </w:pPr>
      <w:bookmarkStart w:id="233" w:name="_Toc417552776"/>
      <w:r>
        <w:t>Source: Department of Treasury and Finance.</w:t>
      </w:r>
    </w:p>
    <w:p w:rsidR="00000000" w:rsidRDefault="001F233B">
      <w:pPr>
        <w:pStyle w:val="Tableheading"/>
        <w:spacing w:before="0" w:after="40"/>
      </w:pPr>
      <w:r>
        <w:br w:type="page"/>
        <w:t xml:space="preserve">Table B3: Uniform Reporting Format - Public Trading Enterprise Sector </w:t>
      </w:r>
      <w:r>
        <w:t>Transactions</w:t>
      </w:r>
      <w:bookmarkEnd w:id="231"/>
      <w:bookmarkEnd w:id="232"/>
      <w:bookmarkEnd w:id="233"/>
    </w:p>
    <w:p w:rsidR="00000000" w:rsidRDefault="001F233B">
      <w:pPr>
        <w:pStyle w:val="dollars"/>
        <w:rPr>
          <w:rFonts w:ascii="Times New Roman" w:hAnsi="Times New Roman"/>
          <w:noProof/>
        </w:rPr>
      </w:pPr>
      <w:r>
        <w:t>($ million)</w:t>
      </w:r>
      <w:bookmarkStart w:id="234" w:name="_Toc366662089"/>
      <w:bookmarkStart w:id="235" w:name="_Toc366666310"/>
    </w:p>
    <w:tbl>
      <w:tblPr>
        <w:tblW w:w="0" w:type="auto"/>
        <w:tblLayout w:type="fixed"/>
        <w:tblCellMar>
          <w:left w:w="30" w:type="dxa"/>
          <w:right w:w="30" w:type="dxa"/>
        </w:tblCellMar>
        <w:tblLook w:val="0000" w:firstRow="0" w:lastRow="0" w:firstColumn="0" w:lastColumn="0" w:noHBand="0" w:noVBand="0"/>
      </w:tblPr>
      <w:tblGrid>
        <w:gridCol w:w="4536"/>
        <w:gridCol w:w="1305"/>
        <w:gridCol w:w="1305"/>
      </w:tblGrid>
      <w:tr w:rsidR="00000000">
        <w:tblPrEx>
          <w:tblCellMar>
            <w:top w:w="0" w:type="dxa"/>
            <w:bottom w:w="0" w:type="dxa"/>
          </w:tblCellMar>
        </w:tblPrEx>
        <w:trPr>
          <w:trHeight w:hRule="exact" w:val="240"/>
        </w:trPr>
        <w:tc>
          <w:tcPr>
            <w:tcW w:w="4536" w:type="dxa"/>
            <w:tcBorders>
              <w:top w:val="single" w:sz="6" w:space="0" w:color="auto"/>
            </w:tcBorders>
          </w:tcPr>
          <w:p w:rsidR="00000000" w:rsidRDefault="001F233B">
            <w:pPr>
              <w:jc w:val="right"/>
              <w:rPr>
                <w:rFonts w:ascii="Arial" w:hAnsi="Arial"/>
                <w:color w:val="000000"/>
                <w:sz w:val="18"/>
              </w:rPr>
            </w:pPr>
          </w:p>
        </w:tc>
        <w:tc>
          <w:tcPr>
            <w:tcW w:w="1305"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1997-98</w:t>
            </w:r>
          </w:p>
        </w:tc>
        <w:tc>
          <w:tcPr>
            <w:tcW w:w="1305"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40"/>
        </w:trPr>
        <w:tc>
          <w:tcPr>
            <w:tcW w:w="4536" w:type="dxa"/>
            <w:tcBorders>
              <w:bottom w:val="single" w:sz="6" w:space="0" w:color="auto"/>
            </w:tcBorders>
          </w:tcPr>
          <w:p w:rsidR="00000000" w:rsidRDefault="001F233B">
            <w:pPr>
              <w:jc w:val="right"/>
              <w:rPr>
                <w:rFonts w:ascii="Arial" w:hAnsi="Arial"/>
                <w:color w:val="000000"/>
                <w:sz w:val="18"/>
              </w:rPr>
            </w:pPr>
          </w:p>
        </w:tc>
        <w:tc>
          <w:tcPr>
            <w:tcW w:w="1305"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Revised</w:t>
            </w:r>
          </w:p>
        </w:tc>
        <w:tc>
          <w:tcPr>
            <w:tcW w:w="1305"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40"/>
        </w:trPr>
        <w:tc>
          <w:tcPr>
            <w:tcW w:w="4536" w:type="dxa"/>
          </w:tcPr>
          <w:p w:rsidR="00000000" w:rsidRDefault="001F233B">
            <w:pPr>
              <w:rPr>
                <w:rFonts w:ascii="Arial" w:hAnsi="Arial"/>
                <w:b/>
                <w:color w:val="000000"/>
                <w:sz w:val="18"/>
              </w:rPr>
            </w:pPr>
            <w:r>
              <w:rPr>
                <w:rFonts w:ascii="Arial" w:hAnsi="Arial"/>
                <w:b/>
                <w:color w:val="000000"/>
                <w:sz w:val="18"/>
              </w:rPr>
              <w:t>Current Outlays</w:t>
            </w:r>
          </w:p>
        </w:tc>
        <w:tc>
          <w:tcPr>
            <w:tcW w:w="1305" w:type="dxa"/>
          </w:tcPr>
          <w:p w:rsidR="00000000" w:rsidRDefault="001F233B">
            <w:pPr>
              <w:jc w:val="right"/>
              <w:rPr>
                <w:rFonts w:ascii="Arial" w:hAnsi="Arial"/>
                <w:color w:val="000000"/>
                <w:sz w:val="18"/>
              </w:rPr>
            </w:pPr>
          </w:p>
        </w:tc>
        <w:tc>
          <w:tcPr>
            <w:tcW w:w="1305"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Interest payments</w:t>
            </w:r>
          </w:p>
        </w:tc>
        <w:tc>
          <w:tcPr>
            <w:tcW w:w="1305" w:type="dxa"/>
          </w:tcPr>
          <w:p w:rsidR="00000000" w:rsidRDefault="001F233B">
            <w:pPr>
              <w:jc w:val="right"/>
              <w:rPr>
                <w:rFonts w:ascii="Arial" w:hAnsi="Arial"/>
                <w:color w:val="000000"/>
                <w:sz w:val="18"/>
              </w:rPr>
            </w:pPr>
            <w:r>
              <w:rPr>
                <w:rFonts w:ascii="Arial" w:hAnsi="Arial"/>
                <w:color w:val="000000"/>
                <w:sz w:val="18"/>
              </w:rPr>
              <w:t xml:space="preserve"> 509.9</w:t>
            </w:r>
          </w:p>
        </w:tc>
        <w:tc>
          <w:tcPr>
            <w:tcW w:w="1305" w:type="dxa"/>
          </w:tcPr>
          <w:p w:rsidR="00000000" w:rsidRDefault="001F233B">
            <w:pPr>
              <w:jc w:val="right"/>
              <w:rPr>
                <w:rFonts w:ascii="Arial" w:hAnsi="Arial"/>
                <w:color w:val="000000"/>
                <w:sz w:val="18"/>
              </w:rPr>
            </w:pPr>
            <w:r>
              <w:rPr>
                <w:rFonts w:ascii="Arial" w:hAnsi="Arial"/>
                <w:color w:val="000000"/>
                <w:sz w:val="18"/>
              </w:rPr>
              <w:t xml:space="preserve"> 435.8</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Other Current Payments</w:t>
            </w:r>
          </w:p>
        </w:tc>
        <w:tc>
          <w:tcPr>
            <w:tcW w:w="1305" w:type="dxa"/>
          </w:tcPr>
          <w:p w:rsidR="00000000" w:rsidRDefault="001F233B">
            <w:pPr>
              <w:jc w:val="right"/>
              <w:rPr>
                <w:rFonts w:ascii="Arial" w:hAnsi="Arial"/>
                <w:color w:val="000000"/>
                <w:sz w:val="18"/>
              </w:rPr>
            </w:pPr>
            <w:r>
              <w:rPr>
                <w:rFonts w:ascii="Arial" w:hAnsi="Arial"/>
                <w:color w:val="000000"/>
                <w:sz w:val="18"/>
              </w:rPr>
              <w:t>1 040.9</w:t>
            </w:r>
          </w:p>
        </w:tc>
        <w:tc>
          <w:tcPr>
            <w:tcW w:w="1305" w:type="dxa"/>
          </w:tcPr>
          <w:p w:rsidR="00000000" w:rsidRDefault="001F233B">
            <w:pPr>
              <w:jc w:val="right"/>
              <w:rPr>
                <w:rFonts w:ascii="Arial" w:hAnsi="Arial"/>
                <w:color w:val="000000"/>
                <w:sz w:val="18"/>
              </w:rPr>
            </w:pPr>
            <w:r>
              <w:rPr>
                <w:rFonts w:ascii="Arial" w:hAnsi="Arial"/>
                <w:color w:val="000000"/>
                <w:sz w:val="18"/>
              </w:rPr>
              <w:t xml:space="preserve"> 849.5</w:t>
            </w:r>
          </w:p>
        </w:tc>
      </w:tr>
      <w:tr w:rsidR="00000000">
        <w:tblPrEx>
          <w:tblCellMar>
            <w:top w:w="0" w:type="dxa"/>
            <w:bottom w:w="0" w:type="dxa"/>
          </w:tblCellMar>
        </w:tblPrEx>
        <w:trPr>
          <w:trHeight w:hRule="exact" w:val="240"/>
        </w:trPr>
        <w:tc>
          <w:tcPr>
            <w:tcW w:w="4536" w:type="dxa"/>
            <w:tcBorders>
              <w:top w:val="single" w:sz="6" w:space="0" w:color="auto"/>
              <w:bottom w:val="single" w:sz="6" w:space="0" w:color="auto"/>
            </w:tcBorders>
          </w:tcPr>
          <w:p w:rsidR="00000000" w:rsidRDefault="001F233B">
            <w:pPr>
              <w:rPr>
                <w:rFonts w:ascii="Arial" w:hAnsi="Arial"/>
                <w:b/>
                <w:color w:val="000000"/>
                <w:sz w:val="18"/>
              </w:rPr>
            </w:pPr>
            <w:r>
              <w:rPr>
                <w:rFonts w:ascii="Arial" w:hAnsi="Arial"/>
                <w:b/>
                <w:color w:val="000000"/>
                <w:sz w:val="18"/>
              </w:rPr>
              <w:t>Total Current Outlays</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1 550.8</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1 285.3</w:t>
            </w:r>
          </w:p>
        </w:tc>
      </w:tr>
      <w:tr w:rsidR="00000000">
        <w:tblPrEx>
          <w:tblCellMar>
            <w:top w:w="0" w:type="dxa"/>
            <w:bottom w:w="0" w:type="dxa"/>
          </w:tblCellMar>
        </w:tblPrEx>
        <w:trPr>
          <w:trHeight w:hRule="exact" w:val="240"/>
        </w:trPr>
        <w:tc>
          <w:tcPr>
            <w:tcW w:w="4536" w:type="dxa"/>
          </w:tcPr>
          <w:p w:rsidR="00000000" w:rsidRDefault="001F233B">
            <w:pPr>
              <w:rPr>
                <w:rFonts w:ascii="Arial" w:hAnsi="Arial"/>
                <w:b/>
                <w:color w:val="000000"/>
                <w:sz w:val="18"/>
              </w:rPr>
            </w:pPr>
          </w:p>
        </w:tc>
        <w:tc>
          <w:tcPr>
            <w:tcW w:w="1305" w:type="dxa"/>
          </w:tcPr>
          <w:p w:rsidR="00000000" w:rsidRDefault="001F233B">
            <w:pPr>
              <w:jc w:val="right"/>
              <w:rPr>
                <w:rFonts w:ascii="Arial" w:hAnsi="Arial"/>
                <w:b/>
                <w:color w:val="000000"/>
                <w:sz w:val="18"/>
              </w:rPr>
            </w:pPr>
          </w:p>
        </w:tc>
        <w:tc>
          <w:tcPr>
            <w:tcW w:w="1305" w:type="dxa"/>
          </w:tcPr>
          <w:p w:rsidR="00000000" w:rsidRDefault="001F233B">
            <w:pPr>
              <w:jc w:val="right"/>
              <w:rPr>
                <w:rFonts w:ascii="Arial" w:hAnsi="Arial"/>
                <w:b/>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b/>
                <w:color w:val="000000"/>
                <w:sz w:val="18"/>
              </w:rPr>
            </w:pPr>
            <w:r>
              <w:rPr>
                <w:rFonts w:ascii="Arial" w:hAnsi="Arial"/>
                <w:b/>
                <w:color w:val="000000"/>
                <w:sz w:val="18"/>
              </w:rPr>
              <w:t>Capital Outlays</w:t>
            </w:r>
          </w:p>
        </w:tc>
        <w:tc>
          <w:tcPr>
            <w:tcW w:w="1305" w:type="dxa"/>
          </w:tcPr>
          <w:p w:rsidR="00000000" w:rsidRDefault="001F233B">
            <w:pPr>
              <w:jc w:val="right"/>
              <w:rPr>
                <w:rFonts w:ascii="Arial" w:hAnsi="Arial"/>
                <w:color w:val="000000"/>
                <w:sz w:val="18"/>
              </w:rPr>
            </w:pPr>
          </w:p>
        </w:tc>
        <w:tc>
          <w:tcPr>
            <w:tcW w:w="1305"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Expenditure on new fixed assets</w:t>
            </w:r>
          </w:p>
        </w:tc>
        <w:tc>
          <w:tcPr>
            <w:tcW w:w="1305" w:type="dxa"/>
          </w:tcPr>
          <w:p w:rsidR="00000000" w:rsidRDefault="001F233B">
            <w:pPr>
              <w:jc w:val="right"/>
              <w:rPr>
                <w:rFonts w:ascii="Arial" w:hAnsi="Arial"/>
                <w:color w:val="000000"/>
                <w:sz w:val="18"/>
              </w:rPr>
            </w:pPr>
            <w:r>
              <w:rPr>
                <w:rFonts w:ascii="Arial" w:hAnsi="Arial"/>
                <w:color w:val="000000"/>
                <w:sz w:val="18"/>
              </w:rPr>
              <w:t>1 157.8</w:t>
            </w:r>
          </w:p>
        </w:tc>
        <w:tc>
          <w:tcPr>
            <w:tcW w:w="1305" w:type="dxa"/>
          </w:tcPr>
          <w:p w:rsidR="00000000" w:rsidRDefault="001F233B">
            <w:pPr>
              <w:jc w:val="right"/>
              <w:rPr>
                <w:rFonts w:ascii="Arial" w:hAnsi="Arial"/>
                <w:color w:val="000000"/>
                <w:sz w:val="18"/>
              </w:rPr>
            </w:pPr>
            <w:r>
              <w:rPr>
                <w:rFonts w:ascii="Arial" w:hAnsi="Arial"/>
                <w:color w:val="000000"/>
                <w:sz w:val="18"/>
              </w:rPr>
              <w:t>1 279.1</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Expenditure on secondhand assets (net)</w:t>
            </w:r>
          </w:p>
        </w:tc>
        <w:tc>
          <w:tcPr>
            <w:tcW w:w="1305" w:type="dxa"/>
          </w:tcPr>
          <w:p w:rsidR="00000000" w:rsidRDefault="001F233B">
            <w:pPr>
              <w:jc w:val="right"/>
              <w:rPr>
                <w:rFonts w:ascii="Arial" w:hAnsi="Arial"/>
                <w:color w:val="000000"/>
                <w:sz w:val="18"/>
              </w:rPr>
            </w:pPr>
            <w:r>
              <w:rPr>
                <w:rFonts w:ascii="Arial" w:hAnsi="Arial"/>
                <w:color w:val="000000"/>
                <w:sz w:val="18"/>
              </w:rPr>
              <w:t>- 189.9</w:t>
            </w:r>
          </w:p>
        </w:tc>
        <w:tc>
          <w:tcPr>
            <w:tcW w:w="1305" w:type="dxa"/>
          </w:tcPr>
          <w:p w:rsidR="00000000" w:rsidRDefault="001F233B">
            <w:pPr>
              <w:jc w:val="right"/>
              <w:rPr>
                <w:rFonts w:ascii="Arial" w:hAnsi="Arial"/>
                <w:color w:val="000000"/>
                <w:sz w:val="18"/>
              </w:rPr>
            </w:pPr>
            <w:r>
              <w:rPr>
                <w:rFonts w:ascii="Arial" w:hAnsi="Arial"/>
                <w:color w:val="000000"/>
                <w:sz w:val="18"/>
              </w:rPr>
              <w:t>- 55.9</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Gross fixed capital expenditure</w:t>
            </w:r>
          </w:p>
        </w:tc>
        <w:tc>
          <w:tcPr>
            <w:tcW w:w="1305" w:type="dxa"/>
            <w:tcBorders>
              <w:top w:val="single" w:sz="6" w:space="0" w:color="auto"/>
            </w:tcBorders>
          </w:tcPr>
          <w:p w:rsidR="00000000" w:rsidRDefault="001F233B">
            <w:pPr>
              <w:jc w:val="right"/>
              <w:rPr>
                <w:rFonts w:ascii="Arial" w:hAnsi="Arial"/>
                <w:color w:val="000000"/>
                <w:sz w:val="18"/>
              </w:rPr>
            </w:pPr>
            <w:r>
              <w:rPr>
                <w:rFonts w:ascii="Arial" w:hAnsi="Arial"/>
                <w:color w:val="000000"/>
                <w:sz w:val="18"/>
              </w:rPr>
              <w:t xml:space="preserve"> 967.9</w:t>
            </w:r>
          </w:p>
        </w:tc>
        <w:tc>
          <w:tcPr>
            <w:tcW w:w="1305" w:type="dxa"/>
            <w:tcBorders>
              <w:top w:val="single" w:sz="6" w:space="0" w:color="auto"/>
            </w:tcBorders>
          </w:tcPr>
          <w:p w:rsidR="00000000" w:rsidRDefault="001F233B">
            <w:pPr>
              <w:jc w:val="right"/>
              <w:rPr>
                <w:rFonts w:ascii="Arial" w:hAnsi="Arial"/>
                <w:color w:val="000000"/>
                <w:sz w:val="18"/>
              </w:rPr>
            </w:pPr>
            <w:r>
              <w:rPr>
                <w:rFonts w:ascii="Arial" w:hAnsi="Arial"/>
                <w:color w:val="000000"/>
                <w:sz w:val="18"/>
              </w:rPr>
              <w:t>1 223.2</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Capital Grants</w:t>
            </w:r>
          </w:p>
        </w:tc>
        <w:tc>
          <w:tcPr>
            <w:tcW w:w="1305" w:type="dxa"/>
          </w:tcPr>
          <w:p w:rsidR="00000000" w:rsidRDefault="001F233B">
            <w:pPr>
              <w:jc w:val="right"/>
              <w:rPr>
                <w:rFonts w:ascii="Arial" w:hAnsi="Arial"/>
                <w:color w:val="000000"/>
                <w:sz w:val="18"/>
              </w:rPr>
            </w:pPr>
            <w:r>
              <w:rPr>
                <w:rFonts w:ascii="Arial" w:hAnsi="Arial"/>
                <w:color w:val="000000"/>
                <w:sz w:val="18"/>
              </w:rPr>
              <w:t>..</w:t>
            </w:r>
          </w:p>
        </w:tc>
        <w:tc>
          <w:tcPr>
            <w:tcW w:w="1305" w:type="dxa"/>
          </w:tcPr>
          <w:p w:rsidR="00000000" w:rsidRDefault="001F233B">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Net Advances Paid</w:t>
            </w:r>
          </w:p>
        </w:tc>
        <w:tc>
          <w:tcPr>
            <w:tcW w:w="1305" w:type="dxa"/>
          </w:tcPr>
          <w:p w:rsidR="00000000" w:rsidRDefault="001F233B">
            <w:pPr>
              <w:jc w:val="right"/>
              <w:rPr>
                <w:rFonts w:ascii="Arial" w:hAnsi="Arial"/>
                <w:color w:val="000000"/>
                <w:sz w:val="18"/>
              </w:rPr>
            </w:pPr>
            <w:r>
              <w:rPr>
                <w:rFonts w:ascii="Arial" w:hAnsi="Arial"/>
                <w:color w:val="000000"/>
                <w:sz w:val="18"/>
              </w:rPr>
              <w:t>-3 040.9</w:t>
            </w:r>
          </w:p>
        </w:tc>
        <w:tc>
          <w:tcPr>
            <w:tcW w:w="1305" w:type="dxa"/>
          </w:tcPr>
          <w:p w:rsidR="00000000" w:rsidRDefault="001F233B">
            <w:pPr>
              <w:jc w:val="right"/>
              <w:rPr>
                <w:rFonts w:ascii="Arial" w:hAnsi="Arial"/>
                <w:color w:val="000000"/>
                <w:sz w:val="18"/>
              </w:rPr>
            </w:pPr>
            <w:r>
              <w:rPr>
                <w:rFonts w:ascii="Arial" w:hAnsi="Arial"/>
                <w:color w:val="000000"/>
                <w:sz w:val="18"/>
              </w:rPr>
              <w:t>- 90.8</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Other capital outlays</w:t>
            </w:r>
          </w:p>
        </w:tc>
        <w:tc>
          <w:tcPr>
            <w:tcW w:w="1305" w:type="dxa"/>
          </w:tcPr>
          <w:p w:rsidR="00000000" w:rsidRDefault="001F233B">
            <w:pPr>
              <w:jc w:val="right"/>
              <w:rPr>
                <w:rFonts w:ascii="Arial" w:hAnsi="Arial"/>
                <w:color w:val="000000"/>
                <w:sz w:val="18"/>
              </w:rPr>
            </w:pPr>
            <w:r>
              <w:rPr>
                <w:rFonts w:ascii="Arial" w:hAnsi="Arial"/>
                <w:color w:val="000000"/>
                <w:sz w:val="18"/>
              </w:rPr>
              <w:t>- 28.2</w:t>
            </w:r>
          </w:p>
        </w:tc>
        <w:tc>
          <w:tcPr>
            <w:tcW w:w="1305" w:type="dxa"/>
          </w:tcPr>
          <w:p w:rsidR="00000000" w:rsidRDefault="001F233B">
            <w:pPr>
              <w:jc w:val="right"/>
              <w:rPr>
                <w:rFonts w:ascii="Arial" w:hAnsi="Arial"/>
                <w:color w:val="000000"/>
                <w:sz w:val="18"/>
              </w:rPr>
            </w:pPr>
            <w:r>
              <w:rPr>
                <w:rFonts w:ascii="Arial" w:hAnsi="Arial"/>
                <w:color w:val="000000"/>
                <w:sz w:val="18"/>
              </w:rPr>
              <w:t>- 17.5</w:t>
            </w:r>
          </w:p>
        </w:tc>
      </w:tr>
      <w:tr w:rsidR="00000000">
        <w:tblPrEx>
          <w:tblCellMar>
            <w:top w:w="0" w:type="dxa"/>
            <w:bottom w:w="0" w:type="dxa"/>
          </w:tblCellMar>
        </w:tblPrEx>
        <w:trPr>
          <w:trHeight w:hRule="exact" w:val="240"/>
        </w:trPr>
        <w:tc>
          <w:tcPr>
            <w:tcW w:w="4536" w:type="dxa"/>
            <w:tcBorders>
              <w:top w:val="single" w:sz="6" w:space="0" w:color="auto"/>
              <w:bottom w:val="single" w:sz="6" w:space="0" w:color="auto"/>
            </w:tcBorders>
          </w:tcPr>
          <w:p w:rsidR="00000000" w:rsidRDefault="001F233B">
            <w:pPr>
              <w:rPr>
                <w:rFonts w:ascii="Arial" w:hAnsi="Arial"/>
                <w:b/>
                <w:color w:val="000000"/>
                <w:sz w:val="18"/>
              </w:rPr>
            </w:pPr>
            <w:r>
              <w:rPr>
                <w:rFonts w:ascii="Arial" w:hAnsi="Arial"/>
                <w:b/>
                <w:color w:val="000000"/>
                <w:sz w:val="18"/>
              </w:rPr>
              <w:t>Total Capital Outlays</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-2 101.2</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1 114.9</w:t>
            </w:r>
          </w:p>
        </w:tc>
      </w:tr>
      <w:tr w:rsidR="00000000">
        <w:tblPrEx>
          <w:tblCellMar>
            <w:top w:w="0" w:type="dxa"/>
            <w:bottom w:w="0" w:type="dxa"/>
          </w:tblCellMar>
        </w:tblPrEx>
        <w:trPr>
          <w:trHeight w:hRule="exact" w:val="240"/>
        </w:trPr>
        <w:tc>
          <w:tcPr>
            <w:tcW w:w="4536" w:type="dxa"/>
            <w:tcBorders>
              <w:top w:val="single" w:sz="6" w:space="0" w:color="auto"/>
              <w:bottom w:val="single" w:sz="6" w:space="0" w:color="auto"/>
            </w:tcBorders>
          </w:tcPr>
          <w:p w:rsidR="00000000" w:rsidRDefault="001F233B">
            <w:pPr>
              <w:rPr>
                <w:rFonts w:ascii="Arial" w:hAnsi="Arial"/>
                <w:b/>
                <w:color w:val="000000"/>
                <w:sz w:val="18"/>
              </w:rPr>
            </w:pP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p>
        </w:tc>
      </w:tr>
      <w:tr w:rsidR="00000000">
        <w:tblPrEx>
          <w:tblCellMar>
            <w:top w:w="0" w:type="dxa"/>
            <w:bottom w:w="0" w:type="dxa"/>
          </w:tblCellMar>
        </w:tblPrEx>
        <w:trPr>
          <w:trHeight w:hRule="exact" w:val="240"/>
        </w:trPr>
        <w:tc>
          <w:tcPr>
            <w:tcW w:w="4536" w:type="dxa"/>
            <w:tcBorders>
              <w:top w:val="single" w:sz="6" w:space="0" w:color="auto"/>
              <w:bottom w:val="single" w:sz="6" w:space="0" w:color="auto"/>
            </w:tcBorders>
          </w:tcPr>
          <w:p w:rsidR="00000000" w:rsidRDefault="001F233B">
            <w:pPr>
              <w:rPr>
                <w:rFonts w:ascii="Arial" w:hAnsi="Arial"/>
                <w:b/>
                <w:color w:val="000000"/>
                <w:sz w:val="18"/>
              </w:rPr>
            </w:pPr>
            <w:r>
              <w:rPr>
                <w:rFonts w:ascii="Arial" w:hAnsi="Arial"/>
                <w:b/>
                <w:color w:val="000000"/>
                <w:sz w:val="18"/>
              </w:rPr>
              <w:t>Total Out</w:t>
            </w:r>
            <w:r>
              <w:rPr>
                <w:rFonts w:ascii="Arial" w:hAnsi="Arial"/>
                <w:b/>
                <w:color w:val="000000"/>
                <w:sz w:val="18"/>
              </w:rPr>
              <w:t>lays</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- 550.4</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2 400.2</w:t>
            </w:r>
          </w:p>
        </w:tc>
      </w:tr>
      <w:tr w:rsidR="00000000">
        <w:tblPrEx>
          <w:tblCellMar>
            <w:top w:w="0" w:type="dxa"/>
            <w:bottom w:w="0" w:type="dxa"/>
          </w:tblCellMar>
        </w:tblPrEx>
        <w:trPr>
          <w:trHeight w:hRule="exact" w:val="240"/>
        </w:trPr>
        <w:tc>
          <w:tcPr>
            <w:tcW w:w="4536" w:type="dxa"/>
            <w:tcBorders>
              <w:bottom w:val="single" w:sz="6" w:space="0" w:color="auto"/>
            </w:tcBorders>
          </w:tcPr>
          <w:p w:rsidR="00000000" w:rsidRDefault="001F233B">
            <w:pPr>
              <w:rPr>
                <w:rFonts w:ascii="Arial" w:hAnsi="Arial"/>
                <w:b/>
                <w:color w:val="000000"/>
                <w:sz w:val="18"/>
              </w:rPr>
            </w:pPr>
            <w:r>
              <w:rPr>
                <w:rFonts w:ascii="Arial" w:hAnsi="Arial"/>
                <w:b/>
                <w:color w:val="000000"/>
                <w:sz w:val="18"/>
              </w:rPr>
              <w:t>Total Outlays excluding net advances paid</w:t>
            </w:r>
          </w:p>
        </w:tc>
        <w:tc>
          <w:tcPr>
            <w:tcW w:w="1305" w:type="dxa"/>
            <w:tcBorders>
              <w:bottom w:val="single" w:sz="6" w:space="0" w:color="auto"/>
            </w:tcBorders>
          </w:tcPr>
          <w:p w:rsidR="00000000" w:rsidRDefault="001F233B">
            <w:pPr>
              <w:jc w:val="right"/>
              <w:rPr>
                <w:rFonts w:ascii="Arial" w:hAnsi="Arial"/>
                <w:b/>
                <w:color w:val="000000"/>
                <w:sz w:val="18"/>
              </w:rPr>
            </w:pPr>
            <w:r>
              <w:rPr>
                <w:rFonts w:ascii="Arial" w:hAnsi="Arial"/>
                <w:b/>
                <w:color w:val="000000"/>
                <w:sz w:val="18"/>
              </w:rPr>
              <w:t>2 490.5</w:t>
            </w:r>
          </w:p>
        </w:tc>
        <w:tc>
          <w:tcPr>
            <w:tcW w:w="1305" w:type="dxa"/>
            <w:tcBorders>
              <w:bottom w:val="single" w:sz="6" w:space="0" w:color="auto"/>
            </w:tcBorders>
          </w:tcPr>
          <w:p w:rsidR="00000000" w:rsidRDefault="001F233B">
            <w:pPr>
              <w:jc w:val="right"/>
              <w:rPr>
                <w:rFonts w:ascii="Arial" w:hAnsi="Arial"/>
                <w:b/>
                <w:color w:val="000000"/>
                <w:sz w:val="18"/>
              </w:rPr>
            </w:pPr>
            <w:r>
              <w:rPr>
                <w:rFonts w:ascii="Arial" w:hAnsi="Arial"/>
                <w:b/>
                <w:color w:val="000000"/>
                <w:sz w:val="18"/>
              </w:rPr>
              <w:t>2 491.0</w:t>
            </w:r>
          </w:p>
        </w:tc>
      </w:tr>
      <w:tr w:rsidR="00000000">
        <w:tblPrEx>
          <w:tblCellMar>
            <w:top w:w="0" w:type="dxa"/>
            <w:bottom w:w="0" w:type="dxa"/>
          </w:tblCellMar>
        </w:tblPrEx>
        <w:trPr>
          <w:trHeight w:hRule="exact" w:val="240"/>
        </w:trPr>
        <w:tc>
          <w:tcPr>
            <w:tcW w:w="4536" w:type="dxa"/>
          </w:tcPr>
          <w:p w:rsidR="00000000" w:rsidRDefault="001F233B">
            <w:pPr>
              <w:jc w:val="right"/>
              <w:rPr>
                <w:rFonts w:ascii="Arial" w:hAnsi="Arial"/>
                <w:b/>
                <w:i/>
                <w:color w:val="000000"/>
                <w:sz w:val="18"/>
              </w:rPr>
            </w:pPr>
          </w:p>
        </w:tc>
        <w:tc>
          <w:tcPr>
            <w:tcW w:w="1305" w:type="dxa"/>
          </w:tcPr>
          <w:p w:rsidR="00000000" w:rsidRDefault="001F233B">
            <w:pPr>
              <w:jc w:val="right"/>
              <w:rPr>
                <w:rFonts w:ascii="Arial" w:hAnsi="Arial"/>
                <w:b/>
                <w:i/>
                <w:color w:val="000000"/>
                <w:sz w:val="18"/>
              </w:rPr>
            </w:pPr>
          </w:p>
        </w:tc>
        <w:tc>
          <w:tcPr>
            <w:tcW w:w="1305" w:type="dxa"/>
          </w:tcPr>
          <w:p w:rsidR="00000000" w:rsidRDefault="001F233B">
            <w:pPr>
              <w:jc w:val="right"/>
              <w:rPr>
                <w:rFonts w:ascii="Arial" w:hAnsi="Arial"/>
                <w:b/>
                <w:i/>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b/>
                <w:color w:val="000000"/>
                <w:sz w:val="18"/>
              </w:rPr>
            </w:pPr>
            <w:r>
              <w:rPr>
                <w:rFonts w:ascii="Arial" w:hAnsi="Arial"/>
                <w:b/>
                <w:color w:val="000000"/>
                <w:sz w:val="18"/>
              </w:rPr>
              <w:t>Revenue and Grants Received</w:t>
            </w:r>
          </w:p>
        </w:tc>
        <w:tc>
          <w:tcPr>
            <w:tcW w:w="1305" w:type="dxa"/>
          </w:tcPr>
          <w:p w:rsidR="00000000" w:rsidRDefault="001F233B">
            <w:pPr>
              <w:jc w:val="right"/>
              <w:rPr>
                <w:rFonts w:ascii="Arial" w:hAnsi="Arial"/>
                <w:color w:val="000000"/>
                <w:sz w:val="18"/>
              </w:rPr>
            </w:pPr>
          </w:p>
        </w:tc>
        <w:tc>
          <w:tcPr>
            <w:tcW w:w="1305"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Net operating surplus</w:t>
            </w:r>
            <w:r>
              <w:rPr>
                <w:rFonts w:ascii="Arial" w:hAnsi="Arial"/>
                <w:color w:val="000000"/>
                <w:sz w:val="18"/>
              </w:rPr>
              <w:fldChar w:fldCharType="begin"/>
            </w:r>
            <w:r>
              <w:rPr>
                <w:rFonts w:ascii="Arial" w:hAnsi="Arial"/>
                <w:color w:val="000000"/>
                <w:sz w:val="18"/>
              </w:rPr>
              <w:instrText>xe "Operating surplus"</w:instrText>
            </w:r>
            <w:r>
              <w:rPr>
                <w:rFonts w:ascii="Arial" w:hAnsi="Arial"/>
                <w:color w:val="000000"/>
                <w:sz w:val="18"/>
              </w:rPr>
              <w:fldChar w:fldCharType="end"/>
            </w:r>
            <w:r>
              <w:rPr>
                <w:rFonts w:ascii="Arial" w:hAnsi="Arial"/>
                <w:color w:val="000000"/>
                <w:sz w:val="18"/>
              </w:rPr>
              <w:t xml:space="preserve"> of PTEs</w:t>
            </w:r>
          </w:p>
        </w:tc>
        <w:tc>
          <w:tcPr>
            <w:tcW w:w="1305" w:type="dxa"/>
          </w:tcPr>
          <w:p w:rsidR="00000000" w:rsidRDefault="001F233B">
            <w:pPr>
              <w:jc w:val="right"/>
              <w:rPr>
                <w:rFonts w:ascii="Arial" w:hAnsi="Arial"/>
                <w:color w:val="000000"/>
                <w:sz w:val="18"/>
              </w:rPr>
            </w:pPr>
            <w:r>
              <w:rPr>
                <w:rFonts w:ascii="Arial" w:hAnsi="Arial"/>
                <w:color w:val="000000"/>
                <w:sz w:val="18"/>
              </w:rPr>
              <w:t>1 096.4</w:t>
            </w:r>
          </w:p>
        </w:tc>
        <w:tc>
          <w:tcPr>
            <w:tcW w:w="1305" w:type="dxa"/>
          </w:tcPr>
          <w:p w:rsidR="00000000" w:rsidRDefault="001F233B">
            <w:pPr>
              <w:jc w:val="right"/>
              <w:rPr>
                <w:rFonts w:ascii="Arial" w:hAnsi="Arial"/>
                <w:color w:val="000000"/>
                <w:sz w:val="18"/>
              </w:rPr>
            </w:pPr>
            <w:r>
              <w:rPr>
                <w:rFonts w:ascii="Arial" w:hAnsi="Arial"/>
                <w:color w:val="000000"/>
                <w:sz w:val="18"/>
              </w:rPr>
              <w:t>1 266.7</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Interest received</w:t>
            </w:r>
          </w:p>
        </w:tc>
        <w:tc>
          <w:tcPr>
            <w:tcW w:w="1305" w:type="dxa"/>
          </w:tcPr>
          <w:p w:rsidR="00000000" w:rsidRDefault="001F233B">
            <w:pPr>
              <w:jc w:val="right"/>
              <w:rPr>
                <w:rFonts w:ascii="Arial" w:hAnsi="Arial"/>
                <w:color w:val="000000"/>
                <w:sz w:val="18"/>
              </w:rPr>
            </w:pPr>
            <w:r>
              <w:rPr>
                <w:rFonts w:ascii="Arial" w:hAnsi="Arial"/>
                <w:color w:val="000000"/>
                <w:sz w:val="18"/>
              </w:rPr>
              <w:t xml:space="preserve"> 146.7</w:t>
            </w:r>
          </w:p>
        </w:tc>
        <w:tc>
          <w:tcPr>
            <w:tcW w:w="1305" w:type="dxa"/>
          </w:tcPr>
          <w:p w:rsidR="00000000" w:rsidRDefault="001F233B">
            <w:pPr>
              <w:jc w:val="right"/>
              <w:rPr>
                <w:rFonts w:ascii="Arial" w:hAnsi="Arial"/>
                <w:color w:val="000000"/>
                <w:sz w:val="18"/>
              </w:rPr>
            </w:pPr>
            <w:r>
              <w:rPr>
                <w:rFonts w:ascii="Arial" w:hAnsi="Arial"/>
                <w:color w:val="000000"/>
                <w:sz w:val="18"/>
              </w:rPr>
              <w:t xml:space="preserve"> 113.9</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Grants received</w:t>
            </w:r>
          </w:p>
        </w:tc>
        <w:tc>
          <w:tcPr>
            <w:tcW w:w="1305" w:type="dxa"/>
          </w:tcPr>
          <w:p w:rsidR="00000000" w:rsidRDefault="001F233B">
            <w:pPr>
              <w:jc w:val="right"/>
              <w:rPr>
                <w:rFonts w:ascii="Arial" w:hAnsi="Arial"/>
                <w:color w:val="000000"/>
                <w:sz w:val="18"/>
              </w:rPr>
            </w:pPr>
            <w:r>
              <w:rPr>
                <w:rFonts w:ascii="Arial" w:hAnsi="Arial"/>
                <w:color w:val="000000"/>
                <w:sz w:val="18"/>
              </w:rPr>
              <w:t xml:space="preserve"> 264.2</w:t>
            </w:r>
          </w:p>
        </w:tc>
        <w:tc>
          <w:tcPr>
            <w:tcW w:w="1305" w:type="dxa"/>
          </w:tcPr>
          <w:p w:rsidR="00000000" w:rsidRDefault="001F233B">
            <w:pPr>
              <w:jc w:val="right"/>
              <w:rPr>
                <w:rFonts w:ascii="Arial" w:hAnsi="Arial"/>
                <w:color w:val="000000"/>
                <w:sz w:val="18"/>
              </w:rPr>
            </w:pPr>
            <w:r>
              <w:rPr>
                <w:rFonts w:ascii="Arial" w:hAnsi="Arial"/>
                <w:color w:val="000000"/>
                <w:sz w:val="18"/>
              </w:rPr>
              <w:t xml:space="preserve"> 253.2</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Other revenue</w:t>
            </w:r>
          </w:p>
        </w:tc>
        <w:tc>
          <w:tcPr>
            <w:tcW w:w="1305" w:type="dxa"/>
          </w:tcPr>
          <w:p w:rsidR="00000000" w:rsidRDefault="001F233B">
            <w:pPr>
              <w:jc w:val="right"/>
              <w:rPr>
                <w:rFonts w:ascii="Arial" w:hAnsi="Arial"/>
                <w:color w:val="000000"/>
                <w:sz w:val="18"/>
              </w:rPr>
            </w:pPr>
            <w:r>
              <w:rPr>
                <w:rFonts w:ascii="Arial" w:hAnsi="Arial"/>
                <w:color w:val="000000"/>
                <w:sz w:val="18"/>
              </w:rPr>
              <w:t xml:space="preserve"> 98.9</w:t>
            </w:r>
          </w:p>
        </w:tc>
        <w:tc>
          <w:tcPr>
            <w:tcW w:w="1305" w:type="dxa"/>
          </w:tcPr>
          <w:p w:rsidR="00000000" w:rsidRDefault="001F233B">
            <w:pPr>
              <w:jc w:val="right"/>
              <w:rPr>
                <w:rFonts w:ascii="Arial" w:hAnsi="Arial"/>
                <w:color w:val="000000"/>
                <w:sz w:val="18"/>
              </w:rPr>
            </w:pPr>
            <w:r>
              <w:rPr>
                <w:rFonts w:ascii="Arial" w:hAnsi="Arial"/>
                <w:color w:val="000000"/>
                <w:sz w:val="18"/>
              </w:rPr>
              <w:t xml:space="preserve"> 90.8</w:t>
            </w:r>
          </w:p>
        </w:tc>
      </w:tr>
      <w:tr w:rsidR="00000000">
        <w:tblPrEx>
          <w:tblCellMar>
            <w:top w:w="0" w:type="dxa"/>
            <w:bottom w:w="0" w:type="dxa"/>
          </w:tblCellMar>
        </w:tblPrEx>
        <w:trPr>
          <w:trHeight w:hRule="exact" w:val="240"/>
        </w:trPr>
        <w:tc>
          <w:tcPr>
            <w:tcW w:w="4536" w:type="dxa"/>
            <w:tcBorders>
              <w:top w:val="single" w:sz="6" w:space="0" w:color="auto"/>
              <w:bottom w:val="single" w:sz="6" w:space="0" w:color="auto"/>
            </w:tcBorders>
          </w:tcPr>
          <w:p w:rsidR="00000000" w:rsidRDefault="001F233B">
            <w:pPr>
              <w:rPr>
                <w:rFonts w:ascii="Arial" w:hAnsi="Arial"/>
                <w:b/>
                <w:color w:val="000000"/>
                <w:sz w:val="18"/>
              </w:rPr>
            </w:pPr>
            <w:r>
              <w:rPr>
                <w:rFonts w:ascii="Arial" w:hAnsi="Arial"/>
                <w:b/>
                <w:color w:val="000000"/>
                <w:sz w:val="18"/>
              </w:rPr>
              <w:t>Total Revenue and Grants Received</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1 606.1</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1 724.6</w:t>
            </w:r>
          </w:p>
        </w:tc>
      </w:tr>
      <w:tr w:rsidR="00000000">
        <w:tblPrEx>
          <w:tblCellMar>
            <w:top w:w="0" w:type="dxa"/>
            <w:bottom w:w="0" w:type="dxa"/>
          </w:tblCellMar>
        </w:tblPrEx>
        <w:trPr>
          <w:trHeight w:hRule="exact" w:val="240"/>
        </w:trPr>
        <w:tc>
          <w:tcPr>
            <w:tcW w:w="4536" w:type="dxa"/>
          </w:tcPr>
          <w:p w:rsidR="00000000" w:rsidRDefault="001F233B">
            <w:pPr>
              <w:jc w:val="right"/>
              <w:rPr>
                <w:rFonts w:ascii="Arial" w:hAnsi="Arial"/>
                <w:b/>
                <w:color w:val="000000"/>
                <w:sz w:val="18"/>
              </w:rPr>
            </w:pPr>
          </w:p>
        </w:tc>
        <w:tc>
          <w:tcPr>
            <w:tcW w:w="1305" w:type="dxa"/>
          </w:tcPr>
          <w:p w:rsidR="00000000" w:rsidRDefault="001F233B">
            <w:pPr>
              <w:jc w:val="right"/>
              <w:rPr>
                <w:rFonts w:ascii="Arial" w:hAnsi="Arial"/>
                <w:b/>
                <w:color w:val="000000"/>
                <w:sz w:val="18"/>
              </w:rPr>
            </w:pPr>
          </w:p>
        </w:tc>
        <w:tc>
          <w:tcPr>
            <w:tcW w:w="1305" w:type="dxa"/>
          </w:tcPr>
          <w:p w:rsidR="00000000" w:rsidRDefault="001F233B">
            <w:pPr>
              <w:jc w:val="right"/>
              <w:rPr>
                <w:rFonts w:ascii="Arial" w:hAnsi="Arial"/>
                <w:b/>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b/>
                <w:color w:val="000000"/>
                <w:sz w:val="18"/>
              </w:rPr>
            </w:pPr>
            <w:r>
              <w:rPr>
                <w:rFonts w:ascii="Arial" w:hAnsi="Arial"/>
                <w:b/>
                <w:color w:val="000000"/>
                <w:sz w:val="18"/>
              </w:rPr>
              <w:t>Financing Transactions</w:t>
            </w:r>
          </w:p>
        </w:tc>
        <w:tc>
          <w:tcPr>
            <w:tcW w:w="1305" w:type="dxa"/>
          </w:tcPr>
          <w:p w:rsidR="00000000" w:rsidRDefault="001F233B">
            <w:pPr>
              <w:jc w:val="right"/>
              <w:rPr>
                <w:rFonts w:ascii="Arial" w:hAnsi="Arial"/>
                <w:color w:val="000000"/>
                <w:sz w:val="18"/>
              </w:rPr>
            </w:pPr>
          </w:p>
        </w:tc>
        <w:tc>
          <w:tcPr>
            <w:tcW w:w="1305"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Advances received (net)</w:t>
            </w:r>
          </w:p>
        </w:tc>
        <w:tc>
          <w:tcPr>
            <w:tcW w:w="1305" w:type="dxa"/>
          </w:tcPr>
          <w:p w:rsidR="00000000" w:rsidRDefault="001F233B">
            <w:pPr>
              <w:jc w:val="right"/>
              <w:rPr>
                <w:rFonts w:ascii="Arial" w:hAnsi="Arial"/>
                <w:color w:val="000000"/>
                <w:sz w:val="18"/>
              </w:rPr>
            </w:pPr>
            <w:r>
              <w:rPr>
                <w:rFonts w:ascii="Arial" w:hAnsi="Arial"/>
                <w:color w:val="000000"/>
                <w:sz w:val="18"/>
              </w:rPr>
              <w:t>-1 137.0</w:t>
            </w:r>
          </w:p>
        </w:tc>
        <w:tc>
          <w:tcPr>
            <w:tcW w:w="1305" w:type="dxa"/>
          </w:tcPr>
          <w:p w:rsidR="00000000" w:rsidRDefault="001F233B">
            <w:pPr>
              <w:jc w:val="right"/>
              <w:rPr>
                <w:rFonts w:ascii="Arial" w:hAnsi="Arial"/>
                <w:color w:val="000000"/>
                <w:sz w:val="18"/>
              </w:rPr>
            </w:pPr>
            <w:r>
              <w:rPr>
                <w:rFonts w:ascii="Arial" w:hAnsi="Arial"/>
                <w:color w:val="000000"/>
                <w:sz w:val="18"/>
              </w:rPr>
              <w:t xml:space="preserve"> 131.0</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Borrowing (net)</w:t>
            </w:r>
          </w:p>
        </w:tc>
        <w:tc>
          <w:tcPr>
            <w:tcW w:w="1305" w:type="dxa"/>
          </w:tcPr>
          <w:p w:rsidR="00000000" w:rsidRDefault="001F233B">
            <w:pPr>
              <w:jc w:val="right"/>
              <w:rPr>
                <w:rFonts w:ascii="Arial" w:hAnsi="Arial"/>
                <w:color w:val="000000"/>
                <w:sz w:val="18"/>
              </w:rPr>
            </w:pPr>
            <w:r>
              <w:rPr>
                <w:rFonts w:ascii="Arial" w:hAnsi="Arial"/>
                <w:color w:val="000000"/>
                <w:sz w:val="18"/>
              </w:rPr>
              <w:t>-1 282.1</w:t>
            </w:r>
          </w:p>
        </w:tc>
        <w:tc>
          <w:tcPr>
            <w:tcW w:w="1305" w:type="dxa"/>
          </w:tcPr>
          <w:p w:rsidR="00000000" w:rsidRDefault="001F233B">
            <w:pPr>
              <w:jc w:val="right"/>
              <w:rPr>
                <w:rFonts w:ascii="Arial" w:hAnsi="Arial"/>
                <w:color w:val="000000"/>
                <w:sz w:val="18"/>
              </w:rPr>
            </w:pPr>
            <w:r>
              <w:rPr>
                <w:rFonts w:ascii="Arial" w:hAnsi="Arial"/>
                <w:color w:val="000000"/>
                <w:sz w:val="18"/>
              </w:rPr>
              <w:t>- 156.6</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Increase in Provisions (net)</w:t>
            </w:r>
          </w:p>
        </w:tc>
        <w:tc>
          <w:tcPr>
            <w:tcW w:w="1305" w:type="dxa"/>
          </w:tcPr>
          <w:p w:rsidR="00000000" w:rsidRDefault="001F233B">
            <w:pPr>
              <w:jc w:val="right"/>
              <w:rPr>
                <w:rFonts w:ascii="Arial" w:hAnsi="Arial"/>
                <w:color w:val="000000"/>
                <w:sz w:val="18"/>
              </w:rPr>
            </w:pPr>
            <w:r>
              <w:rPr>
                <w:rFonts w:ascii="Arial" w:hAnsi="Arial"/>
                <w:color w:val="000000"/>
                <w:sz w:val="18"/>
              </w:rPr>
              <w:t xml:space="preserve"> 378.1</w:t>
            </w:r>
          </w:p>
        </w:tc>
        <w:tc>
          <w:tcPr>
            <w:tcW w:w="1305" w:type="dxa"/>
          </w:tcPr>
          <w:p w:rsidR="00000000" w:rsidRDefault="001F233B">
            <w:pPr>
              <w:jc w:val="right"/>
              <w:rPr>
                <w:rFonts w:ascii="Arial" w:hAnsi="Arial"/>
                <w:color w:val="000000"/>
                <w:sz w:val="18"/>
              </w:rPr>
            </w:pPr>
            <w:r>
              <w:rPr>
                <w:rFonts w:ascii="Arial" w:hAnsi="Arial"/>
                <w:color w:val="000000"/>
                <w:sz w:val="18"/>
              </w:rPr>
              <w:t xml:space="preserve"> 356.5</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Other financing transactions</w:t>
            </w:r>
          </w:p>
        </w:tc>
        <w:tc>
          <w:tcPr>
            <w:tcW w:w="1305" w:type="dxa"/>
          </w:tcPr>
          <w:p w:rsidR="00000000" w:rsidRDefault="001F233B">
            <w:pPr>
              <w:jc w:val="right"/>
              <w:rPr>
                <w:rFonts w:ascii="Arial" w:hAnsi="Arial"/>
                <w:color w:val="000000"/>
                <w:sz w:val="18"/>
              </w:rPr>
            </w:pPr>
            <w:r>
              <w:rPr>
                <w:rFonts w:ascii="Arial" w:hAnsi="Arial"/>
                <w:color w:val="000000"/>
                <w:sz w:val="18"/>
              </w:rPr>
              <w:t>- 115</w:t>
            </w:r>
            <w:r>
              <w:rPr>
                <w:rFonts w:ascii="Arial" w:hAnsi="Arial"/>
                <w:color w:val="000000"/>
                <w:sz w:val="18"/>
              </w:rPr>
              <w:t>.6</w:t>
            </w:r>
          </w:p>
        </w:tc>
        <w:tc>
          <w:tcPr>
            <w:tcW w:w="1305" w:type="dxa"/>
          </w:tcPr>
          <w:p w:rsidR="00000000" w:rsidRDefault="001F233B">
            <w:pPr>
              <w:jc w:val="right"/>
              <w:rPr>
                <w:rFonts w:ascii="Arial" w:hAnsi="Arial"/>
                <w:color w:val="000000"/>
                <w:sz w:val="18"/>
              </w:rPr>
            </w:pPr>
            <w:r>
              <w:rPr>
                <w:rFonts w:ascii="Arial" w:hAnsi="Arial"/>
                <w:color w:val="000000"/>
                <w:sz w:val="18"/>
              </w:rPr>
              <w:t xml:space="preserve"> 344.7</w:t>
            </w:r>
          </w:p>
        </w:tc>
      </w:tr>
      <w:tr w:rsidR="00000000">
        <w:tblPrEx>
          <w:tblCellMar>
            <w:top w:w="0" w:type="dxa"/>
            <w:bottom w:w="0" w:type="dxa"/>
          </w:tblCellMar>
        </w:tblPrEx>
        <w:trPr>
          <w:trHeight w:hRule="exact" w:val="240"/>
        </w:trPr>
        <w:tc>
          <w:tcPr>
            <w:tcW w:w="4536" w:type="dxa"/>
            <w:tcBorders>
              <w:top w:val="single" w:sz="6" w:space="0" w:color="auto"/>
              <w:bottom w:val="single" w:sz="6" w:space="0" w:color="auto"/>
            </w:tcBorders>
          </w:tcPr>
          <w:p w:rsidR="00000000" w:rsidRDefault="001F233B">
            <w:pPr>
              <w:rPr>
                <w:rFonts w:ascii="Arial" w:hAnsi="Arial"/>
                <w:b/>
                <w:color w:val="000000"/>
                <w:sz w:val="18"/>
              </w:rPr>
            </w:pPr>
            <w:r>
              <w:rPr>
                <w:rFonts w:ascii="Arial" w:hAnsi="Arial"/>
                <w:b/>
                <w:color w:val="000000"/>
                <w:sz w:val="18"/>
              </w:rPr>
              <w:t>Total Financing Transactions</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-2 156.6</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675.7</w:t>
            </w:r>
          </w:p>
        </w:tc>
      </w:tr>
      <w:tr w:rsidR="00000000">
        <w:tblPrEx>
          <w:tblCellMar>
            <w:top w:w="0" w:type="dxa"/>
            <w:bottom w:w="0" w:type="dxa"/>
          </w:tblCellMar>
        </w:tblPrEx>
        <w:trPr>
          <w:trHeight w:hRule="exact" w:val="240"/>
        </w:trPr>
        <w:tc>
          <w:tcPr>
            <w:tcW w:w="4536" w:type="dxa"/>
          </w:tcPr>
          <w:p w:rsidR="00000000" w:rsidRDefault="001F233B">
            <w:pPr>
              <w:jc w:val="right"/>
              <w:rPr>
                <w:rFonts w:ascii="Arial" w:hAnsi="Arial"/>
                <w:b/>
                <w:i/>
                <w:color w:val="000000"/>
                <w:sz w:val="18"/>
              </w:rPr>
            </w:pPr>
          </w:p>
        </w:tc>
        <w:tc>
          <w:tcPr>
            <w:tcW w:w="1305" w:type="dxa"/>
          </w:tcPr>
          <w:p w:rsidR="00000000" w:rsidRDefault="001F233B">
            <w:pPr>
              <w:jc w:val="right"/>
              <w:rPr>
                <w:rFonts w:ascii="Arial" w:hAnsi="Arial"/>
                <w:b/>
                <w:i/>
                <w:color w:val="000000"/>
                <w:sz w:val="18"/>
              </w:rPr>
            </w:pPr>
          </w:p>
        </w:tc>
        <w:tc>
          <w:tcPr>
            <w:tcW w:w="1305" w:type="dxa"/>
          </w:tcPr>
          <w:p w:rsidR="00000000" w:rsidRDefault="001F233B">
            <w:pPr>
              <w:jc w:val="right"/>
              <w:rPr>
                <w:rFonts w:ascii="Arial" w:hAnsi="Arial"/>
                <w:b/>
                <w:i/>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less Increase in Provisions (net)</w:t>
            </w:r>
          </w:p>
        </w:tc>
        <w:tc>
          <w:tcPr>
            <w:tcW w:w="1305" w:type="dxa"/>
          </w:tcPr>
          <w:p w:rsidR="00000000" w:rsidRDefault="001F233B">
            <w:pPr>
              <w:jc w:val="right"/>
              <w:rPr>
                <w:rFonts w:ascii="Arial" w:hAnsi="Arial"/>
                <w:color w:val="000000"/>
                <w:sz w:val="18"/>
              </w:rPr>
            </w:pPr>
            <w:r>
              <w:rPr>
                <w:rFonts w:ascii="Arial" w:hAnsi="Arial"/>
                <w:color w:val="000000"/>
                <w:sz w:val="18"/>
              </w:rPr>
              <w:t xml:space="preserve"> 378.1</w:t>
            </w:r>
          </w:p>
        </w:tc>
        <w:tc>
          <w:tcPr>
            <w:tcW w:w="1305" w:type="dxa"/>
          </w:tcPr>
          <w:p w:rsidR="00000000" w:rsidRDefault="001F233B">
            <w:pPr>
              <w:jc w:val="right"/>
              <w:rPr>
                <w:rFonts w:ascii="Arial" w:hAnsi="Arial"/>
                <w:color w:val="000000"/>
                <w:sz w:val="18"/>
              </w:rPr>
            </w:pPr>
            <w:r>
              <w:rPr>
                <w:rFonts w:ascii="Arial" w:hAnsi="Arial"/>
                <w:color w:val="000000"/>
                <w:sz w:val="18"/>
              </w:rPr>
              <w:t xml:space="preserve"> 356.5</w:t>
            </w:r>
          </w:p>
        </w:tc>
      </w:tr>
      <w:tr w:rsidR="00000000">
        <w:tblPrEx>
          <w:tblCellMar>
            <w:top w:w="0" w:type="dxa"/>
            <w:bottom w:w="0" w:type="dxa"/>
          </w:tblCellMar>
        </w:tblPrEx>
        <w:trPr>
          <w:trHeight w:hRule="exact" w:val="240"/>
        </w:trPr>
        <w:tc>
          <w:tcPr>
            <w:tcW w:w="4536" w:type="dxa"/>
            <w:tcBorders>
              <w:top w:val="single" w:sz="6" w:space="0" w:color="auto"/>
              <w:bottom w:val="single" w:sz="6" w:space="0" w:color="auto"/>
            </w:tcBorders>
          </w:tcPr>
          <w:p w:rsidR="00000000" w:rsidRDefault="001F233B">
            <w:pPr>
              <w:rPr>
                <w:rFonts w:ascii="Arial" w:hAnsi="Arial"/>
                <w:b/>
                <w:color w:val="000000"/>
                <w:sz w:val="18"/>
              </w:rPr>
            </w:pPr>
            <w:r>
              <w:rPr>
                <w:rFonts w:ascii="Arial" w:hAnsi="Arial"/>
                <w:b/>
                <w:color w:val="000000"/>
                <w:sz w:val="18"/>
              </w:rPr>
              <w:t>Deficit</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-2 534.7</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319.2</w:t>
            </w:r>
          </w:p>
        </w:tc>
      </w:tr>
      <w:tr w:rsidR="00000000">
        <w:tblPrEx>
          <w:tblCellMar>
            <w:top w:w="0" w:type="dxa"/>
            <w:bottom w:w="0" w:type="dxa"/>
          </w:tblCellMar>
        </w:tblPrEx>
        <w:trPr>
          <w:trHeight w:hRule="exact" w:val="240"/>
        </w:trPr>
        <w:tc>
          <w:tcPr>
            <w:tcW w:w="4536" w:type="dxa"/>
          </w:tcPr>
          <w:p w:rsidR="00000000" w:rsidRDefault="001F233B">
            <w:pPr>
              <w:jc w:val="right"/>
              <w:rPr>
                <w:rFonts w:ascii="Arial" w:hAnsi="Arial"/>
                <w:i/>
                <w:color w:val="000000"/>
                <w:sz w:val="18"/>
              </w:rPr>
            </w:pPr>
          </w:p>
        </w:tc>
        <w:tc>
          <w:tcPr>
            <w:tcW w:w="1305" w:type="dxa"/>
          </w:tcPr>
          <w:p w:rsidR="00000000" w:rsidRDefault="001F233B">
            <w:pPr>
              <w:jc w:val="right"/>
              <w:rPr>
                <w:rFonts w:ascii="Arial" w:hAnsi="Arial"/>
                <w:color w:val="000000"/>
                <w:sz w:val="18"/>
              </w:rPr>
            </w:pPr>
          </w:p>
        </w:tc>
        <w:tc>
          <w:tcPr>
            <w:tcW w:w="1305"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Net Advances Paid</w:t>
            </w:r>
          </w:p>
        </w:tc>
        <w:tc>
          <w:tcPr>
            <w:tcW w:w="1305" w:type="dxa"/>
          </w:tcPr>
          <w:p w:rsidR="00000000" w:rsidRDefault="001F233B">
            <w:pPr>
              <w:jc w:val="right"/>
              <w:rPr>
                <w:rFonts w:ascii="Arial" w:hAnsi="Arial"/>
                <w:color w:val="000000"/>
                <w:sz w:val="18"/>
              </w:rPr>
            </w:pPr>
            <w:r>
              <w:rPr>
                <w:rFonts w:ascii="Arial" w:hAnsi="Arial"/>
                <w:color w:val="000000"/>
                <w:sz w:val="18"/>
              </w:rPr>
              <w:t>-3 040.9</w:t>
            </w:r>
          </w:p>
        </w:tc>
        <w:tc>
          <w:tcPr>
            <w:tcW w:w="1305" w:type="dxa"/>
          </w:tcPr>
          <w:p w:rsidR="00000000" w:rsidRDefault="001F233B">
            <w:pPr>
              <w:jc w:val="right"/>
              <w:rPr>
                <w:rFonts w:ascii="Arial" w:hAnsi="Arial"/>
                <w:color w:val="000000"/>
                <w:sz w:val="18"/>
              </w:rPr>
            </w:pPr>
            <w:r>
              <w:rPr>
                <w:rFonts w:ascii="Arial" w:hAnsi="Arial"/>
                <w:color w:val="000000"/>
                <w:sz w:val="18"/>
              </w:rPr>
              <w:t>- 90.8</w:t>
            </w:r>
          </w:p>
        </w:tc>
      </w:tr>
      <w:tr w:rsidR="00000000">
        <w:tblPrEx>
          <w:tblCellMar>
            <w:top w:w="0" w:type="dxa"/>
            <w:bottom w:w="0" w:type="dxa"/>
          </w:tblCellMar>
        </w:tblPrEx>
        <w:trPr>
          <w:trHeight w:hRule="exact" w:val="240"/>
        </w:trPr>
        <w:tc>
          <w:tcPr>
            <w:tcW w:w="4536" w:type="dxa"/>
            <w:tcBorders>
              <w:top w:val="single" w:sz="6" w:space="0" w:color="auto"/>
              <w:bottom w:val="single" w:sz="6" w:space="0" w:color="auto"/>
            </w:tcBorders>
          </w:tcPr>
          <w:p w:rsidR="00000000" w:rsidRDefault="001F233B">
            <w:pPr>
              <w:rPr>
                <w:rFonts w:ascii="Arial" w:hAnsi="Arial"/>
                <w:b/>
                <w:color w:val="000000"/>
                <w:sz w:val="18"/>
              </w:rPr>
            </w:pPr>
            <w:r>
              <w:rPr>
                <w:rFonts w:ascii="Arial" w:hAnsi="Arial"/>
                <w:b/>
                <w:color w:val="000000"/>
                <w:sz w:val="18"/>
              </w:rPr>
              <w:t>Deficit adjusted for Net Advances Paid</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506.3</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410.0</w:t>
            </w:r>
          </w:p>
        </w:tc>
      </w:tr>
      <w:tr w:rsidR="00000000">
        <w:tblPrEx>
          <w:tblCellMar>
            <w:top w:w="0" w:type="dxa"/>
            <w:bottom w:w="0" w:type="dxa"/>
          </w:tblCellMar>
        </w:tblPrEx>
        <w:trPr>
          <w:trHeight w:hRule="exact" w:val="240"/>
        </w:trPr>
        <w:tc>
          <w:tcPr>
            <w:tcW w:w="4536" w:type="dxa"/>
          </w:tcPr>
          <w:p w:rsidR="00000000" w:rsidRDefault="001F233B">
            <w:pPr>
              <w:jc w:val="right"/>
              <w:rPr>
                <w:rFonts w:ascii="Arial" w:hAnsi="Arial"/>
                <w:color w:val="000000"/>
                <w:sz w:val="18"/>
              </w:rPr>
            </w:pPr>
          </w:p>
        </w:tc>
        <w:tc>
          <w:tcPr>
            <w:tcW w:w="1305" w:type="dxa"/>
          </w:tcPr>
          <w:p w:rsidR="00000000" w:rsidRDefault="001F233B">
            <w:pPr>
              <w:jc w:val="right"/>
              <w:rPr>
                <w:rFonts w:ascii="Arial" w:hAnsi="Arial"/>
                <w:color w:val="000000"/>
                <w:sz w:val="18"/>
              </w:rPr>
            </w:pPr>
          </w:p>
        </w:tc>
        <w:tc>
          <w:tcPr>
            <w:tcW w:w="1305"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36" w:type="dxa"/>
            <w:tcBorders>
              <w:bottom w:val="single" w:sz="12" w:space="0" w:color="auto"/>
            </w:tcBorders>
          </w:tcPr>
          <w:p w:rsidR="00000000" w:rsidRDefault="001F233B">
            <w:pPr>
              <w:rPr>
                <w:rFonts w:ascii="Arial" w:hAnsi="Arial"/>
                <w:b/>
                <w:color w:val="000000"/>
                <w:sz w:val="18"/>
              </w:rPr>
            </w:pPr>
            <w:r>
              <w:rPr>
                <w:rFonts w:ascii="Arial" w:hAnsi="Arial"/>
                <w:b/>
                <w:color w:val="000000"/>
                <w:sz w:val="18"/>
              </w:rPr>
              <w:t>Net Debt</w:t>
            </w:r>
          </w:p>
        </w:tc>
        <w:tc>
          <w:tcPr>
            <w:tcW w:w="1305" w:type="dxa"/>
            <w:tcBorders>
              <w:bottom w:val="single" w:sz="12" w:space="0" w:color="auto"/>
            </w:tcBorders>
          </w:tcPr>
          <w:p w:rsidR="00000000" w:rsidRDefault="001F233B">
            <w:pPr>
              <w:jc w:val="right"/>
              <w:rPr>
                <w:rFonts w:ascii="Arial" w:hAnsi="Arial"/>
                <w:b/>
                <w:color w:val="000000"/>
                <w:sz w:val="18"/>
              </w:rPr>
            </w:pPr>
            <w:r>
              <w:rPr>
                <w:rFonts w:ascii="Arial" w:hAnsi="Arial"/>
                <w:b/>
                <w:color w:val="000000"/>
                <w:sz w:val="18"/>
              </w:rPr>
              <w:t>5 778.3</w:t>
            </w:r>
          </w:p>
        </w:tc>
        <w:tc>
          <w:tcPr>
            <w:tcW w:w="1305" w:type="dxa"/>
            <w:tcBorders>
              <w:bottom w:val="single" w:sz="12" w:space="0" w:color="auto"/>
            </w:tcBorders>
          </w:tcPr>
          <w:p w:rsidR="00000000" w:rsidRDefault="001F233B">
            <w:pPr>
              <w:jc w:val="right"/>
              <w:rPr>
                <w:rFonts w:ascii="Arial" w:hAnsi="Arial"/>
                <w:b/>
                <w:color w:val="000000"/>
                <w:sz w:val="18"/>
              </w:rPr>
            </w:pPr>
            <w:r>
              <w:rPr>
                <w:rFonts w:ascii="Arial" w:hAnsi="Arial"/>
                <w:b/>
                <w:color w:val="000000"/>
                <w:sz w:val="18"/>
              </w:rPr>
              <w:t>6 097.5</w:t>
            </w:r>
          </w:p>
        </w:tc>
      </w:tr>
    </w:tbl>
    <w:p w:rsidR="00000000" w:rsidRDefault="001F233B">
      <w:pPr>
        <w:pStyle w:val="Source"/>
      </w:pPr>
      <w:r>
        <w:t>Source: Department of Treasury and Finance.</w:t>
      </w:r>
    </w:p>
    <w:p w:rsidR="00000000" w:rsidRDefault="001F233B">
      <w:pPr>
        <w:pStyle w:val="Tableheading"/>
        <w:spacing w:before="0" w:after="20"/>
      </w:pPr>
      <w:r>
        <w:br w:type="page"/>
      </w:r>
      <w:bookmarkStart w:id="236" w:name="_Toc417552777"/>
      <w:r>
        <w:t>Table B4: Uniform Reporting Format - State Public Sector Transactions</w:t>
      </w:r>
      <w:bookmarkEnd w:id="234"/>
      <w:bookmarkEnd w:id="235"/>
      <w:bookmarkEnd w:id="236"/>
    </w:p>
    <w:p w:rsidR="00000000" w:rsidRDefault="001F233B">
      <w:pPr>
        <w:spacing w:after="0"/>
        <w:jc w:val="center"/>
        <w:rPr>
          <w:noProof/>
          <w:sz w:val="20"/>
        </w:rPr>
      </w:pPr>
      <w:r>
        <w:rPr>
          <w:rFonts w:ascii="Arial" w:hAnsi="Arial"/>
          <w:i/>
          <w:color w:val="000000"/>
          <w:sz w:val="20"/>
        </w:rPr>
        <w:t>($ million)</w:t>
      </w:r>
    </w:p>
    <w:tbl>
      <w:tblPr>
        <w:tblW w:w="0" w:type="auto"/>
        <w:tblLayout w:type="fixed"/>
        <w:tblCellMar>
          <w:left w:w="30" w:type="dxa"/>
          <w:right w:w="30" w:type="dxa"/>
        </w:tblCellMar>
        <w:tblLook w:val="0000" w:firstRow="0" w:lastRow="0" w:firstColumn="0" w:lastColumn="0" w:noHBand="0" w:noVBand="0"/>
      </w:tblPr>
      <w:tblGrid>
        <w:gridCol w:w="4536"/>
        <w:gridCol w:w="1305"/>
        <w:gridCol w:w="1305"/>
      </w:tblGrid>
      <w:tr w:rsidR="00000000">
        <w:tblPrEx>
          <w:tblCellMar>
            <w:top w:w="0" w:type="dxa"/>
            <w:bottom w:w="0" w:type="dxa"/>
          </w:tblCellMar>
        </w:tblPrEx>
        <w:trPr>
          <w:trHeight w:hRule="exact" w:val="240"/>
        </w:trPr>
        <w:tc>
          <w:tcPr>
            <w:tcW w:w="4536" w:type="dxa"/>
            <w:tcBorders>
              <w:top w:val="single" w:sz="6" w:space="0" w:color="auto"/>
            </w:tcBorders>
          </w:tcPr>
          <w:p w:rsidR="00000000" w:rsidRDefault="001F233B">
            <w:pPr>
              <w:jc w:val="right"/>
              <w:rPr>
                <w:rFonts w:ascii="Arial" w:hAnsi="Arial"/>
                <w:color w:val="000000"/>
                <w:sz w:val="18"/>
              </w:rPr>
            </w:pPr>
          </w:p>
        </w:tc>
        <w:tc>
          <w:tcPr>
            <w:tcW w:w="1305"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1997-98</w:t>
            </w:r>
          </w:p>
        </w:tc>
        <w:tc>
          <w:tcPr>
            <w:tcW w:w="1305"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40"/>
        </w:trPr>
        <w:tc>
          <w:tcPr>
            <w:tcW w:w="4536" w:type="dxa"/>
            <w:tcBorders>
              <w:bottom w:val="single" w:sz="6" w:space="0" w:color="auto"/>
            </w:tcBorders>
          </w:tcPr>
          <w:p w:rsidR="00000000" w:rsidRDefault="001F233B">
            <w:pPr>
              <w:jc w:val="right"/>
              <w:rPr>
                <w:rFonts w:ascii="Arial" w:hAnsi="Arial"/>
                <w:color w:val="000000"/>
                <w:sz w:val="18"/>
              </w:rPr>
            </w:pPr>
          </w:p>
        </w:tc>
        <w:tc>
          <w:tcPr>
            <w:tcW w:w="1305"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Revised</w:t>
            </w:r>
          </w:p>
        </w:tc>
        <w:tc>
          <w:tcPr>
            <w:tcW w:w="1305"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40"/>
        </w:trPr>
        <w:tc>
          <w:tcPr>
            <w:tcW w:w="4536" w:type="dxa"/>
          </w:tcPr>
          <w:p w:rsidR="00000000" w:rsidRDefault="001F233B">
            <w:pPr>
              <w:jc w:val="right"/>
              <w:rPr>
                <w:rFonts w:ascii="Arial" w:hAnsi="Arial"/>
                <w:color w:val="000000"/>
                <w:sz w:val="18"/>
              </w:rPr>
            </w:pPr>
          </w:p>
        </w:tc>
        <w:tc>
          <w:tcPr>
            <w:tcW w:w="1305" w:type="dxa"/>
          </w:tcPr>
          <w:p w:rsidR="00000000" w:rsidRDefault="001F233B">
            <w:pPr>
              <w:jc w:val="right"/>
              <w:rPr>
                <w:rFonts w:ascii="Arial" w:hAnsi="Arial"/>
                <w:i/>
                <w:color w:val="000000"/>
                <w:sz w:val="18"/>
              </w:rPr>
            </w:pPr>
          </w:p>
        </w:tc>
        <w:tc>
          <w:tcPr>
            <w:tcW w:w="1305"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b/>
                <w:color w:val="000000"/>
                <w:sz w:val="18"/>
              </w:rPr>
            </w:pPr>
            <w:r>
              <w:rPr>
                <w:rFonts w:ascii="Arial" w:hAnsi="Arial"/>
                <w:b/>
                <w:color w:val="000000"/>
                <w:sz w:val="18"/>
              </w:rPr>
              <w:t>Current Outlays</w:t>
            </w:r>
          </w:p>
        </w:tc>
        <w:tc>
          <w:tcPr>
            <w:tcW w:w="1305" w:type="dxa"/>
          </w:tcPr>
          <w:p w:rsidR="00000000" w:rsidRDefault="001F233B">
            <w:pPr>
              <w:jc w:val="right"/>
              <w:rPr>
                <w:rFonts w:ascii="Arial" w:hAnsi="Arial"/>
                <w:color w:val="000000"/>
                <w:sz w:val="18"/>
              </w:rPr>
            </w:pPr>
          </w:p>
        </w:tc>
        <w:tc>
          <w:tcPr>
            <w:tcW w:w="1305"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General Government Final consumption expenditure</w:t>
            </w:r>
          </w:p>
        </w:tc>
        <w:tc>
          <w:tcPr>
            <w:tcW w:w="1305" w:type="dxa"/>
          </w:tcPr>
          <w:p w:rsidR="00000000" w:rsidRDefault="001F233B">
            <w:pPr>
              <w:jc w:val="right"/>
              <w:rPr>
                <w:rFonts w:ascii="Arial" w:hAnsi="Arial"/>
                <w:color w:val="000000"/>
                <w:sz w:val="18"/>
              </w:rPr>
            </w:pPr>
            <w:r>
              <w:rPr>
                <w:rFonts w:ascii="Arial" w:hAnsi="Arial"/>
                <w:color w:val="000000"/>
                <w:sz w:val="18"/>
              </w:rPr>
              <w:t>10 398.6</w:t>
            </w:r>
          </w:p>
        </w:tc>
        <w:tc>
          <w:tcPr>
            <w:tcW w:w="1305" w:type="dxa"/>
          </w:tcPr>
          <w:p w:rsidR="00000000" w:rsidRDefault="001F233B">
            <w:pPr>
              <w:jc w:val="right"/>
              <w:rPr>
                <w:rFonts w:ascii="Arial" w:hAnsi="Arial"/>
                <w:color w:val="000000"/>
                <w:sz w:val="18"/>
              </w:rPr>
            </w:pPr>
            <w:r>
              <w:rPr>
                <w:rFonts w:ascii="Arial" w:hAnsi="Arial"/>
                <w:color w:val="000000"/>
                <w:sz w:val="18"/>
              </w:rPr>
              <w:t>11 417.4</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I</w:t>
            </w:r>
            <w:r>
              <w:rPr>
                <w:rFonts w:ascii="Arial" w:hAnsi="Arial"/>
                <w:color w:val="000000"/>
                <w:sz w:val="18"/>
              </w:rPr>
              <w:t>nterest payments</w:t>
            </w:r>
          </w:p>
        </w:tc>
        <w:tc>
          <w:tcPr>
            <w:tcW w:w="1305" w:type="dxa"/>
          </w:tcPr>
          <w:p w:rsidR="00000000" w:rsidRDefault="001F233B">
            <w:pPr>
              <w:jc w:val="right"/>
              <w:rPr>
                <w:rFonts w:ascii="Arial" w:hAnsi="Arial"/>
                <w:color w:val="000000"/>
                <w:sz w:val="18"/>
              </w:rPr>
            </w:pPr>
            <w:r>
              <w:rPr>
                <w:rFonts w:ascii="Arial" w:hAnsi="Arial"/>
                <w:color w:val="000000"/>
                <w:sz w:val="18"/>
              </w:rPr>
              <w:t>1 600.3</w:t>
            </w:r>
          </w:p>
        </w:tc>
        <w:tc>
          <w:tcPr>
            <w:tcW w:w="1305" w:type="dxa"/>
          </w:tcPr>
          <w:p w:rsidR="00000000" w:rsidRDefault="001F233B">
            <w:pPr>
              <w:jc w:val="right"/>
              <w:rPr>
                <w:rFonts w:ascii="Arial" w:hAnsi="Arial"/>
                <w:color w:val="000000"/>
                <w:sz w:val="18"/>
              </w:rPr>
            </w:pPr>
            <w:r>
              <w:rPr>
                <w:rFonts w:ascii="Arial" w:hAnsi="Arial"/>
                <w:color w:val="000000"/>
                <w:sz w:val="18"/>
              </w:rPr>
              <w:t>1 176.9</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Current grants</w:t>
            </w:r>
          </w:p>
        </w:tc>
        <w:tc>
          <w:tcPr>
            <w:tcW w:w="1305" w:type="dxa"/>
          </w:tcPr>
          <w:p w:rsidR="00000000" w:rsidRDefault="001F233B">
            <w:pPr>
              <w:jc w:val="right"/>
              <w:rPr>
                <w:rFonts w:ascii="Arial" w:hAnsi="Arial"/>
                <w:color w:val="000000"/>
                <w:sz w:val="18"/>
              </w:rPr>
            </w:pPr>
            <w:r>
              <w:rPr>
                <w:rFonts w:ascii="Arial" w:hAnsi="Arial"/>
                <w:color w:val="000000"/>
                <w:sz w:val="18"/>
              </w:rPr>
              <w:t>2 077.6</w:t>
            </w:r>
          </w:p>
        </w:tc>
        <w:tc>
          <w:tcPr>
            <w:tcW w:w="1305" w:type="dxa"/>
          </w:tcPr>
          <w:p w:rsidR="00000000" w:rsidRDefault="001F233B">
            <w:pPr>
              <w:jc w:val="right"/>
              <w:rPr>
                <w:rFonts w:ascii="Arial" w:hAnsi="Arial"/>
                <w:color w:val="000000"/>
                <w:sz w:val="18"/>
              </w:rPr>
            </w:pPr>
            <w:r>
              <w:rPr>
                <w:rFonts w:ascii="Arial" w:hAnsi="Arial"/>
                <w:color w:val="000000"/>
                <w:sz w:val="18"/>
              </w:rPr>
              <w:t>2 158.1</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Other current payments</w:t>
            </w:r>
          </w:p>
        </w:tc>
        <w:tc>
          <w:tcPr>
            <w:tcW w:w="1305" w:type="dxa"/>
          </w:tcPr>
          <w:p w:rsidR="00000000" w:rsidRDefault="001F233B">
            <w:pPr>
              <w:jc w:val="right"/>
              <w:rPr>
                <w:rFonts w:ascii="Arial" w:hAnsi="Arial"/>
                <w:color w:val="000000"/>
                <w:sz w:val="18"/>
              </w:rPr>
            </w:pPr>
            <w:r>
              <w:rPr>
                <w:rFonts w:ascii="Arial" w:hAnsi="Arial"/>
                <w:color w:val="000000"/>
                <w:sz w:val="18"/>
              </w:rPr>
              <w:t>1 129.7</w:t>
            </w:r>
          </w:p>
        </w:tc>
        <w:tc>
          <w:tcPr>
            <w:tcW w:w="1305" w:type="dxa"/>
          </w:tcPr>
          <w:p w:rsidR="00000000" w:rsidRDefault="001F233B">
            <w:pPr>
              <w:jc w:val="right"/>
              <w:rPr>
                <w:rFonts w:ascii="Arial" w:hAnsi="Arial"/>
                <w:color w:val="000000"/>
                <w:sz w:val="18"/>
              </w:rPr>
            </w:pPr>
            <w:r>
              <w:rPr>
                <w:rFonts w:ascii="Arial" w:hAnsi="Arial"/>
                <w:color w:val="000000"/>
                <w:sz w:val="18"/>
              </w:rPr>
              <w:t xml:space="preserve"> 929.9</w:t>
            </w:r>
          </w:p>
        </w:tc>
      </w:tr>
      <w:tr w:rsidR="00000000">
        <w:tblPrEx>
          <w:tblCellMar>
            <w:top w:w="0" w:type="dxa"/>
            <w:bottom w:w="0" w:type="dxa"/>
          </w:tblCellMar>
        </w:tblPrEx>
        <w:trPr>
          <w:trHeight w:hRule="exact" w:val="240"/>
        </w:trPr>
        <w:tc>
          <w:tcPr>
            <w:tcW w:w="4536" w:type="dxa"/>
            <w:tcBorders>
              <w:top w:val="single" w:sz="6" w:space="0" w:color="auto"/>
              <w:bottom w:val="single" w:sz="6" w:space="0" w:color="auto"/>
            </w:tcBorders>
          </w:tcPr>
          <w:p w:rsidR="00000000" w:rsidRDefault="001F233B">
            <w:pPr>
              <w:rPr>
                <w:rFonts w:ascii="Arial" w:hAnsi="Arial"/>
                <w:b/>
                <w:color w:val="000000"/>
                <w:sz w:val="18"/>
              </w:rPr>
            </w:pPr>
            <w:r>
              <w:rPr>
                <w:rFonts w:ascii="Arial" w:hAnsi="Arial"/>
                <w:b/>
                <w:color w:val="000000"/>
                <w:sz w:val="18"/>
              </w:rPr>
              <w:t>Total current outlays</w:t>
            </w:r>
            <w:r>
              <w:rPr>
                <w:rFonts w:ascii="Arial" w:hAnsi="Arial"/>
                <w:b/>
                <w:color w:val="000000"/>
                <w:sz w:val="18"/>
              </w:rPr>
              <w:fldChar w:fldCharType="begin"/>
            </w:r>
            <w:r>
              <w:rPr>
                <w:rFonts w:ascii="Arial" w:hAnsi="Arial"/>
                <w:b/>
                <w:color w:val="000000"/>
                <w:sz w:val="18"/>
              </w:rPr>
              <w:instrText>xe "Current outlays"</w:instrText>
            </w:r>
            <w:r>
              <w:rPr>
                <w:rFonts w:ascii="Arial" w:hAnsi="Arial"/>
                <w:b/>
                <w:color w:val="000000"/>
                <w:sz w:val="18"/>
              </w:rPr>
              <w:fldChar w:fldCharType="end"/>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15 206.1</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15 682.2</w:t>
            </w:r>
          </w:p>
        </w:tc>
      </w:tr>
      <w:tr w:rsidR="00000000">
        <w:tblPrEx>
          <w:tblCellMar>
            <w:top w:w="0" w:type="dxa"/>
            <w:bottom w:w="0" w:type="dxa"/>
          </w:tblCellMar>
        </w:tblPrEx>
        <w:trPr>
          <w:trHeight w:hRule="exact" w:val="240"/>
        </w:trPr>
        <w:tc>
          <w:tcPr>
            <w:tcW w:w="4536" w:type="dxa"/>
          </w:tcPr>
          <w:p w:rsidR="00000000" w:rsidRDefault="001F233B">
            <w:pPr>
              <w:rPr>
                <w:rFonts w:ascii="Arial" w:hAnsi="Arial"/>
                <w:i/>
                <w:color w:val="000000"/>
                <w:sz w:val="18"/>
              </w:rPr>
            </w:pPr>
          </w:p>
        </w:tc>
        <w:tc>
          <w:tcPr>
            <w:tcW w:w="1305" w:type="dxa"/>
          </w:tcPr>
          <w:p w:rsidR="00000000" w:rsidRDefault="001F233B">
            <w:pPr>
              <w:jc w:val="right"/>
              <w:rPr>
                <w:rFonts w:ascii="Arial" w:hAnsi="Arial"/>
                <w:color w:val="000000"/>
                <w:sz w:val="18"/>
              </w:rPr>
            </w:pPr>
          </w:p>
        </w:tc>
        <w:tc>
          <w:tcPr>
            <w:tcW w:w="1305"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b/>
                <w:color w:val="000000"/>
                <w:sz w:val="18"/>
              </w:rPr>
            </w:pPr>
            <w:r>
              <w:rPr>
                <w:rFonts w:ascii="Arial" w:hAnsi="Arial"/>
                <w:b/>
                <w:color w:val="000000"/>
                <w:sz w:val="18"/>
              </w:rPr>
              <w:t>Capital Outlays</w:t>
            </w:r>
          </w:p>
        </w:tc>
        <w:tc>
          <w:tcPr>
            <w:tcW w:w="1305" w:type="dxa"/>
          </w:tcPr>
          <w:p w:rsidR="00000000" w:rsidRDefault="001F233B">
            <w:pPr>
              <w:jc w:val="right"/>
              <w:rPr>
                <w:rFonts w:ascii="Arial" w:hAnsi="Arial"/>
                <w:color w:val="000000"/>
                <w:sz w:val="18"/>
              </w:rPr>
            </w:pPr>
          </w:p>
        </w:tc>
        <w:tc>
          <w:tcPr>
            <w:tcW w:w="1305"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Expenditure on new fixed assets</w:t>
            </w:r>
          </w:p>
        </w:tc>
        <w:tc>
          <w:tcPr>
            <w:tcW w:w="1305" w:type="dxa"/>
          </w:tcPr>
          <w:p w:rsidR="00000000" w:rsidRDefault="001F233B">
            <w:pPr>
              <w:jc w:val="right"/>
              <w:rPr>
                <w:rFonts w:ascii="Arial" w:hAnsi="Arial"/>
                <w:color w:val="000000"/>
                <w:sz w:val="18"/>
              </w:rPr>
            </w:pPr>
            <w:r>
              <w:rPr>
                <w:rFonts w:ascii="Arial" w:hAnsi="Arial"/>
                <w:color w:val="000000"/>
                <w:sz w:val="18"/>
              </w:rPr>
              <w:t>2 625.8</w:t>
            </w:r>
          </w:p>
        </w:tc>
        <w:tc>
          <w:tcPr>
            <w:tcW w:w="1305" w:type="dxa"/>
          </w:tcPr>
          <w:p w:rsidR="00000000" w:rsidRDefault="001F233B">
            <w:pPr>
              <w:jc w:val="right"/>
              <w:rPr>
                <w:rFonts w:ascii="Arial" w:hAnsi="Arial"/>
                <w:color w:val="000000"/>
                <w:sz w:val="18"/>
              </w:rPr>
            </w:pPr>
            <w:r>
              <w:rPr>
                <w:rFonts w:ascii="Arial" w:hAnsi="Arial"/>
                <w:color w:val="000000"/>
                <w:sz w:val="18"/>
              </w:rPr>
              <w:t>2 737.0</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Expenditure on secondhand assets (net)</w:t>
            </w:r>
          </w:p>
        </w:tc>
        <w:tc>
          <w:tcPr>
            <w:tcW w:w="1305" w:type="dxa"/>
          </w:tcPr>
          <w:p w:rsidR="00000000" w:rsidRDefault="001F233B">
            <w:pPr>
              <w:jc w:val="right"/>
              <w:rPr>
                <w:rFonts w:ascii="Arial" w:hAnsi="Arial"/>
                <w:color w:val="000000"/>
                <w:sz w:val="18"/>
              </w:rPr>
            </w:pPr>
            <w:r>
              <w:rPr>
                <w:rFonts w:ascii="Arial" w:hAnsi="Arial"/>
                <w:color w:val="000000"/>
                <w:sz w:val="18"/>
              </w:rPr>
              <w:t>- 346.8</w:t>
            </w:r>
          </w:p>
        </w:tc>
        <w:tc>
          <w:tcPr>
            <w:tcW w:w="1305" w:type="dxa"/>
          </w:tcPr>
          <w:p w:rsidR="00000000" w:rsidRDefault="001F233B">
            <w:pPr>
              <w:jc w:val="right"/>
              <w:rPr>
                <w:rFonts w:ascii="Arial" w:hAnsi="Arial"/>
                <w:color w:val="000000"/>
                <w:sz w:val="18"/>
              </w:rPr>
            </w:pPr>
            <w:r>
              <w:rPr>
                <w:rFonts w:ascii="Arial" w:hAnsi="Arial"/>
                <w:color w:val="000000"/>
                <w:sz w:val="18"/>
              </w:rPr>
              <w:t>- 63.3</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Gross fixed capital expenditure</w:t>
            </w:r>
          </w:p>
        </w:tc>
        <w:tc>
          <w:tcPr>
            <w:tcW w:w="1305" w:type="dxa"/>
            <w:tcBorders>
              <w:top w:val="single" w:sz="6" w:space="0" w:color="auto"/>
            </w:tcBorders>
          </w:tcPr>
          <w:p w:rsidR="00000000" w:rsidRDefault="001F233B">
            <w:pPr>
              <w:jc w:val="right"/>
              <w:rPr>
                <w:rFonts w:ascii="Arial" w:hAnsi="Arial"/>
                <w:color w:val="000000"/>
                <w:sz w:val="18"/>
              </w:rPr>
            </w:pPr>
            <w:r>
              <w:rPr>
                <w:rFonts w:ascii="Arial" w:hAnsi="Arial"/>
                <w:color w:val="000000"/>
                <w:sz w:val="18"/>
              </w:rPr>
              <w:t>2 278.9</w:t>
            </w:r>
          </w:p>
        </w:tc>
        <w:tc>
          <w:tcPr>
            <w:tcW w:w="1305" w:type="dxa"/>
            <w:tcBorders>
              <w:top w:val="single" w:sz="6" w:space="0" w:color="auto"/>
            </w:tcBorders>
          </w:tcPr>
          <w:p w:rsidR="00000000" w:rsidRDefault="001F233B">
            <w:pPr>
              <w:jc w:val="right"/>
              <w:rPr>
                <w:rFonts w:ascii="Arial" w:hAnsi="Arial"/>
                <w:color w:val="000000"/>
                <w:sz w:val="18"/>
              </w:rPr>
            </w:pPr>
            <w:r>
              <w:rPr>
                <w:rFonts w:ascii="Arial" w:hAnsi="Arial"/>
                <w:color w:val="000000"/>
                <w:sz w:val="18"/>
              </w:rPr>
              <w:t>2 673.7</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Capital grants</w:t>
            </w:r>
          </w:p>
        </w:tc>
        <w:tc>
          <w:tcPr>
            <w:tcW w:w="1305" w:type="dxa"/>
          </w:tcPr>
          <w:p w:rsidR="00000000" w:rsidRDefault="001F233B">
            <w:pPr>
              <w:jc w:val="right"/>
              <w:rPr>
                <w:rFonts w:ascii="Arial" w:hAnsi="Arial"/>
                <w:color w:val="000000"/>
                <w:sz w:val="18"/>
              </w:rPr>
            </w:pPr>
            <w:r>
              <w:rPr>
                <w:rFonts w:ascii="Arial" w:hAnsi="Arial"/>
                <w:color w:val="000000"/>
                <w:sz w:val="18"/>
              </w:rPr>
              <w:t xml:space="preserve"> 91.6</w:t>
            </w:r>
          </w:p>
        </w:tc>
        <w:tc>
          <w:tcPr>
            <w:tcW w:w="1305" w:type="dxa"/>
          </w:tcPr>
          <w:p w:rsidR="00000000" w:rsidRDefault="001F233B">
            <w:pPr>
              <w:jc w:val="right"/>
              <w:rPr>
                <w:rFonts w:ascii="Arial" w:hAnsi="Arial"/>
                <w:color w:val="000000"/>
                <w:sz w:val="18"/>
              </w:rPr>
            </w:pPr>
            <w:r>
              <w:rPr>
                <w:rFonts w:ascii="Arial" w:hAnsi="Arial"/>
                <w:color w:val="000000"/>
                <w:sz w:val="18"/>
              </w:rPr>
              <w:t xml:space="preserve"> 150.9</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Net Advances Paid</w:t>
            </w:r>
          </w:p>
        </w:tc>
        <w:tc>
          <w:tcPr>
            <w:tcW w:w="1305" w:type="dxa"/>
          </w:tcPr>
          <w:p w:rsidR="00000000" w:rsidRDefault="001F233B">
            <w:pPr>
              <w:jc w:val="right"/>
              <w:rPr>
                <w:rFonts w:ascii="Arial" w:hAnsi="Arial"/>
                <w:color w:val="000000"/>
                <w:sz w:val="18"/>
              </w:rPr>
            </w:pPr>
            <w:r>
              <w:rPr>
                <w:rFonts w:ascii="Arial" w:hAnsi="Arial"/>
                <w:color w:val="000000"/>
                <w:sz w:val="18"/>
              </w:rPr>
              <w:t>-3 128.6</w:t>
            </w:r>
          </w:p>
        </w:tc>
        <w:tc>
          <w:tcPr>
            <w:tcW w:w="1305" w:type="dxa"/>
          </w:tcPr>
          <w:p w:rsidR="00000000" w:rsidRDefault="001F233B">
            <w:pPr>
              <w:jc w:val="right"/>
              <w:rPr>
                <w:rFonts w:ascii="Arial" w:hAnsi="Arial"/>
                <w:color w:val="000000"/>
                <w:sz w:val="18"/>
              </w:rPr>
            </w:pPr>
            <w:r>
              <w:rPr>
                <w:rFonts w:ascii="Arial" w:hAnsi="Arial"/>
                <w:color w:val="000000"/>
                <w:sz w:val="18"/>
              </w:rPr>
              <w:t xml:space="preserve"> 206.2</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Other capital outlays</w:t>
            </w:r>
          </w:p>
        </w:tc>
        <w:tc>
          <w:tcPr>
            <w:tcW w:w="1305" w:type="dxa"/>
          </w:tcPr>
          <w:p w:rsidR="00000000" w:rsidRDefault="001F233B">
            <w:pPr>
              <w:jc w:val="right"/>
              <w:rPr>
                <w:rFonts w:ascii="Arial" w:hAnsi="Arial"/>
                <w:color w:val="000000"/>
                <w:sz w:val="18"/>
              </w:rPr>
            </w:pPr>
            <w:r>
              <w:rPr>
                <w:rFonts w:ascii="Arial" w:hAnsi="Arial"/>
                <w:color w:val="000000"/>
                <w:sz w:val="18"/>
              </w:rPr>
              <w:t>- 119.4</w:t>
            </w:r>
          </w:p>
        </w:tc>
        <w:tc>
          <w:tcPr>
            <w:tcW w:w="1305" w:type="dxa"/>
          </w:tcPr>
          <w:p w:rsidR="00000000" w:rsidRDefault="001F233B">
            <w:pPr>
              <w:jc w:val="right"/>
              <w:rPr>
                <w:rFonts w:ascii="Arial" w:hAnsi="Arial"/>
                <w:color w:val="000000"/>
                <w:sz w:val="18"/>
              </w:rPr>
            </w:pPr>
            <w:r>
              <w:rPr>
                <w:rFonts w:ascii="Arial" w:hAnsi="Arial"/>
                <w:color w:val="000000"/>
                <w:sz w:val="18"/>
              </w:rPr>
              <w:t>- 86.3</w:t>
            </w:r>
          </w:p>
        </w:tc>
      </w:tr>
      <w:tr w:rsidR="00000000">
        <w:tblPrEx>
          <w:tblCellMar>
            <w:top w:w="0" w:type="dxa"/>
            <w:bottom w:w="0" w:type="dxa"/>
          </w:tblCellMar>
        </w:tblPrEx>
        <w:trPr>
          <w:trHeight w:hRule="exact" w:val="240"/>
        </w:trPr>
        <w:tc>
          <w:tcPr>
            <w:tcW w:w="4536" w:type="dxa"/>
            <w:tcBorders>
              <w:top w:val="single" w:sz="6" w:space="0" w:color="auto"/>
              <w:bottom w:val="single" w:sz="6" w:space="0" w:color="auto"/>
            </w:tcBorders>
          </w:tcPr>
          <w:p w:rsidR="00000000" w:rsidRDefault="001F233B">
            <w:pPr>
              <w:rPr>
                <w:rFonts w:ascii="Arial" w:hAnsi="Arial"/>
                <w:b/>
                <w:color w:val="000000"/>
                <w:sz w:val="18"/>
              </w:rPr>
            </w:pPr>
            <w:r>
              <w:rPr>
                <w:rFonts w:ascii="Arial" w:hAnsi="Arial"/>
                <w:b/>
                <w:color w:val="000000"/>
                <w:sz w:val="18"/>
              </w:rPr>
              <w:t>Total capital outlays</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- 877.4</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2 944.6</w:t>
            </w:r>
          </w:p>
        </w:tc>
      </w:tr>
      <w:tr w:rsidR="00000000">
        <w:tblPrEx>
          <w:tblCellMar>
            <w:top w:w="0" w:type="dxa"/>
            <w:bottom w:w="0" w:type="dxa"/>
          </w:tblCellMar>
        </w:tblPrEx>
        <w:trPr>
          <w:trHeight w:hRule="exact" w:val="240"/>
        </w:trPr>
        <w:tc>
          <w:tcPr>
            <w:tcW w:w="4536" w:type="dxa"/>
            <w:tcBorders>
              <w:top w:val="single" w:sz="6" w:space="0" w:color="auto"/>
              <w:bottom w:val="single" w:sz="6" w:space="0" w:color="auto"/>
            </w:tcBorders>
          </w:tcPr>
          <w:p w:rsidR="00000000" w:rsidRDefault="001F233B">
            <w:pPr>
              <w:rPr>
                <w:rFonts w:ascii="Arial" w:hAnsi="Arial"/>
                <w:b/>
                <w:color w:val="000000"/>
                <w:sz w:val="18"/>
              </w:rPr>
            </w:pPr>
            <w:r>
              <w:rPr>
                <w:rFonts w:ascii="Arial" w:hAnsi="Arial"/>
                <w:b/>
                <w:color w:val="000000"/>
                <w:sz w:val="18"/>
              </w:rPr>
              <w:t>Total Outlays</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14 328.7</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18 6</w:t>
            </w:r>
            <w:r>
              <w:rPr>
                <w:rFonts w:ascii="Arial" w:hAnsi="Arial"/>
                <w:b/>
                <w:color w:val="000000"/>
                <w:sz w:val="18"/>
              </w:rPr>
              <w:t>26.8</w:t>
            </w:r>
          </w:p>
        </w:tc>
      </w:tr>
      <w:tr w:rsidR="00000000">
        <w:tblPrEx>
          <w:tblCellMar>
            <w:top w:w="0" w:type="dxa"/>
            <w:bottom w:w="0" w:type="dxa"/>
          </w:tblCellMar>
        </w:tblPrEx>
        <w:trPr>
          <w:trHeight w:hRule="exact" w:val="240"/>
        </w:trPr>
        <w:tc>
          <w:tcPr>
            <w:tcW w:w="4536" w:type="dxa"/>
          </w:tcPr>
          <w:p w:rsidR="00000000" w:rsidRDefault="001F233B">
            <w:pPr>
              <w:jc w:val="right"/>
              <w:rPr>
                <w:rFonts w:ascii="Arial" w:hAnsi="Arial"/>
                <w:b/>
                <w:color w:val="000000"/>
                <w:sz w:val="18"/>
              </w:rPr>
            </w:pPr>
          </w:p>
        </w:tc>
        <w:tc>
          <w:tcPr>
            <w:tcW w:w="1305" w:type="dxa"/>
          </w:tcPr>
          <w:p w:rsidR="00000000" w:rsidRDefault="001F233B">
            <w:pPr>
              <w:jc w:val="right"/>
              <w:rPr>
                <w:rFonts w:ascii="Arial" w:hAnsi="Arial"/>
                <w:b/>
                <w:color w:val="000000"/>
                <w:sz w:val="18"/>
              </w:rPr>
            </w:pPr>
          </w:p>
        </w:tc>
        <w:tc>
          <w:tcPr>
            <w:tcW w:w="1305" w:type="dxa"/>
          </w:tcPr>
          <w:p w:rsidR="00000000" w:rsidRDefault="001F233B">
            <w:pPr>
              <w:jc w:val="right"/>
              <w:rPr>
                <w:rFonts w:ascii="Arial" w:hAnsi="Arial"/>
                <w:b/>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b/>
                <w:color w:val="000000"/>
                <w:sz w:val="18"/>
              </w:rPr>
            </w:pPr>
            <w:r>
              <w:rPr>
                <w:rFonts w:ascii="Arial" w:hAnsi="Arial"/>
                <w:b/>
                <w:color w:val="000000"/>
                <w:sz w:val="18"/>
              </w:rPr>
              <w:t>Revenue and Grants Received</w:t>
            </w:r>
          </w:p>
        </w:tc>
        <w:tc>
          <w:tcPr>
            <w:tcW w:w="1305" w:type="dxa"/>
          </w:tcPr>
          <w:p w:rsidR="00000000" w:rsidRDefault="001F233B">
            <w:pPr>
              <w:jc w:val="right"/>
              <w:rPr>
                <w:rFonts w:ascii="Arial" w:hAnsi="Arial"/>
                <w:color w:val="000000"/>
                <w:sz w:val="18"/>
              </w:rPr>
            </w:pPr>
          </w:p>
        </w:tc>
        <w:tc>
          <w:tcPr>
            <w:tcW w:w="1305"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Taxes, fees and fines</w:t>
            </w:r>
          </w:p>
        </w:tc>
        <w:tc>
          <w:tcPr>
            <w:tcW w:w="1305" w:type="dxa"/>
          </w:tcPr>
          <w:p w:rsidR="00000000" w:rsidRDefault="001F233B">
            <w:pPr>
              <w:jc w:val="right"/>
              <w:rPr>
                <w:rFonts w:ascii="Arial" w:hAnsi="Arial"/>
                <w:color w:val="000000"/>
                <w:sz w:val="18"/>
              </w:rPr>
            </w:pPr>
            <w:r>
              <w:rPr>
                <w:rFonts w:ascii="Arial" w:hAnsi="Arial"/>
                <w:color w:val="000000"/>
                <w:sz w:val="18"/>
              </w:rPr>
              <w:t>8 787.9</w:t>
            </w:r>
          </w:p>
        </w:tc>
        <w:tc>
          <w:tcPr>
            <w:tcW w:w="1305" w:type="dxa"/>
          </w:tcPr>
          <w:p w:rsidR="00000000" w:rsidRDefault="001F233B">
            <w:pPr>
              <w:jc w:val="right"/>
              <w:rPr>
                <w:rFonts w:ascii="Arial" w:hAnsi="Arial"/>
                <w:color w:val="000000"/>
                <w:sz w:val="18"/>
              </w:rPr>
            </w:pPr>
            <w:r>
              <w:rPr>
                <w:rFonts w:ascii="Arial" w:hAnsi="Arial"/>
                <w:color w:val="000000"/>
                <w:sz w:val="18"/>
              </w:rPr>
              <w:t>9 028.9</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Net operating surplus</w:t>
            </w:r>
            <w:r>
              <w:rPr>
                <w:rFonts w:ascii="Arial" w:hAnsi="Arial"/>
                <w:color w:val="000000"/>
                <w:sz w:val="18"/>
              </w:rPr>
              <w:fldChar w:fldCharType="begin"/>
            </w:r>
            <w:r>
              <w:rPr>
                <w:rFonts w:ascii="Arial" w:hAnsi="Arial"/>
                <w:color w:val="000000"/>
                <w:sz w:val="18"/>
              </w:rPr>
              <w:instrText>xe "Operating surplus"</w:instrText>
            </w:r>
            <w:r>
              <w:rPr>
                <w:rFonts w:ascii="Arial" w:hAnsi="Arial"/>
                <w:color w:val="000000"/>
                <w:sz w:val="18"/>
              </w:rPr>
              <w:fldChar w:fldCharType="end"/>
            </w:r>
            <w:r>
              <w:rPr>
                <w:rFonts w:ascii="Arial" w:hAnsi="Arial"/>
                <w:color w:val="000000"/>
                <w:sz w:val="18"/>
              </w:rPr>
              <w:t xml:space="preserve"> of PTEs</w:t>
            </w:r>
          </w:p>
        </w:tc>
        <w:tc>
          <w:tcPr>
            <w:tcW w:w="1305" w:type="dxa"/>
          </w:tcPr>
          <w:p w:rsidR="00000000" w:rsidRDefault="001F233B">
            <w:pPr>
              <w:jc w:val="right"/>
              <w:rPr>
                <w:rFonts w:ascii="Arial" w:hAnsi="Arial"/>
                <w:color w:val="000000"/>
                <w:sz w:val="18"/>
              </w:rPr>
            </w:pPr>
            <w:r>
              <w:rPr>
                <w:rFonts w:ascii="Arial" w:hAnsi="Arial"/>
                <w:color w:val="000000"/>
                <w:sz w:val="18"/>
              </w:rPr>
              <w:t>1 283.9</w:t>
            </w:r>
          </w:p>
        </w:tc>
        <w:tc>
          <w:tcPr>
            <w:tcW w:w="1305" w:type="dxa"/>
          </w:tcPr>
          <w:p w:rsidR="00000000" w:rsidRDefault="001F233B">
            <w:pPr>
              <w:jc w:val="right"/>
              <w:rPr>
                <w:rFonts w:ascii="Arial" w:hAnsi="Arial"/>
                <w:color w:val="000000"/>
                <w:sz w:val="18"/>
              </w:rPr>
            </w:pPr>
            <w:r>
              <w:rPr>
                <w:rFonts w:ascii="Arial" w:hAnsi="Arial"/>
                <w:color w:val="000000"/>
                <w:sz w:val="18"/>
              </w:rPr>
              <w:t>1 413.5</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 xml:space="preserve">Interest received </w:t>
            </w:r>
          </w:p>
        </w:tc>
        <w:tc>
          <w:tcPr>
            <w:tcW w:w="1305" w:type="dxa"/>
          </w:tcPr>
          <w:p w:rsidR="00000000" w:rsidRDefault="001F233B">
            <w:pPr>
              <w:jc w:val="right"/>
              <w:rPr>
                <w:rFonts w:ascii="Arial" w:hAnsi="Arial"/>
                <w:color w:val="000000"/>
                <w:sz w:val="18"/>
              </w:rPr>
            </w:pPr>
            <w:r>
              <w:rPr>
                <w:rFonts w:ascii="Arial" w:hAnsi="Arial"/>
                <w:color w:val="000000"/>
                <w:sz w:val="18"/>
              </w:rPr>
              <w:t xml:space="preserve"> 192.8</w:t>
            </w:r>
          </w:p>
        </w:tc>
        <w:tc>
          <w:tcPr>
            <w:tcW w:w="1305" w:type="dxa"/>
          </w:tcPr>
          <w:p w:rsidR="00000000" w:rsidRDefault="001F233B">
            <w:pPr>
              <w:jc w:val="right"/>
              <w:rPr>
                <w:rFonts w:ascii="Arial" w:hAnsi="Arial"/>
                <w:color w:val="000000"/>
                <w:sz w:val="18"/>
              </w:rPr>
            </w:pPr>
            <w:r>
              <w:rPr>
                <w:rFonts w:ascii="Arial" w:hAnsi="Arial"/>
                <w:color w:val="000000"/>
                <w:sz w:val="18"/>
              </w:rPr>
              <w:t xml:space="preserve"> 152.9</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 xml:space="preserve">Grants received </w:t>
            </w:r>
          </w:p>
        </w:tc>
        <w:tc>
          <w:tcPr>
            <w:tcW w:w="1305" w:type="dxa"/>
          </w:tcPr>
          <w:p w:rsidR="00000000" w:rsidRDefault="001F233B">
            <w:pPr>
              <w:jc w:val="right"/>
              <w:rPr>
                <w:rFonts w:ascii="Arial" w:hAnsi="Arial"/>
                <w:color w:val="000000"/>
                <w:sz w:val="18"/>
              </w:rPr>
            </w:pPr>
            <w:r>
              <w:rPr>
                <w:rFonts w:ascii="Arial" w:hAnsi="Arial"/>
                <w:color w:val="000000"/>
                <w:sz w:val="18"/>
              </w:rPr>
              <w:t>7 202.2</w:t>
            </w:r>
          </w:p>
        </w:tc>
        <w:tc>
          <w:tcPr>
            <w:tcW w:w="1305" w:type="dxa"/>
          </w:tcPr>
          <w:p w:rsidR="00000000" w:rsidRDefault="001F233B">
            <w:pPr>
              <w:jc w:val="right"/>
              <w:rPr>
                <w:rFonts w:ascii="Arial" w:hAnsi="Arial"/>
                <w:color w:val="000000"/>
                <w:sz w:val="18"/>
              </w:rPr>
            </w:pPr>
            <w:r>
              <w:rPr>
                <w:rFonts w:ascii="Arial" w:hAnsi="Arial"/>
                <w:color w:val="000000"/>
                <w:sz w:val="18"/>
              </w:rPr>
              <w:t>7 326.6</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Other revenue</w:t>
            </w:r>
          </w:p>
        </w:tc>
        <w:tc>
          <w:tcPr>
            <w:tcW w:w="1305" w:type="dxa"/>
          </w:tcPr>
          <w:p w:rsidR="00000000" w:rsidRDefault="001F233B">
            <w:pPr>
              <w:jc w:val="right"/>
              <w:rPr>
                <w:rFonts w:ascii="Arial" w:hAnsi="Arial"/>
                <w:color w:val="000000"/>
                <w:sz w:val="18"/>
              </w:rPr>
            </w:pPr>
            <w:r>
              <w:rPr>
                <w:rFonts w:ascii="Arial" w:hAnsi="Arial"/>
                <w:color w:val="000000"/>
                <w:sz w:val="18"/>
              </w:rPr>
              <w:t xml:space="preserve"> 472.4</w:t>
            </w:r>
          </w:p>
        </w:tc>
        <w:tc>
          <w:tcPr>
            <w:tcW w:w="1305" w:type="dxa"/>
          </w:tcPr>
          <w:p w:rsidR="00000000" w:rsidRDefault="001F233B">
            <w:pPr>
              <w:jc w:val="right"/>
              <w:rPr>
                <w:rFonts w:ascii="Arial" w:hAnsi="Arial"/>
                <w:color w:val="000000"/>
                <w:sz w:val="18"/>
              </w:rPr>
            </w:pPr>
            <w:r>
              <w:rPr>
                <w:rFonts w:ascii="Arial" w:hAnsi="Arial"/>
                <w:color w:val="000000"/>
                <w:sz w:val="18"/>
              </w:rPr>
              <w:t xml:space="preserve"> 222.9</w:t>
            </w:r>
          </w:p>
        </w:tc>
      </w:tr>
      <w:tr w:rsidR="00000000">
        <w:tblPrEx>
          <w:tblCellMar>
            <w:top w:w="0" w:type="dxa"/>
            <w:bottom w:w="0" w:type="dxa"/>
          </w:tblCellMar>
        </w:tblPrEx>
        <w:trPr>
          <w:trHeight w:hRule="exact" w:val="240"/>
        </w:trPr>
        <w:tc>
          <w:tcPr>
            <w:tcW w:w="4536" w:type="dxa"/>
            <w:tcBorders>
              <w:top w:val="single" w:sz="6" w:space="0" w:color="auto"/>
              <w:bottom w:val="single" w:sz="6" w:space="0" w:color="auto"/>
            </w:tcBorders>
          </w:tcPr>
          <w:p w:rsidR="00000000" w:rsidRDefault="001F233B">
            <w:pPr>
              <w:rPr>
                <w:rFonts w:ascii="Arial" w:hAnsi="Arial"/>
                <w:b/>
                <w:color w:val="000000"/>
                <w:sz w:val="18"/>
              </w:rPr>
            </w:pPr>
            <w:r>
              <w:rPr>
                <w:rFonts w:ascii="Arial" w:hAnsi="Arial"/>
                <w:b/>
                <w:color w:val="000000"/>
                <w:sz w:val="18"/>
              </w:rPr>
              <w:t>Total Revenue and Grants Received</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17 939.2</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18 144.8</w:t>
            </w:r>
          </w:p>
        </w:tc>
      </w:tr>
      <w:tr w:rsidR="00000000">
        <w:tblPrEx>
          <w:tblCellMar>
            <w:top w:w="0" w:type="dxa"/>
            <w:bottom w:w="0" w:type="dxa"/>
          </w:tblCellMar>
        </w:tblPrEx>
        <w:trPr>
          <w:trHeight w:hRule="exact" w:val="240"/>
        </w:trPr>
        <w:tc>
          <w:tcPr>
            <w:tcW w:w="4536" w:type="dxa"/>
          </w:tcPr>
          <w:p w:rsidR="00000000" w:rsidRDefault="001F233B">
            <w:pPr>
              <w:jc w:val="right"/>
              <w:rPr>
                <w:rFonts w:ascii="Arial" w:hAnsi="Arial"/>
                <w:b/>
                <w:color w:val="000000"/>
                <w:sz w:val="18"/>
              </w:rPr>
            </w:pPr>
          </w:p>
        </w:tc>
        <w:tc>
          <w:tcPr>
            <w:tcW w:w="1305" w:type="dxa"/>
          </w:tcPr>
          <w:p w:rsidR="00000000" w:rsidRDefault="001F233B">
            <w:pPr>
              <w:jc w:val="right"/>
              <w:rPr>
                <w:rFonts w:ascii="Arial" w:hAnsi="Arial"/>
                <w:b/>
                <w:color w:val="000000"/>
                <w:sz w:val="18"/>
              </w:rPr>
            </w:pPr>
          </w:p>
        </w:tc>
        <w:tc>
          <w:tcPr>
            <w:tcW w:w="1305" w:type="dxa"/>
          </w:tcPr>
          <w:p w:rsidR="00000000" w:rsidRDefault="001F233B">
            <w:pPr>
              <w:jc w:val="right"/>
              <w:rPr>
                <w:rFonts w:ascii="Arial" w:hAnsi="Arial"/>
                <w:b/>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b/>
                <w:color w:val="000000"/>
                <w:sz w:val="18"/>
              </w:rPr>
            </w:pPr>
            <w:r>
              <w:rPr>
                <w:rFonts w:ascii="Arial" w:hAnsi="Arial"/>
                <w:b/>
                <w:color w:val="000000"/>
                <w:sz w:val="18"/>
              </w:rPr>
              <w:t>Financing Transactions</w:t>
            </w:r>
          </w:p>
        </w:tc>
        <w:tc>
          <w:tcPr>
            <w:tcW w:w="1305" w:type="dxa"/>
          </w:tcPr>
          <w:p w:rsidR="00000000" w:rsidRDefault="001F233B">
            <w:pPr>
              <w:jc w:val="right"/>
              <w:rPr>
                <w:rFonts w:ascii="Arial" w:hAnsi="Arial"/>
                <w:color w:val="000000"/>
                <w:sz w:val="18"/>
              </w:rPr>
            </w:pPr>
          </w:p>
        </w:tc>
        <w:tc>
          <w:tcPr>
            <w:tcW w:w="1305"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Net Advances received</w:t>
            </w:r>
          </w:p>
        </w:tc>
        <w:tc>
          <w:tcPr>
            <w:tcW w:w="1305" w:type="dxa"/>
          </w:tcPr>
          <w:p w:rsidR="00000000" w:rsidRDefault="001F233B">
            <w:pPr>
              <w:jc w:val="right"/>
              <w:rPr>
                <w:rFonts w:ascii="Arial" w:hAnsi="Arial"/>
                <w:color w:val="000000"/>
                <w:sz w:val="18"/>
              </w:rPr>
            </w:pPr>
            <w:r>
              <w:rPr>
                <w:rFonts w:ascii="Arial" w:hAnsi="Arial"/>
                <w:color w:val="000000"/>
                <w:sz w:val="18"/>
              </w:rPr>
              <w:t xml:space="preserve"> 34.0</w:t>
            </w:r>
          </w:p>
        </w:tc>
        <w:tc>
          <w:tcPr>
            <w:tcW w:w="1305" w:type="dxa"/>
          </w:tcPr>
          <w:p w:rsidR="00000000" w:rsidRDefault="001F233B">
            <w:pPr>
              <w:jc w:val="right"/>
              <w:rPr>
                <w:rFonts w:ascii="Arial" w:hAnsi="Arial"/>
                <w:color w:val="000000"/>
                <w:sz w:val="18"/>
              </w:rPr>
            </w:pPr>
            <w:r>
              <w:rPr>
                <w:rFonts w:ascii="Arial" w:hAnsi="Arial"/>
                <w:color w:val="000000"/>
                <w:sz w:val="18"/>
              </w:rPr>
              <w:t>- 0.0</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Net Domestic and Overseas Borrowing</w:t>
            </w:r>
          </w:p>
        </w:tc>
        <w:tc>
          <w:tcPr>
            <w:tcW w:w="1305" w:type="dxa"/>
          </w:tcPr>
          <w:p w:rsidR="00000000" w:rsidRDefault="001F233B">
            <w:pPr>
              <w:jc w:val="right"/>
              <w:rPr>
                <w:rFonts w:ascii="Arial" w:hAnsi="Arial"/>
                <w:color w:val="000000"/>
                <w:sz w:val="18"/>
              </w:rPr>
            </w:pPr>
            <w:r>
              <w:rPr>
                <w:rFonts w:ascii="Arial" w:hAnsi="Arial"/>
                <w:color w:val="000000"/>
                <w:sz w:val="18"/>
              </w:rPr>
              <w:t>-4 068.1</w:t>
            </w:r>
          </w:p>
        </w:tc>
        <w:tc>
          <w:tcPr>
            <w:tcW w:w="1305" w:type="dxa"/>
          </w:tcPr>
          <w:p w:rsidR="00000000" w:rsidRDefault="001F233B">
            <w:pPr>
              <w:jc w:val="right"/>
              <w:rPr>
                <w:rFonts w:ascii="Arial" w:hAnsi="Arial"/>
                <w:color w:val="000000"/>
                <w:sz w:val="18"/>
              </w:rPr>
            </w:pPr>
            <w:r>
              <w:rPr>
                <w:rFonts w:ascii="Arial" w:hAnsi="Arial"/>
                <w:color w:val="000000"/>
                <w:sz w:val="18"/>
              </w:rPr>
              <w:t xml:space="preserve"> 69.7</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Increase in provisions (net)</w:t>
            </w:r>
          </w:p>
        </w:tc>
        <w:tc>
          <w:tcPr>
            <w:tcW w:w="1305" w:type="dxa"/>
          </w:tcPr>
          <w:p w:rsidR="00000000" w:rsidRDefault="001F233B">
            <w:pPr>
              <w:jc w:val="right"/>
              <w:rPr>
                <w:rFonts w:ascii="Arial" w:hAnsi="Arial"/>
                <w:color w:val="000000"/>
                <w:sz w:val="18"/>
              </w:rPr>
            </w:pPr>
            <w:r>
              <w:rPr>
                <w:rFonts w:ascii="Arial" w:hAnsi="Arial"/>
                <w:color w:val="000000"/>
                <w:sz w:val="18"/>
              </w:rPr>
              <w:t xml:space="preserve"> 378.1</w:t>
            </w:r>
          </w:p>
        </w:tc>
        <w:tc>
          <w:tcPr>
            <w:tcW w:w="1305" w:type="dxa"/>
          </w:tcPr>
          <w:p w:rsidR="00000000" w:rsidRDefault="001F233B">
            <w:pPr>
              <w:jc w:val="right"/>
              <w:rPr>
                <w:rFonts w:ascii="Arial" w:hAnsi="Arial"/>
                <w:color w:val="000000"/>
                <w:sz w:val="18"/>
              </w:rPr>
            </w:pPr>
            <w:r>
              <w:rPr>
                <w:rFonts w:ascii="Arial" w:hAnsi="Arial"/>
                <w:color w:val="000000"/>
                <w:sz w:val="18"/>
              </w:rPr>
              <w:t xml:space="preserve"> 356.5</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Other financing transactions</w:t>
            </w:r>
          </w:p>
        </w:tc>
        <w:tc>
          <w:tcPr>
            <w:tcW w:w="1305" w:type="dxa"/>
          </w:tcPr>
          <w:p w:rsidR="00000000" w:rsidRDefault="001F233B">
            <w:pPr>
              <w:jc w:val="right"/>
              <w:rPr>
                <w:rFonts w:ascii="Arial" w:hAnsi="Arial"/>
                <w:color w:val="000000"/>
                <w:sz w:val="18"/>
              </w:rPr>
            </w:pPr>
            <w:r>
              <w:rPr>
                <w:rFonts w:ascii="Arial" w:hAnsi="Arial"/>
                <w:color w:val="000000"/>
                <w:sz w:val="18"/>
              </w:rPr>
              <w:t xml:space="preserve"> 45.5</w:t>
            </w:r>
          </w:p>
        </w:tc>
        <w:tc>
          <w:tcPr>
            <w:tcW w:w="1305" w:type="dxa"/>
          </w:tcPr>
          <w:p w:rsidR="00000000" w:rsidRDefault="001F233B">
            <w:pPr>
              <w:jc w:val="right"/>
              <w:rPr>
                <w:rFonts w:ascii="Arial" w:hAnsi="Arial"/>
                <w:color w:val="000000"/>
                <w:sz w:val="18"/>
              </w:rPr>
            </w:pPr>
            <w:r>
              <w:rPr>
                <w:rFonts w:ascii="Arial" w:hAnsi="Arial"/>
                <w:color w:val="000000"/>
                <w:sz w:val="18"/>
              </w:rPr>
              <w:t xml:space="preserve"> 55.7</w:t>
            </w:r>
          </w:p>
        </w:tc>
      </w:tr>
      <w:tr w:rsidR="00000000">
        <w:tblPrEx>
          <w:tblCellMar>
            <w:top w:w="0" w:type="dxa"/>
            <w:bottom w:w="0" w:type="dxa"/>
          </w:tblCellMar>
        </w:tblPrEx>
        <w:trPr>
          <w:trHeight w:hRule="exact" w:val="240"/>
        </w:trPr>
        <w:tc>
          <w:tcPr>
            <w:tcW w:w="4536" w:type="dxa"/>
            <w:tcBorders>
              <w:top w:val="single" w:sz="6" w:space="0" w:color="auto"/>
              <w:bottom w:val="single" w:sz="6" w:space="0" w:color="auto"/>
            </w:tcBorders>
          </w:tcPr>
          <w:p w:rsidR="00000000" w:rsidRDefault="001F233B">
            <w:pPr>
              <w:rPr>
                <w:rFonts w:ascii="Arial" w:hAnsi="Arial"/>
                <w:b/>
                <w:color w:val="000000"/>
                <w:sz w:val="18"/>
              </w:rPr>
            </w:pPr>
            <w:r>
              <w:rPr>
                <w:rFonts w:ascii="Arial" w:hAnsi="Arial"/>
                <w:b/>
                <w:color w:val="000000"/>
                <w:sz w:val="18"/>
              </w:rPr>
              <w:t>Total Fi</w:t>
            </w:r>
            <w:r>
              <w:rPr>
                <w:rFonts w:ascii="Arial" w:hAnsi="Arial"/>
                <w:b/>
                <w:color w:val="000000"/>
                <w:sz w:val="18"/>
              </w:rPr>
              <w:t>nancing Transactions</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-3 610.5</w:t>
            </w:r>
          </w:p>
        </w:tc>
        <w:tc>
          <w:tcPr>
            <w:tcW w:w="1305" w:type="dxa"/>
            <w:tcBorders>
              <w:top w:val="single" w:sz="6" w:space="0" w:color="auto"/>
              <w:bottom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481.9</w:t>
            </w: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less increase in provisions -net</w:t>
            </w:r>
          </w:p>
        </w:tc>
        <w:tc>
          <w:tcPr>
            <w:tcW w:w="1305" w:type="dxa"/>
          </w:tcPr>
          <w:p w:rsidR="00000000" w:rsidRDefault="001F233B">
            <w:pPr>
              <w:jc w:val="right"/>
              <w:rPr>
                <w:rFonts w:ascii="Arial" w:hAnsi="Arial"/>
                <w:color w:val="000000"/>
                <w:sz w:val="18"/>
              </w:rPr>
            </w:pPr>
            <w:r>
              <w:rPr>
                <w:rFonts w:ascii="Arial" w:hAnsi="Arial"/>
                <w:color w:val="000000"/>
                <w:sz w:val="18"/>
              </w:rPr>
              <w:t xml:space="preserve"> 378.1</w:t>
            </w:r>
          </w:p>
        </w:tc>
        <w:tc>
          <w:tcPr>
            <w:tcW w:w="1305" w:type="dxa"/>
          </w:tcPr>
          <w:p w:rsidR="00000000" w:rsidRDefault="001F233B">
            <w:pPr>
              <w:jc w:val="right"/>
              <w:rPr>
                <w:rFonts w:ascii="Arial" w:hAnsi="Arial"/>
                <w:color w:val="000000"/>
                <w:sz w:val="18"/>
              </w:rPr>
            </w:pPr>
            <w:r>
              <w:rPr>
                <w:rFonts w:ascii="Arial" w:hAnsi="Arial"/>
                <w:color w:val="000000"/>
                <w:sz w:val="18"/>
              </w:rPr>
              <w:t xml:space="preserve"> 356.5</w:t>
            </w:r>
          </w:p>
        </w:tc>
      </w:tr>
      <w:tr w:rsidR="00000000">
        <w:tblPrEx>
          <w:tblCellMar>
            <w:top w:w="0" w:type="dxa"/>
            <w:bottom w:w="0" w:type="dxa"/>
          </w:tblCellMar>
        </w:tblPrEx>
        <w:trPr>
          <w:trHeight w:hRule="exact" w:val="240"/>
        </w:trPr>
        <w:tc>
          <w:tcPr>
            <w:tcW w:w="4536" w:type="dxa"/>
          </w:tcPr>
          <w:p w:rsidR="00000000" w:rsidRDefault="001F233B">
            <w:pPr>
              <w:rPr>
                <w:rFonts w:ascii="Arial" w:hAnsi="Arial"/>
                <w:b/>
                <w:color w:val="000000"/>
                <w:sz w:val="18"/>
              </w:rPr>
            </w:pPr>
            <w:r>
              <w:rPr>
                <w:rFonts w:ascii="Arial" w:hAnsi="Arial"/>
                <w:b/>
                <w:color w:val="000000"/>
                <w:sz w:val="18"/>
              </w:rPr>
              <w:t>Deficit</w:t>
            </w:r>
          </w:p>
        </w:tc>
        <w:tc>
          <w:tcPr>
            <w:tcW w:w="1305" w:type="dxa"/>
          </w:tcPr>
          <w:p w:rsidR="00000000" w:rsidRDefault="001F233B">
            <w:pPr>
              <w:jc w:val="right"/>
              <w:rPr>
                <w:rFonts w:ascii="Arial" w:hAnsi="Arial"/>
                <w:b/>
                <w:color w:val="000000"/>
                <w:sz w:val="18"/>
              </w:rPr>
            </w:pPr>
            <w:r>
              <w:rPr>
                <w:rFonts w:ascii="Arial" w:hAnsi="Arial"/>
                <w:b/>
                <w:color w:val="000000"/>
                <w:sz w:val="18"/>
              </w:rPr>
              <w:t>-3 988.6</w:t>
            </w:r>
          </w:p>
        </w:tc>
        <w:tc>
          <w:tcPr>
            <w:tcW w:w="1305" w:type="dxa"/>
          </w:tcPr>
          <w:p w:rsidR="00000000" w:rsidRDefault="001F233B">
            <w:pPr>
              <w:jc w:val="right"/>
              <w:rPr>
                <w:rFonts w:ascii="Arial" w:hAnsi="Arial"/>
                <w:b/>
                <w:color w:val="000000"/>
                <w:sz w:val="18"/>
              </w:rPr>
            </w:pPr>
            <w:r>
              <w:rPr>
                <w:rFonts w:ascii="Arial" w:hAnsi="Arial"/>
                <w:b/>
                <w:color w:val="000000"/>
                <w:sz w:val="18"/>
              </w:rPr>
              <w:t xml:space="preserve"> 125.4</w:t>
            </w:r>
          </w:p>
        </w:tc>
      </w:tr>
      <w:tr w:rsidR="00000000">
        <w:tblPrEx>
          <w:tblCellMar>
            <w:top w:w="0" w:type="dxa"/>
            <w:bottom w:w="0" w:type="dxa"/>
          </w:tblCellMar>
        </w:tblPrEx>
        <w:trPr>
          <w:trHeight w:hRule="exact" w:val="240"/>
        </w:trPr>
        <w:tc>
          <w:tcPr>
            <w:tcW w:w="4536" w:type="dxa"/>
          </w:tcPr>
          <w:p w:rsidR="00000000" w:rsidRDefault="001F233B">
            <w:pPr>
              <w:jc w:val="right"/>
              <w:rPr>
                <w:rFonts w:ascii="Arial" w:hAnsi="Arial"/>
                <w:b/>
                <w:color w:val="000000"/>
                <w:sz w:val="18"/>
              </w:rPr>
            </w:pPr>
          </w:p>
        </w:tc>
        <w:tc>
          <w:tcPr>
            <w:tcW w:w="1305" w:type="dxa"/>
          </w:tcPr>
          <w:p w:rsidR="00000000" w:rsidRDefault="001F233B">
            <w:pPr>
              <w:jc w:val="right"/>
              <w:rPr>
                <w:rFonts w:ascii="Arial" w:hAnsi="Arial"/>
                <w:b/>
                <w:color w:val="000000"/>
                <w:sz w:val="18"/>
              </w:rPr>
            </w:pPr>
          </w:p>
        </w:tc>
        <w:tc>
          <w:tcPr>
            <w:tcW w:w="1305" w:type="dxa"/>
          </w:tcPr>
          <w:p w:rsidR="00000000" w:rsidRDefault="001F233B">
            <w:pPr>
              <w:jc w:val="right"/>
              <w:rPr>
                <w:rFonts w:ascii="Arial" w:hAnsi="Arial"/>
                <w:b/>
                <w:color w:val="000000"/>
                <w:sz w:val="18"/>
              </w:rPr>
            </w:pPr>
          </w:p>
        </w:tc>
      </w:tr>
      <w:tr w:rsidR="00000000">
        <w:tblPrEx>
          <w:tblCellMar>
            <w:top w:w="0" w:type="dxa"/>
            <w:bottom w:w="0" w:type="dxa"/>
          </w:tblCellMar>
        </w:tblPrEx>
        <w:trPr>
          <w:trHeight w:hRule="exact" w:val="240"/>
        </w:trPr>
        <w:tc>
          <w:tcPr>
            <w:tcW w:w="4536" w:type="dxa"/>
          </w:tcPr>
          <w:p w:rsidR="00000000" w:rsidRDefault="001F233B">
            <w:pPr>
              <w:rPr>
                <w:rFonts w:ascii="Arial" w:hAnsi="Arial"/>
                <w:color w:val="000000"/>
                <w:sz w:val="18"/>
              </w:rPr>
            </w:pPr>
            <w:r>
              <w:rPr>
                <w:rFonts w:ascii="Arial" w:hAnsi="Arial"/>
                <w:color w:val="000000"/>
                <w:sz w:val="18"/>
              </w:rPr>
              <w:t>Net Advances Paid</w:t>
            </w:r>
          </w:p>
        </w:tc>
        <w:tc>
          <w:tcPr>
            <w:tcW w:w="1305" w:type="dxa"/>
          </w:tcPr>
          <w:p w:rsidR="00000000" w:rsidRDefault="001F233B">
            <w:pPr>
              <w:jc w:val="right"/>
              <w:rPr>
                <w:rFonts w:ascii="Arial" w:hAnsi="Arial"/>
                <w:color w:val="000000"/>
                <w:sz w:val="18"/>
              </w:rPr>
            </w:pPr>
            <w:r>
              <w:rPr>
                <w:rFonts w:ascii="Arial" w:hAnsi="Arial"/>
                <w:color w:val="000000"/>
                <w:sz w:val="18"/>
              </w:rPr>
              <w:t>-3 128.6</w:t>
            </w:r>
          </w:p>
        </w:tc>
        <w:tc>
          <w:tcPr>
            <w:tcW w:w="1305" w:type="dxa"/>
          </w:tcPr>
          <w:p w:rsidR="00000000" w:rsidRDefault="001F233B">
            <w:pPr>
              <w:jc w:val="right"/>
              <w:rPr>
                <w:rFonts w:ascii="Arial" w:hAnsi="Arial"/>
                <w:color w:val="000000"/>
                <w:sz w:val="18"/>
              </w:rPr>
            </w:pPr>
            <w:r>
              <w:rPr>
                <w:rFonts w:ascii="Arial" w:hAnsi="Arial"/>
                <w:color w:val="000000"/>
                <w:sz w:val="18"/>
              </w:rPr>
              <w:t xml:space="preserve"> 206.2</w:t>
            </w:r>
          </w:p>
        </w:tc>
      </w:tr>
      <w:tr w:rsidR="00000000">
        <w:tblPrEx>
          <w:tblCellMar>
            <w:top w:w="0" w:type="dxa"/>
            <w:bottom w:w="0" w:type="dxa"/>
          </w:tblCellMar>
        </w:tblPrEx>
        <w:trPr>
          <w:trHeight w:hRule="exact" w:val="240"/>
        </w:trPr>
        <w:tc>
          <w:tcPr>
            <w:tcW w:w="4536" w:type="dxa"/>
          </w:tcPr>
          <w:p w:rsidR="00000000" w:rsidRDefault="001F233B">
            <w:pPr>
              <w:rPr>
                <w:rFonts w:ascii="Arial" w:hAnsi="Arial"/>
                <w:b/>
                <w:color w:val="000000"/>
                <w:sz w:val="18"/>
              </w:rPr>
            </w:pPr>
            <w:r>
              <w:rPr>
                <w:rFonts w:ascii="Arial" w:hAnsi="Arial"/>
                <w:b/>
                <w:color w:val="000000"/>
                <w:sz w:val="18"/>
              </w:rPr>
              <w:t>Deficit Adjusted for Net Advances Paid</w:t>
            </w:r>
          </w:p>
        </w:tc>
        <w:tc>
          <w:tcPr>
            <w:tcW w:w="1305" w:type="dxa"/>
          </w:tcPr>
          <w:p w:rsidR="00000000" w:rsidRDefault="001F233B">
            <w:pPr>
              <w:jc w:val="right"/>
              <w:rPr>
                <w:rFonts w:ascii="Arial" w:hAnsi="Arial"/>
                <w:b/>
                <w:color w:val="000000"/>
                <w:sz w:val="18"/>
              </w:rPr>
            </w:pPr>
            <w:r>
              <w:rPr>
                <w:rFonts w:ascii="Arial" w:hAnsi="Arial"/>
                <w:b/>
                <w:color w:val="000000"/>
                <w:sz w:val="18"/>
              </w:rPr>
              <w:t>- 860.1</w:t>
            </w:r>
          </w:p>
        </w:tc>
        <w:tc>
          <w:tcPr>
            <w:tcW w:w="1305" w:type="dxa"/>
          </w:tcPr>
          <w:p w:rsidR="00000000" w:rsidRDefault="001F233B">
            <w:pPr>
              <w:jc w:val="right"/>
              <w:rPr>
                <w:rFonts w:ascii="Arial" w:hAnsi="Arial"/>
                <w:b/>
                <w:color w:val="000000"/>
                <w:sz w:val="18"/>
              </w:rPr>
            </w:pPr>
            <w:r>
              <w:rPr>
                <w:rFonts w:ascii="Arial" w:hAnsi="Arial"/>
                <w:b/>
                <w:color w:val="000000"/>
                <w:sz w:val="18"/>
              </w:rPr>
              <w:t>- 80.8</w:t>
            </w:r>
          </w:p>
        </w:tc>
      </w:tr>
      <w:tr w:rsidR="00000000">
        <w:tblPrEx>
          <w:tblCellMar>
            <w:top w:w="0" w:type="dxa"/>
            <w:bottom w:w="0" w:type="dxa"/>
          </w:tblCellMar>
        </w:tblPrEx>
        <w:trPr>
          <w:trHeight w:hRule="exact" w:val="240"/>
        </w:trPr>
        <w:tc>
          <w:tcPr>
            <w:tcW w:w="4536" w:type="dxa"/>
          </w:tcPr>
          <w:p w:rsidR="00000000" w:rsidRDefault="001F233B">
            <w:pPr>
              <w:jc w:val="right"/>
              <w:rPr>
                <w:rFonts w:ascii="Arial" w:hAnsi="Arial"/>
                <w:b/>
                <w:color w:val="000000"/>
                <w:sz w:val="18"/>
              </w:rPr>
            </w:pPr>
          </w:p>
        </w:tc>
        <w:tc>
          <w:tcPr>
            <w:tcW w:w="1305" w:type="dxa"/>
          </w:tcPr>
          <w:p w:rsidR="00000000" w:rsidRDefault="001F233B">
            <w:pPr>
              <w:jc w:val="right"/>
              <w:rPr>
                <w:rFonts w:ascii="Arial" w:hAnsi="Arial"/>
                <w:b/>
                <w:color w:val="000000"/>
                <w:sz w:val="18"/>
              </w:rPr>
            </w:pPr>
          </w:p>
        </w:tc>
        <w:tc>
          <w:tcPr>
            <w:tcW w:w="1305" w:type="dxa"/>
          </w:tcPr>
          <w:p w:rsidR="00000000" w:rsidRDefault="001F233B">
            <w:pPr>
              <w:jc w:val="right"/>
              <w:rPr>
                <w:rFonts w:ascii="Arial" w:hAnsi="Arial"/>
                <w:b/>
                <w:color w:val="000000"/>
                <w:sz w:val="18"/>
              </w:rPr>
            </w:pPr>
          </w:p>
        </w:tc>
      </w:tr>
      <w:tr w:rsidR="00000000">
        <w:tblPrEx>
          <w:tblCellMar>
            <w:top w:w="0" w:type="dxa"/>
            <w:bottom w:w="0" w:type="dxa"/>
          </w:tblCellMar>
        </w:tblPrEx>
        <w:trPr>
          <w:trHeight w:hRule="exact" w:val="240"/>
        </w:trPr>
        <w:tc>
          <w:tcPr>
            <w:tcW w:w="4536" w:type="dxa"/>
            <w:tcBorders>
              <w:bottom w:val="single" w:sz="12" w:space="0" w:color="auto"/>
            </w:tcBorders>
          </w:tcPr>
          <w:p w:rsidR="00000000" w:rsidRDefault="001F233B">
            <w:pPr>
              <w:rPr>
                <w:rFonts w:ascii="Arial" w:hAnsi="Arial"/>
                <w:b/>
                <w:color w:val="000000"/>
                <w:sz w:val="18"/>
              </w:rPr>
            </w:pPr>
            <w:r>
              <w:rPr>
                <w:rFonts w:ascii="Arial" w:hAnsi="Arial"/>
                <w:b/>
                <w:color w:val="000000"/>
                <w:sz w:val="18"/>
              </w:rPr>
              <w:t>Net Debt</w:t>
            </w:r>
          </w:p>
        </w:tc>
        <w:tc>
          <w:tcPr>
            <w:tcW w:w="1305" w:type="dxa"/>
            <w:tcBorders>
              <w:bottom w:val="single" w:sz="12" w:space="0" w:color="auto"/>
            </w:tcBorders>
          </w:tcPr>
          <w:p w:rsidR="00000000" w:rsidRDefault="001F233B">
            <w:pPr>
              <w:jc w:val="right"/>
              <w:rPr>
                <w:rFonts w:ascii="Arial" w:hAnsi="Arial"/>
                <w:b/>
                <w:color w:val="000000"/>
                <w:sz w:val="18"/>
              </w:rPr>
            </w:pPr>
            <w:r>
              <w:rPr>
                <w:rFonts w:ascii="Arial" w:hAnsi="Arial"/>
                <w:b/>
                <w:color w:val="000000"/>
                <w:sz w:val="18"/>
              </w:rPr>
              <w:t>12 294.9</w:t>
            </w:r>
          </w:p>
        </w:tc>
        <w:tc>
          <w:tcPr>
            <w:tcW w:w="1305" w:type="dxa"/>
            <w:tcBorders>
              <w:bottom w:val="single" w:sz="12" w:space="0" w:color="auto"/>
            </w:tcBorders>
          </w:tcPr>
          <w:p w:rsidR="00000000" w:rsidRDefault="001F233B">
            <w:pPr>
              <w:jc w:val="right"/>
              <w:rPr>
                <w:rFonts w:ascii="Arial" w:hAnsi="Arial"/>
                <w:b/>
                <w:color w:val="000000"/>
                <w:sz w:val="18"/>
              </w:rPr>
            </w:pPr>
            <w:r>
              <w:rPr>
                <w:rFonts w:ascii="Arial" w:hAnsi="Arial"/>
                <w:b/>
                <w:color w:val="000000"/>
                <w:sz w:val="18"/>
              </w:rPr>
              <w:t>12 214.2</w:t>
            </w:r>
          </w:p>
        </w:tc>
      </w:tr>
    </w:tbl>
    <w:p w:rsidR="00000000" w:rsidRDefault="001F233B">
      <w:pPr>
        <w:pStyle w:val="Source"/>
      </w:pPr>
      <w:r>
        <w:t>Source: Department of Treasury and Finance.</w:t>
      </w:r>
    </w:p>
    <w:p w:rsidR="00000000" w:rsidRDefault="001F233B">
      <w:pPr>
        <w:pStyle w:val="Tableheading"/>
      </w:pPr>
      <w:r>
        <w:rPr>
          <w:sz w:val="18"/>
        </w:rPr>
        <w:br w:type="page"/>
      </w:r>
      <w:bookmarkStart w:id="237" w:name="_Toc366662090"/>
      <w:bookmarkStart w:id="238" w:name="_Toc366666311"/>
      <w:bookmarkStart w:id="239" w:name="_Toc417552778"/>
      <w:r>
        <w:t>Table B5: Uniform Reporting Format - State Public Sector Taxes, Fees &amp; Fines</w:t>
      </w:r>
      <w:bookmarkEnd w:id="237"/>
      <w:bookmarkEnd w:id="238"/>
      <w:bookmarkEnd w:id="239"/>
    </w:p>
    <w:p w:rsidR="00000000" w:rsidRDefault="001F233B">
      <w:pPr>
        <w:spacing w:after="0"/>
        <w:jc w:val="center"/>
        <w:rPr>
          <w:noProof/>
          <w:sz w:val="20"/>
        </w:rPr>
      </w:pPr>
      <w:r>
        <w:rPr>
          <w:rFonts w:ascii="Arial" w:hAnsi="Arial"/>
          <w:i/>
          <w:color w:val="000000"/>
          <w:sz w:val="20"/>
        </w:rPr>
        <w:t>($ million</w:t>
      </w:r>
    </w:p>
    <w:tbl>
      <w:tblPr>
        <w:tblW w:w="0" w:type="auto"/>
        <w:tblLayout w:type="fixed"/>
        <w:tblCellMar>
          <w:left w:w="30" w:type="dxa"/>
          <w:right w:w="30" w:type="dxa"/>
        </w:tblCellMar>
        <w:tblLook w:val="0000" w:firstRow="0" w:lastRow="0" w:firstColumn="0" w:lastColumn="0" w:noHBand="0" w:noVBand="0"/>
      </w:tblPr>
      <w:tblGrid>
        <w:gridCol w:w="4423"/>
        <w:gridCol w:w="1362"/>
        <w:gridCol w:w="1362"/>
      </w:tblGrid>
      <w:tr w:rsidR="00000000">
        <w:tblPrEx>
          <w:tblCellMar>
            <w:top w:w="0" w:type="dxa"/>
            <w:bottom w:w="0" w:type="dxa"/>
          </w:tblCellMar>
        </w:tblPrEx>
        <w:trPr>
          <w:trHeight w:hRule="exact" w:val="240"/>
        </w:trPr>
        <w:tc>
          <w:tcPr>
            <w:tcW w:w="4423" w:type="dxa"/>
            <w:tcBorders>
              <w:top w:val="single" w:sz="6" w:space="0" w:color="auto"/>
            </w:tcBorders>
          </w:tcPr>
          <w:p w:rsidR="00000000" w:rsidRDefault="001F233B">
            <w:pPr>
              <w:jc w:val="right"/>
              <w:rPr>
                <w:rFonts w:ascii="Arial" w:hAnsi="Arial"/>
                <w:color w:val="000000"/>
                <w:sz w:val="18"/>
              </w:rPr>
            </w:pPr>
          </w:p>
        </w:tc>
        <w:tc>
          <w:tcPr>
            <w:tcW w:w="1362"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1997-98</w:t>
            </w:r>
          </w:p>
        </w:tc>
        <w:tc>
          <w:tcPr>
            <w:tcW w:w="1362"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40"/>
        </w:trPr>
        <w:tc>
          <w:tcPr>
            <w:tcW w:w="4423" w:type="dxa"/>
            <w:tcBorders>
              <w:bottom w:val="single" w:sz="6" w:space="0" w:color="auto"/>
            </w:tcBorders>
          </w:tcPr>
          <w:p w:rsidR="00000000" w:rsidRDefault="001F233B">
            <w:pPr>
              <w:jc w:val="right"/>
              <w:rPr>
                <w:rFonts w:ascii="Arial" w:hAnsi="Arial"/>
                <w:color w:val="000000"/>
                <w:sz w:val="18"/>
              </w:rPr>
            </w:pPr>
          </w:p>
        </w:tc>
        <w:tc>
          <w:tcPr>
            <w:tcW w:w="1362"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Revise</w:t>
            </w:r>
          </w:p>
        </w:tc>
        <w:tc>
          <w:tcPr>
            <w:tcW w:w="1362"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40"/>
        </w:trPr>
        <w:tc>
          <w:tcPr>
            <w:tcW w:w="4423" w:type="dxa"/>
          </w:tcPr>
          <w:p w:rsidR="00000000" w:rsidRDefault="001F233B">
            <w:pPr>
              <w:jc w:val="right"/>
              <w:rPr>
                <w:rFonts w:ascii="Arial" w:hAnsi="Arial"/>
                <w:color w:val="000000"/>
                <w:sz w:val="18"/>
              </w:rPr>
            </w:pPr>
          </w:p>
        </w:tc>
        <w:tc>
          <w:tcPr>
            <w:tcW w:w="1362" w:type="dxa"/>
          </w:tcPr>
          <w:p w:rsidR="00000000" w:rsidRDefault="001F233B">
            <w:pPr>
              <w:jc w:val="right"/>
              <w:rPr>
                <w:rFonts w:ascii="Arial" w:hAnsi="Arial"/>
                <w:i/>
                <w:color w:val="000000"/>
                <w:sz w:val="18"/>
              </w:rPr>
            </w:pPr>
          </w:p>
        </w:tc>
        <w:tc>
          <w:tcPr>
            <w:tcW w:w="1362" w:type="dxa"/>
          </w:tcPr>
          <w:p w:rsidR="00000000" w:rsidRDefault="001F233B">
            <w:pPr>
              <w:jc w:val="right"/>
              <w:rPr>
                <w:rFonts w:ascii="Arial" w:hAnsi="Arial"/>
                <w:i/>
                <w:color w:val="000000"/>
                <w:sz w:val="18"/>
              </w:rPr>
            </w:pP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Employers' payroll tax</w:t>
            </w:r>
            <w:r>
              <w:rPr>
                <w:rFonts w:ascii="Arial" w:hAnsi="Arial"/>
                <w:color w:val="000000"/>
                <w:sz w:val="18"/>
              </w:rPr>
              <w:fldChar w:fldCharType="begin"/>
            </w:r>
            <w:r>
              <w:rPr>
                <w:rFonts w:ascii="Arial" w:hAnsi="Arial"/>
                <w:color w:val="000000"/>
                <w:sz w:val="18"/>
              </w:rPr>
              <w:instrText>xe "Tax:Payroll tax"</w:instrText>
            </w:r>
            <w:r>
              <w:rPr>
                <w:rFonts w:ascii="Arial" w:hAnsi="Arial"/>
                <w:color w:val="000000"/>
                <w:sz w:val="18"/>
              </w:rPr>
              <w:fldChar w:fldCharType="end"/>
            </w:r>
            <w:r>
              <w:rPr>
                <w:rFonts w:ascii="Arial" w:hAnsi="Arial"/>
                <w:color w:val="000000"/>
                <w:sz w:val="18"/>
              </w:rPr>
              <w:t>e</w:t>
            </w:r>
            <w:r>
              <w:rPr>
                <w:rFonts w:ascii="Arial" w:hAnsi="Arial"/>
                <w:color w:val="000000"/>
                <w:sz w:val="18"/>
              </w:rPr>
              <w:fldChar w:fldCharType="begin"/>
            </w:r>
            <w:r>
              <w:rPr>
                <w:rFonts w:ascii="Arial" w:hAnsi="Arial"/>
                <w:color w:val="000000"/>
                <w:sz w:val="18"/>
              </w:rPr>
              <w:instrText>xe "Payroll tax"</w:instrText>
            </w:r>
            <w:r>
              <w:rPr>
                <w:rFonts w:ascii="Arial" w:hAnsi="Arial"/>
                <w:color w:val="000000"/>
                <w:sz w:val="18"/>
              </w:rPr>
              <w:fldChar w:fldCharType="end"/>
            </w:r>
            <w:r>
              <w:rPr>
                <w:rFonts w:ascii="Arial" w:hAnsi="Arial"/>
                <w:color w:val="000000"/>
                <w:sz w:val="18"/>
              </w:rPr>
              <w:t>s</w:t>
            </w:r>
          </w:p>
        </w:tc>
        <w:tc>
          <w:tcPr>
            <w:tcW w:w="1362" w:type="dxa"/>
          </w:tcPr>
          <w:p w:rsidR="00000000" w:rsidRDefault="001F233B">
            <w:pPr>
              <w:jc w:val="right"/>
              <w:rPr>
                <w:rFonts w:ascii="Arial" w:hAnsi="Arial"/>
                <w:color w:val="000000"/>
                <w:sz w:val="18"/>
              </w:rPr>
            </w:pPr>
            <w:r>
              <w:rPr>
                <w:rFonts w:ascii="Arial" w:hAnsi="Arial"/>
                <w:color w:val="000000"/>
                <w:sz w:val="18"/>
              </w:rPr>
              <w:t>2 169.6</w:t>
            </w:r>
          </w:p>
        </w:tc>
        <w:tc>
          <w:tcPr>
            <w:tcW w:w="1362" w:type="dxa"/>
          </w:tcPr>
          <w:p w:rsidR="00000000" w:rsidRDefault="001F233B">
            <w:pPr>
              <w:jc w:val="right"/>
              <w:rPr>
                <w:rFonts w:ascii="Arial" w:hAnsi="Arial"/>
                <w:color w:val="000000"/>
                <w:sz w:val="18"/>
              </w:rPr>
            </w:pPr>
            <w:r>
              <w:rPr>
                <w:rFonts w:ascii="Arial" w:hAnsi="Arial"/>
                <w:color w:val="000000"/>
                <w:sz w:val="18"/>
              </w:rPr>
              <w:t>2 225.4</w:t>
            </w: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p>
        </w:tc>
        <w:tc>
          <w:tcPr>
            <w:tcW w:w="1362" w:type="dxa"/>
          </w:tcPr>
          <w:p w:rsidR="00000000" w:rsidRDefault="001F233B">
            <w:pPr>
              <w:jc w:val="right"/>
              <w:rPr>
                <w:rFonts w:ascii="Arial" w:hAnsi="Arial"/>
                <w:color w:val="000000"/>
                <w:sz w:val="18"/>
              </w:rPr>
            </w:pPr>
          </w:p>
        </w:tc>
        <w:tc>
          <w:tcPr>
            <w:tcW w:w="136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Taxes on property</w:t>
            </w:r>
          </w:p>
        </w:tc>
        <w:tc>
          <w:tcPr>
            <w:tcW w:w="1362" w:type="dxa"/>
          </w:tcPr>
          <w:p w:rsidR="00000000" w:rsidRDefault="001F233B">
            <w:pPr>
              <w:jc w:val="right"/>
              <w:rPr>
                <w:rFonts w:ascii="Arial" w:hAnsi="Arial"/>
                <w:color w:val="000000"/>
                <w:sz w:val="18"/>
              </w:rPr>
            </w:pPr>
          </w:p>
        </w:tc>
        <w:tc>
          <w:tcPr>
            <w:tcW w:w="136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 xml:space="preserve">     Taxes on immovable property</w:t>
            </w:r>
          </w:p>
        </w:tc>
        <w:tc>
          <w:tcPr>
            <w:tcW w:w="1362" w:type="dxa"/>
          </w:tcPr>
          <w:p w:rsidR="00000000" w:rsidRDefault="001F233B">
            <w:pPr>
              <w:jc w:val="right"/>
              <w:rPr>
                <w:rFonts w:ascii="Arial" w:hAnsi="Arial"/>
                <w:color w:val="000000"/>
                <w:sz w:val="18"/>
              </w:rPr>
            </w:pPr>
            <w:r>
              <w:rPr>
                <w:rFonts w:ascii="Arial" w:hAnsi="Arial"/>
                <w:color w:val="000000"/>
                <w:sz w:val="18"/>
              </w:rPr>
              <w:t xml:space="preserve"> 371.2</w:t>
            </w:r>
          </w:p>
        </w:tc>
        <w:tc>
          <w:tcPr>
            <w:tcW w:w="1362" w:type="dxa"/>
          </w:tcPr>
          <w:p w:rsidR="00000000" w:rsidRDefault="001F233B">
            <w:pPr>
              <w:jc w:val="right"/>
              <w:rPr>
                <w:rFonts w:ascii="Arial" w:hAnsi="Arial"/>
                <w:color w:val="000000"/>
                <w:sz w:val="18"/>
              </w:rPr>
            </w:pPr>
            <w:r>
              <w:rPr>
                <w:rFonts w:ascii="Arial" w:hAnsi="Arial"/>
                <w:color w:val="000000"/>
                <w:sz w:val="18"/>
              </w:rPr>
              <w:t xml:space="preserve"> 497.1</w:t>
            </w: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 xml:space="preserve">     Stamp duties</w:t>
            </w:r>
          </w:p>
        </w:tc>
        <w:tc>
          <w:tcPr>
            <w:tcW w:w="1362" w:type="dxa"/>
          </w:tcPr>
          <w:p w:rsidR="00000000" w:rsidRDefault="001F233B">
            <w:pPr>
              <w:jc w:val="right"/>
              <w:rPr>
                <w:rFonts w:ascii="Arial" w:hAnsi="Arial"/>
                <w:color w:val="000000"/>
                <w:sz w:val="18"/>
              </w:rPr>
            </w:pPr>
            <w:r>
              <w:rPr>
                <w:rFonts w:ascii="Arial" w:hAnsi="Arial"/>
                <w:color w:val="000000"/>
                <w:sz w:val="18"/>
              </w:rPr>
              <w:t>1 326.4</w:t>
            </w:r>
          </w:p>
        </w:tc>
        <w:tc>
          <w:tcPr>
            <w:tcW w:w="1362" w:type="dxa"/>
          </w:tcPr>
          <w:p w:rsidR="00000000" w:rsidRDefault="001F233B">
            <w:pPr>
              <w:jc w:val="right"/>
              <w:rPr>
                <w:rFonts w:ascii="Arial" w:hAnsi="Arial"/>
                <w:color w:val="000000"/>
                <w:sz w:val="18"/>
              </w:rPr>
            </w:pPr>
            <w:r>
              <w:rPr>
                <w:rFonts w:ascii="Arial" w:hAnsi="Arial"/>
                <w:color w:val="000000"/>
                <w:sz w:val="18"/>
              </w:rPr>
              <w:t>1 327.0</w:t>
            </w: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 xml:space="preserve">     Financial institutions transactions taxes</w:t>
            </w:r>
          </w:p>
        </w:tc>
        <w:tc>
          <w:tcPr>
            <w:tcW w:w="1362" w:type="dxa"/>
          </w:tcPr>
          <w:p w:rsidR="00000000" w:rsidRDefault="001F233B">
            <w:pPr>
              <w:jc w:val="right"/>
              <w:rPr>
                <w:rFonts w:ascii="Arial" w:hAnsi="Arial"/>
                <w:color w:val="000000"/>
                <w:sz w:val="18"/>
              </w:rPr>
            </w:pPr>
            <w:r>
              <w:rPr>
                <w:rFonts w:ascii="Arial" w:hAnsi="Arial"/>
                <w:color w:val="000000"/>
                <w:sz w:val="18"/>
              </w:rPr>
              <w:t xml:space="preserve"> 584.0</w:t>
            </w:r>
          </w:p>
        </w:tc>
        <w:tc>
          <w:tcPr>
            <w:tcW w:w="1362" w:type="dxa"/>
          </w:tcPr>
          <w:p w:rsidR="00000000" w:rsidRDefault="001F233B">
            <w:pPr>
              <w:jc w:val="right"/>
              <w:rPr>
                <w:rFonts w:ascii="Arial" w:hAnsi="Arial"/>
                <w:color w:val="000000"/>
                <w:sz w:val="18"/>
              </w:rPr>
            </w:pPr>
            <w:r>
              <w:rPr>
                <w:rFonts w:ascii="Arial" w:hAnsi="Arial"/>
                <w:color w:val="000000"/>
                <w:sz w:val="18"/>
              </w:rPr>
              <w:t xml:space="preserve"> 597.4</w:t>
            </w: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 xml:space="preserve">     Financial Accommodation Levy</w:t>
            </w:r>
          </w:p>
        </w:tc>
        <w:tc>
          <w:tcPr>
            <w:tcW w:w="1362" w:type="dxa"/>
          </w:tcPr>
          <w:p w:rsidR="00000000" w:rsidRDefault="001F233B">
            <w:pPr>
              <w:jc w:val="right"/>
              <w:rPr>
                <w:rFonts w:ascii="Arial" w:hAnsi="Arial"/>
                <w:color w:val="000000"/>
                <w:sz w:val="18"/>
              </w:rPr>
            </w:pPr>
            <w:r>
              <w:rPr>
                <w:rFonts w:ascii="Arial" w:hAnsi="Arial"/>
                <w:color w:val="000000"/>
                <w:sz w:val="18"/>
              </w:rPr>
              <w:t xml:space="preserve"> 8.1</w:t>
            </w:r>
          </w:p>
        </w:tc>
        <w:tc>
          <w:tcPr>
            <w:tcW w:w="1362" w:type="dxa"/>
          </w:tcPr>
          <w:p w:rsidR="00000000" w:rsidRDefault="001F233B">
            <w:pPr>
              <w:jc w:val="right"/>
              <w:rPr>
                <w:rFonts w:ascii="Arial" w:hAnsi="Arial"/>
                <w:color w:val="000000"/>
                <w:sz w:val="18"/>
              </w:rPr>
            </w:pPr>
            <w:r>
              <w:rPr>
                <w:rFonts w:ascii="Arial" w:hAnsi="Arial"/>
                <w:color w:val="000000"/>
                <w:sz w:val="18"/>
              </w:rPr>
              <w:t xml:space="preserve"> 7.8</w:t>
            </w: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p>
        </w:tc>
        <w:tc>
          <w:tcPr>
            <w:tcW w:w="1362" w:type="dxa"/>
          </w:tcPr>
          <w:p w:rsidR="00000000" w:rsidRDefault="001F233B">
            <w:pPr>
              <w:jc w:val="right"/>
              <w:rPr>
                <w:rFonts w:ascii="Arial" w:hAnsi="Arial"/>
                <w:color w:val="000000"/>
                <w:sz w:val="18"/>
              </w:rPr>
            </w:pPr>
          </w:p>
        </w:tc>
        <w:tc>
          <w:tcPr>
            <w:tcW w:w="136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Taxes on provision of goods and services</w:t>
            </w:r>
          </w:p>
        </w:tc>
        <w:tc>
          <w:tcPr>
            <w:tcW w:w="1362" w:type="dxa"/>
          </w:tcPr>
          <w:p w:rsidR="00000000" w:rsidRDefault="001F233B">
            <w:pPr>
              <w:jc w:val="right"/>
              <w:rPr>
                <w:rFonts w:ascii="Arial" w:hAnsi="Arial"/>
                <w:color w:val="000000"/>
                <w:sz w:val="18"/>
              </w:rPr>
            </w:pPr>
          </w:p>
        </w:tc>
        <w:tc>
          <w:tcPr>
            <w:tcW w:w="136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 xml:space="preserve">     Excises and Levies</w:t>
            </w:r>
          </w:p>
        </w:tc>
        <w:tc>
          <w:tcPr>
            <w:tcW w:w="1362" w:type="dxa"/>
          </w:tcPr>
          <w:p w:rsidR="00000000" w:rsidRDefault="001F233B">
            <w:pPr>
              <w:jc w:val="right"/>
              <w:rPr>
                <w:rFonts w:ascii="Arial" w:hAnsi="Arial"/>
                <w:color w:val="000000"/>
                <w:sz w:val="18"/>
              </w:rPr>
            </w:pPr>
            <w:r>
              <w:rPr>
                <w:rFonts w:ascii="Arial" w:hAnsi="Arial"/>
                <w:color w:val="000000"/>
                <w:sz w:val="18"/>
              </w:rPr>
              <w:t xml:space="preserve"> 188.3</w:t>
            </w:r>
          </w:p>
        </w:tc>
        <w:tc>
          <w:tcPr>
            <w:tcW w:w="1362" w:type="dxa"/>
          </w:tcPr>
          <w:p w:rsidR="00000000" w:rsidRDefault="001F233B">
            <w:pPr>
              <w:jc w:val="right"/>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 xml:space="preserve">     Taxes on gambling</w:t>
            </w:r>
          </w:p>
        </w:tc>
        <w:tc>
          <w:tcPr>
            <w:tcW w:w="1362" w:type="dxa"/>
          </w:tcPr>
          <w:p w:rsidR="00000000" w:rsidRDefault="001F233B">
            <w:pPr>
              <w:jc w:val="right"/>
              <w:rPr>
                <w:rFonts w:ascii="Arial" w:hAnsi="Arial"/>
                <w:color w:val="000000"/>
                <w:sz w:val="18"/>
              </w:rPr>
            </w:pPr>
            <w:r>
              <w:rPr>
                <w:rFonts w:ascii="Arial" w:hAnsi="Arial"/>
                <w:color w:val="000000"/>
                <w:sz w:val="18"/>
              </w:rPr>
              <w:t>1 292.7</w:t>
            </w:r>
          </w:p>
        </w:tc>
        <w:tc>
          <w:tcPr>
            <w:tcW w:w="1362" w:type="dxa"/>
          </w:tcPr>
          <w:p w:rsidR="00000000" w:rsidRDefault="001F233B">
            <w:pPr>
              <w:jc w:val="right"/>
              <w:rPr>
                <w:rFonts w:ascii="Arial" w:hAnsi="Arial"/>
                <w:color w:val="000000"/>
                <w:sz w:val="18"/>
              </w:rPr>
            </w:pPr>
            <w:r>
              <w:rPr>
                <w:rFonts w:ascii="Arial" w:hAnsi="Arial"/>
                <w:color w:val="000000"/>
                <w:sz w:val="18"/>
              </w:rPr>
              <w:t>1 340.5</w:t>
            </w: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 xml:space="preserve">     Taxes on insurance</w:t>
            </w:r>
          </w:p>
        </w:tc>
        <w:tc>
          <w:tcPr>
            <w:tcW w:w="1362" w:type="dxa"/>
          </w:tcPr>
          <w:p w:rsidR="00000000" w:rsidRDefault="001F233B">
            <w:pPr>
              <w:jc w:val="right"/>
              <w:rPr>
                <w:rFonts w:ascii="Arial" w:hAnsi="Arial"/>
                <w:color w:val="000000"/>
                <w:sz w:val="18"/>
              </w:rPr>
            </w:pPr>
            <w:r>
              <w:rPr>
                <w:rFonts w:ascii="Arial" w:hAnsi="Arial"/>
                <w:color w:val="000000"/>
                <w:sz w:val="18"/>
              </w:rPr>
              <w:t xml:space="preserve"> 519.8</w:t>
            </w:r>
          </w:p>
        </w:tc>
        <w:tc>
          <w:tcPr>
            <w:tcW w:w="1362" w:type="dxa"/>
          </w:tcPr>
          <w:p w:rsidR="00000000" w:rsidRDefault="001F233B">
            <w:pPr>
              <w:jc w:val="right"/>
              <w:rPr>
                <w:rFonts w:ascii="Arial" w:hAnsi="Arial"/>
                <w:color w:val="000000"/>
                <w:sz w:val="18"/>
              </w:rPr>
            </w:pPr>
            <w:r>
              <w:rPr>
                <w:rFonts w:ascii="Arial" w:hAnsi="Arial"/>
                <w:color w:val="000000"/>
                <w:sz w:val="18"/>
              </w:rPr>
              <w:t xml:space="preserve"> 539.5</w:t>
            </w: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p>
        </w:tc>
        <w:tc>
          <w:tcPr>
            <w:tcW w:w="1362" w:type="dxa"/>
          </w:tcPr>
          <w:p w:rsidR="00000000" w:rsidRDefault="001F233B">
            <w:pPr>
              <w:jc w:val="right"/>
              <w:rPr>
                <w:rFonts w:ascii="Arial" w:hAnsi="Arial"/>
                <w:color w:val="000000"/>
                <w:sz w:val="18"/>
              </w:rPr>
            </w:pPr>
          </w:p>
        </w:tc>
        <w:tc>
          <w:tcPr>
            <w:tcW w:w="136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Taxes on use of goods and performance of activities</w:t>
            </w:r>
          </w:p>
        </w:tc>
        <w:tc>
          <w:tcPr>
            <w:tcW w:w="1362" w:type="dxa"/>
          </w:tcPr>
          <w:p w:rsidR="00000000" w:rsidRDefault="001F233B">
            <w:pPr>
              <w:jc w:val="right"/>
              <w:rPr>
                <w:rFonts w:ascii="Arial" w:hAnsi="Arial"/>
                <w:color w:val="000000"/>
                <w:sz w:val="18"/>
              </w:rPr>
            </w:pPr>
          </w:p>
        </w:tc>
        <w:tc>
          <w:tcPr>
            <w:tcW w:w="136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 xml:space="preserve">     Motor vehicle taxes</w:t>
            </w:r>
            <w:r>
              <w:rPr>
                <w:rFonts w:ascii="Arial" w:hAnsi="Arial"/>
                <w:color w:val="000000"/>
                <w:sz w:val="18"/>
              </w:rPr>
              <w:fldChar w:fldCharType="begin"/>
            </w:r>
            <w:r>
              <w:rPr>
                <w:rFonts w:ascii="Arial" w:hAnsi="Arial"/>
                <w:color w:val="000000"/>
                <w:sz w:val="18"/>
              </w:rPr>
              <w:instrText>xe "Motor vehicle taxes"</w:instrText>
            </w:r>
            <w:r>
              <w:rPr>
                <w:rFonts w:ascii="Arial" w:hAnsi="Arial"/>
                <w:color w:val="000000"/>
                <w:sz w:val="18"/>
              </w:rPr>
              <w:fldChar w:fldCharType="end"/>
            </w:r>
          </w:p>
        </w:tc>
        <w:tc>
          <w:tcPr>
            <w:tcW w:w="1362" w:type="dxa"/>
          </w:tcPr>
          <w:p w:rsidR="00000000" w:rsidRDefault="001F233B">
            <w:pPr>
              <w:jc w:val="right"/>
              <w:rPr>
                <w:rFonts w:ascii="Arial" w:hAnsi="Arial"/>
                <w:color w:val="000000"/>
                <w:sz w:val="18"/>
              </w:rPr>
            </w:pPr>
            <w:r>
              <w:rPr>
                <w:rFonts w:ascii="Arial" w:hAnsi="Arial"/>
                <w:color w:val="000000"/>
                <w:sz w:val="18"/>
              </w:rPr>
              <w:t xml:space="preserve"> 851.1</w:t>
            </w:r>
          </w:p>
        </w:tc>
        <w:tc>
          <w:tcPr>
            <w:tcW w:w="1362" w:type="dxa"/>
          </w:tcPr>
          <w:p w:rsidR="00000000" w:rsidRDefault="001F233B">
            <w:pPr>
              <w:jc w:val="right"/>
              <w:rPr>
                <w:rFonts w:ascii="Arial" w:hAnsi="Arial"/>
                <w:color w:val="000000"/>
                <w:sz w:val="18"/>
              </w:rPr>
            </w:pPr>
            <w:r>
              <w:rPr>
                <w:rFonts w:ascii="Arial" w:hAnsi="Arial"/>
                <w:color w:val="000000"/>
                <w:sz w:val="18"/>
              </w:rPr>
              <w:t xml:space="preserve"> 871.3</w:t>
            </w: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 xml:space="preserve">     Franchise taxes</w:t>
            </w:r>
          </w:p>
        </w:tc>
        <w:tc>
          <w:tcPr>
            <w:tcW w:w="1362" w:type="dxa"/>
          </w:tcPr>
          <w:p w:rsidR="00000000" w:rsidRDefault="001F233B">
            <w:pPr>
              <w:jc w:val="right"/>
              <w:rPr>
                <w:rFonts w:ascii="Arial" w:hAnsi="Arial"/>
                <w:color w:val="000000"/>
                <w:sz w:val="18"/>
              </w:rPr>
            </w:pPr>
            <w:r>
              <w:rPr>
                <w:rFonts w:ascii="Arial" w:hAnsi="Arial"/>
                <w:color w:val="000000"/>
                <w:sz w:val="18"/>
              </w:rPr>
              <w:t>1 227.3</w:t>
            </w:r>
          </w:p>
        </w:tc>
        <w:tc>
          <w:tcPr>
            <w:tcW w:w="1362" w:type="dxa"/>
          </w:tcPr>
          <w:p w:rsidR="00000000" w:rsidRDefault="001F233B">
            <w:pPr>
              <w:jc w:val="right"/>
              <w:rPr>
                <w:rFonts w:ascii="Arial" w:hAnsi="Arial"/>
                <w:color w:val="000000"/>
                <w:sz w:val="18"/>
              </w:rPr>
            </w:pPr>
            <w:r>
              <w:rPr>
                <w:rFonts w:ascii="Arial" w:hAnsi="Arial"/>
                <w:color w:val="000000"/>
                <w:sz w:val="18"/>
              </w:rPr>
              <w:t>1 3</w:t>
            </w:r>
            <w:r>
              <w:rPr>
                <w:rFonts w:ascii="Arial" w:hAnsi="Arial"/>
                <w:color w:val="000000"/>
                <w:sz w:val="18"/>
              </w:rPr>
              <w:t>60.4</w:t>
            </w: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 xml:space="preserve">     Other</w:t>
            </w:r>
          </w:p>
        </w:tc>
        <w:tc>
          <w:tcPr>
            <w:tcW w:w="1362" w:type="dxa"/>
          </w:tcPr>
          <w:p w:rsidR="00000000" w:rsidRDefault="001F233B">
            <w:pPr>
              <w:jc w:val="right"/>
              <w:rPr>
                <w:rFonts w:ascii="Arial" w:hAnsi="Arial"/>
                <w:color w:val="000000"/>
                <w:sz w:val="18"/>
              </w:rPr>
            </w:pPr>
            <w:r>
              <w:rPr>
                <w:rFonts w:ascii="Arial" w:hAnsi="Arial"/>
                <w:color w:val="000000"/>
                <w:sz w:val="18"/>
              </w:rPr>
              <w:t xml:space="preserve"> 16.1</w:t>
            </w:r>
          </w:p>
        </w:tc>
        <w:tc>
          <w:tcPr>
            <w:tcW w:w="1362" w:type="dxa"/>
          </w:tcPr>
          <w:p w:rsidR="00000000" w:rsidRDefault="001F233B">
            <w:pPr>
              <w:jc w:val="right"/>
              <w:rPr>
                <w:rFonts w:ascii="Arial" w:hAnsi="Arial"/>
                <w:color w:val="000000"/>
                <w:sz w:val="18"/>
              </w:rPr>
            </w:pPr>
            <w:r>
              <w:rPr>
                <w:rFonts w:ascii="Arial" w:hAnsi="Arial"/>
                <w:color w:val="000000"/>
                <w:sz w:val="18"/>
              </w:rPr>
              <w:t xml:space="preserve"> 12.1</w:t>
            </w:r>
          </w:p>
        </w:tc>
      </w:tr>
      <w:tr w:rsidR="00000000">
        <w:tblPrEx>
          <w:tblCellMar>
            <w:top w:w="0" w:type="dxa"/>
            <w:bottom w:w="0" w:type="dxa"/>
          </w:tblCellMar>
        </w:tblPrEx>
        <w:trPr>
          <w:trHeight w:hRule="exact" w:val="240"/>
        </w:trPr>
        <w:tc>
          <w:tcPr>
            <w:tcW w:w="4423" w:type="dxa"/>
          </w:tcPr>
          <w:p w:rsidR="00000000" w:rsidRDefault="001F233B">
            <w:pPr>
              <w:jc w:val="right"/>
              <w:rPr>
                <w:rFonts w:ascii="Arial" w:hAnsi="Arial"/>
                <w:color w:val="000000"/>
                <w:sz w:val="18"/>
              </w:rPr>
            </w:pPr>
          </w:p>
        </w:tc>
        <w:tc>
          <w:tcPr>
            <w:tcW w:w="1362" w:type="dxa"/>
          </w:tcPr>
          <w:p w:rsidR="00000000" w:rsidRDefault="001F233B">
            <w:pPr>
              <w:jc w:val="right"/>
              <w:rPr>
                <w:rFonts w:ascii="Arial" w:hAnsi="Arial"/>
                <w:color w:val="000000"/>
                <w:sz w:val="18"/>
              </w:rPr>
            </w:pPr>
          </w:p>
        </w:tc>
        <w:tc>
          <w:tcPr>
            <w:tcW w:w="136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Fees</w:t>
            </w:r>
          </w:p>
        </w:tc>
        <w:tc>
          <w:tcPr>
            <w:tcW w:w="1362" w:type="dxa"/>
          </w:tcPr>
          <w:p w:rsidR="00000000" w:rsidRDefault="001F233B">
            <w:pPr>
              <w:jc w:val="right"/>
              <w:rPr>
                <w:rFonts w:ascii="Arial" w:hAnsi="Arial"/>
                <w:color w:val="000000"/>
                <w:sz w:val="18"/>
              </w:rPr>
            </w:pPr>
            <w:r>
              <w:rPr>
                <w:rFonts w:ascii="Arial" w:hAnsi="Arial"/>
                <w:color w:val="000000"/>
                <w:sz w:val="18"/>
              </w:rPr>
              <w:t xml:space="preserve"> 97.6</w:t>
            </w:r>
          </w:p>
        </w:tc>
        <w:tc>
          <w:tcPr>
            <w:tcW w:w="1362" w:type="dxa"/>
          </w:tcPr>
          <w:p w:rsidR="00000000" w:rsidRDefault="001F233B">
            <w:pPr>
              <w:jc w:val="right"/>
              <w:rPr>
                <w:rFonts w:ascii="Arial" w:hAnsi="Arial"/>
                <w:color w:val="000000"/>
                <w:sz w:val="18"/>
              </w:rPr>
            </w:pPr>
            <w:r>
              <w:rPr>
                <w:rFonts w:ascii="Arial" w:hAnsi="Arial"/>
                <w:color w:val="000000"/>
                <w:sz w:val="18"/>
              </w:rPr>
              <w:t xml:space="preserve"> 116.1</w:t>
            </w:r>
          </w:p>
        </w:tc>
      </w:tr>
      <w:tr w:rsidR="00000000">
        <w:tblPrEx>
          <w:tblCellMar>
            <w:top w:w="0" w:type="dxa"/>
            <w:bottom w:w="0" w:type="dxa"/>
          </w:tblCellMar>
        </w:tblPrEx>
        <w:trPr>
          <w:trHeight w:hRule="exact" w:val="240"/>
        </w:trPr>
        <w:tc>
          <w:tcPr>
            <w:tcW w:w="4423" w:type="dxa"/>
          </w:tcPr>
          <w:p w:rsidR="00000000" w:rsidRDefault="001F233B">
            <w:pPr>
              <w:rPr>
                <w:rFonts w:ascii="Arial" w:hAnsi="Arial"/>
                <w:color w:val="000000"/>
                <w:sz w:val="18"/>
              </w:rPr>
            </w:pPr>
            <w:r>
              <w:rPr>
                <w:rFonts w:ascii="Arial" w:hAnsi="Arial"/>
                <w:color w:val="000000"/>
                <w:sz w:val="18"/>
              </w:rPr>
              <w:t>Fines</w:t>
            </w:r>
          </w:p>
        </w:tc>
        <w:tc>
          <w:tcPr>
            <w:tcW w:w="1362" w:type="dxa"/>
          </w:tcPr>
          <w:p w:rsidR="00000000" w:rsidRDefault="001F233B">
            <w:pPr>
              <w:jc w:val="right"/>
              <w:rPr>
                <w:rFonts w:ascii="Arial" w:hAnsi="Arial"/>
                <w:color w:val="000000"/>
                <w:sz w:val="18"/>
              </w:rPr>
            </w:pPr>
            <w:r>
              <w:rPr>
                <w:rFonts w:ascii="Arial" w:hAnsi="Arial"/>
                <w:color w:val="000000"/>
                <w:sz w:val="18"/>
              </w:rPr>
              <w:t xml:space="preserve"> 135.8</w:t>
            </w:r>
          </w:p>
        </w:tc>
        <w:tc>
          <w:tcPr>
            <w:tcW w:w="1362" w:type="dxa"/>
          </w:tcPr>
          <w:p w:rsidR="00000000" w:rsidRDefault="001F233B">
            <w:pPr>
              <w:jc w:val="right"/>
              <w:rPr>
                <w:rFonts w:ascii="Arial" w:hAnsi="Arial"/>
                <w:color w:val="000000"/>
                <w:sz w:val="18"/>
              </w:rPr>
            </w:pPr>
            <w:r>
              <w:rPr>
                <w:rFonts w:ascii="Arial" w:hAnsi="Arial"/>
                <w:color w:val="000000"/>
                <w:sz w:val="18"/>
              </w:rPr>
              <w:t xml:space="preserve"> 134.3</w:t>
            </w:r>
          </w:p>
        </w:tc>
      </w:tr>
      <w:tr w:rsidR="00000000">
        <w:tblPrEx>
          <w:tblCellMar>
            <w:top w:w="0" w:type="dxa"/>
            <w:bottom w:w="0" w:type="dxa"/>
          </w:tblCellMar>
        </w:tblPrEx>
        <w:trPr>
          <w:trHeight w:hRule="exact" w:val="240"/>
        </w:trPr>
        <w:tc>
          <w:tcPr>
            <w:tcW w:w="4423" w:type="dxa"/>
          </w:tcPr>
          <w:p w:rsidR="00000000" w:rsidRDefault="001F233B">
            <w:pPr>
              <w:jc w:val="right"/>
              <w:rPr>
                <w:rFonts w:ascii="Arial" w:hAnsi="Arial"/>
                <w:color w:val="000000"/>
                <w:sz w:val="18"/>
              </w:rPr>
            </w:pPr>
          </w:p>
        </w:tc>
        <w:tc>
          <w:tcPr>
            <w:tcW w:w="1362" w:type="dxa"/>
          </w:tcPr>
          <w:p w:rsidR="00000000" w:rsidRDefault="001F233B">
            <w:pPr>
              <w:jc w:val="right"/>
              <w:rPr>
                <w:rFonts w:ascii="Arial" w:hAnsi="Arial"/>
                <w:color w:val="000000"/>
                <w:sz w:val="18"/>
              </w:rPr>
            </w:pPr>
          </w:p>
        </w:tc>
        <w:tc>
          <w:tcPr>
            <w:tcW w:w="136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423" w:type="dxa"/>
            <w:tcBorders>
              <w:bottom w:val="single" w:sz="12" w:space="0" w:color="auto"/>
            </w:tcBorders>
          </w:tcPr>
          <w:p w:rsidR="00000000" w:rsidRDefault="001F233B">
            <w:pPr>
              <w:rPr>
                <w:rFonts w:ascii="Arial" w:hAnsi="Arial"/>
                <w:b/>
                <w:color w:val="000000"/>
                <w:sz w:val="18"/>
              </w:rPr>
            </w:pPr>
            <w:r>
              <w:rPr>
                <w:rFonts w:ascii="Arial" w:hAnsi="Arial"/>
                <w:b/>
                <w:color w:val="000000"/>
                <w:sz w:val="18"/>
              </w:rPr>
              <w:t>TOTAL TAXES, FEES AND FINES</w:t>
            </w:r>
          </w:p>
        </w:tc>
        <w:tc>
          <w:tcPr>
            <w:tcW w:w="1362" w:type="dxa"/>
            <w:tcBorders>
              <w:bottom w:val="single" w:sz="12" w:space="0" w:color="auto"/>
            </w:tcBorders>
          </w:tcPr>
          <w:p w:rsidR="00000000" w:rsidRDefault="001F233B">
            <w:pPr>
              <w:jc w:val="right"/>
              <w:rPr>
                <w:rFonts w:ascii="Arial" w:hAnsi="Arial"/>
                <w:b/>
                <w:color w:val="000000"/>
                <w:sz w:val="18"/>
              </w:rPr>
            </w:pPr>
            <w:r>
              <w:rPr>
                <w:rFonts w:ascii="Arial" w:hAnsi="Arial"/>
                <w:b/>
                <w:color w:val="000000"/>
                <w:sz w:val="18"/>
              </w:rPr>
              <w:t>8 787.9</w:t>
            </w:r>
          </w:p>
        </w:tc>
        <w:tc>
          <w:tcPr>
            <w:tcW w:w="1362" w:type="dxa"/>
            <w:tcBorders>
              <w:bottom w:val="single" w:sz="12" w:space="0" w:color="auto"/>
            </w:tcBorders>
          </w:tcPr>
          <w:p w:rsidR="00000000" w:rsidRDefault="001F233B">
            <w:pPr>
              <w:jc w:val="right"/>
              <w:rPr>
                <w:rFonts w:ascii="Arial" w:hAnsi="Arial"/>
                <w:b/>
                <w:color w:val="000000"/>
                <w:sz w:val="18"/>
              </w:rPr>
            </w:pPr>
            <w:r>
              <w:rPr>
                <w:rFonts w:ascii="Arial" w:hAnsi="Arial"/>
                <w:b/>
                <w:color w:val="000000"/>
                <w:sz w:val="18"/>
              </w:rPr>
              <w:t>9 028.9</w:t>
            </w:r>
          </w:p>
        </w:tc>
      </w:tr>
    </w:tbl>
    <w:p w:rsidR="00000000" w:rsidRDefault="001F233B">
      <w:pPr>
        <w:pStyle w:val="Source"/>
      </w:pPr>
      <w:r>
        <w:t>Source: Department of Treasury and Finance.</w:t>
      </w:r>
    </w:p>
    <w:p w:rsidR="00000000" w:rsidRDefault="001F233B">
      <w:pPr>
        <w:jc w:val="center"/>
        <w:rPr>
          <w:rFonts w:ascii="Arial" w:hAnsi="Arial"/>
        </w:rPr>
      </w:pPr>
    </w:p>
    <w:p w:rsidR="00000000" w:rsidRDefault="001F233B">
      <w:pPr>
        <w:pStyle w:val="Tableheading"/>
      </w:pPr>
      <w:r>
        <w:rPr>
          <w:sz w:val="18"/>
        </w:rPr>
        <w:br w:type="page"/>
      </w:r>
      <w:bookmarkStart w:id="240" w:name="_Toc417552779"/>
      <w:r>
        <w:t>Table B6: Uniform Reporting Format: State Public Sector Outlays By Purpose</w:t>
      </w:r>
      <w:bookmarkEnd w:id="240"/>
    </w:p>
    <w:p w:rsidR="00000000" w:rsidRDefault="001F233B">
      <w:pPr>
        <w:spacing w:after="0"/>
        <w:jc w:val="center"/>
        <w:rPr>
          <w:noProof/>
          <w:sz w:val="20"/>
        </w:rPr>
      </w:pPr>
      <w:r>
        <w:rPr>
          <w:rFonts w:ascii="Arial" w:hAnsi="Arial"/>
          <w:i/>
          <w:color w:val="000000"/>
          <w:sz w:val="20"/>
        </w:rPr>
        <w:t>($ million)</w:t>
      </w:r>
    </w:p>
    <w:tbl>
      <w:tblPr>
        <w:tblW w:w="0" w:type="auto"/>
        <w:tblLayout w:type="fixed"/>
        <w:tblCellMar>
          <w:left w:w="30" w:type="dxa"/>
          <w:right w:w="30" w:type="dxa"/>
        </w:tblCellMar>
        <w:tblLook w:val="0000" w:firstRow="0" w:lastRow="0" w:firstColumn="0" w:lastColumn="0" w:noHBand="0" w:noVBand="0"/>
      </w:tblPr>
      <w:tblGrid>
        <w:gridCol w:w="4543"/>
        <w:gridCol w:w="1302"/>
        <w:gridCol w:w="1302"/>
      </w:tblGrid>
      <w:tr w:rsidR="00000000">
        <w:tblPrEx>
          <w:tblCellMar>
            <w:top w:w="0" w:type="dxa"/>
            <w:bottom w:w="0" w:type="dxa"/>
          </w:tblCellMar>
        </w:tblPrEx>
        <w:trPr>
          <w:trHeight w:hRule="exact" w:val="240"/>
        </w:trPr>
        <w:tc>
          <w:tcPr>
            <w:tcW w:w="4543" w:type="dxa"/>
            <w:tcBorders>
              <w:top w:val="single" w:sz="6" w:space="0" w:color="auto"/>
            </w:tcBorders>
          </w:tcPr>
          <w:p w:rsidR="00000000" w:rsidRDefault="001F233B">
            <w:pPr>
              <w:jc w:val="right"/>
              <w:rPr>
                <w:rFonts w:ascii="Arial" w:hAnsi="Arial"/>
                <w:color w:val="000000"/>
                <w:sz w:val="18"/>
              </w:rPr>
            </w:pPr>
          </w:p>
        </w:tc>
        <w:tc>
          <w:tcPr>
            <w:tcW w:w="1302"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1997-98</w:t>
            </w:r>
          </w:p>
        </w:tc>
        <w:tc>
          <w:tcPr>
            <w:tcW w:w="1302"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40"/>
        </w:trPr>
        <w:tc>
          <w:tcPr>
            <w:tcW w:w="4543" w:type="dxa"/>
            <w:tcBorders>
              <w:bottom w:val="single" w:sz="6" w:space="0" w:color="auto"/>
            </w:tcBorders>
          </w:tcPr>
          <w:p w:rsidR="00000000" w:rsidRDefault="001F233B">
            <w:pPr>
              <w:jc w:val="right"/>
              <w:rPr>
                <w:rFonts w:ascii="Arial" w:hAnsi="Arial"/>
                <w:color w:val="000000"/>
                <w:sz w:val="18"/>
              </w:rPr>
            </w:pPr>
          </w:p>
        </w:tc>
        <w:tc>
          <w:tcPr>
            <w:tcW w:w="1302"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Revised</w:t>
            </w:r>
          </w:p>
        </w:tc>
        <w:tc>
          <w:tcPr>
            <w:tcW w:w="1302"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General Public Services</w:t>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Current outlays</w:t>
            </w:r>
            <w:r>
              <w:rPr>
                <w:rFonts w:ascii="Arial" w:hAnsi="Arial"/>
                <w:color w:val="000000"/>
                <w:sz w:val="18"/>
              </w:rPr>
              <w:fldChar w:fldCharType="begin"/>
            </w:r>
            <w:r>
              <w:rPr>
                <w:rFonts w:ascii="Arial" w:hAnsi="Arial"/>
                <w:color w:val="000000"/>
                <w:sz w:val="18"/>
              </w:rPr>
              <w:instrText>xe "Current outlays"</w:instrText>
            </w:r>
            <w:r>
              <w:rPr>
                <w:rFonts w:ascii="Arial" w:hAnsi="Arial"/>
                <w:color w:val="000000"/>
                <w:sz w:val="18"/>
              </w:rPr>
              <w:fldChar w:fldCharType="end"/>
            </w:r>
          </w:p>
        </w:tc>
        <w:tc>
          <w:tcPr>
            <w:tcW w:w="1302" w:type="dxa"/>
          </w:tcPr>
          <w:p w:rsidR="00000000" w:rsidRDefault="001F233B">
            <w:pPr>
              <w:jc w:val="right"/>
              <w:rPr>
                <w:rFonts w:ascii="Arial" w:hAnsi="Arial"/>
                <w:color w:val="000000"/>
                <w:sz w:val="18"/>
              </w:rPr>
            </w:pPr>
            <w:r>
              <w:rPr>
                <w:rFonts w:ascii="Arial" w:hAnsi="Arial"/>
                <w:color w:val="000000"/>
                <w:sz w:val="18"/>
              </w:rPr>
              <w:t>1 585.7</w:t>
            </w:r>
          </w:p>
        </w:tc>
        <w:tc>
          <w:tcPr>
            <w:tcW w:w="1302" w:type="dxa"/>
          </w:tcPr>
          <w:p w:rsidR="00000000" w:rsidRDefault="001F233B">
            <w:pPr>
              <w:jc w:val="right"/>
              <w:rPr>
                <w:rFonts w:ascii="Arial" w:hAnsi="Arial"/>
                <w:color w:val="000000"/>
                <w:sz w:val="18"/>
              </w:rPr>
            </w:pPr>
            <w:r>
              <w:rPr>
                <w:rFonts w:ascii="Arial" w:hAnsi="Arial"/>
                <w:color w:val="000000"/>
                <w:sz w:val="18"/>
              </w:rPr>
              <w:t>2 134.9</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Capital outlays</w:t>
            </w:r>
          </w:p>
        </w:tc>
        <w:tc>
          <w:tcPr>
            <w:tcW w:w="1302" w:type="dxa"/>
          </w:tcPr>
          <w:p w:rsidR="00000000" w:rsidRDefault="001F233B">
            <w:pPr>
              <w:jc w:val="right"/>
              <w:rPr>
                <w:rFonts w:ascii="Arial" w:hAnsi="Arial"/>
                <w:color w:val="000000"/>
                <w:sz w:val="18"/>
              </w:rPr>
            </w:pPr>
            <w:r>
              <w:rPr>
                <w:rFonts w:ascii="Arial" w:hAnsi="Arial"/>
                <w:color w:val="000000"/>
                <w:sz w:val="18"/>
              </w:rPr>
              <w:t>-202.8</w:t>
            </w:r>
          </w:p>
        </w:tc>
        <w:tc>
          <w:tcPr>
            <w:tcW w:w="1302" w:type="dxa"/>
          </w:tcPr>
          <w:p w:rsidR="00000000" w:rsidRDefault="001F233B">
            <w:pPr>
              <w:jc w:val="right"/>
              <w:rPr>
                <w:rFonts w:ascii="Arial" w:hAnsi="Arial"/>
                <w:color w:val="000000"/>
                <w:sz w:val="18"/>
              </w:rPr>
            </w:pPr>
            <w:r>
              <w:rPr>
                <w:rFonts w:ascii="Arial" w:hAnsi="Arial"/>
                <w:color w:val="000000"/>
                <w:sz w:val="18"/>
              </w:rPr>
              <w:t>34.4</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Total</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1 382.9</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2 169.2</w:t>
            </w:r>
          </w:p>
        </w:tc>
      </w:tr>
      <w:tr w:rsidR="00000000">
        <w:tblPrEx>
          <w:tblCellMar>
            <w:top w:w="0" w:type="dxa"/>
            <w:bottom w:w="0" w:type="dxa"/>
          </w:tblCellMar>
        </w:tblPrEx>
        <w:trPr>
          <w:trHeight w:hRule="exact" w:val="240"/>
        </w:trPr>
        <w:tc>
          <w:tcPr>
            <w:tcW w:w="4543" w:type="dxa"/>
          </w:tcPr>
          <w:p w:rsidR="00000000" w:rsidRDefault="001F233B">
            <w:pPr>
              <w:jc w:val="right"/>
              <w:rPr>
                <w:rFonts w:ascii="Arial" w:hAnsi="Arial"/>
                <w:b/>
                <w:color w:val="000000"/>
                <w:sz w:val="18"/>
              </w:rPr>
            </w:pPr>
          </w:p>
        </w:tc>
        <w:tc>
          <w:tcPr>
            <w:tcW w:w="1302" w:type="dxa"/>
          </w:tcPr>
          <w:p w:rsidR="00000000" w:rsidRDefault="001F233B">
            <w:pPr>
              <w:jc w:val="right"/>
              <w:rPr>
                <w:rFonts w:ascii="Arial" w:hAnsi="Arial"/>
                <w:b/>
                <w:color w:val="000000"/>
                <w:sz w:val="18"/>
              </w:rPr>
            </w:pPr>
          </w:p>
        </w:tc>
        <w:tc>
          <w:tcPr>
            <w:tcW w:w="1302" w:type="dxa"/>
          </w:tcPr>
          <w:p w:rsidR="00000000" w:rsidRDefault="001F233B">
            <w:pPr>
              <w:jc w:val="right"/>
              <w:rPr>
                <w:rFonts w:ascii="Arial" w:hAnsi="Arial"/>
                <w:b/>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Public Order &amp; Safety</w:t>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Current outlays</w:t>
            </w:r>
            <w:r>
              <w:rPr>
                <w:rFonts w:ascii="Arial" w:hAnsi="Arial"/>
                <w:color w:val="000000"/>
                <w:sz w:val="18"/>
              </w:rPr>
              <w:fldChar w:fldCharType="begin"/>
            </w:r>
            <w:r>
              <w:rPr>
                <w:rFonts w:ascii="Arial" w:hAnsi="Arial"/>
                <w:color w:val="000000"/>
                <w:sz w:val="18"/>
              </w:rPr>
              <w:instrText>xe "Current outlays"</w:instrText>
            </w:r>
            <w:r>
              <w:rPr>
                <w:rFonts w:ascii="Arial" w:hAnsi="Arial"/>
                <w:color w:val="000000"/>
                <w:sz w:val="18"/>
              </w:rPr>
              <w:fldChar w:fldCharType="end"/>
            </w:r>
          </w:p>
        </w:tc>
        <w:tc>
          <w:tcPr>
            <w:tcW w:w="1302" w:type="dxa"/>
          </w:tcPr>
          <w:p w:rsidR="00000000" w:rsidRDefault="001F233B">
            <w:pPr>
              <w:jc w:val="right"/>
              <w:rPr>
                <w:rFonts w:ascii="Arial" w:hAnsi="Arial"/>
                <w:color w:val="000000"/>
                <w:sz w:val="18"/>
              </w:rPr>
            </w:pPr>
            <w:r>
              <w:rPr>
                <w:rFonts w:ascii="Arial" w:hAnsi="Arial"/>
                <w:color w:val="000000"/>
                <w:sz w:val="18"/>
              </w:rPr>
              <w:t>1 310.9</w:t>
            </w:r>
          </w:p>
        </w:tc>
        <w:tc>
          <w:tcPr>
            <w:tcW w:w="1302" w:type="dxa"/>
          </w:tcPr>
          <w:p w:rsidR="00000000" w:rsidRDefault="001F233B">
            <w:pPr>
              <w:jc w:val="right"/>
              <w:rPr>
                <w:rFonts w:ascii="Arial" w:hAnsi="Arial"/>
                <w:color w:val="000000"/>
                <w:sz w:val="18"/>
              </w:rPr>
            </w:pPr>
            <w:r>
              <w:rPr>
                <w:rFonts w:ascii="Arial" w:hAnsi="Arial"/>
                <w:color w:val="000000"/>
                <w:sz w:val="18"/>
              </w:rPr>
              <w:t>1 259.8</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Cap</w:t>
            </w:r>
            <w:r>
              <w:rPr>
                <w:rFonts w:ascii="Arial" w:hAnsi="Arial"/>
                <w:color w:val="000000"/>
                <w:sz w:val="18"/>
              </w:rPr>
              <w:t>ital outlays</w:t>
            </w:r>
          </w:p>
        </w:tc>
        <w:tc>
          <w:tcPr>
            <w:tcW w:w="1302" w:type="dxa"/>
          </w:tcPr>
          <w:p w:rsidR="00000000" w:rsidRDefault="001F233B">
            <w:pPr>
              <w:jc w:val="right"/>
              <w:rPr>
                <w:rFonts w:ascii="Arial" w:hAnsi="Arial"/>
                <w:color w:val="000000"/>
                <w:sz w:val="18"/>
              </w:rPr>
            </w:pPr>
            <w:r>
              <w:rPr>
                <w:rFonts w:ascii="Arial" w:hAnsi="Arial"/>
                <w:color w:val="000000"/>
                <w:sz w:val="18"/>
              </w:rPr>
              <w:t>39.3</w:t>
            </w:r>
          </w:p>
        </w:tc>
        <w:tc>
          <w:tcPr>
            <w:tcW w:w="1302" w:type="dxa"/>
          </w:tcPr>
          <w:p w:rsidR="00000000" w:rsidRDefault="001F233B">
            <w:pPr>
              <w:jc w:val="right"/>
              <w:rPr>
                <w:rFonts w:ascii="Arial" w:hAnsi="Arial"/>
                <w:color w:val="000000"/>
                <w:sz w:val="18"/>
              </w:rPr>
            </w:pPr>
            <w:r>
              <w:rPr>
                <w:rFonts w:ascii="Arial" w:hAnsi="Arial"/>
                <w:color w:val="000000"/>
                <w:sz w:val="18"/>
              </w:rPr>
              <w:t>101.9</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Total</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1 350.2</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1 361.7</w:t>
            </w:r>
          </w:p>
        </w:tc>
      </w:tr>
      <w:tr w:rsidR="00000000">
        <w:tblPrEx>
          <w:tblCellMar>
            <w:top w:w="0" w:type="dxa"/>
            <w:bottom w:w="0" w:type="dxa"/>
          </w:tblCellMar>
        </w:tblPrEx>
        <w:trPr>
          <w:trHeight w:hRule="exact" w:val="240"/>
        </w:trPr>
        <w:tc>
          <w:tcPr>
            <w:tcW w:w="4543"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Education</w:t>
            </w:r>
            <w:r>
              <w:rPr>
                <w:rFonts w:ascii="Arial" w:hAnsi="Arial"/>
                <w:b/>
                <w:color w:val="000000"/>
                <w:sz w:val="18"/>
              </w:rPr>
              <w:fldChar w:fldCharType="begin"/>
            </w:r>
            <w:r>
              <w:rPr>
                <w:rFonts w:ascii="Arial" w:hAnsi="Arial"/>
                <w:b/>
                <w:color w:val="000000"/>
                <w:sz w:val="18"/>
              </w:rPr>
              <w:instrText>xe "Education"</w:instrText>
            </w:r>
            <w:r>
              <w:rPr>
                <w:rFonts w:ascii="Arial" w:hAnsi="Arial"/>
                <w:b/>
                <w:color w:val="000000"/>
                <w:sz w:val="18"/>
              </w:rPr>
              <w:fldChar w:fldCharType="end"/>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Current outlays</w:t>
            </w:r>
            <w:r>
              <w:rPr>
                <w:rFonts w:ascii="Arial" w:hAnsi="Arial"/>
                <w:color w:val="000000"/>
                <w:sz w:val="18"/>
              </w:rPr>
              <w:fldChar w:fldCharType="begin"/>
            </w:r>
            <w:r>
              <w:rPr>
                <w:rFonts w:ascii="Arial" w:hAnsi="Arial"/>
                <w:color w:val="000000"/>
                <w:sz w:val="18"/>
              </w:rPr>
              <w:instrText>xe "Current outlays"</w:instrText>
            </w:r>
            <w:r>
              <w:rPr>
                <w:rFonts w:ascii="Arial" w:hAnsi="Arial"/>
                <w:color w:val="000000"/>
                <w:sz w:val="18"/>
              </w:rPr>
              <w:fldChar w:fldCharType="end"/>
            </w:r>
          </w:p>
        </w:tc>
        <w:tc>
          <w:tcPr>
            <w:tcW w:w="1302" w:type="dxa"/>
          </w:tcPr>
          <w:p w:rsidR="00000000" w:rsidRDefault="001F233B">
            <w:pPr>
              <w:jc w:val="right"/>
              <w:rPr>
                <w:rFonts w:ascii="Arial" w:hAnsi="Arial"/>
                <w:color w:val="000000"/>
                <w:sz w:val="18"/>
              </w:rPr>
            </w:pPr>
            <w:r>
              <w:rPr>
                <w:rFonts w:ascii="Arial" w:hAnsi="Arial"/>
                <w:color w:val="000000"/>
                <w:sz w:val="18"/>
              </w:rPr>
              <w:t>3 943.2</w:t>
            </w:r>
          </w:p>
        </w:tc>
        <w:tc>
          <w:tcPr>
            <w:tcW w:w="1302" w:type="dxa"/>
          </w:tcPr>
          <w:p w:rsidR="00000000" w:rsidRDefault="001F233B">
            <w:pPr>
              <w:jc w:val="right"/>
              <w:rPr>
                <w:rFonts w:ascii="Arial" w:hAnsi="Arial"/>
                <w:color w:val="000000"/>
                <w:sz w:val="18"/>
              </w:rPr>
            </w:pPr>
            <w:r>
              <w:rPr>
                <w:rFonts w:ascii="Arial" w:hAnsi="Arial"/>
                <w:color w:val="000000"/>
                <w:sz w:val="18"/>
              </w:rPr>
              <w:t>4 087.8</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Capital outlays</w:t>
            </w:r>
          </w:p>
        </w:tc>
        <w:tc>
          <w:tcPr>
            <w:tcW w:w="1302" w:type="dxa"/>
          </w:tcPr>
          <w:p w:rsidR="00000000" w:rsidRDefault="001F233B">
            <w:pPr>
              <w:jc w:val="right"/>
              <w:rPr>
                <w:rFonts w:ascii="Arial" w:hAnsi="Arial"/>
                <w:color w:val="000000"/>
                <w:sz w:val="18"/>
              </w:rPr>
            </w:pPr>
            <w:r>
              <w:rPr>
                <w:rFonts w:ascii="Arial" w:hAnsi="Arial"/>
                <w:color w:val="000000"/>
                <w:sz w:val="18"/>
              </w:rPr>
              <w:t>272.7</w:t>
            </w:r>
          </w:p>
        </w:tc>
        <w:tc>
          <w:tcPr>
            <w:tcW w:w="1302" w:type="dxa"/>
          </w:tcPr>
          <w:p w:rsidR="00000000" w:rsidRDefault="001F233B">
            <w:pPr>
              <w:jc w:val="right"/>
              <w:rPr>
                <w:rFonts w:ascii="Arial" w:hAnsi="Arial"/>
                <w:color w:val="000000"/>
                <w:sz w:val="18"/>
              </w:rPr>
            </w:pPr>
            <w:r>
              <w:rPr>
                <w:rFonts w:ascii="Arial" w:hAnsi="Arial"/>
                <w:color w:val="000000"/>
                <w:sz w:val="18"/>
              </w:rPr>
              <w:t>349.3</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Total</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4 215.9</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4 437.1</w:t>
            </w:r>
          </w:p>
        </w:tc>
      </w:tr>
      <w:tr w:rsidR="00000000">
        <w:tblPrEx>
          <w:tblCellMar>
            <w:top w:w="0" w:type="dxa"/>
            <w:bottom w:w="0" w:type="dxa"/>
          </w:tblCellMar>
        </w:tblPrEx>
        <w:trPr>
          <w:trHeight w:hRule="exact" w:val="240"/>
        </w:trPr>
        <w:tc>
          <w:tcPr>
            <w:tcW w:w="4543"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Health</w:t>
            </w:r>
            <w:r>
              <w:rPr>
                <w:rFonts w:ascii="Arial" w:hAnsi="Arial"/>
                <w:b/>
                <w:color w:val="000000"/>
                <w:sz w:val="18"/>
              </w:rPr>
              <w:fldChar w:fldCharType="begin"/>
            </w:r>
            <w:r>
              <w:rPr>
                <w:rFonts w:ascii="Arial" w:hAnsi="Arial"/>
                <w:b/>
                <w:color w:val="000000"/>
                <w:sz w:val="18"/>
              </w:rPr>
              <w:instrText>xe "Health"</w:instrText>
            </w:r>
            <w:r>
              <w:rPr>
                <w:rFonts w:ascii="Arial" w:hAnsi="Arial"/>
                <w:b/>
                <w:color w:val="000000"/>
                <w:sz w:val="18"/>
              </w:rPr>
              <w:fldChar w:fldCharType="end"/>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Current outlays</w:t>
            </w:r>
            <w:r>
              <w:rPr>
                <w:rFonts w:ascii="Arial" w:hAnsi="Arial"/>
                <w:color w:val="000000"/>
                <w:sz w:val="18"/>
              </w:rPr>
              <w:fldChar w:fldCharType="begin"/>
            </w:r>
            <w:r>
              <w:rPr>
                <w:rFonts w:ascii="Arial" w:hAnsi="Arial"/>
                <w:color w:val="000000"/>
                <w:sz w:val="18"/>
              </w:rPr>
              <w:instrText>xe "Current outlays"</w:instrText>
            </w:r>
            <w:r>
              <w:rPr>
                <w:rFonts w:ascii="Arial" w:hAnsi="Arial"/>
                <w:color w:val="000000"/>
                <w:sz w:val="18"/>
              </w:rPr>
              <w:fldChar w:fldCharType="end"/>
            </w:r>
          </w:p>
        </w:tc>
        <w:tc>
          <w:tcPr>
            <w:tcW w:w="1302" w:type="dxa"/>
          </w:tcPr>
          <w:p w:rsidR="00000000" w:rsidRDefault="001F233B">
            <w:pPr>
              <w:jc w:val="right"/>
              <w:rPr>
                <w:rFonts w:ascii="Arial" w:hAnsi="Arial"/>
                <w:color w:val="000000"/>
                <w:sz w:val="18"/>
              </w:rPr>
            </w:pPr>
            <w:r>
              <w:rPr>
                <w:rFonts w:ascii="Arial" w:hAnsi="Arial"/>
                <w:color w:val="000000"/>
                <w:sz w:val="18"/>
              </w:rPr>
              <w:t>3 270.3</w:t>
            </w:r>
          </w:p>
        </w:tc>
        <w:tc>
          <w:tcPr>
            <w:tcW w:w="1302" w:type="dxa"/>
          </w:tcPr>
          <w:p w:rsidR="00000000" w:rsidRDefault="001F233B">
            <w:pPr>
              <w:jc w:val="right"/>
              <w:rPr>
                <w:rFonts w:ascii="Arial" w:hAnsi="Arial"/>
                <w:color w:val="000000"/>
                <w:sz w:val="18"/>
              </w:rPr>
            </w:pPr>
            <w:r>
              <w:rPr>
                <w:rFonts w:ascii="Arial" w:hAnsi="Arial"/>
                <w:color w:val="000000"/>
                <w:sz w:val="18"/>
              </w:rPr>
              <w:t>3 539.7</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Capital outlays</w:t>
            </w:r>
          </w:p>
        </w:tc>
        <w:tc>
          <w:tcPr>
            <w:tcW w:w="1302" w:type="dxa"/>
          </w:tcPr>
          <w:p w:rsidR="00000000" w:rsidRDefault="001F233B">
            <w:pPr>
              <w:jc w:val="right"/>
              <w:rPr>
                <w:rFonts w:ascii="Arial" w:hAnsi="Arial"/>
                <w:color w:val="000000"/>
                <w:sz w:val="18"/>
              </w:rPr>
            </w:pPr>
            <w:r>
              <w:rPr>
                <w:rFonts w:ascii="Arial" w:hAnsi="Arial"/>
                <w:color w:val="000000"/>
                <w:sz w:val="18"/>
              </w:rPr>
              <w:t>255.1</w:t>
            </w:r>
          </w:p>
        </w:tc>
        <w:tc>
          <w:tcPr>
            <w:tcW w:w="1302" w:type="dxa"/>
          </w:tcPr>
          <w:p w:rsidR="00000000" w:rsidRDefault="001F233B">
            <w:pPr>
              <w:jc w:val="right"/>
              <w:rPr>
                <w:rFonts w:ascii="Arial" w:hAnsi="Arial"/>
                <w:color w:val="000000"/>
                <w:sz w:val="18"/>
              </w:rPr>
            </w:pPr>
            <w:r>
              <w:rPr>
                <w:rFonts w:ascii="Arial" w:hAnsi="Arial"/>
                <w:color w:val="000000"/>
                <w:sz w:val="18"/>
              </w:rPr>
              <w:t>463.7</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Total</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3 525.5</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4 003.4</w:t>
            </w:r>
          </w:p>
        </w:tc>
      </w:tr>
      <w:tr w:rsidR="00000000">
        <w:tblPrEx>
          <w:tblCellMar>
            <w:top w:w="0" w:type="dxa"/>
            <w:bottom w:w="0" w:type="dxa"/>
          </w:tblCellMar>
        </w:tblPrEx>
        <w:trPr>
          <w:trHeight w:hRule="exact" w:val="240"/>
        </w:trPr>
        <w:tc>
          <w:tcPr>
            <w:tcW w:w="4543"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Social Security and Welfare</w:t>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Current outlays</w:t>
            </w:r>
            <w:r>
              <w:rPr>
                <w:rFonts w:ascii="Arial" w:hAnsi="Arial"/>
                <w:color w:val="000000"/>
                <w:sz w:val="18"/>
              </w:rPr>
              <w:fldChar w:fldCharType="begin"/>
            </w:r>
            <w:r>
              <w:rPr>
                <w:rFonts w:ascii="Arial" w:hAnsi="Arial"/>
                <w:color w:val="000000"/>
                <w:sz w:val="18"/>
              </w:rPr>
              <w:instrText>xe "Current outlays"</w:instrText>
            </w:r>
            <w:r>
              <w:rPr>
                <w:rFonts w:ascii="Arial" w:hAnsi="Arial"/>
                <w:color w:val="000000"/>
                <w:sz w:val="18"/>
              </w:rPr>
              <w:fldChar w:fldCharType="end"/>
            </w:r>
          </w:p>
        </w:tc>
        <w:tc>
          <w:tcPr>
            <w:tcW w:w="1302" w:type="dxa"/>
          </w:tcPr>
          <w:p w:rsidR="00000000" w:rsidRDefault="001F233B">
            <w:pPr>
              <w:jc w:val="right"/>
              <w:rPr>
                <w:rFonts w:ascii="Arial" w:hAnsi="Arial"/>
                <w:color w:val="000000"/>
                <w:sz w:val="18"/>
              </w:rPr>
            </w:pPr>
            <w:r>
              <w:rPr>
                <w:rFonts w:ascii="Arial" w:hAnsi="Arial"/>
                <w:color w:val="000000"/>
                <w:sz w:val="18"/>
              </w:rPr>
              <w:t>1 185.3</w:t>
            </w:r>
          </w:p>
        </w:tc>
        <w:tc>
          <w:tcPr>
            <w:tcW w:w="1302" w:type="dxa"/>
          </w:tcPr>
          <w:p w:rsidR="00000000" w:rsidRDefault="001F233B">
            <w:pPr>
              <w:jc w:val="right"/>
              <w:rPr>
                <w:rFonts w:ascii="Arial" w:hAnsi="Arial"/>
                <w:color w:val="000000"/>
                <w:sz w:val="18"/>
              </w:rPr>
            </w:pPr>
            <w:r>
              <w:rPr>
                <w:rFonts w:ascii="Arial" w:hAnsi="Arial"/>
                <w:color w:val="000000"/>
                <w:sz w:val="18"/>
              </w:rPr>
              <w:t>1 258.6</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Capital outlays</w:t>
            </w:r>
          </w:p>
        </w:tc>
        <w:tc>
          <w:tcPr>
            <w:tcW w:w="1302" w:type="dxa"/>
          </w:tcPr>
          <w:p w:rsidR="00000000" w:rsidRDefault="001F233B">
            <w:pPr>
              <w:jc w:val="right"/>
              <w:rPr>
                <w:rFonts w:ascii="Arial" w:hAnsi="Arial"/>
                <w:color w:val="000000"/>
                <w:sz w:val="18"/>
              </w:rPr>
            </w:pPr>
            <w:r>
              <w:rPr>
                <w:rFonts w:ascii="Arial" w:hAnsi="Arial"/>
                <w:color w:val="000000"/>
                <w:sz w:val="18"/>
              </w:rPr>
              <w:t>34.4</w:t>
            </w:r>
          </w:p>
        </w:tc>
        <w:tc>
          <w:tcPr>
            <w:tcW w:w="1302" w:type="dxa"/>
          </w:tcPr>
          <w:p w:rsidR="00000000" w:rsidRDefault="001F233B">
            <w:pPr>
              <w:jc w:val="right"/>
              <w:rPr>
                <w:rFonts w:ascii="Arial" w:hAnsi="Arial"/>
                <w:color w:val="000000"/>
                <w:sz w:val="18"/>
              </w:rPr>
            </w:pPr>
            <w:r>
              <w:rPr>
                <w:rFonts w:ascii="Arial" w:hAnsi="Arial"/>
                <w:color w:val="000000"/>
                <w:sz w:val="18"/>
              </w:rPr>
              <w:t>46.3</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Total</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1 219.7</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1 304.9</w:t>
            </w:r>
          </w:p>
        </w:tc>
      </w:tr>
      <w:tr w:rsidR="00000000">
        <w:tblPrEx>
          <w:tblCellMar>
            <w:top w:w="0" w:type="dxa"/>
            <w:bottom w:w="0" w:type="dxa"/>
          </w:tblCellMar>
        </w:tblPrEx>
        <w:trPr>
          <w:trHeight w:hRule="exact" w:val="240"/>
        </w:trPr>
        <w:tc>
          <w:tcPr>
            <w:tcW w:w="4543"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Housing &amp; Community Amenities</w:t>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Current outla</w:t>
            </w:r>
            <w:r>
              <w:rPr>
                <w:rFonts w:ascii="Arial" w:hAnsi="Arial"/>
                <w:color w:val="000000"/>
                <w:sz w:val="18"/>
              </w:rPr>
              <w:t>ys</w:t>
            </w:r>
            <w:r>
              <w:rPr>
                <w:rFonts w:ascii="Arial" w:hAnsi="Arial"/>
                <w:color w:val="000000"/>
                <w:sz w:val="18"/>
              </w:rPr>
              <w:fldChar w:fldCharType="begin"/>
            </w:r>
            <w:r>
              <w:rPr>
                <w:rFonts w:ascii="Arial" w:hAnsi="Arial"/>
                <w:color w:val="000000"/>
                <w:sz w:val="18"/>
              </w:rPr>
              <w:instrText>xe "Current outlays"</w:instrText>
            </w:r>
            <w:r>
              <w:rPr>
                <w:rFonts w:ascii="Arial" w:hAnsi="Arial"/>
                <w:color w:val="000000"/>
                <w:sz w:val="18"/>
              </w:rPr>
              <w:fldChar w:fldCharType="end"/>
            </w:r>
          </w:p>
        </w:tc>
        <w:tc>
          <w:tcPr>
            <w:tcW w:w="1302" w:type="dxa"/>
          </w:tcPr>
          <w:p w:rsidR="00000000" w:rsidRDefault="001F233B">
            <w:pPr>
              <w:jc w:val="right"/>
              <w:rPr>
                <w:rFonts w:ascii="Arial" w:hAnsi="Arial"/>
                <w:color w:val="000000"/>
                <w:sz w:val="18"/>
              </w:rPr>
            </w:pPr>
            <w:r>
              <w:rPr>
                <w:rFonts w:ascii="Arial" w:hAnsi="Arial"/>
                <w:color w:val="000000"/>
                <w:sz w:val="18"/>
              </w:rPr>
              <w:t xml:space="preserve"> 195.7</w:t>
            </w:r>
          </w:p>
        </w:tc>
        <w:tc>
          <w:tcPr>
            <w:tcW w:w="1302" w:type="dxa"/>
          </w:tcPr>
          <w:p w:rsidR="00000000" w:rsidRDefault="001F233B">
            <w:pPr>
              <w:jc w:val="right"/>
              <w:rPr>
                <w:rFonts w:ascii="Arial" w:hAnsi="Arial"/>
                <w:color w:val="000000"/>
                <w:sz w:val="18"/>
              </w:rPr>
            </w:pPr>
            <w:r>
              <w:rPr>
                <w:rFonts w:ascii="Arial" w:hAnsi="Arial"/>
                <w:color w:val="000000"/>
                <w:sz w:val="18"/>
              </w:rPr>
              <w:t xml:space="preserve"> 174.7</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Capital outlays</w:t>
            </w:r>
          </w:p>
        </w:tc>
        <w:tc>
          <w:tcPr>
            <w:tcW w:w="1302" w:type="dxa"/>
          </w:tcPr>
          <w:p w:rsidR="00000000" w:rsidRDefault="001F233B">
            <w:pPr>
              <w:jc w:val="right"/>
              <w:rPr>
                <w:rFonts w:ascii="Arial" w:hAnsi="Arial"/>
                <w:color w:val="000000"/>
                <w:sz w:val="18"/>
              </w:rPr>
            </w:pPr>
            <w:r>
              <w:rPr>
                <w:rFonts w:ascii="Arial" w:hAnsi="Arial"/>
                <w:color w:val="000000"/>
                <w:sz w:val="18"/>
              </w:rPr>
              <w:t>603.3</w:t>
            </w:r>
          </w:p>
        </w:tc>
        <w:tc>
          <w:tcPr>
            <w:tcW w:w="1302" w:type="dxa"/>
          </w:tcPr>
          <w:p w:rsidR="00000000" w:rsidRDefault="001F233B">
            <w:pPr>
              <w:jc w:val="right"/>
              <w:rPr>
                <w:rFonts w:ascii="Arial" w:hAnsi="Arial"/>
                <w:color w:val="000000"/>
                <w:sz w:val="18"/>
              </w:rPr>
            </w:pPr>
            <w:r>
              <w:rPr>
                <w:rFonts w:ascii="Arial" w:hAnsi="Arial"/>
                <w:color w:val="000000"/>
                <w:sz w:val="18"/>
              </w:rPr>
              <w:t>780.6</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Total</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799.0</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955.3</w:t>
            </w:r>
          </w:p>
        </w:tc>
      </w:tr>
      <w:tr w:rsidR="00000000">
        <w:tblPrEx>
          <w:tblCellMar>
            <w:top w:w="0" w:type="dxa"/>
            <w:bottom w:w="0" w:type="dxa"/>
          </w:tblCellMar>
        </w:tblPrEx>
        <w:trPr>
          <w:trHeight w:hRule="exact" w:val="240"/>
        </w:trPr>
        <w:tc>
          <w:tcPr>
            <w:tcW w:w="4543"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Recreation &amp; Culture</w:t>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Current outlays</w:t>
            </w:r>
            <w:r>
              <w:rPr>
                <w:rFonts w:ascii="Arial" w:hAnsi="Arial"/>
                <w:color w:val="000000"/>
                <w:sz w:val="18"/>
              </w:rPr>
              <w:fldChar w:fldCharType="begin"/>
            </w:r>
            <w:r>
              <w:rPr>
                <w:rFonts w:ascii="Arial" w:hAnsi="Arial"/>
                <w:color w:val="000000"/>
                <w:sz w:val="18"/>
              </w:rPr>
              <w:instrText>xe "Current outlays"</w:instrText>
            </w:r>
            <w:r>
              <w:rPr>
                <w:rFonts w:ascii="Arial" w:hAnsi="Arial"/>
                <w:color w:val="000000"/>
                <w:sz w:val="18"/>
              </w:rPr>
              <w:fldChar w:fldCharType="end"/>
            </w:r>
          </w:p>
        </w:tc>
        <w:tc>
          <w:tcPr>
            <w:tcW w:w="1302" w:type="dxa"/>
          </w:tcPr>
          <w:p w:rsidR="00000000" w:rsidRDefault="001F233B">
            <w:pPr>
              <w:jc w:val="right"/>
              <w:rPr>
                <w:rFonts w:ascii="Arial" w:hAnsi="Arial"/>
                <w:color w:val="000000"/>
                <w:sz w:val="18"/>
              </w:rPr>
            </w:pPr>
            <w:r>
              <w:rPr>
                <w:rFonts w:ascii="Arial" w:hAnsi="Arial"/>
                <w:color w:val="000000"/>
                <w:sz w:val="18"/>
              </w:rPr>
              <w:t xml:space="preserve"> 297.6</w:t>
            </w:r>
          </w:p>
        </w:tc>
        <w:tc>
          <w:tcPr>
            <w:tcW w:w="1302" w:type="dxa"/>
          </w:tcPr>
          <w:p w:rsidR="00000000" w:rsidRDefault="001F233B">
            <w:pPr>
              <w:jc w:val="right"/>
              <w:rPr>
                <w:rFonts w:ascii="Arial" w:hAnsi="Arial"/>
                <w:color w:val="000000"/>
                <w:sz w:val="18"/>
              </w:rPr>
            </w:pPr>
            <w:r>
              <w:rPr>
                <w:rFonts w:ascii="Arial" w:hAnsi="Arial"/>
                <w:color w:val="000000"/>
                <w:sz w:val="18"/>
              </w:rPr>
              <w:t xml:space="preserve"> 281.4</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Capital outlays</w:t>
            </w:r>
          </w:p>
        </w:tc>
        <w:tc>
          <w:tcPr>
            <w:tcW w:w="1302" w:type="dxa"/>
          </w:tcPr>
          <w:p w:rsidR="00000000" w:rsidRDefault="001F233B">
            <w:pPr>
              <w:jc w:val="right"/>
              <w:rPr>
                <w:rFonts w:ascii="Arial" w:hAnsi="Arial"/>
                <w:color w:val="000000"/>
                <w:sz w:val="18"/>
              </w:rPr>
            </w:pPr>
            <w:r>
              <w:rPr>
                <w:rFonts w:ascii="Arial" w:hAnsi="Arial"/>
                <w:color w:val="000000"/>
                <w:sz w:val="18"/>
              </w:rPr>
              <w:t>173.6</w:t>
            </w:r>
          </w:p>
        </w:tc>
        <w:tc>
          <w:tcPr>
            <w:tcW w:w="1302" w:type="dxa"/>
          </w:tcPr>
          <w:p w:rsidR="00000000" w:rsidRDefault="001F233B">
            <w:pPr>
              <w:jc w:val="right"/>
              <w:rPr>
                <w:rFonts w:ascii="Arial" w:hAnsi="Arial"/>
                <w:color w:val="000000"/>
                <w:sz w:val="18"/>
              </w:rPr>
            </w:pPr>
            <w:r>
              <w:rPr>
                <w:rFonts w:ascii="Arial" w:hAnsi="Arial"/>
                <w:color w:val="000000"/>
                <w:sz w:val="18"/>
              </w:rPr>
              <w:t>277.2</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Total</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471.2</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558.5</w:t>
            </w:r>
          </w:p>
        </w:tc>
      </w:tr>
    </w:tbl>
    <w:p w:rsidR="00000000" w:rsidRDefault="001F233B">
      <w:pPr>
        <w:jc w:val="center"/>
        <w:rPr>
          <w:rFonts w:ascii="Arial" w:hAnsi="Arial"/>
        </w:rPr>
      </w:pPr>
    </w:p>
    <w:p w:rsidR="00000000" w:rsidRDefault="001F233B">
      <w:pPr>
        <w:spacing w:before="240"/>
        <w:rPr>
          <w:rFonts w:ascii="Arial" w:hAnsi="Arial"/>
          <w:b/>
          <w:i/>
          <w:color w:val="000000"/>
          <w:sz w:val="20"/>
        </w:rPr>
      </w:pPr>
      <w:r>
        <w:rPr>
          <w:color w:val="000000"/>
          <w:sz w:val="18"/>
        </w:rPr>
        <w:br w:type="page"/>
      </w:r>
      <w:r>
        <w:rPr>
          <w:rFonts w:ascii="Arial" w:hAnsi="Arial"/>
          <w:b/>
          <w:color w:val="000000"/>
          <w:sz w:val="20"/>
        </w:rPr>
        <w:t xml:space="preserve">Table B6: Uniform Reporting Format: State Public Sector Outlays By Purpose - </w:t>
      </w:r>
      <w:r>
        <w:rPr>
          <w:rFonts w:ascii="Arial" w:hAnsi="Arial"/>
          <w:b/>
          <w:i/>
          <w:color w:val="000000"/>
          <w:sz w:val="20"/>
        </w:rPr>
        <w:t>continued</w:t>
      </w:r>
    </w:p>
    <w:p w:rsidR="00000000" w:rsidRDefault="001F233B">
      <w:pPr>
        <w:spacing w:after="0"/>
        <w:jc w:val="center"/>
        <w:rPr>
          <w:noProof/>
          <w:sz w:val="20"/>
        </w:rPr>
      </w:pPr>
      <w:r>
        <w:rPr>
          <w:rFonts w:ascii="Arial" w:hAnsi="Arial"/>
          <w:i/>
          <w:sz w:val="20"/>
        </w:rPr>
        <w:t xml:space="preserve">($ million) </w:t>
      </w:r>
    </w:p>
    <w:tbl>
      <w:tblPr>
        <w:tblW w:w="0" w:type="auto"/>
        <w:tblLayout w:type="fixed"/>
        <w:tblCellMar>
          <w:left w:w="30" w:type="dxa"/>
          <w:right w:w="30" w:type="dxa"/>
        </w:tblCellMar>
        <w:tblLook w:val="0000" w:firstRow="0" w:lastRow="0" w:firstColumn="0" w:lastColumn="0" w:noHBand="0" w:noVBand="0"/>
      </w:tblPr>
      <w:tblGrid>
        <w:gridCol w:w="4543"/>
        <w:gridCol w:w="1302"/>
        <w:gridCol w:w="1302"/>
      </w:tblGrid>
      <w:tr w:rsidR="00000000">
        <w:tblPrEx>
          <w:tblCellMar>
            <w:top w:w="0" w:type="dxa"/>
            <w:bottom w:w="0" w:type="dxa"/>
          </w:tblCellMar>
        </w:tblPrEx>
        <w:trPr>
          <w:trHeight w:hRule="exact" w:val="240"/>
        </w:trPr>
        <w:tc>
          <w:tcPr>
            <w:tcW w:w="4543" w:type="dxa"/>
            <w:tcBorders>
              <w:top w:val="single" w:sz="6" w:space="0" w:color="auto"/>
            </w:tcBorders>
          </w:tcPr>
          <w:p w:rsidR="00000000" w:rsidRDefault="001F233B">
            <w:pPr>
              <w:jc w:val="right"/>
              <w:rPr>
                <w:rFonts w:ascii="Arial" w:hAnsi="Arial"/>
                <w:color w:val="000000"/>
                <w:sz w:val="18"/>
              </w:rPr>
            </w:pPr>
          </w:p>
        </w:tc>
        <w:tc>
          <w:tcPr>
            <w:tcW w:w="1302"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1997-98</w:t>
            </w:r>
          </w:p>
        </w:tc>
        <w:tc>
          <w:tcPr>
            <w:tcW w:w="1302" w:type="dxa"/>
            <w:tcBorders>
              <w:top w:val="single" w:sz="6" w:space="0" w:color="auto"/>
            </w:tcBorders>
          </w:tcPr>
          <w:p w:rsidR="00000000" w:rsidRDefault="001F233B">
            <w:pPr>
              <w:jc w:val="right"/>
              <w:rPr>
                <w:rFonts w:ascii="Arial" w:hAnsi="Arial"/>
                <w:i/>
                <w:color w:val="000000"/>
                <w:sz w:val="18"/>
              </w:rPr>
            </w:pPr>
            <w:r>
              <w:rPr>
                <w:rFonts w:ascii="Arial" w:hAnsi="Arial"/>
                <w:i/>
                <w:color w:val="000000"/>
                <w:sz w:val="18"/>
              </w:rPr>
              <w:t>1998-99</w:t>
            </w:r>
          </w:p>
        </w:tc>
      </w:tr>
      <w:tr w:rsidR="00000000">
        <w:tblPrEx>
          <w:tblCellMar>
            <w:top w:w="0" w:type="dxa"/>
            <w:bottom w:w="0" w:type="dxa"/>
          </w:tblCellMar>
        </w:tblPrEx>
        <w:trPr>
          <w:trHeight w:hRule="exact" w:val="240"/>
        </w:trPr>
        <w:tc>
          <w:tcPr>
            <w:tcW w:w="4543" w:type="dxa"/>
            <w:tcBorders>
              <w:bottom w:val="single" w:sz="6" w:space="0" w:color="auto"/>
            </w:tcBorders>
          </w:tcPr>
          <w:p w:rsidR="00000000" w:rsidRDefault="001F233B">
            <w:pPr>
              <w:jc w:val="right"/>
              <w:rPr>
                <w:rFonts w:ascii="Arial" w:hAnsi="Arial"/>
                <w:color w:val="000000"/>
                <w:sz w:val="18"/>
              </w:rPr>
            </w:pPr>
          </w:p>
        </w:tc>
        <w:tc>
          <w:tcPr>
            <w:tcW w:w="1302"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Revised</w:t>
            </w:r>
          </w:p>
        </w:tc>
        <w:tc>
          <w:tcPr>
            <w:tcW w:w="1302" w:type="dxa"/>
            <w:tcBorders>
              <w:bottom w:val="single" w:sz="6" w:space="0" w:color="auto"/>
            </w:tcBorders>
          </w:tcPr>
          <w:p w:rsidR="00000000" w:rsidRDefault="001F233B">
            <w:pPr>
              <w:jc w:val="right"/>
              <w:rPr>
                <w:rFonts w:ascii="Arial" w:hAnsi="Arial"/>
                <w:i/>
                <w:color w:val="000000"/>
                <w:sz w:val="18"/>
              </w:rPr>
            </w:pPr>
            <w:r>
              <w:rPr>
                <w:rFonts w:ascii="Arial" w:hAnsi="Arial"/>
                <w:i/>
                <w:color w:val="000000"/>
                <w:sz w:val="18"/>
              </w:rPr>
              <w:t>Budget</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Fuel &amp; Energy</w:t>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Current outlays</w:t>
            </w:r>
            <w:r>
              <w:rPr>
                <w:rFonts w:ascii="Arial" w:hAnsi="Arial"/>
                <w:color w:val="000000"/>
                <w:sz w:val="18"/>
              </w:rPr>
              <w:fldChar w:fldCharType="begin"/>
            </w:r>
            <w:r>
              <w:rPr>
                <w:rFonts w:ascii="Arial" w:hAnsi="Arial"/>
                <w:color w:val="000000"/>
                <w:sz w:val="18"/>
              </w:rPr>
              <w:instrText>xe "Current outlays"</w:instrText>
            </w:r>
            <w:r>
              <w:rPr>
                <w:rFonts w:ascii="Arial" w:hAnsi="Arial"/>
                <w:color w:val="000000"/>
                <w:sz w:val="18"/>
              </w:rPr>
              <w:fldChar w:fldCharType="end"/>
            </w:r>
          </w:p>
        </w:tc>
        <w:tc>
          <w:tcPr>
            <w:tcW w:w="1302" w:type="dxa"/>
          </w:tcPr>
          <w:p w:rsidR="00000000" w:rsidRDefault="001F233B">
            <w:pPr>
              <w:jc w:val="right"/>
              <w:rPr>
                <w:rFonts w:ascii="Arial" w:hAnsi="Arial"/>
                <w:color w:val="000000"/>
                <w:sz w:val="18"/>
              </w:rPr>
            </w:pPr>
            <w:r>
              <w:rPr>
                <w:rFonts w:ascii="Arial" w:hAnsi="Arial"/>
                <w:color w:val="000000"/>
                <w:sz w:val="18"/>
              </w:rPr>
              <w:t xml:space="preserve"> 7.3</w:t>
            </w:r>
          </w:p>
        </w:tc>
        <w:tc>
          <w:tcPr>
            <w:tcW w:w="1302" w:type="dxa"/>
          </w:tcPr>
          <w:p w:rsidR="00000000" w:rsidRDefault="001F233B">
            <w:pPr>
              <w:jc w:val="right"/>
              <w:rPr>
                <w:rFonts w:ascii="Arial" w:hAnsi="Arial"/>
                <w:color w:val="000000"/>
                <w:sz w:val="18"/>
              </w:rPr>
            </w:pPr>
            <w:r>
              <w:rPr>
                <w:rFonts w:ascii="Arial" w:hAnsi="Arial"/>
                <w:color w:val="000000"/>
                <w:sz w:val="18"/>
              </w:rPr>
              <w:t xml:space="preserve"> 136.5</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Capital outlays</w:t>
            </w:r>
          </w:p>
        </w:tc>
        <w:tc>
          <w:tcPr>
            <w:tcW w:w="1302" w:type="dxa"/>
          </w:tcPr>
          <w:p w:rsidR="00000000" w:rsidRDefault="001F233B">
            <w:pPr>
              <w:jc w:val="right"/>
              <w:rPr>
                <w:rFonts w:ascii="Arial" w:hAnsi="Arial"/>
                <w:color w:val="000000"/>
                <w:sz w:val="18"/>
              </w:rPr>
            </w:pPr>
            <w:r>
              <w:rPr>
                <w:rFonts w:ascii="Arial" w:hAnsi="Arial"/>
                <w:color w:val="000000"/>
                <w:sz w:val="18"/>
              </w:rPr>
              <w:t>-2,848.9</w:t>
            </w:r>
          </w:p>
        </w:tc>
        <w:tc>
          <w:tcPr>
            <w:tcW w:w="1302" w:type="dxa"/>
          </w:tcPr>
          <w:p w:rsidR="00000000" w:rsidRDefault="001F233B">
            <w:pPr>
              <w:jc w:val="right"/>
              <w:rPr>
                <w:rFonts w:ascii="Arial" w:hAnsi="Arial"/>
                <w:color w:val="000000"/>
                <w:sz w:val="18"/>
              </w:rPr>
            </w:pPr>
            <w:r>
              <w:rPr>
                <w:rFonts w:ascii="Arial" w:hAnsi="Arial"/>
                <w:color w:val="000000"/>
                <w:sz w:val="18"/>
              </w:rPr>
              <w:t>228.0</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Total</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-2 841.7</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364.5</w:t>
            </w:r>
          </w:p>
        </w:tc>
      </w:tr>
      <w:tr w:rsidR="00000000">
        <w:tblPrEx>
          <w:tblCellMar>
            <w:top w:w="0" w:type="dxa"/>
            <w:bottom w:w="0" w:type="dxa"/>
          </w:tblCellMar>
        </w:tblPrEx>
        <w:trPr>
          <w:trHeight w:hRule="exact" w:val="240"/>
        </w:trPr>
        <w:tc>
          <w:tcPr>
            <w:tcW w:w="4543"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Agriculture, Forestry, Fish</w:t>
            </w:r>
            <w:r>
              <w:rPr>
                <w:rFonts w:ascii="Arial" w:hAnsi="Arial"/>
                <w:b/>
                <w:color w:val="000000"/>
                <w:sz w:val="18"/>
              </w:rPr>
              <w:t>ing &amp; Hunting</w:t>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Current outlays</w:t>
            </w:r>
            <w:r>
              <w:rPr>
                <w:rFonts w:ascii="Arial" w:hAnsi="Arial"/>
                <w:color w:val="000000"/>
                <w:sz w:val="18"/>
              </w:rPr>
              <w:fldChar w:fldCharType="begin"/>
            </w:r>
            <w:r>
              <w:rPr>
                <w:rFonts w:ascii="Arial" w:hAnsi="Arial"/>
                <w:color w:val="000000"/>
                <w:sz w:val="18"/>
              </w:rPr>
              <w:instrText>xe "Current outlays"</w:instrText>
            </w:r>
            <w:r>
              <w:rPr>
                <w:rFonts w:ascii="Arial" w:hAnsi="Arial"/>
                <w:color w:val="000000"/>
                <w:sz w:val="18"/>
              </w:rPr>
              <w:fldChar w:fldCharType="end"/>
            </w:r>
          </w:p>
        </w:tc>
        <w:tc>
          <w:tcPr>
            <w:tcW w:w="1302" w:type="dxa"/>
          </w:tcPr>
          <w:p w:rsidR="00000000" w:rsidRDefault="001F233B">
            <w:pPr>
              <w:jc w:val="right"/>
              <w:rPr>
                <w:rFonts w:ascii="Arial" w:hAnsi="Arial"/>
                <w:color w:val="000000"/>
                <w:sz w:val="18"/>
              </w:rPr>
            </w:pPr>
            <w:r>
              <w:rPr>
                <w:rFonts w:ascii="Arial" w:hAnsi="Arial"/>
                <w:color w:val="000000"/>
                <w:sz w:val="18"/>
              </w:rPr>
              <w:t xml:space="preserve"> 326.0</w:t>
            </w:r>
          </w:p>
        </w:tc>
        <w:tc>
          <w:tcPr>
            <w:tcW w:w="1302" w:type="dxa"/>
          </w:tcPr>
          <w:p w:rsidR="00000000" w:rsidRDefault="001F233B">
            <w:pPr>
              <w:jc w:val="right"/>
              <w:rPr>
                <w:rFonts w:ascii="Arial" w:hAnsi="Arial"/>
                <w:color w:val="000000"/>
                <w:sz w:val="18"/>
              </w:rPr>
            </w:pPr>
            <w:r>
              <w:rPr>
                <w:rFonts w:ascii="Arial" w:hAnsi="Arial"/>
                <w:color w:val="000000"/>
                <w:sz w:val="18"/>
              </w:rPr>
              <w:t xml:space="preserve"> 303.3</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Capital outlays</w:t>
            </w:r>
          </w:p>
        </w:tc>
        <w:tc>
          <w:tcPr>
            <w:tcW w:w="1302" w:type="dxa"/>
          </w:tcPr>
          <w:p w:rsidR="00000000" w:rsidRDefault="001F233B">
            <w:pPr>
              <w:jc w:val="right"/>
              <w:rPr>
                <w:rFonts w:ascii="Arial" w:hAnsi="Arial"/>
                <w:color w:val="000000"/>
                <w:sz w:val="18"/>
              </w:rPr>
            </w:pPr>
            <w:r>
              <w:rPr>
                <w:rFonts w:ascii="Arial" w:hAnsi="Arial"/>
                <w:color w:val="000000"/>
                <w:sz w:val="18"/>
              </w:rPr>
              <w:t>26.3</w:t>
            </w:r>
          </w:p>
        </w:tc>
        <w:tc>
          <w:tcPr>
            <w:tcW w:w="1302" w:type="dxa"/>
          </w:tcPr>
          <w:p w:rsidR="00000000" w:rsidRDefault="001F233B">
            <w:pPr>
              <w:jc w:val="right"/>
              <w:rPr>
                <w:rFonts w:ascii="Arial" w:hAnsi="Arial"/>
                <w:color w:val="000000"/>
                <w:sz w:val="18"/>
              </w:rPr>
            </w:pPr>
            <w:r>
              <w:rPr>
                <w:rFonts w:ascii="Arial" w:hAnsi="Arial"/>
                <w:color w:val="000000"/>
                <w:sz w:val="18"/>
              </w:rPr>
              <w:t>43.8</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Total</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352.2</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347.1</w:t>
            </w:r>
          </w:p>
        </w:tc>
      </w:tr>
      <w:tr w:rsidR="00000000">
        <w:tblPrEx>
          <w:tblCellMar>
            <w:top w:w="0" w:type="dxa"/>
            <w:bottom w:w="0" w:type="dxa"/>
          </w:tblCellMar>
        </w:tblPrEx>
        <w:trPr>
          <w:trHeight w:hRule="exact" w:val="240"/>
        </w:trPr>
        <w:tc>
          <w:tcPr>
            <w:tcW w:w="4543"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Mining &amp; Minerals Resources,</w:t>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Manufacturing</w:t>
            </w:r>
            <w:r>
              <w:rPr>
                <w:rFonts w:ascii="Arial" w:hAnsi="Arial"/>
                <w:b/>
                <w:color w:val="000000"/>
                <w:sz w:val="18"/>
              </w:rPr>
              <w:fldChar w:fldCharType="begin"/>
            </w:r>
            <w:r>
              <w:rPr>
                <w:rFonts w:ascii="Arial" w:hAnsi="Arial"/>
                <w:b/>
                <w:color w:val="000000"/>
                <w:sz w:val="18"/>
              </w:rPr>
              <w:instrText>xe "Economy:Manufacturing"</w:instrText>
            </w:r>
            <w:r>
              <w:rPr>
                <w:rFonts w:ascii="Arial" w:hAnsi="Arial"/>
                <w:b/>
                <w:color w:val="000000"/>
                <w:sz w:val="18"/>
              </w:rPr>
              <w:fldChar w:fldCharType="end"/>
            </w:r>
            <w:r>
              <w:rPr>
                <w:rFonts w:ascii="Arial" w:hAnsi="Arial"/>
                <w:b/>
                <w:color w:val="000000"/>
                <w:sz w:val="18"/>
              </w:rPr>
              <w:t xml:space="preserve"> &amp; Construction</w:t>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Current outlays</w:t>
            </w:r>
            <w:r>
              <w:rPr>
                <w:rFonts w:ascii="Arial" w:hAnsi="Arial"/>
                <w:color w:val="000000"/>
                <w:sz w:val="18"/>
              </w:rPr>
              <w:fldChar w:fldCharType="begin"/>
            </w:r>
            <w:r>
              <w:rPr>
                <w:rFonts w:ascii="Arial" w:hAnsi="Arial"/>
                <w:color w:val="000000"/>
                <w:sz w:val="18"/>
              </w:rPr>
              <w:instrText>xe "Current outlays"</w:instrText>
            </w:r>
            <w:r>
              <w:rPr>
                <w:rFonts w:ascii="Arial" w:hAnsi="Arial"/>
                <w:color w:val="000000"/>
                <w:sz w:val="18"/>
              </w:rPr>
              <w:fldChar w:fldCharType="end"/>
            </w:r>
          </w:p>
        </w:tc>
        <w:tc>
          <w:tcPr>
            <w:tcW w:w="1302" w:type="dxa"/>
          </w:tcPr>
          <w:p w:rsidR="00000000" w:rsidRDefault="001F233B">
            <w:pPr>
              <w:jc w:val="right"/>
              <w:rPr>
                <w:rFonts w:ascii="Arial" w:hAnsi="Arial"/>
                <w:color w:val="000000"/>
                <w:sz w:val="18"/>
              </w:rPr>
            </w:pPr>
            <w:r>
              <w:rPr>
                <w:rFonts w:ascii="Arial" w:hAnsi="Arial"/>
                <w:color w:val="000000"/>
                <w:sz w:val="18"/>
              </w:rPr>
              <w:t xml:space="preserve"> 55.9</w:t>
            </w:r>
          </w:p>
        </w:tc>
        <w:tc>
          <w:tcPr>
            <w:tcW w:w="1302" w:type="dxa"/>
          </w:tcPr>
          <w:p w:rsidR="00000000" w:rsidRDefault="001F233B">
            <w:pPr>
              <w:jc w:val="right"/>
              <w:rPr>
                <w:rFonts w:ascii="Arial" w:hAnsi="Arial"/>
                <w:color w:val="000000"/>
                <w:sz w:val="18"/>
              </w:rPr>
            </w:pPr>
            <w:r>
              <w:rPr>
                <w:rFonts w:ascii="Arial" w:hAnsi="Arial"/>
                <w:color w:val="000000"/>
                <w:sz w:val="18"/>
              </w:rPr>
              <w:t xml:space="preserve"> 44.9</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Capital outlays</w:t>
            </w:r>
          </w:p>
        </w:tc>
        <w:tc>
          <w:tcPr>
            <w:tcW w:w="1302" w:type="dxa"/>
          </w:tcPr>
          <w:p w:rsidR="00000000" w:rsidRDefault="001F233B">
            <w:pPr>
              <w:jc w:val="right"/>
              <w:rPr>
                <w:rFonts w:ascii="Arial" w:hAnsi="Arial"/>
                <w:color w:val="000000"/>
                <w:sz w:val="18"/>
              </w:rPr>
            </w:pPr>
            <w:r>
              <w:rPr>
                <w:rFonts w:ascii="Arial" w:hAnsi="Arial"/>
                <w:color w:val="000000"/>
                <w:sz w:val="18"/>
              </w:rPr>
              <w:t>2.8</w:t>
            </w:r>
          </w:p>
        </w:tc>
        <w:tc>
          <w:tcPr>
            <w:tcW w:w="1302" w:type="dxa"/>
          </w:tcPr>
          <w:p w:rsidR="00000000" w:rsidRDefault="001F233B">
            <w:pPr>
              <w:jc w:val="right"/>
              <w:rPr>
                <w:rFonts w:ascii="Arial" w:hAnsi="Arial"/>
                <w:color w:val="000000"/>
                <w:sz w:val="18"/>
              </w:rPr>
            </w:pPr>
            <w:r>
              <w:rPr>
                <w:rFonts w:ascii="Arial" w:hAnsi="Arial"/>
                <w:color w:val="000000"/>
                <w:sz w:val="18"/>
              </w:rPr>
              <w:t>2.1</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Total</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58.7</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47.0</w:t>
            </w:r>
          </w:p>
        </w:tc>
      </w:tr>
      <w:tr w:rsidR="00000000">
        <w:tblPrEx>
          <w:tblCellMar>
            <w:top w:w="0" w:type="dxa"/>
            <w:bottom w:w="0" w:type="dxa"/>
          </w:tblCellMar>
        </w:tblPrEx>
        <w:trPr>
          <w:trHeight w:hRule="exact" w:val="240"/>
        </w:trPr>
        <w:tc>
          <w:tcPr>
            <w:tcW w:w="4543" w:type="dxa"/>
          </w:tcPr>
          <w:p w:rsidR="00000000" w:rsidRDefault="001F233B">
            <w:pPr>
              <w:jc w:val="right"/>
              <w:rPr>
                <w:rFonts w:ascii="Arial" w:hAnsi="Arial"/>
                <w:b/>
                <w:color w:val="000000"/>
                <w:sz w:val="18"/>
              </w:rPr>
            </w:pPr>
          </w:p>
        </w:tc>
        <w:tc>
          <w:tcPr>
            <w:tcW w:w="1302" w:type="dxa"/>
          </w:tcPr>
          <w:p w:rsidR="00000000" w:rsidRDefault="001F233B">
            <w:pPr>
              <w:jc w:val="right"/>
              <w:rPr>
                <w:rFonts w:ascii="Arial" w:hAnsi="Arial"/>
                <w:b/>
                <w:color w:val="000000"/>
                <w:sz w:val="18"/>
              </w:rPr>
            </w:pPr>
          </w:p>
        </w:tc>
        <w:tc>
          <w:tcPr>
            <w:tcW w:w="1302" w:type="dxa"/>
          </w:tcPr>
          <w:p w:rsidR="00000000" w:rsidRDefault="001F233B">
            <w:pPr>
              <w:jc w:val="right"/>
              <w:rPr>
                <w:rFonts w:ascii="Arial" w:hAnsi="Arial"/>
                <w:b/>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Transport</w:t>
            </w:r>
            <w:r>
              <w:rPr>
                <w:rFonts w:ascii="Arial" w:hAnsi="Arial"/>
                <w:b/>
                <w:color w:val="000000"/>
                <w:sz w:val="18"/>
              </w:rPr>
              <w:fldChar w:fldCharType="begin"/>
            </w:r>
            <w:r>
              <w:rPr>
                <w:rFonts w:ascii="Arial" w:hAnsi="Arial"/>
                <w:b/>
                <w:color w:val="000000"/>
                <w:sz w:val="18"/>
              </w:rPr>
              <w:instrText>xe "Transport"</w:instrText>
            </w:r>
            <w:r>
              <w:rPr>
                <w:rFonts w:ascii="Arial" w:hAnsi="Arial"/>
                <w:b/>
                <w:color w:val="000000"/>
                <w:sz w:val="18"/>
              </w:rPr>
              <w:fldChar w:fldCharType="end"/>
            </w:r>
            <w:r>
              <w:rPr>
                <w:rFonts w:ascii="Arial" w:hAnsi="Arial"/>
                <w:b/>
                <w:color w:val="000000"/>
                <w:sz w:val="18"/>
              </w:rPr>
              <w:t xml:space="preserve"> &amp; Communication</w:t>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Current outlays</w:t>
            </w:r>
            <w:r>
              <w:rPr>
                <w:rFonts w:ascii="Arial" w:hAnsi="Arial"/>
                <w:color w:val="000000"/>
                <w:sz w:val="18"/>
              </w:rPr>
              <w:fldChar w:fldCharType="begin"/>
            </w:r>
            <w:r>
              <w:rPr>
                <w:rFonts w:ascii="Arial" w:hAnsi="Arial"/>
                <w:color w:val="000000"/>
                <w:sz w:val="18"/>
              </w:rPr>
              <w:instrText>xe "Current outlays"</w:instrText>
            </w:r>
            <w:r>
              <w:rPr>
                <w:rFonts w:ascii="Arial" w:hAnsi="Arial"/>
                <w:color w:val="000000"/>
                <w:sz w:val="18"/>
              </w:rPr>
              <w:fldChar w:fldCharType="end"/>
            </w:r>
          </w:p>
        </w:tc>
        <w:tc>
          <w:tcPr>
            <w:tcW w:w="1302" w:type="dxa"/>
          </w:tcPr>
          <w:p w:rsidR="00000000" w:rsidRDefault="001F233B">
            <w:pPr>
              <w:jc w:val="right"/>
              <w:rPr>
                <w:rFonts w:ascii="Arial" w:hAnsi="Arial"/>
                <w:color w:val="000000"/>
                <w:sz w:val="18"/>
              </w:rPr>
            </w:pPr>
            <w:r>
              <w:rPr>
                <w:rFonts w:ascii="Arial" w:hAnsi="Arial"/>
                <w:color w:val="000000"/>
                <w:sz w:val="18"/>
              </w:rPr>
              <w:t xml:space="preserve"> 733.0</w:t>
            </w:r>
          </w:p>
        </w:tc>
        <w:tc>
          <w:tcPr>
            <w:tcW w:w="1302" w:type="dxa"/>
          </w:tcPr>
          <w:p w:rsidR="00000000" w:rsidRDefault="001F233B">
            <w:pPr>
              <w:jc w:val="right"/>
              <w:rPr>
                <w:rFonts w:ascii="Arial" w:hAnsi="Arial"/>
                <w:color w:val="000000"/>
                <w:sz w:val="18"/>
              </w:rPr>
            </w:pPr>
            <w:r>
              <w:rPr>
                <w:rFonts w:ascii="Arial" w:hAnsi="Arial"/>
                <w:color w:val="000000"/>
                <w:sz w:val="18"/>
              </w:rPr>
              <w:t xml:space="preserve"> 883.3</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Capital outlays</w:t>
            </w:r>
          </w:p>
        </w:tc>
        <w:tc>
          <w:tcPr>
            <w:tcW w:w="1302" w:type="dxa"/>
          </w:tcPr>
          <w:p w:rsidR="00000000" w:rsidRDefault="001F233B">
            <w:pPr>
              <w:jc w:val="right"/>
              <w:rPr>
                <w:rFonts w:ascii="Arial" w:hAnsi="Arial"/>
                <w:color w:val="000000"/>
                <w:sz w:val="18"/>
              </w:rPr>
            </w:pPr>
            <w:r>
              <w:rPr>
                <w:rFonts w:ascii="Arial" w:hAnsi="Arial"/>
                <w:color w:val="000000"/>
                <w:sz w:val="18"/>
              </w:rPr>
              <w:t>750.2</w:t>
            </w:r>
          </w:p>
        </w:tc>
        <w:tc>
          <w:tcPr>
            <w:tcW w:w="1302" w:type="dxa"/>
          </w:tcPr>
          <w:p w:rsidR="00000000" w:rsidRDefault="001F233B">
            <w:pPr>
              <w:jc w:val="right"/>
              <w:rPr>
                <w:rFonts w:ascii="Arial" w:hAnsi="Arial"/>
                <w:color w:val="000000"/>
                <w:sz w:val="18"/>
              </w:rPr>
            </w:pPr>
            <w:r>
              <w:rPr>
                <w:rFonts w:ascii="Arial" w:hAnsi="Arial"/>
                <w:color w:val="000000"/>
                <w:sz w:val="18"/>
              </w:rPr>
              <w:t>700.2</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Total</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1 483.2</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1 583.5</w:t>
            </w:r>
          </w:p>
        </w:tc>
      </w:tr>
      <w:tr w:rsidR="00000000">
        <w:tblPrEx>
          <w:tblCellMar>
            <w:top w:w="0" w:type="dxa"/>
            <w:bottom w:w="0" w:type="dxa"/>
          </w:tblCellMar>
        </w:tblPrEx>
        <w:trPr>
          <w:trHeight w:hRule="exact" w:val="240"/>
        </w:trPr>
        <w:tc>
          <w:tcPr>
            <w:tcW w:w="4543"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Other Economic Affairs</w:t>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Current outlays</w:t>
            </w:r>
            <w:r>
              <w:rPr>
                <w:rFonts w:ascii="Arial" w:hAnsi="Arial"/>
                <w:color w:val="000000"/>
                <w:sz w:val="18"/>
              </w:rPr>
              <w:fldChar w:fldCharType="begin"/>
            </w:r>
            <w:r>
              <w:rPr>
                <w:rFonts w:ascii="Arial" w:hAnsi="Arial"/>
                <w:color w:val="000000"/>
                <w:sz w:val="18"/>
              </w:rPr>
              <w:instrText xml:space="preserve">xe </w:instrText>
            </w:r>
            <w:r>
              <w:rPr>
                <w:rFonts w:ascii="Arial" w:hAnsi="Arial"/>
                <w:color w:val="000000"/>
                <w:sz w:val="18"/>
              </w:rPr>
              <w:instrText>"Current outlays"</w:instrText>
            </w:r>
            <w:r>
              <w:rPr>
                <w:rFonts w:ascii="Arial" w:hAnsi="Arial"/>
                <w:color w:val="000000"/>
                <w:sz w:val="18"/>
              </w:rPr>
              <w:fldChar w:fldCharType="end"/>
            </w:r>
          </w:p>
        </w:tc>
        <w:tc>
          <w:tcPr>
            <w:tcW w:w="1302" w:type="dxa"/>
          </w:tcPr>
          <w:p w:rsidR="00000000" w:rsidRDefault="001F233B">
            <w:pPr>
              <w:jc w:val="right"/>
              <w:rPr>
                <w:rFonts w:ascii="Arial" w:hAnsi="Arial"/>
                <w:color w:val="000000"/>
                <w:sz w:val="18"/>
              </w:rPr>
            </w:pPr>
            <w:r>
              <w:rPr>
                <w:rFonts w:ascii="Arial" w:hAnsi="Arial"/>
                <w:color w:val="000000"/>
                <w:sz w:val="18"/>
              </w:rPr>
              <w:t xml:space="preserve"> 178.0</w:t>
            </w:r>
          </w:p>
        </w:tc>
        <w:tc>
          <w:tcPr>
            <w:tcW w:w="1302" w:type="dxa"/>
          </w:tcPr>
          <w:p w:rsidR="00000000" w:rsidRDefault="001F233B">
            <w:pPr>
              <w:jc w:val="right"/>
              <w:rPr>
                <w:rFonts w:ascii="Arial" w:hAnsi="Arial"/>
                <w:color w:val="000000"/>
                <w:sz w:val="18"/>
              </w:rPr>
            </w:pPr>
            <w:r>
              <w:rPr>
                <w:rFonts w:ascii="Arial" w:hAnsi="Arial"/>
                <w:color w:val="000000"/>
                <w:sz w:val="18"/>
              </w:rPr>
              <w:t xml:space="preserve"> 124.3</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Capital outlays</w:t>
            </w:r>
          </w:p>
        </w:tc>
        <w:tc>
          <w:tcPr>
            <w:tcW w:w="1302" w:type="dxa"/>
          </w:tcPr>
          <w:p w:rsidR="00000000" w:rsidRDefault="001F233B">
            <w:pPr>
              <w:jc w:val="right"/>
              <w:rPr>
                <w:rFonts w:ascii="Arial" w:hAnsi="Arial"/>
                <w:color w:val="000000"/>
                <w:sz w:val="18"/>
              </w:rPr>
            </w:pPr>
            <w:r>
              <w:rPr>
                <w:rFonts w:ascii="Arial" w:hAnsi="Arial"/>
                <w:color w:val="000000"/>
                <w:sz w:val="18"/>
              </w:rPr>
              <w:t>18.0</w:t>
            </w:r>
          </w:p>
        </w:tc>
        <w:tc>
          <w:tcPr>
            <w:tcW w:w="1302" w:type="dxa"/>
          </w:tcPr>
          <w:p w:rsidR="00000000" w:rsidRDefault="001F233B">
            <w:pPr>
              <w:jc w:val="right"/>
              <w:rPr>
                <w:rFonts w:ascii="Arial" w:hAnsi="Arial"/>
                <w:color w:val="000000"/>
                <w:sz w:val="18"/>
              </w:rPr>
            </w:pPr>
            <w:r>
              <w:rPr>
                <w:rFonts w:ascii="Arial" w:hAnsi="Arial"/>
                <w:color w:val="000000"/>
                <w:sz w:val="18"/>
              </w:rPr>
              <w:t>19.5</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Total</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196.0</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 xml:space="preserve"> 143.9</w:t>
            </w:r>
          </w:p>
        </w:tc>
      </w:tr>
      <w:tr w:rsidR="00000000">
        <w:tblPrEx>
          <w:tblCellMar>
            <w:top w:w="0" w:type="dxa"/>
            <w:bottom w:w="0" w:type="dxa"/>
          </w:tblCellMar>
        </w:tblPrEx>
        <w:trPr>
          <w:trHeight w:hRule="exact" w:val="240"/>
        </w:trPr>
        <w:tc>
          <w:tcPr>
            <w:tcW w:w="4543" w:type="dxa"/>
          </w:tcPr>
          <w:p w:rsidR="00000000" w:rsidRDefault="001F233B">
            <w:pPr>
              <w:jc w:val="right"/>
              <w:rPr>
                <w:rFonts w:ascii="Arial" w:hAnsi="Arial"/>
                <w:b/>
                <w:color w:val="000000"/>
                <w:sz w:val="18"/>
              </w:rPr>
            </w:pPr>
          </w:p>
        </w:tc>
        <w:tc>
          <w:tcPr>
            <w:tcW w:w="1302" w:type="dxa"/>
          </w:tcPr>
          <w:p w:rsidR="00000000" w:rsidRDefault="001F233B">
            <w:pPr>
              <w:jc w:val="right"/>
              <w:rPr>
                <w:rFonts w:ascii="Arial" w:hAnsi="Arial"/>
                <w:b/>
                <w:color w:val="000000"/>
                <w:sz w:val="18"/>
              </w:rPr>
            </w:pPr>
          </w:p>
        </w:tc>
        <w:tc>
          <w:tcPr>
            <w:tcW w:w="1302" w:type="dxa"/>
          </w:tcPr>
          <w:p w:rsidR="00000000" w:rsidRDefault="001F233B">
            <w:pPr>
              <w:jc w:val="right"/>
              <w:rPr>
                <w:rFonts w:ascii="Arial" w:hAnsi="Arial"/>
                <w:b/>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Other Purposes</w:t>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Current outlays</w:t>
            </w:r>
            <w:r>
              <w:rPr>
                <w:rFonts w:ascii="Arial" w:hAnsi="Arial"/>
                <w:color w:val="000000"/>
                <w:sz w:val="18"/>
              </w:rPr>
              <w:fldChar w:fldCharType="begin"/>
            </w:r>
            <w:r>
              <w:rPr>
                <w:rFonts w:ascii="Arial" w:hAnsi="Arial"/>
                <w:color w:val="000000"/>
                <w:sz w:val="18"/>
              </w:rPr>
              <w:instrText>xe "Current outlays"</w:instrText>
            </w:r>
            <w:r>
              <w:rPr>
                <w:rFonts w:ascii="Arial" w:hAnsi="Arial"/>
                <w:color w:val="000000"/>
                <w:sz w:val="18"/>
              </w:rPr>
              <w:fldChar w:fldCharType="end"/>
            </w:r>
          </w:p>
        </w:tc>
        <w:tc>
          <w:tcPr>
            <w:tcW w:w="1302" w:type="dxa"/>
          </w:tcPr>
          <w:p w:rsidR="00000000" w:rsidRDefault="001F233B">
            <w:pPr>
              <w:jc w:val="right"/>
              <w:rPr>
                <w:rFonts w:ascii="Arial" w:hAnsi="Arial"/>
                <w:color w:val="000000"/>
                <w:sz w:val="18"/>
              </w:rPr>
            </w:pPr>
          </w:p>
        </w:tc>
        <w:tc>
          <w:tcPr>
            <w:tcW w:w="1302" w:type="dxa"/>
          </w:tcPr>
          <w:p w:rsidR="00000000" w:rsidRDefault="001F233B">
            <w:pPr>
              <w:jc w:val="right"/>
              <w:rPr>
                <w:rFonts w:ascii="Arial" w:hAnsi="Arial"/>
                <w:color w:val="000000"/>
                <w:sz w:val="18"/>
              </w:rPr>
            </w:pP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 xml:space="preserve">      Public debt - including interest</w:t>
            </w:r>
          </w:p>
        </w:tc>
        <w:tc>
          <w:tcPr>
            <w:tcW w:w="1302" w:type="dxa"/>
          </w:tcPr>
          <w:p w:rsidR="00000000" w:rsidRDefault="001F233B">
            <w:pPr>
              <w:jc w:val="right"/>
              <w:rPr>
                <w:rFonts w:ascii="Arial" w:hAnsi="Arial"/>
                <w:color w:val="000000"/>
                <w:sz w:val="18"/>
              </w:rPr>
            </w:pPr>
            <w:r>
              <w:rPr>
                <w:rFonts w:ascii="Arial" w:hAnsi="Arial"/>
                <w:color w:val="000000"/>
                <w:sz w:val="18"/>
              </w:rPr>
              <w:t>1 600.9</w:t>
            </w:r>
          </w:p>
        </w:tc>
        <w:tc>
          <w:tcPr>
            <w:tcW w:w="1302" w:type="dxa"/>
          </w:tcPr>
          <w:p w:rsidR="00000000" w:rsidRDefault="001F233B">
            <w:pPr>
              <w:jc w:val="right"/>
              <w:rPr>
                <w:rFonts w:ascii="Arial" w:hAnsi="Arial"/>
                <w:color w:val="000000"/>
                <w:sz w:val="18"/>
              </w:rPr>
            </w:pPr>
            <w:r>
              <w:rPr>
                <w:rFonts w:ascii="Arial" w:hAnsi="Arial"/>
                <w:color w:val="000000"/>
                <w:sz w:val="18"/>
              </w:rPr>
              <w:t>1 177.5</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 xml:space="preserve">      Other</w:t>
            </w:r>
          </w:p>
        </w:tc>
        <w:tc>
          <w:tcPr>
            <w:tcW w:w="1302" w:type="dxa"/>
          </w:tcPr>
          <w:p w:rsidR="00000000" w:rsidRDefault="001F233B">
            <w:pPr>
              <w:jc w:val="right"/>
              <w:rPr>
                <w:rFonts w:ascii="Arial" w:hAnsi="Arial"/>
                <w:color w:val="000000"/>
                <w:sz w:val="18"/>
              </w:rPr>
            </w:pPr>
            <w:r>
              <w:rPr>
                <w:rFonts w:ascii="Arial" w:hAnsi="Arial"/>
                <w:color w:val="000000"/>
                <w:sz w:val="18"/>
              </w:rPr>
              <w:t xml:space="preserve"> 516.5</w:t>
            </w:r>
          </w:p>
        </w:tc>
        <w:tc>
          <w:tcPr>
            <w:tcW w:w="1302" w:type="dxa"/>
          </w:tcPr>
          <w:p w:rsidR="00000000" w:rsidRDefault="001F233B">
            <w:pPr>
              <w:jc w:val="right"/>
              <w:rPr>
                <w:rFonts w:ascii="Arial" w:hAnsi="Arial"/>
                <w:color w:val="000000"/>
                <w:sz w:val="18"/>
              </w:rPr>
            </w:pPr>
            <w:r>
              <w:rPr>
                <w:rFonts w:ascii="Arial" w:hAnsi="Arial"/>
                <w:color w:val="000000"/>
                <w:sz w:val="18"/>
              </w:rPr>
              <w:t xml:space="preserve"> 275.6</w:t>
            </w:r>
          </w:p>
        </w:tc>
      </w:tr>
      <w:tr w:rsidR="00000000">
        <w:tblPrEx>
          <w:tblCellMar>
            <w:top w:w="0" w:type="dxa"/>
            <w:bottom w:w="0" w:type="dxa"/>
          </w:tblCellMar>
        </w:tblPrEx>
        <w:trPr>
          <w:trHeight w:hRule="exact" w:val="240"/>
        </w:trPr>
        <w:tc>
          <w:tcPr>
            <w:tcW w:w="4543" w:type="dxa"/>
          </w:tcPr>
          <w:p w:rsidR="00000000" w:rsidRDefault="001F233B">
            <w:pPr>
              <w:rPr>
                <w:rFonts w:ascii="Arial" w:hAnsi="Arial"/>
                <w:color w:val="000000"/>
                <w:sz w:val="18"/>
              </w:rPr>
            </w:pPr>
            <w:r>
              <w:rPr>
                <w:rFonts w:ascii="Arial" w:hAnsi="Arial"/>
                <w:color w:val="000000"/>
                <w:sz w:val="18"/>
              </w:rPr>
              <w:t>Capital outlays</w:t>
            </w:r>
          </w:p>
        </w:tc>
        <w:tc>
          <w:tcPr>
            <w:tcW w:w="1302" w:type="dxa"/>
          </w:tcPr>
          <w:p w:rsidR="00000000" w:rsidRDefault="001F233B">
            <w:pPr>
              <w:jc w:val="right"/>
              <w:rPr>
                <w:rFonts w:ascii="Arial" w:hAnsi="Arial"/>
                <w:color w:val="000000"/>
                <w:sz w:val="18"/>
              </w:rPr>
            </w:pPr>
            <w:r>
              <w:rPr>
                <w:rFonts w:ascii="Arial" w:hAnsi="Arial"/>
                <w:color w:val="000000"/>
                <w:sz w:val="18"/>
              </w:rPr>
              <w:t>-1.5</w:t>
            </w:r>
          </w:p>
        </w:tc>
        <w:tc>
          <w:tcPr>
            <w:tcW w:w="1302" w:type="dxa"/>
          </w:tcPr>
          <w:p w:rsidR="00000000" w:rsidRDefault="001F233B">
            <w:pPr>
              <w:jc w:val="right"/>
              <w:rPr>
                <w:rFonts w:ascii="Arial" w:hAnsi="Arial"/>
                <w:color w:val="000000"/>
                <w:sz w:val="18"/>
              </w:rPr>
            </w:pPr>
            <w:r>
              <w:rPr>
                <w:rFonts w:ascii="Arial" w:hAnsi="Arial"/>
                <w:color w:val="000000"/>
                <w:sz w:val="18"/>
              </w:rPr>
              <w:t>-102.5</w:t>
            </w:r>
          </w:p>
        </w:tc>
      </w:tr>
      <w:tr w:rsidR="00000000">
        <w:tblPrEx>
          <w:tblCellMar>
            <w:top w:w="0" w:type="dxa"/>
            <w:bottom w:w="0" w:type="dxa"/>
          </w:tblCellMar>
        </w:tblPrEx>
        <w:trPr>
          <w:trHeight w:hRule="exact" w:val="240"/>
        </w:trPr>
        <w:tc>
          <w:tcPr>
            <w:tcW w:w="4543" w:type="dxa"/>
          </w:tcPr>
          <w:p w:rsidR="00000000" w:rsidRDefault="001F233B">
            <w:pPr>
              <w:rPr>
                <w:rFonts w:ascii="Arial" w:hAnsi="Arial"/>
                <w:b/>
                <w:color w:val="000000"/>
                <w:sz w:val="18"/>
              </w:rPr>
            </w:pPr>
            <w:r>
              <w:rPr>
                <w:rFonts w:ascii="Arial" w:hAnsi="Arial"/>
                <w:b/>
                <w:color w:val="000000"/>
                <w:sz w:val="18"/>
              </w:rPr>
              <w:t>Total</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2 115.9</w:t>
            </w:r>
          </w:p>
        </w:tc>
        <w:tc>
          <w:tcPr>
            <w:tcW w:w="1302" w:type="dxa"/>
            <w:tcBorders>
              <w:top w:val="single" w:sz="6" w:space="0" w:color="auto"/>
            </w:tcBorders>
          </w:tcPr>
          <w:p w:rsidR="00000000" w:rsidRDefault="001F233B">
            <w:pPr>
              <w:jc w:val="right"/>
              <w:rPr>
                <w:rFonts w:ascii="Arial" w:hAnsi="Arial"/>
                <w:b/>
                <w:color w:val="000000"/>
                <w:sz w:val="18"/>
              </w:rPr>
            </w:pPr>
            <w:r>
              <w:rPr>
                <w:rFonts w:ascii="Arial" w:hAnsi="Arial"/>
                <w:b/>
                <w:color w:val="000000"/>
                <w:sz w:val="18"/>
              </w:rPr>
              <w:t>1 350.5</w:t>
            </w:r>
          </w:p>
        </w:tc>
      </w:tr>
      <w:tr w:rsidR="00000000">
        <w:tblPrEx>
          <w:tblCellMar>
            <w:top w:w="0" w:type="dxa"/>
            <w:bottom w:w="0" w:type="dxa"/>
          </w:tblCellMar>
        </w:tblPrEx>
        <w:trPr>
          <w:trHeight w:hRule="exact" w:val="240"/>
        </w:trPr>
        <w:tc>
          <w:tcPr>
            <w:tcW w:w="4543" w:type="dxa"/>
          </w:tcPr>
          <w:p w:rsidR="00000000" w:rsidRDefault="001F233B">
            <w:pPr>
              <w:jc w:val="right"/>
              <w:rPr>
                <w:rFonts w:ascii="Arial" w:hAnsi="Arial"/>
                <w:b/>
                <w:color w:val="000000"/>
                <w:sz w:val="18"/>
              </w:rPr>
            </w:pPr>
          </w:p>
        </w:tc>
        <w:tc>
          <w:tcPr>
            <w:tcW w:w="1302" w:type="dxa"/>
            <w:tcBorders>
              <w:top w:val="single" w:sz="6" w:space="0" w:color="auto"/>
            </w:tcBorders>
          </w:tcPr>
          <w:p w:rsidR="00000000" w:rsidRDefault="001F233B">
            <w:pPr>
              <w:jc w:val="right"/>
              <w:rPr>
                <w:rFonts w:ascii="Arial" w:hAnsi="Arial"/>
                <w:b/>
                <w:color w:val="000000"/>
                <w:sz w:val="18"/>
              </w:rPr>
            </w:pPr>
          </w:p>
        </w:tc>
        <w:tc>
          <w:tcPr>
            <w:tcW w:w="1302" w:type="dxa"/>
            <w:tcBorders>
              <w:top w:val="single" w:sz="6" w:space="0" w:color="auto"/>
            </w:tcBorders>
          </w:tcPr>
          <w:p w:rsidR="00000000" w:rsidRDefault="001F233B">
            <w:pPr>
              <w:jc w:val="right"/>
              <w:rPr>
                <w:rFonts w:ascii="Arial" w:hAnsi="Arial"/>
                <w:b/>
                <w:color w:val="000000"/>
                <w:sz w:val="18"/>
              </w:rPr>
            </w:pPr>
          </w:p>
        </w:tc>
      </w:tr>
      <w:tr w:rsidR="00000000">
        <w:tblPrEx>
          <w:tblCellMar>
            <w:top w:w="0" w:type="dxa"/>
            <w:bottom w:w="0" w:type="dxa"/>
          </w:tblCellMar>
        </w:tblPrEx>
        <w:trPr>
          <w:trHeight w:hRule="exact" w:val="240"/>
        </w:trPr>
        <w:tc>
          <w:tcPr>
            <w:tcW w:w="4543" w:type="dxa"/>
            <w:tcBorders>
              <w:bottom w:val="single" w:sz="12" w:space="0" w:color="auto"/>
            </w:tcBorders>
          </w:tcPr>
          <w:p w:rsidR="00000000" w:rsidRDefault="001F233B">
            <w:pPr>
              <w:rPr>
                <w:rFonts w:ascii="Arial" w:hAnsi="Arial"/>
                <w:b/>
                <w:color w:val="000000"/>
                <w:sz w:val="18"/>
              </w:rPr>
            </w:pPr>
            <w:r>
              <w:rPr>
                <w:rFonts w:ascii="Arial" w:hAnsi="Arial"/>
                <w:b/>
                <w:color w:val="000000"/>
                <w:sz w:val="18"/>
              </w:rPr>
              <w:t xml:space="preserve">TOTAL OUTLAYS STATE PUBLIC SECTOR </w:t>
            </w:r>
          </w:p>
        </w:tc>
        <w:tc>
          <w:tcPr>
            <w:tcW w:w="1302" w:type="dxa"/>
            <w:tcBorders>
              <w:top w:val="single" w:sz="6" w:space="0" w:color="auto"/>
              <w:bottom w:val="single" w:sz="12" w:space="0" w:color="auto"/>
            </w:tcBorders>
          </w:tcPr>
          <w:p w:rsidR="00000000" w:rsidRDefault="001F233B">
            <w:pPr>
              <w:jc w:val="right"/>
              <w:rPr>
                <w:rFonts w:ascii="Arial" w:hAnsi="Arial"/>
                <w:b/>
                <w:color w:val="000000"/>
                <w:sz w:val="18"/>
              </w:rPr>
            </w:pPr>
            <w:r>
              <w:rPr>
                <w:rFonts w:ascii="Arial" w:hAnsi="Arial"/>
                <w:b/>
                <w:color w:val="000000"/>
                <w:sz w:val="18"/>
              </w:rPr>
              <w:t>14 328.7</w:t>
            </w:r>
          </w:p>
        </w:tc>
        <w:tc>
          <w:tcPr>
            <w:tcW w:w="1302" w:type="dxa"/>
            <w:tcBorders>
              <w:top w:val="single" w:sz="6" w:space="0" w:color="auto"/>
              <w:bottom w:val="single" w:sz="12" w:space="0" w:color="auto"/>
            </w:tcBorders>
          </w:tcPr>
          <w:p w:rsidR="00000000" w:rsidRDefault="001F233B">
            <w:pPr>
              <w:jc w:val="right"/>
              <w:rPr>
                <w:rFonts w:ascii="Arial" w:hAnsi="Arial"/>
                <w:b/>
                <w:color w:val="000000"/>
                <w:sz w:val="18"/>
              </w:rPr>
            </w:pPr>
            <w:r>
              <w:rPr>
                <w:rFonts w:ascii="Arial" w:hAnsi="Arial"/>
                <w:b/>
                <w:color w:val="000000"/>
                <w:sz w:val="18"/>
              </w:rPr>
              <w:t>18 626.8</w:t>
            </w:r>
          </w:p>
        </w:tc>
      </w:tr>
    </w:tbl>
    <w:p w:rsidR="00000000" w:rsidRDefault="001F233B">
      <w:pPr>
        <w:pStyle w:val="Source"/>
      </w:pPr>
      <w:r>
        <w:t>Source: Department of Treasury and Finance.</w:t>
      </w:r>
    </w:p>
    <w:p w:rsidR="00000000" w:rsidRDefault="001F233B">
      <w:pPr>
        <w:spacing w:after="0"/>
        <w:jc w:val="center"/>
        <w:rPr>
          <w:sz w:val="18"/>
        </w:rPr>
        <w:sectPr w:rsidR="00000000">
          <w:footerReference w:type="even" r:id="rId106"/>
          <w:footerReference w:type="default" r:id="rId107"/>
          <w:type w:val="oddPage"/>
          <w:pgSz w:w="11907" w:h="16840" w:code="9"/>
          <w:pgMar w:top="1418" w:right="3402" w:bottom="4082" w:left="1418" w:header="720" w:footer="4253" w:gutter="0"/>
          <w:cols w:space="720"/>
        </w:sectPr>
      </w:pPr>
    </w:p>
    <w:p w:rsidR="00000000" w:rsidRDefault="001F233B">
      <w:pPr>
        <w:sectPr w:rsidR="00000000">
          <w:footerReference w:type="even" r:id="rId108"/>
          <w:footerReference w:type="default" r:id="rId109"/>
          <w:type w:val="continuous"/>
          <w:pgSz w:w="11907" w:h="16840" w:code="9"/>
          <w:pgMar w:top="1440" w:right="3402" w:bottom="4082" w:left="1418" w:header="720" w:footer="4253" w:gutter="0"/>
          <w:cols w:space="720"/>
        </w:sectPr>
      </w:pPr>
    </w:p>
    <w:p w:rsidR="00000000" w:rsidRDefault="001F233B">
      <w:pPr>
        <w:pStyle w:val="Heading1"/>
      </w:pPr>
      <w:bookmarkStart w:id="241" w:name="_Toc417552128"/>
      <w:r>
        <w:t>Appendix C: Victoria’s Nominated 1998</w:t>
      </w:r>
      <w:r>
        <w:noBreakHyphen/>
        <w:t>99 Loan Council Allocation</w:t>
      </w:r>
      <w:bookmarkEnd w:id="241"/>
    </w:p>
    <w:p w:rsidR="00000000" w:rsidRDefault="001F233B">
      <w:r>
        <w:t>Table C1, Loan Council Allocation (LCA), compares Victoria’s 19</w:t>
      </w:r>
      <w:r>
        <w:t>98</w:t>
      </w:r>
      <w:r>
        <w:noBreakHyphen/>
        <w:t>99 LCA nomination with the revised LCA based on the 1998</w:t>
      </w:r>
      <w:r>
        <w:noBreakHyphen/>
        <w:t>99 Budget estimates.</w:t>
      </w:r>
    </w:p>
    <w:p w:rsidR="00000000" w:rsidRDefault="001F233B">
      <w:r>
        <w:t>The 1998</w:t>
      </w:r>
      <w:r>
        <w:noBreakHyphen/>
        <w:t>99 General Government sector surplus and PTE sector net financing requirement do not provide for any future privatisations. If further privatisations were to occur in 1998</w:t>
      </w:r>
      <w:r>
        <w:noBreakHyphen/>
        <w:t>99 Victoria may breach the tolerance limit of $353 million applying to its nominated 1998</w:t>
      </w:r>
      <w:r>
        <w:noBreakHyphen/>
        <w:t>99 LCA. Loan Council will be notified, in line with Loan Council Reporting Arrangements, if a breach of tolerance limits is expected.</w:t>
      </w:r>
    </w:p>
    <w:p w:rsidR="00000000" w:rsidRDefault="001F233B">
      <w:r>
        <w:t>It should be noted that Vi</w:t>
      </w:r>
      <w:r>
        <w:t>ctoria expects to favourably exceed the tolerance limit applying to its 1997</w:t>
      </w:r>
      <w:r>
        <w:noBreakHyphen/>
        <w:t>98 LCA mainly due to the sale of PowerNet Victoria</w:t>
      </w:r>
      <w:r>
        <w:fldChar w:fldCharType="begin"/>
      </w:r>
      <w:r>
        <w:instrText>xe "Power Net Victoria"</w:instrText>
      </w:r>
      <w:r>
        <w:fldChar w:fldCharType="end"/>
      </w:r>
      <w:r>
        <w:t xml:space="preserve"> for $2.555 billion (excluding licence fees) in October 1997 and the sale of Southern Hydro</w:t>
      </w:r>
      <w:r>
        <w:fldChar w:fldCharType="begin"/>
      </w:r>
      <w:r>
        <w:instrText>xe "Southern Hydro"</w:instrText>
      </w:r>
      <w:r>
        <w:fldChar w:fldCharType="end"/>
      </w:r>
      <w:r>
        <w:t xml:space="preserve"> Limited in November 1997 for $391 million. Victoria’s 1997</w:t>
      </w:r>
      <w:r>
        <w:noBreakHyphen/>
        <w:t>98 LCA outcome will be published in a separate outcomes report after the end of the 1997</w:t>
      </w:r>
      <w:r>
        <w:noBreakHyphen/>
        <w:t>98 financial year in line with the Uniform Presentation Framework.</w:t>
      </w:r>
    </w:p>
    <w:p w:rsidR="00000000" w:rsidRDefault="001F233B">
      <w:r>
        <w:t>Listed below are details of Vict</w:t>
      </w:r>
      <w:r>
        <w:t>oria’s Infrastructure</w:t>
      </w:r>
      <w:r>
        <w:fldChar w:fldCharType="begin"/>
      </w:r>
      <w:r>
        <w:instrText>xe "Economy:Infrastructure"</w:instrText>
      </w:r>
      <w:r>
        <w:fldChar w:fldCharType="end"/>
      </w:r>
      <w:r>
        <w:t xml:space="preserve"> Projects with Private Sector Involvement where contracts are expected to be signed in the 1998</w:t>
      </w:r>
      <w:r>
        <w:noBreakHyphen/>
        <w:t>99 financial year.</w:t>
      </w:r>
    </w:p>
    <w:p w:rsidR="00000000" w:rsidRDefault="001F233B">
      <w:r>
        <w:t>In line with the current Loan Council guidelines for the treatment of such projects, the termination liabilities as measured by the Government’s contingent exposure, are to be included as a footnote to the LCA.</w:t>
      </w:r>
    </w:p>
    <w:p w:rsidR="00000000" w:rsidRDefault="001F233B">
      <w:r>
        <w:t>As the following projects are still in development stage, full details about the extent and nature of actual payments, forward commitmen</w:t>
      </w:r>
      <w:r>
        <w:t>ts and contingent liabilities associated with the projects cannot be provided at this stage, but will be included in the 1998</w:t>
      </w:r>
      <w:r>
        <w:noBreakHyphen/>
        <w:t>99 LCA outcome.</w:t>
      </w:r>
    </w:p>
    <w:p w:rsidR="00000000" w:rsidRDefault="001F233B"/>
    <w:p w:rsidR="00000000" w:rsidRDefault="001F233B">
      <w:pPr>
        <w:pStyle w:val="Tableheading"/>
      </w:pPr>
      <w:bookmarkStart w:id="242" w:name="_Toc417120014"/>
      <w:r>
        <w:br w:type="page"/>
      </w:r>
      <w:bookmarkStart w:id="243" w:name="_Toc417552780"/>
      <w:r>
        <w:t>Table C1 : Loan Council Allocation</w:t>
      </w:r>
      <w:bookmarkEnd w:id="242"/>
      <w:bookmarkEnd w:id="243"/>
    </w:p>
    <w:p w:rsidR="00000000" w:rsidRDefault="001F233B">
      <w:pPr>
        <w:tabs>
          <w:tab w:val="left" w:pos="4440"/>
          <w:tab w:val="left" w:pos="6197"/>
          <w:tab w:val="left" w:pos="6780"/>
        </w:tabs>
        <w:spacing w:after="0"/>
        <w:jc w:val="center"/>
        <w:rPr>
          <w:rFonts w:ascii="Arial" w:hAnsi="Arial"/>
          <w:color w:val="000000"/>
          <w:sz w:val="20"/>
          <w:lang w:val="en-US"/>
        </w:rPr>
      </w:pPr>
      <w:r>
        <w:rPr>
          <w:rFonts w:ascii="Arial" w:hAnsi="Arial"/>
          <w:i/>
          <w:color w:val="000000"/>
          <w:sz w:val="20"/>
          <w:lang w:val="en-US"/>
        </w:rPr>
        <w:t>($ million)</w:t>
      </w:r>
    </w:p>
    <w:tbl>
      <w:tblPr>
        <w:tblW w:w="0" w:type="auto"/>
        <w:tblLayout w:type="fixed"/>
        <w:tblCellMar>
          <w:left w:w="30" w:type="dxa"/>
          <w:right w:w="30" w:type="dxa"/>
        </w:tblCellMar>
        <w:tblLook w:val="0000" w:firstRow="0" w:lastRow="0" w:firstColumn="0" w:lastColumn="0" w:noHBand="0" w:noVBand="0"/>
      </w:tblPr>
      <w:tblGrid>
        <w:gridCol w:w="4890"/>
        <w:gridCol w:w="1170"/>
        <w:gridCol w:w="1080"/>
      </w:tblGrid>
      <w:tr w:rsidR="00000000">
        <w:tblPrEx>
          <w:tblCellMar>
            <w:top w:w="0" w:type="dxa"/>
            <w:bottom w:w="0" w:type="dxa"/>
          </w:tblCellMar>
        </w:tblPrEx>
        <w:trPr>
          <w:trHeight w:val="250"/>
        </w:trPr>
        <w:tc>
          <w:tcPr>
            <w:tcW w:w="4890" w:type="dxa"/>
            <w:tcBorders>
              <w:top w:val="single" w:sz="6" w:space="0" w:color="auto"/>
            </w:tcBorders>
          </w:tcPr>
          <w:p w:rsidR="00000000" w:rsidRDefault="001F233B">
            <w:pPr>
              <w:pStyle w:val="Tabletext"/>
              <w:rPr>
                <w:lang w:val="en-US"/>
              </w:rPr>
            </w:pPr>
          </w:p>
        </w:tc>
        <w:tc>
          <w:tcPr>
            <w:tcW w:w="1170" w:type="dxa"/>
            <w:tcBorders>
              <w:top w:val="single" w:sz="6" w:space="0" w:color="auto"/>
            </w:tcBorders>
          </w:tcPr>
          <w:p w:rsidR="00000000" w:rsidRDefault="001F233B">
            <w:pPr>
              <w:pStyle w:val="Tabletextheading"/>
            </w:pPr>
            <w:r>
              <w:t>1998</w:t>
            </w:r>
            <w:r>
              <w:noBreakHyphen/>
              <w:t>99</w:t>
            </w:r>
          </w:p>
        </w:tc>
        <w:tc>
          <w:tcPr>
            <w:tcW w:w="1080" w:type="dxa"/>
            <w:tcBorders>
              <w:top w:val="single" w:sz="6" w:space="0" w:color="auto"/>
            </w:tcBorders>
          </w:tcPr>
          <w:p w:rsidR="00000000" w:rsidRDefault="001F233B">
            <w:pPr>
              <w:pStyle w:val="Tabletextheading"/>
            </w:pPr>
            <w:r>
              <w:t>1998</w:t>
            </w:r>
            <w:r>
              <w:noBreakHyphen/>
              <w:t>99</w:t>
            </w:r>
          </w:p>
        </w:tc>
      </w:tr>
      <w:tr w:rsidR="00000000">
        <w:tblPrEx>
          <w:tblCellMar>
            <w:top w:w="0" w:type="dxa"/>
            <w:bottom w:w="0" w:type="dxa"/>
          </w:tblCellMar>
        </w:tblPrEx>
        <w:trPr>
          <w:trHeight w:val="264"/>
        </w:trPr>
        <w:tc>
          <w:tcPr>
            <w:tcW w:w="4890" w:type="dxa"/>
            <w:tcBorders>
              <w:bottom w:val="single" w:sz="6" w:space="0" w:color="auto"/>
            </w:tcBorders>
          </w:tcPr>
          <w:p w:rsidR="00000000" w:rsidRDefault="001F233B">
            <w:pPr>
              <w:pStyle w:val="Tabletext"/>
              <w:rPr>
                <w:lang w:val="en-US"/>
              </w:rPr>
            </w:pPr>
          </w:p>
        </w:tc>
        <w:tc>
          <w:tcPr>
            <w:tcW w:w="1170" w:type="dxa"/>
            <w:tcBorders>
              <w:bottom w:val="single" w:sz="6" w:space="0" w:color="auto"/>
            </w:tcBorders>
          </w:tcPr>
          <w:p w:rsidR="00000000" w:rsidRDefault="001F233B">
            <w:pPr>
              <w:pStyle w:val="Tabletextheading"/>
            </w:pPr>
            <w:r>
              <w:t>nomination</w:t>
            </w:r>
          </w:p>
        </w:tc>
        <w:tc>
          <w:tcPr>
            <w:tcW w:w="1080" w:type="dxa"/>
            <w:tcBorders>
              <w:bottom w:val="single" w:sz="6" w:space="0" w:color="auto"/>
            </w:tcBorders>
          </w:tcPr>
          <w:p w:rsidR="00000000" w:rsidRDefault="001F233B">
            <w:pPr>
              <w:pStyle w:val="Tabletextheading"/>
            </w:pPr>
            <w:r>
              <w:t>Revised</w:t>
            </w:r>
          </w:p>
        </w:tc>
      </w:tr>
      <w:tr w:rsidR="00000000">
        <w:tblPrEx>
          <w:tblCellMar>
            <w:top w:w="0" w:type="dxa"/>
            <w:bottom w:w="0" w:type="dxa"/>
          </w:tblCellMar>
        </w:tblPrEx>
        <w:trPr>
          <w:trHeight w:val="250"/>
        </w:trPr>
        <w:tc>
          <w:tcPr>
            <w:tcW w:w="4890" w:type="dxa"/>
          </w:tcPr>
          <w:p w:rsidR="00000000" w:rsidRDefault="001F233B">
            <w:pPr>
              <w:pStyle w:val="Tabletext"/>
              <w:rPr>
                <w:b/>
                <w:lang w:val="en-US"/>
              </w:rPr>
            </w:pPr>
            <w:r>
              <w:rPr>
                <w:b/>
                <w:lang w:val="en-US"/>
              </w:rPr>
              <w:t>(+) DEFICIT/(</w:t>
            </w:r>
            <w:r>
              <w:rPr>
                <w:b/>
                <w:lang w:val="en-US"/>
              </w:rPr>
              <w:noBreakHyphen/>
              <w:t xml:space="preserve">) </w:t>
            </w:r>
            <w:r>
              <w:rPr>
                <w:b/>
              </w:rPr>
              <w:t>SURPLUS</w:t>
            </w:r>
          </w:p>
        </w:tc>
        <w:tc>
          <w:tcPr>
            <w:tcW w:w="1170" w:type="dxa"/>
          </w:tcPr>
          <w:p w:rsidR="00000000" w:rsidRDefault="001F233B">
            <w:pPr>
              <w:pStyle w:val="TableofFigures"/>
              <w:rPr>
                <w:lang w:val="en-US"/>
              </w:rPr>
            </w:pPr>
          </w:p>
        </w:tc>
        <w:tc>
          <w:tcPr>
            <w:tcW w:w="1080" w:type="dxa"/>
          </w:tcPr>
          <w:p w:rsidR="00000000" w:rsidRDefault="001F233B">
            <w:pPr>
              <w:pStyle w:val="TableofFigures"/>
              <w:rPr>
                <w:lang w:val="en-US"/>
              </w:rPr>
            </w:pPr>
          </w:p>
        </w:tc>
      </w:tr>
      <w:tr w:rsidR="00000000">
        <w:tblPrEx>
          <w:tblCellMar>
            <w:top w:w="0" w:type="dxa"/>
            <w:bottom w:w="0" w:type="dxa"/>
          </w:tblCellMar>
        </w:tblPrEx>
        <w:trPr>
          <w:trHeight w:val="250"/>
        </w:trPr>
        <w:tc>
          <w:tcPr>
            <w:tcW w:w="4890" w:type="dxa"/>
          </w:tcPr>
          <w:p w:rsidR="00000000" w:rsidRDefault="001F233B">
            <w:pPr>
              <w:pStyle w:val="Tabletext"/>
              <w:rPr>
                <w:lang w:val="en-US"/>
              </w:rPr>
            </w:pPr>
            <w:r>
              <w:rPr>
                <w:lang w:val="en-US"/>
              </w:rPr>
              <w:t xml:space="preserve">General Government sector </w:t>
            </w:r>
            <w:r>
              <w:rPr>
                <w:vertAlign w:val="superscript"/>
                <w:lang w:val="en-US"/>
              </w:rPr>
              <w:t>(a)</w:t>
            </w:r>
          </w:p>
        </w:tc>
        <w:tc>
          <w:tcPr>
            <w:tcW w:w="1170" w:type="dxa"/>
          </w:tcPr>
          <w:p w:rsidR="00000000" w:rsidRDefault="001F233B">
            <w:pPr>
              <w:pStyle w:val="TableofFigures"/>
              <w:rPr>
                <w:lang w:val="en-US"/>
              </w:rPr>
            </w:pPr>
            <w:r>
              <w:rPr>
                <w:lang w:val="en-US"/>
              </w:rPr>
              <w:noBreakHyphen/>
              <w:t>376</w:t>
            </w:r>
          </w:p>
        </w:tc>
        <w:tc>
          <w:tcPr>
            <w:tcW w:w="1080" w:type="dxa"/>
          </w:tcPr>
          <w:p w:rsidR="00000000" w:rsidRDefault="001F233B">
            <w:pPr>
              <w:pStyle w:val="TableofFigures"/>
              <w:rPr>
                <w:lang w:val="en-US"/>
              </w:rPr>
            </w:pPr>
            <w:r>
              <w:rPr>
                <w:lang w:val="en-US"/>
              </w:rPr>
              <w:noBreakHyphen/>
              <w:t>167</w:t>
            </w:r>
          </w:p>
        </w:tc>
      </w:tr>
      <w:tr w:rsidR="00000000">
        <w:tblPrEx>
          <w:tblCellMar>
            <w:top w:w="0" w:type="dxa"/>
            <w:bottom w:w="0" w:type="dxa"/>
          </w:tblCellMar>
        </w:tblPrEx>
        <w:trPr>
          <w:trHeight w:hRule="exact" w:val="80"/>
        </w:trPr>
        <w:tc>
          <w:tcPr>
            <w:tcW w:w="4890" w:type="dxa"/>
          </w:tcPr>
          <w:p w:rsidR="00000000" w:rsidRDefault="001F233B">
            <w:pPr>
              <w:pStyle w:val="Tabletext"/>
              <w:rPr>
                <w:lang w:val="en-US"/>
              </w:rPr>
            </w:pPr>
          </w:p>
        </w:tc>
        <w:tc>
          <w:tcPr>
            <w:tcW w:w="1170" w:type="dxa"/>
          </w:tcPr>
          <w:p w:rsidR="00000000" w:rsidRDefault="001F233B">
            <w:pPr>
              <w:pStyle w:val="TableofFigures"/>
              <w:rPr>
                <w:lang w:val="en-US"/>
              </w:rPr>
            </w:pPr>
          </w:p>
        </w:tc>
        <w:tc>
          <w:tcPr>
            <w:tcW w:w="1080" w:type="dxa"/>
          </w:tcPr>
          <w:p w:rsidR="00000000" w:rsidRDefault="001F233B">
            <w:pPr>
              <w:pStyle w:val="TableofFigures"/>
              <w:rPr>
                <w:lang w:val="en-US"/>
              </w:rPr>
            </w:pPr>
          </w:p>
        </w:tc>
      </w:tr>
      <w:tr w:rsidR="00000000">
        <w:tblPrEx>
          <w:tblCellMar>
            <w:top w:w="0" w:type="dxa"/>
            <w:bottom w:w="0" w:type="dxa"/>
          </w:tblCellMar>
        </w:tblPrEx>
        <w:trPr>
          <w:trHeight w:val="250"/>
        </w:trPr>
        <w:tc>
          <w:tcPr>
            <w:tcW w:w="4890" w:type="dxa"/>
          </w:tcPr>
          <w:p w:rsidR="00000000" w:rsidRDefault="001F233B">
            <w:pPr>
              <w:pStyle w:val="Tabletext"/>
              <w:rPr>
                <w:lang w:val="en-US"/>
              </w:rPr>
            </w:pPr>
            <w:r>
              <w:rPr>
                <w:lang w:val="en-US"/>
              </w:rPr>
              <w:t>PTE sector net financing requirement</w:t>
            </w:r>
          </w:p>
        </w:tc>
        <w:tc>
          <w:tcPr>
            <w:tcW w:w="1170" w:type="dxa"/>
          </w:tcPr>
          <w:p w:rsidR="00000000" w:rsidRDefault="001F233B">
            <w:pPr>
              <w:pStyle w:val="TableofFigures"/>
              <w:rPr>
                <w:lang w:val="en-US"/>
              </w:rPr>
            </w:pPr>
            <w:r>
              <w:rPr>
                <w:lang w:val="en-US"/>
              </w:rPr>
              <w:t>222</w:t>
            </w:r>
          </w:p>
        </w:tc>
        <w:tc>
          <w:tcPr>
            <w:tcW w:w="1080" w:type="dxa"/>
          </w:tcPr>
          <w:p w:rsidR="00000000" w:rsidRDefault="001F233B">
            <w:pPr>
              <w:pStyle w:val="TableofFigures"/>
              <w:rPr>
                <w:lang w:val="en-US"/>
              </w:rPr>
            </w:pPr>
            <w:r>
              <w:rPr>
                <w:lang w:val="en-US"/>
              </w:rPr>
              <w:t>188</w:t>
            </w:r>
          </w:p>
        </w:tc>
      </w:tr>
      <w:tr w:rsidR="00000000">
        <w:tblPrEx>
          <w:tblCellMar>
            <w:top w:w="0" w:type="dxa"/>
            <w:bottom w:w="0" w:type="dxa"/>
          </w:tblCellMar>
        </w:tblPrEx>
        <w:trPr>
          <w:trHeight w:hRule="exact" w:val="80"/>
        </w:trPr>
        <w:tc>
          <w:tcPr>
            <w:tcW w:w="4890" w:type="dxa"/>
          </w:tcPr>
          <w:p w:rsidR="00000000" w:rsidRDefault="001F233B">
            <w:pPr>
              <w:pStyle w:val="Tabletext"/>
              <w:rPr>
                <w:lang w:val="en-US"/>
              </w:rPr>
            </w:pPr>
          </w:p>
        </w:tc>
        <w:tc>
          <w:tcPr>
            <w:tcW w:w="1170" w:type="dxa"/>
          </w:tcPr>
          <w:p w:rsidR="00000000" w:rsidRDefault="001F233B">
            <w:pPr>
              <w:pStyle w:val="TableofFigures"/>
              <w:rPr>
                <w:lang w:val="en-US"/>
              </w:rPr>
            </w:pPr>
          </w:p>
        </w:tc>
        <w:tc>
          <w:tcPr>
            <w:tcW w:w="1080" w:type="dxa"/>
          </w:tcPr>
          <w:p w:rsidR="00000000" w:rsidRDefault="001F233B">
            <w:pPr>
              <w:pStyle w:val="TableofFigures"/>
              <w:rPr>
                <w:lang w:val="en-US"/>
              </w:rPr>
            </w:pPr>
          </w:p>
        </w:tc>
      </w:tr>
      <w:tr w:rsidR="00000000">
        <w:tblPrEx>
          <w:tblCellMar>
            <w:top w:w="0" w:type="dxa"/>
            <w:bottom w:w="0" w:type="dxa"/>
          </w:tblCellMar>
        </w:tblPrEx>
        <w:trPr>
          <w:trHeight w:val="264"/>
        </w:trPr>
        <w:tc>
          <w:tcPr>
            <w:tcW w:w="4890" w:type="dxa"/>
          </w:tcPr>
          <w:p w:rsidR="00000000" w:rsidRDefault="001F233B">
            <w:pPr>
              <w:pStyle w:val="Tabletext"/>
              <w:rPr>
                <w:lang w:val="en-US"/>
              </w:rPr>
            </w:pPr>
            <w:r>
              <w:rPr>
                <w:lang w:val="en-US"/>
              </w:rPr>
              <w:t>Non</w:t>
            </w:r>
            <w:r>
              <w:rPr>
                <w:lang w:val="en-US"/>
              </w:rPr>
              <w:noBreakHyphen/>
              <w:t>Financial Public sector</w:t>
            </w:r>
          </w:p>
        </w:tc>
        <w:tc>
          <w:tcPr>
            <w:tcW w:w="1170" w:type="dxa"/>
          </w:tcPr>
          <w:p w:rsidR="00000000" w:rsidRDefault="001F233B">
            <w:pPr>
              <w:pStyle w:val="TableofFigures"/>
              <w:rPr>
                <w:lang w:val="en-US"/>
              </w:rPr>
            </w:pPr>
            <w:r>
              <w:rPr>
                <w:lang w:val="en-US"/>
              </w:rPr>
              <w:noBreakHyphen/>
              <w:t>154</w:t>
            </w:r>
          </w:p>
        </w:tc>
        <w:tc>
          <w:tcPr>
            <w:tcW w:w="1080" w:type="dxa"/>
          </w:tcPr>
          <w:p w:rsidR="00000000" w:rsidRDefault="001F233B">
            <w:pPr>
              <w:pStyle w:val="TableofFigures"/>
              <w:rPr>
                <w:lang w:val="en-US"/>
              </w:rPr>
            </w:pPr>
            <w:r>
              <w:rPr>
                <w:lang w:val="en-US"/>
              </w:rPr>
              <w:t>22</w:t>
            </w:r>
          </w:p>
        </w:tc>
      </w:tr>
      <w:tr w:rsidR="00000000">
        <w:tblPrEx>
          <w:tblCellMar>
            <w:top w:w="0" w:type="dxa"/>
            <w:bottom w:w="0" w:type="dxa"/>
          </w:tblCellMar>
        </w:tblPrEx>
        <w:trPr>
          <w:trHeight w:hRule="exact" w:val="80"/>
        </w:trPr>
        <w:tc>
          <w:tcPr>
            <w:tcW w:w="4890" w:type="dxa"/>
          </w:tcPr>
          <w:p w:rsidR="00000000" w:rsidRDefault="001F233B">
            <w:pPr>
              <w:pStyle w:val="Tabletext"/>
              <w:rPr>
                <w:lang w:val="en-US"/>
              </w:rPr>
            </w:pPr>
          </w:p>
        </w:tc>
        <w:tc>
          <w:tcPr>
            <w:tcW w:w="1170" w:type="dxa"/>
          </w:tcPr>
          <w:p w:rsidR="00000000" w:rsidRDefault="001F233B">
            <w:pPr>
              <w:pStyle w:val="TableofFigures"/>
              <w:rPr>
                <w:lang w:val="en-US"/>
              </w:rPr>
            </w:pPr>
          </w:p>
        </w:tc>
        <w:tc>
          <w:tcPr>
            <w:tcW w:w="1080" w:type="dxa"/>
          </w:tcPr>
          <w:p w:rsidR="00000000" w:rsidRDefault="001F233B">
            <w:pPr>
              <w:pStyle w:val="TableofFigures"/>
              <w:rPr>
                <w:lang w:val="en-US"/>
              </w:rPr>
            </w:pPr>
          </w:p>
        </w:tc>
      </w:tr>
      <w:tr w:rsidR="00000000">
        <w:tblPrEx>
          <w:tblCellMar>
            <w:top w:w="0" w:type="dxa"/>
            <w:bottom w:w="0" w:type="dxa"/>
          </w:tblCellMar>
        </w:tblPrEx>
        <w:trPr>
          <w:trHeight w:val="250"/>
        </w:trPr>
        <w:tc>
          <w:tcPr>
            <w:tcW w:w="4890" w:type="dxa"/>
          </w:tcPr>
          <w:p w:rsidR="00000000" w:rsidRDefault="001F233B">
            <w:pPr>
              <w:pStyle w:val="Tabletext"/>
              <w:rPr>
                <w:lang w:val="en-US"/>
              </w:rPr>
            </w:pPr>
            <w:r>
              <w:rPr>
                <w:lang w:val="en-US"/>
              </w:rPr>
              <w:t xml:space="preserve">Memorandum Items </w:t>
            </w:r>
            <w:r>
              <w:rPr>
                <w:vertAlign w:val="superscript"/>
                <w:lang w:val="en-US"/>
              </w:rPr>
              <w:t>(a)</w:t>
            </w:r>
          </w:p>
        </w:tc>
        <w:tc>
          <w:tcPr>
            <w:tcW w:w="1170" w:type="dxa"/>
          </w:tcPr>
          <w:p w:rsidR="00000000" w:rsidRDefault="001F233B">
            <w:pPr>
              <w:pStyle w:val="TableofFigures"/>
              <w:rPr>
                <w:lang w:val="en-US"/>
              </w:rPr>
            </w:pPr>
            <w:r>
              <w:rPr>
                <w:lang w:val="en-US"/>
              </w:rPr>
              <w:t>145</w:t>
            </w:r>
          </w:p>
        </w:tc>
        <w:tc>
          <w:tcPr>
            <w:tcW w:w="1080" w:type="dxa"/>
          </w:tcPr>
          <w:p w:rsidR="00000000" w:rsidRDefault="001F233B">
            <w:pPr>
              <w:pStyle w:val="TableofFigures"/>
              <w:rPr>
                <w:lang w:val="en-US"/>
              </w:rPr>
            </w:pPr>
            <w:r>
              <w:rPr>
                <w:lang w:val="en-US"/>
              </w:rPr>
              <w:t>148</w:t>
            </w:r>
          </w:p>
        </w:tc>
      </w:tr>
      <w:tr w:rsidR="00000000">
        <w:tblPrEx>
          <w:tblCellMar>
            <w:top w:w="0" w:type="dxa"/>
            <w:bottom w:w="0" w:type="dxa"/>
          </w:tblCellMar>
        </w:tblPrEx>
        <w:trPr>
          <w:trHeight w:hRule="exact" w:val="80"/>
        </w:trPr>
        <w:tc>
          <w:tcPr>
            <w:tcW w:w="4890" w:type="dxa"/>
          </w:tcPr>
          <w:p w:rsidR="00000000" w:rsidRDefault="001F233B">
            <w:pPr>
              <w:pStyle w:val="Tabletext"/>
              <w:rPr>
                <w:lang w:val="en-US"/>
              </w:rPr>
            </w:pPr>
          </w:p>
        </w:tc>
        <w:tc>
          <w:tcPr>
            <w:tcW w:w="1170" w:type="dxa"/>
          </w:tcPr>
          <w:p w:rsidR="00000000" w:rsidRDefault="001F233B">
            <w:pPr>
              <w:pStyle w:val="TableofFigures"/>
              <w:rPr>
                <w:lang w:val="en-US"/>
              </w:rPr>
            </w:pPr>
          </w:p>
        </w:tc>
        <w:tc>
          <w:tcPr>
            <w:tcW w:w="1080" w:type="dxa"/>
          </w:tcPr>
          <w:p w:rsidR="00000000" w:rsidRDefault="001F233B">
            <w:pPr>
              <w:pStyle w:val="TableofFigures"/>
              <w:rPr>
                <w:lang w:val="en-US"/>
              </w:rPr>
            </w:pPr>
          </w:p>
        </w:tc>
      </w:tr>
      <w:tr w:rsidR="00000000">
        <w:tblPrEx>
          <w:tblCellMar>
            <w:top w:w="0" w:type="dxa"/>
            <w:bottom w:w="0" w:type="dxa"/>
          </w:tblCellMar>
        </w:tblPrEx>
        <w:trPr>
          <w:trHeight w:val="264"/>
        </w:trPr>
        <w:tc>
          <w:tcPr>
            <w:tcW w:w="4890" w:type="dxa"/>
          </w:tcPr>
          <w:p w:rsidR="00000000" w:rsidRDefault="001F233B">
            <w:pPr>
              <w:pStyle w:val="Tabletext"/>
              <w:rPr>
                <w:b/>
                <w:lang w:val="en-US"/>
              </w:rPr>
            </w:pPr>
            <w:r>
              <w:rPr>
                <w:b/>
                <w:lang w:val="en-US"/>
              </w:rPr>
              <w:t>Loan Council Allocation</w:t>
            </w:r>
          </w:p>
        </w:tc>
        <w:tc>
          <w:tcPr>
            <w:tcW w:w="1170" w:type="dxa"/>
          </w:tcPr>
          <w:p w:rsidR="00000000" w:rsidRDefault="001F233B">
            <w:pPr>
              <w:pStyle w:val="TableofFigures"/>
              <w:rPr>
                <w:b/>
                <w:lang w:val="en-US"/>
              </w:rPr>
            </w:pPr>
            <w:r>
              <w:rPr>
                <w:b/>
                <w:lang w:val="en-US"/>
              </w:rPr>
              <w:noBreakHyphen/>
              <w:t>9</w:t>
            </w:r>
          </w:p>
        </w:tc>
        <w:tc>
          <w:tcPr>
            <w:tcW w:w="1080" w:type="dxa"/>
          </w:tcPr>
          <w:p w:rsidR="00000000" w:rsidRDefault="001F233B">
            <w:pPr>
              <w:pStyle w:val="TableofFigures"/>
              <w:rPr>
                <w:b/>
                <w:lang w:val="en-US"/>
              </w:rPr>
            </w:pPr>
            <w:r>
              <w:rPr>
                <w:b/>
                <w:lang w:val="en-US"/>
              </w:rPr>
              <w:t>170</w:t>
            </w:r>
          </w:p>
        </w:tc>
      </w:tr>
      <w:tr w:rsidR="00000000">
        <w:tblPrEx>
          <w:tblCellMar>
            <w:top w:w="0" w:type="dxa"/>
            <w:bottom w:w="0" w:type="dxa"/>
          </w:tblCellMar>
        </w:tblPrEx>
        <w:trPr>
          <w:trHeight w:hRule="exact" w:val="80"/>
        </w:trPr>
        <w:tc>
          <w:tcPr>
            <w:tcW w:w="4890" w:type="dxa"/>
          </w:tcPr>
          <w:p w:rsidR="00000000" w:rsidRDefault="001F233B">
            <w:pPr>
              <w:pStyle w:val="Tabletext"/>
              <w:rPr>
                <w:lang w:val="en-US"/>
              </w:rPr>
            </w:pPr>
          </w:p>
        </w:tc>
        <w:tc>
          <w:tcPr>
            <w:tcW w:w="1170" w:type="dxa"/>
          </w:tcPr>
          <w:p w:rsidR="00000000" w:rsidRDefault="001F233B">
            <w:pPr>
              <w:pStyle w:val="TableofFigures"/>
              <w:rPr>
                <w:lang w:val="en-US"/>
              </w:rPr>
            </w:pPr>
          </w:p>
        </w:tc>
        <w:tc>
          <w:tcPr>
            <w:tcW w:w="1080" w:type="dxa"/>
          </w:tcPr>
          <w:p w:rsidR="00000000" w:rsidRDefault="001F233B">
            <w:pPr>
              <w:pStyle w:val="TableofFigures"/>
              <w:rPr>
                <w:lang w:val="en-US"/>
              </w:rPr>
            </w:pPr>
          </w:p>
        </w:tc>
      </w:tr>
      <w:tr w:rsidR="00000000">
        <w:tblPrEx>
          <w:tblCellMar>
            <w:top w:w="0" w:type="dxa"/>
            <w:bottom w:w="0" w:type="dxa"/>
          </w:tblCellMar>
        </w:tblPrEx>
        <w:trPr>
          <w:trHeight w:val="250"/>
        </w:trPr>
        <w:tc>
          <w:tcPr>
            <w:tcW w:w="4890" w:type="dxa"/>
            <w:tcBorders>
              <w:bottom w:val="single" w:sz="12" w:space="0" w:color="auto"/>
            </w:tcBorders>
          </w:tcPr>
          <w:p w:rsidR="00000000" w:rsidRDefault="001F233B">
            <w:pPr>
              <w:pStyle w:val="Tabletext"/>
              <w:rPr>
                <w:i/>
                <w:lang w:val="en-US"/>
              </w:rPr>
            </w:pPr>
            <w:r>
              <w:rPr>
                <w:i/>
                <w:lang w:val="en-US"/>
              </w:rPr>
              <w:t>Tolerance limit (2.0% of non</w:t>
            </w:r>
            <w:r>
              <w:rPr>
                <w:i/>
                <w:lang w:val="en-US"/>
              </w:rPr>
              <w:noBreakHyphen/>
              <w:t>financial public sec</w:t>
            </w:r>
            <w:r>
              <w:rPr>
                <w:i/>
                <w:lang w:val="en-US"/>
              </w:rPr>
              <w:t>tor revenue)</w:t>
            </w:r>
          </w:p>
        </w:tc>
        <w:tc>
          <w:tcPr>
            <w:tcW w:w="1170" w:type="dxa"/>
            <w:tcBorders>
              <w:bottom w:val="single" w:sz="12" w:space="0" w:color="auto"/>
            </w:tcBorders>
          </w:tcPr>
          <w:p w:rsidR="00000000" w:rsidRDefault="001F233B">
            <w:pPr>
              <w:pStyle w:val="TableofFigures"/>
              <w:rPr>
                <w:i/>
                <w:lang w:val="en-US"/>
              </w:rPr>
            </w:pPr>
            <w:r>
              <w:rPr>
                <w:i/>
                <w:lang w:val="en-US"/>
              </w:rPr>
              <w:t>353</w:t>
            </w:r>
          </w:p>
        </w:tc>
        <w:tc>
          <w:tcPr>
            <w:tcW w:w="1080" w:type="dxa"/>
            <w:tcBorders>
              <w:bottom w:val="single" w:sz="12" w:space="0" w:color="auto"/>
            </w:tcBorders>
          </w:tcPr>
          <w:p w:rsidR="00000000" w:rsidRDefault="001F233B">
            <w:pPr>
              <w:pStyle w:val="TableofFigures"/>
              <w:rPr>
                <w:i/>
                <w:lang w:val="en-US"/>
              </w:rPr>
            </w:pPr>
            <w:r>
              <w:rPr>
                <w:i/>
                <w:lang w:val="en-US"/>
              </w:rPr>
              <w:t>353</w:t>
            </w:r>
          </w:p>
        </w:tc>
      </w:tr>
    </w:tbl>
    <w:p w:rsidR="00000000" w:rsidRDefault="001F233B">
      <w:pPr>
        <w:pStyle w:val="Source"/>
      </w:pPr>
      <w:r>
        <w:t>Source: Department of Treasury and Finance.</w:t>
      </w:r>
    </w:p>
    <w:p w:rsidR="00000000" w:rsidRDefault="001F233B">
      <w:pPr>
        <w:pStyle w:val="Notes"/>
        <w:tabs>
          <w:tab w:val="clear" w:pos="454"/>
        </w:tabs>
        <w:rPr>
          <w:lang w:val="en-US"/>
        </w:rPr>
      </w:pPr>
      <w:r>
        <w:rPr>
          <w:lang w:val="en-US"/>
        </w:rPr>
        <w:t>Notes:</w:t>
      </w:r>
    </w:p>
    <w:p w:rsidR="00000000" w:rsidRDefault="001F233B" w:rsidP="001F233B">
      <w:pPr>
        <w:pStyle w:val="Notes"/>
        <w:numPr>
          <w:ilvl w:val="0"/>
          <w:numId w:val="15"/>
        </w:numPr>
        <w:tabs>
          <w:tab w:val="clear" w:pos="454"/>
          <w:tab w:val="left" w:pos="450"/>
        </w:tabs>
        <w:rPr>
          <w:lang w:val="en-US"/>
        </w:rPr>
      </w:pPr>
      <w:r>
        <w:rPr>
          <w:lang w:val="en-US"/>
        </w:rPr>
        <w:t xml:space="preserve">Memorandum items are used to adjust the public sector deficit/surplus to include in LCAs certain transactions </w:t>
      </w:r>
      <w:r>
        <w:rPr>
          <w:lang w:val="en-US"/>
        </w:rPr>
        <w:noBreakHyphen/>
        <w:t xml:space="preserve"> such as operating leases </w:t>
      </w:r>
      <w:r>
        <w:rPr>
          <w:lang w:val="en-US"/>
        </w:rPr>
        <w:noBreakHyphen/>
        <w:t xml:space="preserve"> that have many of the characteristics of public sector borrowings but do not constitute formal borrowings. They are also used, where appropriate, to deduct from the public sector deficit/surplus certain transactions that Loan Council has agreed should not be included in LCAs </w:t>
      </w:r>
      <w:r>
        <w:rPr>
          <w:lang w:val="en-US"/>
        </w:rPr>
        <w:noBreakHyphen/>
        <w:t xml:space="preserve"> for example, the fundi</w:t>
      </w:r>
      <w:r>
        <w:rPr>
          <w:lang w:val="en-US"/>
        </w:rPr>
        <w:t>ng of more than employers’ emerging costs under public sector superannuation schemes or borrowings by entities such as statutory marketing authorities. The net borrowings of local government</w:t>
      </w:r>
      <w:r>
        <w:rPr>
          <w:lang w:val="en-US"/>
        </w:rPr>
        <w:fldChar w:fldCharType="begin"/>
      </w:r>
      <w:r>
        <w:rPr>
          <w:lang w:val="en-US"/>
        </w:rPr>
        <w:instrText>xe "Local Government"</w:instrText>
      </w:r>
      <w:r>
        <w:rPr>
          <w:lang w:val="en-US"/>
        </w:rPr>
        <w:fldChar w:fldCharType="end"/>
      </w:r>
      <w:r>
        <w:rPr>
          <w:lang w:val="en-US"/>
        </w:rPr>
        <w:t xml:space="preserve"> and universities are also included as memorandum items.</w:t>
      </w:r>
    </w:p>
    <w:p w:rsidR="00000000" w:rsidRDefault="001F233B" w:rsidP="001F233B">
      <w:pPr>
        <w:pStyle w:val="Notes"/>
        <w:numPr>
          <w:ilvl w:val="0"/>
          <w:numId w:val="15"/>
        </w:numPr>
        <w:tabs>
          <w:tab w:val="clear" w:pos="454"/>
          <w:tab w:val="left" w:pos="450"/>
        </w:tabs>
        <w:rPr>
          <w:lang w:val="en-US"/>
        </w:rPr>
      </w:pPr>
      <w:r>
        <w:rPr>
          <w:lang w:val="en-US"/>
        </w:rPr>
        <w:t>Totals may not add due to rounding.</w:t>
      </w:r>
    </w:p>
    <w:p w:rsidR="00000000" w:rsidRDefault="001F233B">
      <w:pPr>
        <w:pStyle w:val="Notes"/>
        <w:rPr>
          <w:lang w:val="en-US"/>
        </w:rPr>
      </w:pPr>
    </w:p>
    <w:p w:rsidR="00000000" w:rsidRDefault="001F233B">
      <w:pPr>
        <w:pStyle w:val="Heading2"/>
      </w:pPr>
      <w:bookmarkStart w:id="244" w:name="_Toc417119873"/>
      <w:bookmarkStart w:id="245" w:name="_Toc417552129"/>
      <w:r>
        <w:t>Water and Sewerage</w:t>
      </w:r>
      <w:bookmarkEnd w:id="244"/>
      <w:bookmarkEnd w:id="245"/>
      <w:r>
        <w:fldChar w:fldCharType="begin"/>
      </w:r>
      <w:r>
        <w:instrText>xe "Water and sewerage"</w:instrText>
      </w:r>
      <w:r>
        <w:fldChar w:fldCharType="end"/>
      </w:r>
    </w:p>
    <w:p w:rsidR="00000000" w:rsidRDefault="001F233B">
      <w:r>
        <w:t>In October 1997, Government announced a series of water reforms that will benefit all Victorians. The reform package includes a $450 million allocation for capit</w:t>
      </w:r>
      <w:r>
        <w:t>al projects outside the metropolitan area, that is designed to improve the quality of drinking water as well as upgrading waste water management systems.</w:t>
      </w:r>
    </w:p>
    <w:p w:rsidR="00000000" w:rsidRDefault="001F233B">
      <w:r>
        <w:t>It is Government’s intention to ensure efficient delivery of these capital expenditure projects and will therefore invite the private sector to participate in their delivery by way of Build</w:t>
      </w:r>
      <w:r>
        <w:noBreakHyphen/>
        <w:t>Own</w:t>
      </w:r>
      <w:r>
        <w:noBreakHyphen/>
        <w:t>Operate (BOO) or Build</w:t>
      </w:r>
      <w:r>
        <w:noBreakHyphen/>
        <w:t>Own</w:t>
      </w:r>
      <w:r>
        <w:noBreakHyphen/>
        <w:t>Operate</w:t>
      </w:r>
      <w:r>
        <w:noBreakHyphen/>
        <w:t>Transfer (BOOT) financing schemes.</w:t>
      </w:r>
    </w:p>
    <w:p w:rsidR="00000000" w:rsidRDefault="001F233B">
      <w:r>
        <w:t>Already, the Coliban Region Water Authority has committed to a BOO project for a waste water t</w:t>
      </w:r>
      <w:r>
        <w:t>reatment plant, with expressions of interest called for the delivery of a water treatment plant that will service their Bendigo, Castlemaine and Kyneton locations. These projects alone will total around</w:t>
      </w:r>
      <w:r>
        <w:rPr>
          <w:i/>
        </w:rPr>
        <w:t xml:space="preserve"> </w:t>
      </w:r>
      <w:r>
        <w:t>$60 million. It is expected that full contractual obligations for these projects will arise during the 1998</w:t>
      </w:r>
      <w:r>
        <w:noBreakHyphen/>
        <w:t>99 financial year.</w:t>
      </w:r>
    </w:p>
    <w:p w:rsidR="00000000" w:rsidRDefault="001F233B">
      <w:r>
        <w:t>Additionally, projects for the Grampians and Central Highlands Region Water Authorities totalling around</w:t>
      </w:r>
      <w:r>
        <w:rPr>
          <w:i/>
        </w:rPr>
        <w:t xml:space="preserve"> </w:t>
      </w:r>
      <w:r>
        <w:t>$115 million are currently under consideration, with an expectation that cont</w:t>
      </w:r>
      <w:r>
        <w:t>racts would be exchanged by 30 June 1999.</w:t>
      </w:r>
    </w:p>
    <w:p w:rsidR="00000000" w:rsidRDefault="001F233B">
      <w:r>
        <w:t>Government has advised the Water Authorities that all demand/usage risk attaching to the various plants must be assumed by the contractor. Additionally, no residual risk will attach to the respective Authorities, or Government, as a result of a default caused by the contractor which leads to termination of the contract(s).</w:t>
      </w:r>
    </w:p>
    <w:p w:rsidR="00000000" w:rsidRDefault="001F233B">
      <w:pPr>
        <w:pStyle w:val="Heading2"/>
      </w:pPr>
      <w:bookmarkStart w:id="246" w:name="_Toc417119874"/>
      <w:bookmarkStart w:id="247" w:name="_Toc417552130"/>
      <w:r>
        <w:t>Roads</w:t>
      </w:r>
      <w:bookmarkEnd w:id="246"/>
      <w:bookmarkEnd w:id="247"/>
      <w:r>
        <w:fldChar w:fldCharType="begin"/>
      </w:r>
      <w:r>
        <w:instrText>xe "Roads"</w:instrText>
      </w:r>
      <w:r>
        <w:fldChar w:fldCharType="end"/>
      </w:r>
    </w:p>
    <w:p w:rsidR="00000000" w:rsidRDefault="001F233B">
      <w:r>
        <w:t>As part of the City Link project</w:t>
      </w:r>
      <w:r>
        <w:fldChar w:fldCharType="begin"/>
      </w:r>
      <w:r>
        <w:instrText>xe "City Link project"</w:instrText>
      </w:r>
      <w:r>
        <w:fldChar w:fldCharType="end"/>
      </w:r>
      <w:r>
        <w:t>, Government approved the creation of an extension of Exhibition Street</w:t>
      </w:r>
      <w:r>
        <w:t xml:space="preserve"> across the existing Jolimont railyards, so as to join the City Link project at the Swan Street / Batman Avenue intersection. For traffic management reasons, additional slip roads and alterations to other structures are also required.</w:t>
      </w:r>
    </w:p>
    <w:p w:rsidR="00000000" w:rsidRDefault="001F233B">
      <w:r>
        <w:t>The capital cost of these works has been estimated at around</w:t>
      </w:r>
      <w:r>
        <w:rPr>
          <w:i/>
        </w:rPr>
        <w:t xml:space="preserve"> </w:t>
      </w:r>
      <w:r>
        <w:t>$95 million. At this time, it is anticipated that the majority, if not all of the financing risk will be assumed by the private sector, preferably by way of a BOOT scheme.</w:t>
      </w:r>
    </w:p>
    <w:p w:rsidR="00000000" w:rsidRDefault="001F233B">
      <w:r>
        <w:t>Whilst no firm agreement of the proposed str</w:t>
      </w:r>
      <w:r>
        <w:t>ucture has been reached or contracts negotiated, there is an expectation that contracts will be exchanged during the 1998</w:t>
      </w:r>
      <w:r>
        <w:noBreakHyphen/>
        <w:t>99 financial year, to ensure a seamless integration with the rollout of the City Link project</w:t>
      </w:r>
      <w:r>
        <w:fldChar w:fldCharType="begin"/>
      </w:r>
      <w:r>
        <w:instrText>xe "City Link project"</w:instrText>
      </w:r>
      <w:r>
        <w:fldChar w:fldCharType="end"/>
      </w:r>
      <w:r>
        <w:t>.</w:t>
      </w:r>
    </w:p>
    <w:p w:rsidR="00000000" w:rsidRDefault="001F233B">
      <w:r>
        <w:t>As was the case in the City Link project</w:t>
      </w:r>
      <w:r>
        <w:fldChar w:fldCharType="begin"/>
      </w:r>
      <w:r>
        <w:instrText>xe "City Link project"</w:instrText>
      </w:r>
      <w:r>
        <w:fldChar w:fldCharType="end"/>
      </w:r>
      <w:r>
        <w:t xml:space="preserve">, all demand risk will be borne by the selected contractor, assuming a BOOT scheme is selected. There will be no residual payment liability attaching to the State, in the event of contractor default leading </w:t>
      </w:r>
      <w:r>
        <w:t>to contract termination.</w:t>
      </w:r>
    </w:p>
    <w:p w:rsidR="00000000" w:rsidRDefault="001F233B">
      <w:pPr>
        <w:pStyle w:val="Heading2"/>
      </w:pPr>
      <w:bookmarkStart w:id="248" w:name="_Toc417119875"/>
      <w:bookmarkStart w:id="249" w:name="_Toc417552131"/>
      <w:r>
        <w:t>Health</w:t>
      </w:r>
      <w:bookmarkEnd w:id="248"/>
      <w:bookmarkEnd w:id="249"/>
      <w:r>
        <w:fldChar w:fldCharType="begin"/>
      </w:r>
      <w:r>
        <w:instrText>xe "Health"</w:instrText>
      </w:r>
      <w:r>
        <w:fldChar w:fldCharType="end"/>
      </w:r>
    </w:p>
    <w:p w:rsidR="00000000" w:rsidRDefault="001F233B">
      <w:r>
        <w:t>The Department of Human Services</w:t>
      </w:r>
      <w:r>
        <w:fldChar w:fldCharType="begin"/>
      </w:r>
      <w:r>
        <w:instrText>xe "Department of Human Services"</w:instrText>
      </w:r>
      <w:r>
        <w:fldChar w:fldCharType="end"/>
      </w:r>
      <w:r>
        <w:t xml:space="preserve"> has announced the development of two public hospital</w:t>
      </w:r>
      <w:r>
        <w:fldChar w:fldCharType="begin"/>
      </w:r>
      <w:r>
        <w:instrText>xe "Department of Human Services:Public hospital"</w:instrText>
      </w:r>
      <w:r>
        <w:fldChar w:fldCharType="end"/>
      </w:r>
      <w:r>
        <w:t>s, to be situated at Berwick and Mildura, that are intended to be under contractual obligations by April 1999. It is the Department’s intention to attract private sector involvement in these hospital projects, by way of BOO schemes, in similar fashion to the provision of the Latrobe Regional Hos</w:t>
      </w:r>
      <w:r>
        <w:t>pital transaction in 1996</w:t>
      </w:r>
      <w:r>
        <w:noBreakHyphen/>
        <w:t>97.</w:t>
      </w:r>
    </w:p>
    <w:p w:rsidR="00000000" w:rsidRDefault="001F233B">
      <w:r>
        <w:br w:type="page"/>
        <w:t>Whilst final determination of the optimal number of beds is yet to occur, there is an expectation that the combined capital cost of these projects will be around</w:t>
      </w:r>
      <w:r>
        <w:rPr>
          <w:i/>
        </w:rPr>
        <w:t xml:space="preserve"> </w:t>
      </w:r>
      <w:r>
        <w:t>$100 million. Recurrent funding for public hospital</w:t>
      </w:r>
      <w:r>
        <w:fldChar w:fldCharType="begin"/>
      </w:r>
      <w:r>
        <w:instrText>xe "Department of Human Services:Public hospital"</w:instrText>
      </w:r>
      <w:r>
        <w:fldChar w:fldCharType="end"/>
      </w:r>
      <w:r>
        <w:t xml:space="preserve"> services</w:t>
      </w:r>
      <w:r>
        <w:fldChar w:fldCharType="begin"/>
      </w:r>
      <w:r>
        <w:instrText>xe "Department of Human Services:Hospital services"</w:instrText>
      </w:r>
      <w:r>
        <w:fldChar w:fldCharType="end"/>
      </w:r>
      <w:r>
        <w:t xml:space="preserve"> provided will also be an operational impost upon the State during the anticipated 10 to 15 year operating terms of the respective service contracts. Howev</w:t>
      </w:r>
      <w:r>
        <w:t>er, demand risk, in addition to the usual constructions risks under a BOO scheme, will be borne by the private sector contractor.</w:t>
      </w:r>
    </w:p>
    <w:p w:rsidR="00000000" w:rsidRDefault="001F233B">
      <w:r>
        <w:t>Government will possess the ability to exercise a right of ‘step</w:t>
      </w:r>
      <w:r>
        <w:noBreakHyphen/>
        <w:t>in’, should the selected service provider/contractor not provide the service standards as agreed. Such a circumstance would be an event of default, giving rise to contract termination. Government is under no liability to effect a termination payment to the service provider/contractor under a default scenario.</w:t>
      </w:r>
    </w:p>
    <w:p w:rsidR="00000000" w:rsidRDefault="001F233B">
      <w:pPr>
        <w:sectPr w:rsidR="00000000">
          <w:headerReference w:type="even" r:id="rId110"/>
          <w:footerReference w:type="even" r:id="rId111"/>
          <w:footerReference w:type="default" r:id="rId112"/>
          <w:type w:val="oddPage"/>
          <w:pgSz w:w="11907" w:h="16840" w:code="9"/>
          <w:pgMar w:top="1440" w:right="3402" w:bottom="4082" w:left="1418" w:header="720" w:footer="4253" w:gutter="0"/>
          <w:cols w:space="720"/>
        </w:sectPr>
      </w:pPr>
    </w:p>
    <w:p w:rsidR="00000000" w:rsidRDefault="001F233B">
      <w:pPr>
        <w:pStyle w:val="Heading1"/>
      </w:pPr>
      <w:bookmarkStart w:id="250" w:name="_Toc417552132"/>
      <w:r>
        <w:t>Gloss</w:t>
      </w:r>
      <w:r>
        <w:t>ary</w:t>
      </w:r>
      <w:bookmarkEnd w:id="250"/>
    </w:p>
    <w:p w:rsidR="00000000" w:rsidRDefault="001F233B">
      <w:pPr>
        <w:rPr>
          <w:lang w:val="en-GB"/>
        </w:rPr>
      </w:pPr>
    </w:p>
    <w:tbl>
      <w:tblPr>
        <w:tblW w:w="0" w:type="auto"/>
        <w:tblLayout w:type="fixed"/>
        <w:tblLook w:val="0000" w:firstRow="0" w:lastRow="0" w:firstColumn="0" w:lastColumn="0" w:noHBand="0" w:noVBand="0"/>
      </w:tblPr>
      <w:tblGrid>
        <w:gridCol w:w="2538"/>
        <w:gridCol w:w="4765"/>
      </w:tblGrid>
      <w:tr w:rsidR="00000000">
        <w:tblPrEx>
          <w:tblCellMar>
            <w:top w:w="0" w:type="dxa"/>
            <w:bottom w:w="0" w:type="dxa"/>
          </w:tblCellMar>
        </w:tblPrEx>
        <w:trPr>
          <w:cantSplit/>
        </w:trPr>
        <w:tc>
          <w:tcPr>
            <w:tcW w:w="2538" w:type="dxa"/>
          </w:tcPr>
          <w:p w:rsidR="00000000" w:rsidRDefault="001F233B">
            <w:pPr>
              <w:pStyle w:val="Heading3"/>
              <w:spacing w:before="0"/>
              <w:jc w:val="left"/>
              <w:rPr>
                <w:rFonts w:ascii="Times New Roman" w:hAnsi="Times New Roman"/>
                <w:kern w:val="0"/>
              </w:rPr>
            </w:pPr>
            <w:r>
              <w:rPr>
                <w:rFonts w:ascii="Times New Roman" w:hAnsi="Times New Roman"/>
                <w:kern w:val="0"/>
              </w:rPr>
              <w:t>Accrual accounting</w:t>
            </w:r>
          </w:p>
        </w:tc>
        <w:tc>
          <w:tcPr>
            <w:tcW w:w="4765" w:type="dxa"/>
          </w:tcPr>
          <w:p w:rsidR="00000000" w:rsidRDefault="001F233B">
            <w:r>
              <w:t>Recognition of revenue, expenses, assets and liabilities when the economic transaction occurs, irrespective of the timing of the related cash flow.</w:t>
            </w:r>
            <w:r>
              <w:br/>
              <w:t>For example, revenue for sale of goods is recorded as of the invoice date; rather than the date on which payment is received.</w:t>
            </w:r>
          </w:p>
        </w:tc>
      </w:tr>
      <w:tr w:rsidR="00000000">
        <w:tblPrEx>
          <w:tblCellMar>
            <w:top w:w="0" w:type="dxa"/>
            <w:bottom w:w="0" w:type="dxa"/>
          </w:tblCellMar>
        </w:tblPrEx>
        <w:trPr>
          <w:cantSplit/>
        </w:trPr>
        <w:tc>
          <w:tcPr>
            <w:tcW w:w="2538" w:type="dxa"/>
          </w:tcPr>
          <w:p w:rsidR="00000000" w:rsidRDefault="001F233B">
            <w:pPr>
              <w:jc w:val="left"/>
              <w:rPr>
                <w:b/>
              </w:rPr>
            </w:pPr>
            <w:r>
              <w:rPr>
                <w:b/>
              </w:rPr>
              <w:t>Accrual output</w:t>
            </w:r>
            <w:r>
              <w:rPr>
                <w:b/>
              </w:rPr>
              <w:noBreakHyphen/>
              <w:t>based management</w:t>
            </w:r>
          </w:p>
        </w:tc>
        <w:tc>
          <w:tcPr>
            <w:tcW w:w="4765" w:type="dxa"/>
          </w:tcPr>
          <w:p w:rsidR="00000000" w:rsidRDefault="001F233B">
            <w:r>
              <w:t>The Government, as funder, decides which outputs it will fund at specified levels of quantity, quality and price on a full cost basis.</w:t>
            </w:r>
            <w:r>
              <w:br/>
              <w:t>As owner, it decides the investment required i</w:t>
            </w:r>
            <w:r>
              <w:t>n departments in order to maintain their capacity to meet output delivery targets on a full cost basis.</w:t>
            </w:r>
          </w:p>
        </w:tc>
      </w:tr>
      <w:tr w:rsidR="00000000">
        <w:tblPrEx>
          <w:tblCellMar>
            <w:top w:w="0" w:type="dxa"/>
            <w:bottom w:w="0" w:type="dxa"/>
          </w:tblCellMar>
        </w:tblPrEx>
        <w:trPr>
          <w:cantSplit/>
        </w:trPr>
        <w:tc>
          <w:tcPr>
            <w:tcW w:w="2538" w:type="dxa"/>
          </w:tcPr>
          <w:p w:rsidR="00000000" w:rsidRDefault="001F233B">
            <w:pPr>
              <w:jc w:val="left"/>
              <w:rPr>
                <w:b/>
              </w:rPr>
            </w:pPr>
            <w:r>
              <w:rPr>
                <w:b/>
              </w:rPr>
              <w:t>Amount appropriated</w:t>
            </w:r>
          </w:p>
        </w:tc>
        <w:tc>
          <w:tcPr>
            <w:tcW w:w="4765" w:type="dxa"/>
          </w:tcPr>
          <w:p w:rsidR="00000000" w:rsidRDefault="001F233B">
            <w:r>
              <w:t>The limit of appropriation authority to make arrangements, and to incur expenses and obligations. This is the amount in the Appropriation Bill against each purpose, or the amount authorised under standing provisions of Acts other than the annual Appropriation Act.</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Annual Appropriation </w:t>
            </w:r>
          </w:p>
        </w:tc>
        <w:tc>
          <w:tcPr>
            <w:tcW w:w="4765" w:type="dxa"/>
          </w:tcPr>
          <w:p w:rsidR="00000000" w:rsidRDefault="001F233B">
            <w:pPr>
              <w:rPr>
                <w:lang w:val="en-GB"/>
              </w:rPr>
            </w:pPr>
            <w:r>
              <w:rPr>
                <w:lang w:val="en-GB"/>
              </w:rPr>
              <w:t xml:space="preserve">The appropriations contained in the </w:t>
            </w:r>
            <w:r>
              <w:rPr>
                <w:i/>
                <w:lang w:val="en-GB"/>
              </w:rPr>
              <w:t>Appropriation Act</w:t>
            </w:r>
            <w:r>
              <w:rPr>
                <w:lang w:val="en-GB"/>
              </w:rPr>
              <w:t xml:space="preserve"> and </w:t>
            </w:r>
            <w:r>
              <w:rPr>
                <w:i/>
                <w:lang w:val="en-GB"/>
              </w:rPr>
              <w:t>Appropriation (Parliament) Act</w:t>
            </w:r>
            <w:r>
              <w:rPr>
                <w:lang w:val="en-GB"/>
              </w:rPr>
              <w:t>. This appr</w:t>
            </w:r>
            <w:r>
              <w:rPr>
                <w:lang w:val="en-GB"/>
              </w:rPr>
              <w:t>opriation lapses at the end of the financial year (30 June).</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Annual Financial Statements </w:t>
            </w:r>
          </w:p>
        </w:tc>
        <w:tc>
          <w:tcPr>
            <w:tcW w:w="4765" w:type="dxa"/>
          </w:tcPr>
          <w:p w:rsidR="00000000" w:rsidRDefault="001F233B">
            <w:pPr>
              <w:rPr>
                <w:lang w:val="en-GB"/>
              </w:rPr>
            </w:pPr>
            <w:r>
              <w:rPr>
                <w:lang w:val="en-GB"/>
              </w:rPr>
              <w:t>Operating Statement, Statement of Financial Position and Cash Flow Statement of the government of Victoria for a given financial year. They are prepared by the Minister for Finance and forwarded to the Auditor-General for presentation to Parliament. The Auditor-General is required to audit the Statements and make a report to Parliament explaining the Finance Statement in full.</w:t>
            </w:r>
          </w:p>
        </w:tc>
      </w:tr>
      <w:tr w:rsidR="00000000">
        <w:tblPrEx>
          <w:tblCellMar>
            <w:top w:w="0" w:type="dxa"/>
            <w:bottom w:w="0" w:type="dxa"/>
          </w:tblCellMar>
        </w:tblPrEx>
        <w:trPr>
          <w:cantSplit/>
        </w:trPr>
        <w:tc>
          <w:tcPr>
            <w:tcW w:w="2538" w:type="dxa"/>
          </w:tcPr>
          <w:p w:rsidR="00000000" w:rsidRDefault="001F233B">
            <w:pPr>
              <w:jc w:val="left"/>
              <w:rPr>
                <w:b/>
              </w:rPr>
            </w:pPr>
            <w:r>
              <w:rPr>
                <w:b/>
              </w:rPr>
              <w:t>Appropriation</w:t>
            </w:r>
          </w:p>
        </w:tc>
        <w:tc>
          <w:tcPr>
            <w:tcW w:w="4765" w:type="dxa"/>
          </w:tcPr>
          <w:p w:rsidR="00000000" w:rsidRDefault="001F233B">
            <w:r>
              <w:t>An authority from the Parl</w:t>
            </w:r>
            <w:r>
              <w:t>iament which is not to exceed the amount specified, to make arrangements, and to incur expenses and obligations.</w:t>
            </w:r>
          </w:p>
        </w:tc>
      </w:tr>
      <w:tr w:rsidR="00000000">
        <w:tblPrEx>
          <w:tblCellMar>
            <w:top w:w="0" w:type="dxa"/>
            <w:bottom w:w="0" w:type="dxa"/>
          </w:tblCellMar>
        </w:tblPrEx>
        <w:trPr>
          <w:cantSplit/>
        </w:trPr>
        <w:tc>
          <w:tcPr>
            <w:tcW w:w="2538" w:type="dxa"/>
          </w:tcPr>
          <w:p w:rsidR="00000000" w:rsidRDefault="001F233B">
            <w:pPr>
              <w:jc w:val="left"/>
              <w:rPr>
                <w:b/>
              </w:rPr>
            </w:pPr>
            <w:r>
              <w:rPr>
                <w:b/>
              </w:rPr>
              <w:t>Assets</w:t>
            </w:r>
          </w:p>
        </w:tc>
        <w:tc>
          <w:tcPr>
            <w:tcW w:w="4765" w:type="dxa"/>
          </w:tcPr>
          <w:p w:rsidR="00000000" w:rsidRDefault="001F233B">
            <w:r>
              <w:t>Service potential or future economic benefits controlled by an entity (e.g. a department) as a result of past transactions.</w:t>
            </w:r>
          </w:p>
          <w:p w:rsidR="00000000" w:rsidRDefault="001F233B">
            <w:r>
              <w:t xml:space="preserve">Assets may be </w:t>
            </w:r>
            <w:r>
              <w:rPr>
                <w:i/>
              </w:rPr>
              <w:t>physical</w:t>
            </w:r>
            <w:r>
              <w:t xml:space="preserve"> (e.g. buildings) or </w:t>
            </w:r>
            <w:r>
              <w:rPr>
                <w:i/>
              </w:rPr>
              <w:t>non-physical</w:t>
            </w:r>
            <w:r>
              <w:t xml:space="preserve"> (e.g. investment).</w:t>
            </w:r>
          </w:p>
          <w:p w:rsidR="00000000" w:rsidRDefault="001F233B">
            <w:r>
              <w:t xml:space="preserve">Assets may also be </w:t>
            </w:r>
            <w:r>
              <w:rPr>
                <w:i/>
              </w:rPr>
              <w:t>current</w:t>
            </w:r>
            <w:r>
              <w:t xml:space="preserve">, having a store of service potential which is consumed in one year or less; or </w:t>
            </w:r>
            <w:r>
              <w:rPr>
                <w:i/>
              </w:rPr>
              <w:t>non-current</w:t>
            </w:r>
            <w:r>
              <w:t>, having a store of service potential which is consumed over a period of mo</w:t>
            </w:r>
            <w:r>
              <w:t xml:space="preserve">re than one year. </w:t>
            </w:r>
          </w:p>
        </w:tc>
      </w:tr>
      <w:tr w:rsidR="00000000">
        <w:tblPrEx>
          <w:tblCellMar>
            <w:top w:w="0" w:type="dxa"/>
            <w:bottom w:w="0" w:type="dxa"/>
          </w:tblCellMar>
        </w:tblPrEx>
        <w:trPr>
          <w:cantSplit/>
        </w:trPr>
        <w:tc>
          <w:tcPr>
            <w:tcW w:w="2538" w:type="dxa"/>
          </w:tcPr>
          <w:p w:rsidR="00000000" w:rsidRDefault="001F233B">
            <w:pPr>
              <w:jc w:val="left"/>
              <w:rPr>
                <w:b/>
              </w:rPr>
            </w:pPr>
            <w:r>
              <w:rPr>
                <w:b/>
              </w:rPr>
              <w:t>Budget sector</w:t>
            </w:r>
          </w:p>
        </w:tc>
        <w:tc>
          <w:tcPr>
            <w:tcW w:w="4765" w:type="dxa"/>
          </w:tcPr>
          <w:p w:rsidR="00000000" w:rsidRDefault="001F233B">
            <w:r>
              <w:t>The group of entities in the general government sector that each obtain 50 per cent or more of funding through appropriations and which are directly accountable, through Ministers, to Parliament. The budget sector accounts for nearly all of the general government sector entities.</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Capital (account) balance </w:t>
            </w:r>
          </w:p>
        </w:tc>
        <w:tc>
          <w:tcPr>
            <w:tcW w:w="4765" w:type="dxa"/>
          </w:tcPr>
          <w:p w:rsidR="00000000" w:rsidRDefault="001F233B">
            <w:pPr>
              <w:rPr>
                <w:lang w:val="en-GB"/>
              </w:rPr>
            </w:pPr>
            <w:r>
              <w:rPr>
                <w:lang w:val="en-GB"/>
              </w:rPr>
              <w:t>The difference (deficit or surplus) between capital outlays and capital revenue.</w:t>
            </w:r>
          </w:p>
        </w:tc>
      </w:tr>
      <w:tr w:rsidR="00000000">
        <w:tblPrEx>
          <w:tblCellMar>
            <w:top w:w="0" w:type="dxa"/>
            <w:bottom w:w="0" w:type="dxa"/>
          </w:tblCellMar>
        </w:tblPrEx>
        <w:trPr>
          <w:cantSplit/>
        </w:trPr>
        <w:tc>
          <w:tcPr>
            <w:tcW w:w="2538" w:type="dxa"/>
          </w:tcPr>
          <w:p w:rsidR="00000000" w:rsidRDefault="001F233B">
            <w:pPr>
              <w:jc w:val="left"/>
              <w:rPr>
                <w:b/>
              </w:rPr>
            </w:pPr>
            <w:r>
              <w:rPr>
                <w:b/>
              </w:rPr>
              <w:t>Capital Assets</w:t>
            </w:r>
            <w:r>
              <w:rPr>
                <w:b/>
              </w:rPr>
              <w:br/>
              <w:t>Charge</w:t>
            </w:r>
          </w:p>
        </w:tc>
        <w:tc>
          <w:tcPr>
            <w:tcW w:w="4765" w:type="dxa"/>
          </w:tcPr>
          <w:p w:rsidR="00000000" w:rsidRDefault="001F233B">
            <w:r>
              <w:t>A charge generally on the written down value of assets within the</w:t>
            </w:r>
            <w:r>
              <w:t xml:space="preserve"> Budget Sector which are non-current, physical, non-administered assets. The charge is designed to reflect the full cost of service provision and to encourage the management of surplus or under-performing assets.</w:t>
            </w:r>
          </w:p>
        </w:tc>
      </w:tr>
      <w:tr w:rsidR="00000000">
        <w:tblPrEx>
          <w:tblCellMar>
            <w:top w:w="0" w:type="dxa"/>
            <w:bottom w:w="0" w:type="dxa"/>
          </w:tblCellMar>
        </w:tblPrEx>
        <w:trPr>
          <w:cantSplit/>
        </w:trPr>
        <w:tc>
          <w:tcPr>
            <w:tcW w:w="2538" w:type="dxa"/>
          </w:tcPr>
          <w:p w:rsidR="00000000" w:rsidRDefault="001F233B">
            <w:pPr>
              <w:jc w:val="left"/>
              <w:rPr>
                <w:b/>
              </w:rPr>
            </w:pPr>
            <w:r>
              <w:rPr>
                <w:b/>
              </w:rPr>
              <w:t>Capital outlays</w:t>
            </w:r>
          </w:p>
        </w:tc>
        <w:tc>
          <w:tcPr>
            <w:tcW w:w="4765" w:type="dxa"/>
          </w:tcPr>
          <w:p w:rsidR="00000000" w:rsidRDefault="001F233B">
            <w:r>
              <w:t>Capital outlays comprise gross fixed capital expenditure; increase in stocks (inventories); net land purchases; capital transfer payments; and advances paid net of repayments.</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Casemix funding</w:t>
            </w:r>
          </w:p>
        </w:tc>
        <w:tc>
          <w:tcPr>
            <w:tcW w:w="4765" w:type="dxa"/>
          </w:tcPr>
          <w:p w:rsidR="00000000" w:rsidRDefault="001F233B">
            <w:pPr>
              <w:rPr>
                <w:lang w:val="en-GB"/>
              </w:rPr>
            </w:pPr>
            <w:r>
              <w:rPr>
                <w:lang w:val="en-GB"/>
              </w:rPr>
              <w:t>A method of allocating resources, based upon the definition and measurement of a hospital</w:t>
            </w:r>
            <w:r>
              <w:rPr>
                <w:lang w:val="en-GB"/>
              </w:rPr>
              <w:t>’s output. That is using measures which identify groups of diagnoses requiring a similar level of resources to treat a patient. Diagnosis related groups (DRGs) are the most commonly known casemix measure.</w:t>
            </w:r>
          </w:p>
        </w:tc>
      </w:tr>
      <w:tr w:rsidR="00000000">
        <w:tblPrEx>
          <w:tblCellMar>
            <w:top w:w="0" w:type="dxa"/>
            <w:bottom w:w="0" w:type="dxa"/>
          </w:tblCellMar>
        </w:tblPrEx>
        <w:trPr>
          <w:cantSplit/>
        </w:trPr>
        <w:tc>
          <w:tcPr>
            <w:tcW w:w="2538" w:type="dxa"/>
          </w:tcPr>
          <w:p w:rsidR="00000000" w:rsidRDefault="001F233B">
            <w:pPr>
              <w:jc w:val="left"/>
              <w:rPr>
                <w:b/>
              </w:rPr>
            </w:pPr>
            <w:r>
              <w:rPr>
                <w:b/>
              </w:rPr>
              <w:t>Cash accounting</w:t>
            </w:r>
          </w:p>
        </w:tc>
        <w:tc>
          <w:tcPr>
            <w:tcW w:w="4765" w:type="dxa"/>
          </w:tcPr>
          <w:p w:rsidR="00000000" w:rsidRDefault="001F233B">
            <w:r>
              <w:t>The recording of receipts and payments as they occur. Cash accounting does not recognise products and services bought or sold on credit, nor non-cash expenses (such as depreciation).</w:t>
            </w:r>
          </w:p>
        </w:tc>
      </w:tr>
      <w:tr w:rsidR="00000000">
        <w:tblPrEx>
          <w:tblCellMar>
            <w:top w:w="0" w:type="dxa"/>
            <w:bottom w:w="0" w:type="dxa"/>
          </w:tblCellMar>
        </w:tblPrEx>
        <w:trPr>
          <w:cantSplit/>
        </w:trPr>
        <w:tc>
          <w:tcPr>
            <w:tcW w:w="2538" w:type="dxa"/>
          </w:tcPr>
          <w:p w:rsidR="00000000" w:rsidRDefault="001F233B">
            <w:pPr>
              <w:jc w:val="left"/>
              <w:rPr>
                <w:b/>
              </w:rPr>
            </w:pPr>
            <w:r>
              <w:rPr>
                <w:b/>
              </w:rPr>
              <w:t>Cash based budgeting</w:t>
            </w:r>
          </w:p>
        </w:tc>
        <w:tc>
          <w:tcPr>
            <w:tcW w:w="4765" w:type="dxa"/>
          </w:tcPr>
          <w:p w:rsidR="00000000" w:rsidRDefault="001F233B">
            <w:r>
              <w:t>A budgeting system based on the funding and reporting of cash. It is primarily focuse</w:t>
            </w:r>
            <w:r>
              <w:t>d on inputs and does not account for accruing liabilities.</w:t>
            </w:r>
          </w:p>
        </w:tc>
      </w:tr>
      <w:tr w:rsidR="00000000">
        <w:tblPrEx>
          <w:tblCellMar>
            <w:top w:w="0" w:type="dxa"/>
            <w:bottom w:w="0" w:type="dxa"/>
          </w:tblCellMar>
        </w:tblPrEx>
        <w:trPr>
          <w:cantSplit/>
        </w:trPr>
        <w:tc>
          <w:tcPr>
            <w:tcW w:w="2538" w:type="dxa"/>
          </w:tcPr>
          <w:p w:rsidR="00000000" w:rsidRDefault="001F233B">
            <w:pPr>
              <w:jc w:val="left"/>
              <w:rPr>
                <w:b/>
              </w:rPr>
            </w:pPr>
            <w:r>
              <w:rPr>
                <w:b/>
              </w:rPr>
              <w:t>Cash flow Statement</w:t>
            </w:r>
          </w:p>
        </w:tc>
        <w:tc>
          <w:tcPr>
            <w:tcW w:w="4765" w:type="dxa"/>
          </w:tcPr>
          <w:p w:rsidR="00000000" w:rsidRDefault="001F233B">
            <w:r>
              <w:t xml:space="preserve">A report that provides information on the cash inflows and outflows as they relate to operating, investing and financing activities. </w:t>
            </w:r>
          </w:p>
          <w:p w:rsidR="00000000" w:rsidRDefault="001F233B">
            <w:r>
              <w:t>The net cash flow is added to the opening balance to report the cash on hand.</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Commonwealth Grants Commission</w:t>
            </w:r>
          </w:p>
        </w:tc>
        <w:tc>
          <w:tcPr>
            <w:tcW w:w="4765" w:type="dxa"/>
          </w:tcPr>
          <w:p w:rsidR="00000000" w:rsidRDefault="001F233B">
            <w:pPr>
              <w:rPr>
                <w:lang w:val="en-GB"/>
              </w:rPr>
            </w:pPr>
            <w:r>
              <w:rPr>
                <w:lang w:val="en-GB"/>
              </w:rPr>
              <w:t>An independent authority established by the Commonwealth Government in 1933 to make recommendations to the Commonwealth concerning special grants to the less populous States. In recent yea</w:t>
            </w:r>
            <w:r>
              <w:rPr>
                <w:lang w:val="en-GB"/>
              </w:rPr>
              <w:t>rs, its principal role has been to make recommendations for the distribution of Commonwealth Government funding as financial assistance grants amongst the States.</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Community Service Obligation</w:t>
            </w:r>
          </w:p>
        </w:tc>
        <w:tc>
          <w:tcPr>
            <w:tcW w:w="4765" w:type="dxa"/>
          </w:tcPr>
          <w:p w:rsidR="00000000" w:rsidRDefault="001F233B">
            <w:pPr>
              <w:rPr>
                <w:lang w:val="en-GB"/>
              </w:rPr>
            </w:pPr>
            <w:r>
              <w:rPr>
                <w:lang w:val="en-GB"/>
              </w:rPr>
              <w:t>An activity or service performed or provided by a government business enterprise at the direction of Parliament or the Government which it would either provide commercially at a higher price, or not elect to provide on a commercial basis.</w:t>
            </w:r>
          </w:p>
        </w:tc>
      </w:tr>
      <w:tr w:rsidR="00000000">
        <w:tblPrEx>
          <w:tblCellMar>
            <w:top w:w="0" w:type="dxa"/>
            <w:bottom w:w="0" w:type="dxa"/>
          </w:tblCellMar>
        </w:tblPrEx>
        <w:trPr>
          <w:cantSplit/>
        </w:trPr>
        <w:tc>
          <w:tcPr>
            <w:tcW w:w="2538" w:type="dxa"/>
          </w:tcPr>
          <w:p w:rsidR="00000000" w:rsidRDefault="001F233B">
            <w:pPr>
              <w:jc w:val="left"/>
              <w:rPr>
                <w:b/>
              </w:rPr>
            </w:pPr>
            <w:r>
              <w:rPr>
                <w:b/>
              </w:rPr>
              <w:t>Consolidated Fund</w:t>
            </w:r>
          </w:p>
        </w:tc>
        <w:tc>
          <w:tcPr>
            <w:tcW w:w="4765" w:type="dxa"/>
          </w:tcPr>
          <w:p w:rsidR="00000000" w:rsidRDefault="001F233B">
            <w:r>
              <w:t xml:space="preserve">The government’s primary account, established by the </w:t>
            </w:r>
            <w:r>
              <w:rPr>
                <w:i/>
              </w:rPr>
              <w:t>Financia</w:t>
            </w:r>
            <w:r>
              <w:rPr>
                <w:i/>
              </w:rPr>
              <w:t xml:space="preserve">l Management Act 1994, </w:t>
            </w:r>
            <w:r>
              <w:t xml:space="preserve">that receives all Consolidated Revenue under the </w:t>
            </w:r>
            <w:r>
              <w:rPr>
                <w:i/>
              </w:rPr>
              <w:t>Constitution Act</w:t>
            </w:r>
            <w:r>
              <w:t xml:space="preserve"> and from which payments appropriated by Parliament for government purposes are made. The Consolidated Fund, together with the Trust Fund, form the Public Account.</w:t>
            </w:r>
          </w:p>
        </w:tc>
      </w:tr>
      <w:tr w:rsidR="00000000">
        <w:tblPrEx>
          <w:tblCellMar>
            <w:top w:w="0" w:type="dxa"/>
            <w:bottom w:w="0" w:type="dxa"/>
          </w:tblCellMar>
        </w:tblPrEx>
        <w:trPr>
          <w:cantSplit/>
        </w:trPr>
        <w:tc>
          <w:tcPr>
            <w:tcW w:w="2538" w:type="dxa"/>
          </w:tcPr>
          <w:p w:rsidR="00000000" w:rsidRDefault="001F233B">
            <w:pPr>
              <w:jc w:val="left"/>
              <w:rPr>
                <w:b/>
              </w:rPr>
            </w:pPr>
            <w:r>
              <w:rPr>
                <w:b/>
              </w:rPr>
              <w:t>Contingent liabilities</w:t>
            </w:r>
          </w:p>
        </w:tc>
        <w:tc>
          <w:tcPr>
            <w:tcW w:w="4765" w:type="dxa"/>
          </w:tcPr>
          <w:p w:rsidR="00000000" w:rsidRDefault="001F233B">
            <w:r>
              <w:t>Obligations that become payable under certain circumstances. Examples include a guarantee given by the Government to secure borrowings made by a third party or an indemnity against loss or damage to travelling exhibits.</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Contracting out</w:t>
            </w:r>
            <w:r>
              <w:rPr>
                <w:b/>
                <w:lang w:val="en-GB"/>
              </w:rPr>
              <w:t xml:space="preserve"> </w:t>
            </w:r>
          </w:p>
        </w:tc>
        <w:tc>
          <w:tcPr>
            <w:tcW w:w="4765" w:type="dxa"/>
          </w:tcPr>
          <w:p w:rsidR="00000000" w:rsidRDefault="001F233B">
            <w:pPr>
              <w:rPr>
                <w:lang w:val="en-GB"/>
              </w:rPr>
            </w:pPr>
            <w:r>
              <w:rPr>
                <w:lang w:val="en-GB"/>
              </w:rPr>
              <w:t>The use of external suppliers to deliver goods or services to, or on behalf of, governments or government-owned entities. The supplier is usually selected on the basis of competitive bidding.</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Corporatisation </w:t>
            </w:r>
          </w:p>
        </w:tc>
        <w:tc>
          <w:tcPr>
            <w:tcW w:w="4765" w:type="dxa"/>
          </w:tcPr>
          <w:p w:rsidR="00000000" w:rsidRDefault="001F233B">
            <w:pPr>
              <w:rPr>
                <w:lang w:val="en-GB"/>
              </w:rPr>
            </w:pPr>
            <w:r>
              <w:rPr>
                <w:lang w:val="en-GB"/>
              </w:rPr>
              <w:t>A process that aims to provide a government business enterprise with a more commercial focus, by establishing a structure of incentives similar to those that exist for private sector firms. Key elements of corporatisation include an independent board of directors, explicit performance targets, expli</w:t>
            </w:r>
            <w:r>
              <w:rPr>
                <w:lang w:val="en-GB"/>
              </w:rPr>
              <w:t>cit funding by the government of community service obligations, tax-equivalent payments, and a requirement to comply with the provisions of the Corporations Law.</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Current (account) balance </w:t>
            </w:r>
          </w:p>
        </w:tc>
        <w:tc>
          <w:tcPr>
            <w:tcW w:w="4765" w:type="dxa"/>
          </w:tcPr>
          <w:p w:rsidR="00000000" w:rsidRDefault="001F233B">
            <w:pPr>
              <w:rPr>
                <w:lang w:val="en-GB"/>
              </w:rPr>
            </w:pPr>
            <w:r>
              <w:rPr>
                <w:lang w:val="en-GB"/>
              </w:rPr>
              <w:t>The difference (deficit or surplus) between current outlays and current revenue.</w:t>
            </w:r>
          </w:p>
        </w:tc>
      </w:tr>
      <w:tr w:rsidR="00000000">
        <w:tblPrEx>
          <w:tblCellMar>
            <w:top w:w="0" w:type="dxa"/>
            <w:bottom w:w="0" w:type="dxa"/>
          </w:tblCellMar>
        </w:tblPrEx>
        <w:trPr>
          <w:cantSplit/>
        </w:trPr>
        <w:tc>
          <w:tcPr>
            <w:tcW w:w="2538" w:type="dxa"/>
          </w:tcPr>
          <w:p w:rsidR="00000000" w:rsidRDefault="001F233B">
            <w:pPr>
              <w:jc w:val="left"/>
              <w:rPr>
                <w:b/>
              </w:rPr>
            </w:pPr>
            <w:r>
              <w:rPr>
                <w:b/>
              </w:rPr>
              <w:t>Current outlays</w:t>
            </w:r>
          </w:p>
        </w:tc>
        <w:tc>
          <w:tcPr>
            <w:tcW w:w="4765" w:type="dxa"/>
          </w:tcPr>
          <w:p w:rsidR="00000000" w:rsidRDefault="001F233B">
            <w:r>
              <w:t xml:space="preserve">Final consumption expenditure </w:t>
            </w:r>
            <w:r>
              <w:rPr>
                <w:i/>
              </w:rPr>
              <w:t>plus</w:t>
            </w:r>
            <w:r>
              <w:t xml:space="preserve"> current transfer payments of general government.</w:t>
            </w:r>
          </w:p>
        </w:tc>
      </w:tr>
      <w:tr w:rsidR="00000000">
        <w:tblPrEx>
          <w:tblCellMar>
            <w:top w:w="0" w:type="dxa"/>
            <w:bottom w:w="0" w:type="dxa"/>
          </w:tblCellMar>
        </w:tblPrEx>
        <w:trPr>
          <w:cantSplit/>
        </w:trPr>
        <w:tc>
          <w:tcPr>
            <w:tcW w:w="2538" w:type="dxa"/>
          </w:tcPr>
          <w:p w:rsidR="00000000" w:rsidRDefault="001F233B">
            <w:pPr>
              <w:jc w:val="left"/>
              <w:rPr>
                <w:b/>
              </w:rPr>
            </w:pPr>
            <w:r>
              <w:rPr>
                <w:b/>
              </w:rPr>
              <w:t>Debt</w:t>
            </w:r>
          </w:p>
        </w:tc>
        <w:tc>
          <w:tcPr>
            <w:tcW w:w="4765" w:type="dxa"/>
          </w:tcPr>
          <w:p w:rsidR="00000000" w:rsidRDefault="001F233B">
            <w:r>
              <w:t xml:space="preserve">A legal obligation to make payments of principal and, in most cases, interest, according to a predetermined schedule. See also </w:t>
            </w:r>
            <w:r>
              <w:rPr>
                <w:i/>
              </w:rPr>
              <w:t>Liabili</w:t>
            </w:r>
            <w:r>
              <w:rPr>
                <w:i/>
              </w:rPr>
              <w:t>ty</w:t>
            </w:r>
            <w:r>
              <w:t>.</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Debt-servicing </w:t>
            </w:r>
          </w:p>
        </w:tc>
        <w:tc>
          <w:tcPr>
            <w:tcW w:w="4765" w:type="dxa"/>
          </w:tcPr>
          <w:p w:rsidR="00000000" w:rsidRDefault="001F233B">
            <w:pPr>
              <w:rPr>
                <w:lang w:val="en-GB"/>
              </w:rPr>
            </w:pPr>
            <w:r>
              <w:rPr>
                <w:lang w:val="en-GB"/>
              </w:rPr>
              <w:t>Costs associated with borrowings, such as interest payments and sinking fund contributions. Debt-servicing payments also include the interest component of rental payments under finance leases.</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Debt-servicing ratio </w:t>
            </w:r>
          </w:p>
        </w:tc>
        <w:tc>
          <w:tcPr>
            <w:tcW w:w="4765" w:type="dxa"/>
          </w:tcPr>
          <w:p w:rsidR="00000000" w:rsidRDefault="001F233B">
            <w:pPr>
              <w:rPr>
                <w:lang w:val="en-GB"/>
              </w:rPr>
            </w:pPr>
            <w:r>
              <w:rPr>
                <w:lang w:val="en-GB"/>
              </w:rPr>
              <w:t>The ratio of an entity’s debt-servicing payments to a particular measure of its revenue. Commonly used debt-servicing ratios for State governments are the ratios of net interest payments to total revenue, and net interest payments to own-source revenue.</w:t>
            </w:r>
            <w:r>
              <w:rPr>
                <w:lang w:val="en-GB"/>
              </w:rPr>
              <w:br/>
              <w:t>The debt-servicing ra</w:t>
            </w:r>
            <w:r>
              <w:rPr>
                <w:lang w:val="en-GB"/>
              </w:rPr>
              <w:t xml:space="preserve">tio is indicative of the entity's capacity to meet its debt-servicing obligations. </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Deficit </w:t>
            </w:r>
          </w:p>
        </w:tc>
        <w:tc>
          <w:tcPr>
            <w:tcW w:w="4765" w:type="dxa"/>
          </w:tcPr>
          <w:p w:rsidR="00000000" w:rsidRDefault="001F233B">
            <w:pPr>
              <w:rPr>
                <w:lang w:val="en-GB"/>
              </w:rPr>
            </w:pPr>
            <w:r>
              <w:rPr>
                <w:lang w:val="en-GB"/>
              </w:rPr>
              <w:t>A commonly used term for the difference between expenses and revenue. More formally, the difference between expenses and revenue is known as financing transactions, which in turn comprises the deficit (or surplus) plus the increase in provisions (for depreciation and employee entitlements). The deficit thus measures the requirement for additional resources/funding.</w:t>
            </w:r>
          </w:p>
        </w:tc>
      </w:tr>
      <w:tr w:rsidR="00000000">
        <w:tblPrEx>
          <w:tblCellMar>
            <w:top w:w="0" w:type="dxa"/>
            <w:bottom w:w="0" w:type="dxa"/>
          </w:tblCellMar>
        </w:tblPrEx>
        <w:trPr>
          <w:cantSplit/>
        </w:trPr>
        <w:tc>
          <w:tcPr>
            <w:tcW w:w="2538" w:type="dxa"/>
          </w:tcPr>
          <w:p w:rsidR="00000000" w:rsidRDefault="001F233B">
            <w:pPr>
              <w:jc w:val="left"/>
              <w:rPr>
                <w:b/>
              </w:rPr>
            </w:pPr>
            <w:r>
              <w:rPr>
                <w:b/>
              </w:rPr>
              <w:t>Depreciation</w:t>
            </w:r>
          </w:p>
        </w:tc>
        <w:tc>
          <w:tcPr>
            <w:tcW w:w="4765" w:type="dxa"/>
          </w:tcPr>
          <w:p w:rsidR="00000000" w:rsidRDefault="001F233B">
            <w:r>
              <w:t xml:space="preserve">A non-cash cost that represents the </w:t>
            </w:r>
            <w:r>
              <w:t>‘using-up’ of an asset over the years of its productive life.</w:t>
            </w:r>
          </w:p>
        </w:tc>
      </w:tr>
      <w:tr w:rsidR="00000000">
        <w:tblPrEx>
          <w:tblCellMar>
            <w:top w:w="0" w:type="dxa"/>
            <w:bottom w:w="0" w:type="dxa"/>
          </w:tblCellMar>
        </w:tblPrEx>
        <w:trPr>
          <w:cantSplit/>
        </w:trPr>
        <w:tc>
          <w:tcPr>
            <w:tcW w:w="2538" w:type="dxa"/>
          </w:tcPr>
          <w:p w:rsidR="00000000" w:rsidRDefault="001F233B">
            <w:pPr>
              <w:jc w:val="left"/>
              <w:rPr>
                <w:b/>
              </w:rPr>
            </w:pPr>
            <w:r>
              <w:rPr>
                <w:b/>
              </w:rPr>
              <w:t>Expenditure</w:t>
            </w:r>
          </w:p>
        </w:tc>
        <w:tc>
          <w:tcPr>
            <w:tcW w:w="4765" w:type="dxa"/>
          </w:tcPr>
          <w:p w:rsidR="00000000" w:rsidRDefault="001F233B">
            <w:r>
              <w:t>Cash costs associated with the provision of services.</w:t>
            </w:r>
          </w:p>
        </w:tc>
      </w:tr>
      <w:tr w:rsidR="00000000">
        <w:tblPrEx>
          <w:tblCellMar>
            <w:top w:w="0" w:type="dxa"/>
            <w:bottom w:w="0" w:type="dxa"/>
          </w:tblCellMar>
        </w:tblPrEx>
        <w:trPr>
          <w:cantSplit/>
        </w:trPr>
        <w:tc>
          <w:tcPr>
            <w:tcW w:w="2538" w:type="dxa"/>
          </w:tcPr>
          <w:p w:rsidR="00000000" w:rsidRDefault="001F233B">
            <w:pPr>
              <w:jc w:val="left"/>
              <w:rPr>
                <w:b/>
              </w:rPr>
            </w:pPr>
            <w:r>
              <w:rPr>
                <w:b/>
              </w:rPr>
              <w:t>Expenses</w:t>
            </w:r>
          </w:p>
        </w:tc>
        <w:tc>
          <w:tcPr>
            <w:tcW w:w="4765" w:type="dxa"/>
          </w:tcPr>
          <w:p w:rsidR="00000000" w:rsidRDefault="001F233B">
            <w:r>
              <w:t>Consumption or losses of future economic benefits. These may also be in the form of reductions in assets or increases in liabilities resulting in a decrease in equity during the reporting period.</w:t>
            </w:r>
          </w:p>
        </w:tc>
      </w:tr>
      <w:tr w:rsidR="00000000">
        <w:tblPrEx>
          <w:tblCellMar>
            <w:top w:w="0" w:type="dxa"/>
            <w:bottom w:w="0" w:type="dxa"/>
          </w:tblCellMar>
        </w:tblPrEx>
        <w:trPr>
          <w:cantSplit/>
        </w:trPr>
        <w:tc>
          <w:tcPr>
            <w:tcW w:w="2538" w:type="dxa"/>
          </w:tcPr>
          <w:p w:rsidR="00000000" w:rsidRDefault="001F233B">
            <w:pPr>
              <w:jc w:val="left"/>
              <w:rPr>
                <w:b/>
              </w:rPr>
            </w:pPr>
            <w:r>
              <w:rPr>
                <w:b/>
              </w:rPr>
              <w:t>Financial assets</w:t>
            </w:r>
          </w:p>
        </w:tc>
        <w:tc>
          <w:tcPr>
            <w:tcW w:w="4765" w:type="dxa"/>
          </w:tcPr>
          <w:p w:rsidR="00000000" w:rsidRDefault="001F233B">
            <w:r>
              <w:t>Service potential or future economic benefits controlled by an entity (e.g. a department) as a result of past transactions. For example, cash, investments, rec</w:t>
            </w:r>
            <w:r>
              <w:t xml:space="preserve">eivables. </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Financial assistance grants </w:t>
            </w:r>
          </w:p>
        </w:tc>
        <w:tc>
          <w:tcPr>
            <w:tcW w:w="4765" w:type="dxa"/>
          </w:tcPr>
          <w:p w:rsidR="00000000" w:rsidRDefault="001F233B">
            <w:pPr>
              <w:rPr>
                <w:lang w:val="en-GB"/>
              </w:rPr>
            </w:pPr>
            <w:r>
              <w:rPr>
                <w:lang w:val="en-GB"/>
              </w:rPr>
              <w:t xml:space="preserve">Grants made by the Commonwealth to State and Territory governments for expenditure by the latter according to their own priorities. Financial assistance grants are sometimes referred to as general revenue or general purpose grants. The distribution of financial assistance grants among the States and territories is based, for the most part, on the recommendations of the Commonwealth Grants Commission. </w:t>
            </w:r>
          </w:p>
        </w:tc>
      </w:tr>
      <w:tr w:rsidR="00000000">
        <w:tblPrEx>
          <w:tblCellMar>
            <w:top w:w="0" w:type="dxa"/>
            <w:bottom w:w="0" w:type="dxa"/>
          </w:tblCellMar>
        </w:tblPrEx>
        <w:trPr>
          <w:cantSplit/>
        </w:trPr>
        <w:tc>
          <w:tcPr>
            <w:tcW w:w="2538" w:type="dxa"/>
          </w:tcPr>
          <w:p w:rsidR="00000000" w:rsidRDefault="001F233B">
            <w:pPr>
              <w:jc w:val="left"/>
              <w:rPr>
                <w:b/>
              </w:rPr>
            </w:pPr>
            <w:r>
              <w:rPr>
                <w:b/>
              </w:rPr>
              <w:t>Financial Statements</w:t>
            </w:r>
          </w:p>
        </w:tc>
        <w:tc>
          <w:tcPr>
            <w:tcW w:w="4765" w:type="dxa"/>
          </w:tcPr>
          <w:p w:rsidR="00000000" w:rsidRDefault="001F233B">
            <w:r>
              <w:t>Under Australian Accounting Standards (AAS29</w:t>
            </w:r>
            <w:r>
              <w:t>) departments are required to report against three financial statements:</w:t>
            </w:r>
          </w:p>
          <w:p w:rsidR="00000000" w:rsidRDefault="001F233B" w:rsidP="001F233B">
            <w:pPr>
              <w:numPr>
                <w:ilvl w:val="0"/>
                <w:numId w:val="10"/>
              </w:numPr>
            </w:pPr>
            <w:r>
              <w:t>Cash flow statement</w:t>
            </w:r>
          </w:p>
          <w:p w:rsidR="00000000" w:rsidRDefault="001F233B" w:rsidP="001F233B">
            <w:pPr>
              <w:numPr>
                <w:ilvl w:val="0"/>
                <w:numId w:val="10"/>
              </w:numPr>
            </w:pPr>
            <w:r>
              <w:t>Operating statement</w:t>
            </w:r>
          </w:p>
          <w:p w:rsidR="00000000" w:rsidRDefault="001F233B" w:rsidP="001F233B">
            <w:pPr>
              <w:pStyle w:val="BulletText"/>
              <w:numPr>
                <w:ilvl w:val="0"/>
                <w:numId w:val="10"/>
              </w:numPr>
              <w:rPr>
                <w:lang w:val="en-AU"/>
              </w:rPr>
            </w:pPr>
            <w:r>
              <w:rPr>
                <w:lang w:val="en-AU"/>
              </w:rPr>
              <w:t>Statement of financial position</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Fixed assets</w:t>
            </w:r>
          </w:p>
        </w:tc>
        <w:tc>
          <w:tcPr>
            <w:tcW w:w="4765" w:type="dxa"/>
          </w:tcPr>
          <w:p w:rsidR="00000000" w:rsidRDefault="001F233B" w:rsidP="001F233B">
            <w:pPr>
              <w:numPr>
                <w:ilvl w:val="12"/>
                <w:numId w:val="0"/>
              </w:numPr>
            </w:pPr>
            <w:r>
              <w:t>Durable goods intended to be employed in the production process for longer than a year. Excluded are current assets and non</w:t>
            </w:r>
            <w:r>
              <w:noBreakHyphen/>
              <w:t>reproducible tangible assets (e.g. timber plantations) and intangible assets (e.g. trademarks).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Franchising </w:t>
            </w:r>
          </w:p>
        </w:tc>
        <w:tc>
          <w:tcPr>
            <w:tcW w:w="4765" w:type="dxa"/>
          </w:tcPr>
          <w:p w:rsidR="00000000" w:rsidRDefault="001F233B" w:rsidP="001F233B">
            <w:pPr>
              <w:numPr>
                <w:ilvl w:val="12"/>
                <w:numId w:val="0"/>
              </w:numPr>
              <w:rPr>
                <w:lang w:val="en-GB"/>
              </w:rPr>
            </w:pPr>
            <w:r>
              <w:rPr>
                <w:lang w:val="en-GB"/>
              </w:rPr>
              <w:t>The sale to an external party, usually on the basis of a competitive bidding process, of the right to distribute a part</w:t>
            </w:r>
            <w:r>
              <w:rPr>
                <w:lang w:val="en-GB"/>
              </w:rPr>
              <w:t>icular good or service to a particular market for a defined period. Franchising is often seen as a way of introducing competition into an industry that might otherwise be a natural monopoly.</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General government </w:t>
            </w:r>
          </w:p>
        </w:tc>
        <w:tc>
          <w:tcPr>
            <w:tcW w:w="4765" w:type="dxa"/>
          </w:tcPr>
          <w:p w:rsidR="00000000" w:rsidRDefault="001F233B" w:rsidP="001F233B">
            <w:pPr>
              <w:numPr>
                <w:ilvl w:val="12"/>
                <w:numId w:val="0"/>
              </w:numPr>
              <w:rPr>
                <w:lang w:val="en-GB"/>
              </w:rPr>
            </w:pPr>
            <w:r>
              <w:rPr>
                <w:lang w:val="en-GB"/>
              </w:rPr>
              <w:t>General government includes: all budget sector agencies except the PTC and Housing and Construction Victoria; and a number of non-budget sector agencies such as the CFA, MFESB and universities and colleges.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General government sector</w:t>
            </w:r>
          </w:p>
        </w:tc>
        <w:tc>
          <w:tcPr>
            <w:tcW w:w="4765" w:type="dxa"/>
          </w:tcPr>
          <w:p w:rsidR="00000000" w:rsidRDefault="001F233B" w:rsidP="001F233B">
            <w:pPr>
              <w:numPr>
                <w:ilvl w:val="12"/>
                <w:numId w:val="0"/>
              </w:numPr>
            </w:pPr>
            <w:r>
              <w:t>That part of the government that provides goods and services for c</w:t>
            </w:r>
            <w:r>
              <w:t>onsumption by governments and the general public. Costs of production are mainly financed from public revenues. Products and services are often provided free of charge or at nominal charges below the full costs of production.</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General purpose payments</w:t>
            </w:r>
          </w:p>
        </w:tc>
        <w:tc>
          <w:tcPr>
            <w:tcW w:w="4765" w:type="dxa"/>
          </w:tcPr>
          <w:p w:rsidR="00000000" w:rsidRDefault="001F233B" w:rsidP="001F233B">
            <w:pPr>
              <w:numPr>
                <w:ilvl w:val="12"/>
                <w:numId w:val="0"/>
              </w:numPr>
            </w:pPr>
            <w:r>
              <w:t>Grants made by the Commonwealth to State and Territory governments that do not have to be spent on a specific program or in a particular area. For example, financial assistance grants, special revenue assistance, national competition policy payment.</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Governmen</w:t>
            </w:r>
            <w:r>
              <w:rPr>
                <w:b/>
                <w:lang w:val="en-GB"/>
              </w:rPr>
              <w:t>t business enterprise</w:t>
            </w:r>
          </w:p>
        </w:tc>
        <w:tc>
          <w:tcPr>
            <w:tcW w:w="4765" w:type="dxa"/>
          </w:tcPr>
          <w:p w:rsidR="00000000" w:rsidRDefault="001F233B" w:rsidP="001F233B">
            <w:pPr>
              <w:numPr>
                <w:ilvl w:val="12"/>
                <w:numId w:val="0"/>
              </w:numPr>
              <w:rPr>
                <w:lang w:val="en-GB"/>
              </w:rPr>
            </w:pPr>
            <w:r>
              <w:rPr>
                <w:lang w:val="en-GB"/>
              </w:rPr>
              <w:t>A publicly-owned entity providing goods or services on commercial terms with the objective of recovering its costs of production and, in most cases, of providing some financial return to its owner government. GBEs are often referred to as public trading enterprises (PTEs) or, more recently, as state-owned enterprises.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Government Finance Statistics</w:t>
            </w:r>
          </w:p>
        </w:tc>
        <w:tc>
          <w:tcPr>
            <w:tcW w:w="4765" w:type="dxa"/>
          </w:tcPr>
          <w:p w:rsidR="00000000" w:rsidRDefault="001F233B" w:rsidP="001F233B">
            <w:pPr>
              <w:numPr>
                <w:ilvl w:val="12"/>
                <w:numId w:val="0"/>
              </w:numPr>
            </w:pPr>
            <w:r>
              <w:t>The economic framework developed by the Australian Bureau of Statistics (ABS) for the presentation of data on public sector outlays, revenu</w:t>
            </w:r>
            <w:r>
              <w:t>e and financing transactions in a national accounting format. That is, in accordance with the concepts and definitions used by the ABS to present estimates of national income and expenditure.</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Grants for on-passing </w:t>
            </w:r>
          </w:p>
        </w:tc>
        <w:tc>
          <w:tcPr>
            <w:tcW w:w="4765" w:type="dxa"/>
          </w:tcPr>
          <w:p w:rsidR="00000000" w:rsidRDefault="001F233B" w:rsidP="001F233B">
            <w:pPr>
              <w:numPr>
                <w:ilvl w:val="12"/>
                <w:numId w:val="0"/>
              </w:numPr>
              <w:rPr>
                <w:lang w:val="en-GB"/>
              </w:rPr>
            </w:pPr>
            <w:r>
              <w:rPr>
                <w:lang w:val="en-GB"/>
              </w:rPr>
              <w:t>Grants made by the Commonwealth Government to State governments to be passed on to third parties, such as non-government schools, universities and other tertiary education institutions, and local governments.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 xml:space="preserve">Domestic final demand </w:t>
            </w:r>
          </w:p>
        </w:tc>
        <w:tc>
          <w:tcPr>
            <w:tcW w:w="4765" w:type="dxa"/>
          </w:tcPr>
          <w:p w:rsidR="00000000" w:rsidRDefault="001F233B" w:rsidP="001F233B">
            <w:pPr>
              <w:pStyle w:val="Header"/>
              <w:numPr>
                <w:ilvl w:val="12"/>
                <w:numId w:val="0"/>
              </w:numPr>
              <w:tabs>
                <w:tab w:val="clear" w:pos="4320"/>
                <w:tab w:val="clear" w:pos="8640"/>
              </w:tabs>
            </w:pPr>
            <w:r>
              <w:t xml:space="preserve">The total expenditure within a given period on final goods and </w:t>
            </w:r>
            <w:r>
              <w:t>services (that is, excluding goods and services used up during the period in the process of production), less increase in stocks, bought by residents of a country. See also State Final Demand.</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rPr>
              <w:t xml:space="preserve">Gross domestic product </w:t>
            </w:r>
          </w:p>
        </w:tc>
        <w:tc>
          <w:tcPr>
            <w:tcW w:w="4765" w:type="dxa"/>
          </w:tcPr>
          <w:p w:rsidR="00000000" w:rsidRDefault="001F233B" w:rsidP="001F233B">
            <w:pPr>
              <w:numPr>
                <w:ilvl w:val="12"/>
                <w:numId w:val="0"/>
              </w:numPr>
              <w:rPr>
                <w:lang w:val="en-GB"/>
              </w:rPr>
            </w:pPr>
            <w:r>
              <w:t>The total market value of goods and services produced in a country after deducting the cost of goods and services used up in the production process, but before deducting the consumption of fixed capital. See also Gross State Product.</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 xml:space="preserve">Gross State product </w:t>
            </w:r>
          </w:p>
        </w:tc>
        <w:tc>
          <w:tcPr>
            <w:tcW w:w="4765" w:type="dxa"/>
          </w:tcPr>
          <w:p w:rsidR="00000000" w:rsidRDefault="001F233B" w:rsidP="001F233B">
            <w:pPr>
              <w:numPr>
                <w:ilvl w:val="12"/>
                <w:numId w:val="0"/>
              </w:numPr>
            </w:pPr>
            <w:r>
              <w:t xml:space="preserve">Gross domestic product for a State or </w:t>
            </w:r>
            <w:r>
              <w:t>Territory.</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Health service agreements </w:t>
            </w:r>
          </w:p>
        </w:tc>
        <w:tc>
          <w:tcPr>
            <w:tcW w:w="4765" w:type="dxa"/>
          </w:tcPr>
          <w:p w:rsidR="00000000" w:rsidRDefault="001F233B" w:rsidP="001F233B">
            <w:pPr>
              <w:numPr>
                <w:ilvl w:val="12"/>
                <w:numId w:val="0"/>
              </w:numPr>
              <w:rPr>
                <w:lang w:val="en-GB"/>
              </w:rPr>
            </w:pPr>
            <w:r>
              <w:rPr>
                <w:lang w:val="en-GB"/>
              </w:rPr>
              <w:t>Contracts developed on a purchaser/provider basis introduced into the Victorian public sector health system in 1985. They set out the operating and planning/development arrangements between a provider of health services (such as a hospital) and the Department of Human Services as ‘purchaser’ or funder of the service. They aim to achieve an output and performance approach to the management and delivery of health services.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Horizontal fiscal equalisation </w:t>
            </w:r>
          </w:p>
        </w:tc>
        <w:tc>
          <w:tcPr>
            <w:tcW w:w="4765" w:type="dxa"/>
          </w:tcPr>
          <w:p w:rsidR="00000000" w:rsidRDefault="001F233B" w:rsidP="001F233B">
            <w:pPr>
              <w:numPr>
                <w:ilvl w:val="12"/>
                <w:numId w:val="0"/>
              </w:numPr>
              <w:rPr>
                <w:lang w:val="en-GB"/>
              </w:rPr>
            </w:pPr>
            <w:r>
              <w:rPr>
                <w:lang w:val="en-GB"/>
              </w:rPr>
              <w:t>The principle t</w:t>
            </w:r>
            <w:r>
              <w:rPr>
                <w:lang w:val="en-GB"/>
              </w:rPr>
              <w:t>hat each State and Territory should be able to provide an average or ‘standard’ level of public services without being required to impose above-average taxes and charges. This principle is adopted in the distribution of financial assistance grants in accordance with the recommendations of the Commonwealth Grants Commission (CGC). The States and territories that, according to the CGC, must incur higher per capita expenditures in order to provide public services at the average level of all States and territor</w:t>
            </w:r>
            <w:r>
              <w:rPr>
                <w:lang w:val="en-GB"/>
              </w:rPr>
              <w:t>ies, or are less able to raise revenues by levying taxes and charges at the average level of all States and territories, receive higher per capita financial assistance grants from the Commonwealth.</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Identified funding grants</w:t>
            </w:r>
          </w:p>
        </w:tc>
        <w:tc>
          <w:tcPr>
            <w:tcW w:w="4765" w:type="dxa"/>
          </w:tcPr>
          <w:p w:rsidR="00000000" w:rsidRDefault="001F233B" w:rsidP="001F233B">
            <w:pPr>
              <w:numPr>
                <w:ilvl w:val="12"/>
                <w:numId w:val="0"/>
              </w:numPr>
              <w:rPr>
                <w:lang w:val="en-GB"/>
              </w:rPr>
            </w:pPr>
            <w:r>
              <w:rPr>
                <w:color w:val="000000"/>
              </w:rPr>
              <w:t xml:space="preserve">A grant from the Commonwealth to the States as a general purpose payment, but for an identified broad area of activity. The Commonwealth does not make these grants conditional upon specific performance conditions being met. Compare with </w:t>
            </w:r>
            <w:r>
              <w:rPr>
                <w:i/>
                <w:color w:val="000000"/>
              </w:rPr>
              <w:t>Specific purpose payments</w:t>
            </w:r>
            <w:r>
              <w:rPr>
                <w:color w:val="000000"/>
              </w:rPr>
              <w:t>.</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Level of service provi</w:t>
            </w:r>
            <w:r>
              <w:rPr>
                <w:b/>
                <w:lang w:val="en-GB"/>
              </w:rPr>
              <w:t xml:space="preserve">sion ratio </w:t>
            </w:r>
          </w:p>
        </w:tc>
        <w:tc>
          <w:tcPr>
            <w:tcW w:w="4765" w:type="dxa"/>
          </w:tcPr>
          <w:p w:rsidR="00000000" w:rsidRDefault="001F233B" w:rsidP="001F233B">
            <w:pPr>
              <w:numPr>
                <w:ilvl w:val="12"/>
                <w:numId w:val="0"/>
              </w:numPr>
              <w:rPr>
                <w:lang w:val="en-GB"/>
              </w:rPr>
            </w:pPr>
            <w:r>
              <w:rPr>
                <w:lang w:val="en-GB"/>
              </w:rPr>
              <w:t>The ratio of actual expenditure to standardised expenditure as assessed by the Commonwealth Grants Commission (CGC). Level of service provision ratios may be calculated for individual categories of services expenditure, or for total expenditure. The level of service provision ratio measures the extent to which a State or Territory government is, in the CGC's assessment, spending more (or less) than is required to provide that category of service (or all services) at the Australian average level.</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Liabilities </w:t>
            </w:r>
          </w:p>
        </w:tc>
        <w:tc>
          <w:tcPr>
            <w:tcW w:w="4765" w:type="dxa"/>
          </w:tcPr>
          <w:p w:rsidR="00000000" w:rsidRDefault="001F233B" w:rsidP="001F233B">
            <w:pPr>
              <w:numPr>
                <w:ilvl w:val="12"/>
                <w:numId w:val="0"/>
              </w:numPr>
              <w:rPr>
                <w:lang w:val="en-GB"/>
              </w:rPr>
            </w:pPr>
            <w:r>
              <w:rPr>
                <w:lang w:val="en-GB"/>
              </w:rPr>
              <w:t>Future payments that an entity is presently obliged to make to other entities as a result of past transactions or other past events. ‘Liabilities’ is thus a broader concept than debt. It also includes obligations which do not have a pre-determined repayment schedule, and those which do not require payments of interest, such as unfunded liabilities of superannuation funds, liabilities in respect of other employee entitlements (long-service and annual leave), trade creditors, and provisions for</w:t>
            </w:r>
            <w:r>
              <w:rPr>
                <w:lang w:val="en-GB"/>
              </w:rPr>
              <w:t xml:space="preserve"> deferred maintenance. See also </w:t>
            </w:r>
            <w:r>
              <w:rPr>
                <w:i/>
                <w:lang w:val="en-GB"/>
              </w:rPr>
              <w:t>Contingent liabilities</w:t>
            </w:r>
            <w:r>
              <w:rPr>
                <w:lang w:val="en-GB"/>
              </w:rPr>
              <w:t>.</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Loan Council </w:t>
            </w:r>
          </w:p>
        </w:tc>
        <w:tc>
          <w:tcPr>
            <w:tcW w:w="4765" w:type="dxa"/>
          </w:tcPr>
          <w:p w:rsidR="00000000" w:rsidRDefault="001F233B" w:rsidP="001F233B">
            <w:pPr>
              <w:numPr>
                <w:ilvl w:val="12"/>
                <w:numId w:val="0"/>
              </w:numPr>
              <w:rPr>
                <w:lang w:val="en-GB"/>
              </w:rPr>
            </w:pPr>
            <w:r>
              <w:rPr>
                <w:lang w:val="en-GB"/>
              </w:rPr>
              <w:t>A body comprising the Commonwealth Treasurer (as Chairman) and representatives of each of the State and Territory governments. It was established under the 1927 Financial Agreement to co-ordinate the borrowings of the Commonwealth and the States.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Medicare Agreement </w:t>
            </w:r>
          </w:p>
        </w:tc>
        <w:tc>
          <w:tcPr>
            <w:tcW w:w="4765" w:type="dxa"/>
          </w:tcPr>
          <w:p w:rsidR="00000000" w:rsidRDefault="001F233B" w:rsidP="001F233B">
            <w:pPr>
              <w:numPr>
                <w:ilvl w:val="12"/>
                <w:numId w:val="0"/>
              </w:numPr>
              <w:rPr>
                <w:lang w:val="en-GB"/>
              </w:rPr>
            </w:pPr>
            <w:r>
              <w:rPr>
                <w:lang w:val="en-GB"/>
              </w:rPr>
              <w:t>An agreement between the Commonwealth and the States to provide all Medicare beneficiaries with inpatient and outpatient care at public hospitals without charge.</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National a</w:t>
            </w:r>
            <w:r>
              <w:rPr>
                <w:b/>
                <w:lang w:val="en-GB"/>
              </w:rPr>
              <w:t xml:space="preserve">ccounting format </w:t>
            </w:r>
          </w:p>
        </w:tc>
        <w:tc>
          <w:tcPr>
            <w:tcW w:w="4765" w:type="dxa"/>
          </w:tcPr>
          <w:p w:rsidR="00000000" w:rsidRDefault="001F233B" w:rsidP="001F233B">
            <w:pPr>
              <w:numPr>
                <w:ilvl w:val="12"/>
                <w:numId w:val="0"/>
              </w:numPr>
              <w:rPr>
                <w:lang w:val="en-GB"/>
              </w:rPr>
            </w:pPr>
            <w:r>
              <w:rPr>
                <w:lang w:val="en-GB"/>
              </w:rPr>
              <w:t>A general term for the presentation of data on public</w:t>
            </w:r>
            <w:r>
              <w:rPr>
                <w:i/>
                <w:lang w:val="en-GB"/>
              </w:rPr>
              <w:t xml:space="preserve"> </w:t>
            </w:r>
            <w:r>
              <w:rPr>
                <w:lang w:val="en-GB"/>
              </w:rPr>
              <w:t>sector financial transactions in accordance with the definitions and concepts used by the Australian Bureau of Statistics to compile estimates of national income and expenditure. These are consistent with international statistical conventions. See</w:t>
            </w:r>
            <w:r>
              <w:rPr>
                <w:i/>
                <w:lang w:val="en-GB"/>
              </w:rPr>
              <w:t xml:space="preserve"> Government Finance Statistics</w:t>
            </w:r>
            <w:r>
              <w:rPr>
                <w:lang w:val="en-GB"/>
              </w:rPr>
              <w:t>.</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Net assets</w:t>
            </w:r>
          </w:p>
        </w:tc>
        <w:tc>
          <w:tcPr>
            <w:tcW w:w="4765" w:type="dxa"/>
          </w:tcPr>
          <w:p w:rsidR="00000000" w:rsidRDefault="001F233B" w:rsidP="001F233B">
            <w:pPr>
              <w:numPr>
                <w:ilvl w:val="12"/>
                <w:numId w:val="0"/>
              </w:numPr>
            </w:pPr>
            <w:r>
              <w:t>The residual interest in the assets of an entity after deduction of its liabilities (the net worth of an entity).</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Net financing requirement</w:t>
            </w:r>
          </w:p>
        </w:tc>
        <w:tc>
          <w:tcPr>
            <w:tcW w:w="4765" w:type="dxa"/>
          </w:tcPr>
          <w:p w:rsidR="00000000" w:rsidRDefault="001F233B" w:rsidP="001F233B">
            <w:pPr>
              <w:numPr>
                <w:ilvl w:val="12"/>
                <w:numId w:val="0"/>
              </w:numPr>
              <w:rPr>
                <w:lang w:val="en-GB"/>
              </w:rPr>
            </w:pPr>
            <w:r>
              <w:rPr>
                <w:lang w:val="en-GB"/>
              </w:rPr>
              <w:t>The defi</w:t>
            </w:r>
            <w:r>
              <w:rPr>
                <w:lang w:val="en-GB"/>
              </w:rPr>
              <w:t>cit (or surplus) less net advances received from other parts of the public sector (such as the Commonwealth or, in the case of the non-budget sector, from the budget sector). It therefore measures the sector's demand for funds from the private sector and from overseas. This measure is also sometimes known as the net public sector borrowing requirement.</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Net operating surplus </w:t>
            </w:r>
          </w:p>
        </w:tc>
        <w:tc>
          <w:tcPr>
            <w:tcW w:w="4765" w:type="dxa"/>
          </w:tcPr>
          <w:p w:rsidR="00000000" w:rsidRDefault="001F233B" w:rsidP="001F233B">
            <w:pPr>
              <w:numPr>
                <w:ilvl w:val="12"/>
                <w:numId w:val="0"/>
              </w:numPr>
              <w:rPr>
                <w:lang w:val="en-GB"/>
              </w:rPr>
            </w:pPr>
            <w:r>
              <w:rPr>
                <w:lang w:val="en-GB"/>
              </w:rPr>
              <w:t>The amount by which the revenue of an entity exceeds the costs incurred in producing its output.</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Net surplus</w:t>
            </w:r>
          </w:p>
        </w:tc>
        <w:tc>
          <w:tcPr>
            <w:tcW w:w="4765" w:type="dxa"/>
          </w:tcPr>
          <w:p w:rsidR="00000000" w:rsidRDefault="001F233B" w:rsidP="001F233B">
            <w:pPr>
              <w:numPr>
                <w:ilvl w:val="12"/>
                <w:numId w:val="0"/>
              </w:numPr>
            </w:pPr>
            <w:r>
              <w:t xml:space="preserve">Operating surplus plus </w:t>
            </w:r>
            <w:r>
              <w:t>or minus abnormal items.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Non-budget sector</w:t>
            </w:r>
          </w:p>
        </w:tc>
        <w:tc>
          <w:tcPr>
            <w:tcW w:w="4765" w:type="dxa"/>
          </w:tcPr>
          <w:p w:rsidR="00000000" w:rsidRDefault="001F233B" w:rsidP="001F233B">
            <w:pPr>
              <w:numPr>
                <w:ilvl w:val="12"/>
                <w:numId w:val="0"/>
              </w:numPr>
            </w:pPr>
            <w:r>
              <w:t>General government sector entities that are not classified as “budget sector”. For example, the Country Fire Authority.</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Operating balance </w:t>
            </w:r>
          </w:p>
        </w:tc>
        <w:tc>
          <w:tcPr>
            <w:tcW w:w="4765" w:type="dxa"/>
          </w:tcPr>
          <w:p w:rsidR="00000000" w:rsidRDefault="001F233B" w:rsidP="001F233B">
            <w:pPr>
              <w:numPr>
                <w:ilvl w:val="12"/>
                <w:numId w:val="0"/>
              </w:numPr>
              <w:rPr>
                <w:lang w:val="en-GB"/>
              </w:rPr>
            </w:pPr>
            <w:r>
              <w:rPr>
                <w:lang w:val="en-GB"/>
              </w:rPr>
              <w:t>The difference (deficit or surplus) between an entity’s operating revenue and the operating expenses (wages and salaries, intermediate inputs, etc).</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Operating deficit</w:t>
            </w:r>
          </w:p>
        </w:tc>
        <w:tc>
          <w:tcPr>
            <w:tcW w:w="4765" w:type="dxa"/>
          </w:tcPr>
          <w:p w:rsidR="00000000" w:rsidRDefault="001F233B" w:rsidP="001F233B">
            <w:pPr>
              <w:numPr>
                <w:ilvl w:val="12"/>
                <w:numId w:val="0"/>
              </w:numPr>
            </w:pPr>
            <w:r>
              <w:t>The change in the financial position for the reporting period where operating expenses exceed operating revenue incurred in the production of outputs.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Operatin</w:t>
            </w:r>
            <w:r>
              <w:rPr>
                <w:b/>
              </w:rPr>
              <w:t>g expenses</w:t>
            </w:r>
          </w:p>
        </w:tc>
        <w:tc>
          <w:tcPr>
            <w:tcW w:w="4765" w:type="dxa"/>
          </w:tcPr>
          <w:p w:rsidR="00000000" w:rsidRDefault="001F233B" w:rsidP="001F233B">
            <w:pPr>
              <w:numPr>
                <w:ilvl w:val="12"/>
                <w:numId w:val="0"/>
              </w:numPr>
            </w:pPr>
            <w:r>
              <w:t>Expenses incurred in the provision of outputs during the specified period of time. As well as items such as employee payments, these may include stock used in the provision of outputs, the using up of assets (depreciation), the servicing of debt, and grants.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Operating revenue</w:t>
            </w:r>
          </w:p>
        </w:tc>
        <w:tc>
          <w:tcPr>
            <w:tcW w:w="4765" w:type="dxa"/>
          </w:tcPr>
          <w:p w:rsidR="00000000" w:rsidRDefault="001F233B" w:rsidP="001F233B">
            <w:pPr>
              <w:numPr>
                <w:ilvl w:val="12"/>
                <w:numId w:val="0"/>
              </w:numPr>
            </w:pPr>
            <w:r>
              <w:t>Revenue obtained from the provision of outputs. This may include income from user charges, the sale of products and services, dividends and income from investments, and grants from other levels of government.</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Operating Sta</w:t>
            </w:r>
            <w:r>
              <w:rPr>
                <w:b/>
              </w:rPr>
              <w:t>tement</w:t>
            </w:r>
          </w:p>
        </w:tc>
        <w:tc>
          <w:tcPr>
            <w:tcW w:w="4765" w:type="dxa"/>
          </w:tcPr>
          <w:p w:rsidR="00000000" w:rsidRDefault="001F233B" w:rsidP="001F233B">
            <w:pPr>
              <w:numPr>
                <w:ilvl w:val="12"/>
                <w:numId w:val="0"/>
              </w:numPr>
            </w:pPr>
            <w:r>
              <w:t>A report providing information for the reporting period on the revenue and expenses and the surplus or deficit of an entity.</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Operating surplus</w:t>
            </w:r>
          </w:p>
        </w:tc>
        <w:tc>
          <w:tcPr>
            <w:tcW w:w="4765" w:type="dxa"/>
          </w:tcPr>
          <w:p w:rsidR="00000000" w:rsidRDefault="001F233B" w:rsidP="001F233B">
            <w:pPr>
              <w:numPr>
                <w:ilvl w:val="12"/>
                <w:numId w:val="0"/>
              </w:numPr>
            </w:pPr>
            <w:r>
              <w:t>The amount by which operating revenue exceeds operating expenses incurred in the production of outputs and other trading activities for the reporting period.</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Outcomes</w:t>
            </w:r>
          </w:p>
        </w:tc>
        <w:tc>
          <w:tcPr>
            <w:tcW w:w="4765" w:type="dxa"/>
          </w:tcPr>
          <w:p w:rsidR="00000000" w:rsidRDefault="001F233B" w:rsidP="001F233B">
            <w:pPr>
              <w:numPr>
                <w:ilvl w:val="12"/>
                <w:numId w:val="0"/>
              </w:numPr>
            </w:pPr>
            <w:r>
              <w:t>The government’s intended impacts on the community as a result of the funding of services. Outcomes establish both the rationale and foundation for the budget. As purchasers of outputs, departm</w:t>
            </w:r>
            <w:r>
              <w:t>ents are expected to contribute to government outcomes.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Outlays</w:t>
            </w:r>
          </w:p>
        </w:tc>
        <w:tc>
          <w:tcPr>
            <w:tcW w:w="4765" w:type="dxa"/>
          </w:tcPr>
          <w:p w:rsidR="00000000" w:rsidRDefault="001F233B" w:rsidP="001F233B">
            <w:pPr>
              <w:numPr>
                <w:ilvl w:val="12"/>
                <w:numId w:val="0"/>
              </w:numPr>
            </w:pPr>
            <w:r>
              <w:t>The current and capital expenditure; a measure of the cost of providing non-marketable goods and services; the net extent to which resources are directed through the budget, after offsetting recoveries and repayments against relevant payments and the proceeds from the sale of capital assets.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Output</w:t>
            </w:r>
          </w:p>
        </w:tc>
        <w:tc>
          <w:tcPr>
            <w:tcW w:w="4765" w:type="dxa"/>
          </w:tcPr>
          <w:p w:rsidR="00000000" w:rsidRDefault="001F233B" w:rsidP="001F233B">
            <w:pPr>
              <w:numPr>
                <w:ilvl w:val="12"/>
                <w:numId w:val="0"/>
              </w:numPr>
            </w:pPr>
            <w:r>
              <w:t>A product or service supplied to external consumers. For example, strategic policy advice, education services, and outpatient services.</w:t>
            </w:r>
          </w:p>
          <w:p w:rsidR="00000000" w:rsidRDefault="001F233B" w:rsidP="001F233B">
            <w:pPr>
              <w:numPr>
                <w:ilvl w:val="12"/>
                <w:numId w:val="0"/>
              </w:numPr>
            </w:pPr>
            <w:r>
              <w:t xml:space="preserve">A product </w:t>
            </w:r>
            <w:r>
              <w:t>or service produced for departments or their agencies is not an output; a product or service delivered to ministers as clients is an output.</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Output costing</w:t>
            </w:r>
          </w:p>
        </w:tc>
        <w:tc>
          <w:tcPr>
            <w:tcW w:w="4765" w:type="dxa"/>
          </w:tcPr>
          <w:p w:rsidR="00000000" w:rsidRDefault="001F233B" w:rsidP="001F233B">
            <w:pPr>
              <w:numPr>
                <w:ilvl w:val="12"/>
                <w:numId w:val="0"/>
              </w:numPr>
            </w:pPr>
            <w:r>
              <w:t>The process of determining all direct and indirect costs (on a full accrual basis) of producing an output in a period.</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Output group</w:t>
            </w:r>
          </w:p>
        </w:tc>
        <w:tc>
          <w:tcPr>
            <w:tcW w:w="4765" w:type="dxa"/>
          </w:tcPr>
          <w:p w:rsidR="00000000" w:rsidRDefault="001F233B" w:rsidP="001F233B">
            <w:pPr>
              <w:numPr>
                <w:ilvl w:val="12"/>
                <w:numId w:val="0"/>
              </w:numPr>
            </w:pPr>
            <w:r>
              <w:t>The grouping of outputs which contribute to common outcomes for budget submission and reporting purposes.</w:t>
            </w:r>
          </w:p>
          <w:p w:rsidR="00000000" w:rsidRDefault="001F233B" w:rsidP="001F233B">
            <w:pPr>
              <w:numPr>
                <w:ilvl w:val="12"/>
                <w:numId w:val="0"/>
              </w:numPr>
            </w:pPr>
            <w:r>
              <w:t xml:space="preserve">For example, the output group </w:t>
            </w:r>
            <w:r>
              <w:rPr>
                <w:i/>
              </w:rPr>
              <w:t>Acute Health Services</w:t>
            </w:r>
            <w:r>
              <w:t xml:space="preserve"> comprises five outputs, three of which are </w:t>
            </w:r>
            <w:r>
              <w:rPr>
                <w:i/>
              </w:rPr>
              <w:t>admitted</w:t>
            </w:r>
            <w:r>
              <w:t xml:space="preserve">, </w:t>
            </w:r>
            <w:r>
              <w:rPr>
                <w:i/>
              </w:rPr>
              <w:t>outpatient</w:t>
            </w:r>
            <w:r>
              <w:t>,</w:t>
            </w:r>
            <w:r>
              <w:t xml:space="preserve"> and </w:t>
            </w:r>
            <w:r>
              <w:rPr>
                <w:i/>
              </w:rPr>
              <w:t>emergency</w:t>
            </w:r>
            <w:r>
              <w:t xml:space="preserve"> </w:t>
            </w:r>
            <w:r>
              <w:rPr>
                <w:i/>
              </w:rPr>
              <w:t>services</w:t>
            </w:r>
            <w:r>
              <w:t>.</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Output group statement</w:t>
            </w:r>
          </w:p>
        </w:tc>
        <w:tc>
          <w:tcPr>
            <w:tcW w:w="4765" w:type="dxa"/>
          </w:tcPr>
          <w:p w:rsidR="00000000" w:rsidRDefault="001F233B" w:rsidP="001F233B">
            <w:pPr>
              <w:numPr>
                <w:ilvl w:val="12"/>
                <w:numId w:val="0"/>
              </w:numPr>
            </w:pPr>
            <w:r>
              <w:t>A report providing information on the total cost of an output group and sources of funds.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Output statement</w:t>
            </w:r>
          </w:p>
        </w:tc>
        <w:tc>
          <w:tcPr>
            <w:tcW w:w="4765" w:type="dxa"/>
          </w:tcPr>
          <w:p w:rsidR="00000000" w:rsidRDefault="001F233B" w:rsidP="001F233B">
            <w:pPr>
              <w:numPr>
                <w:ilvl w:val="12"/>
                <w:numId w:val="0"/>
              </w:numPr>
            </w:pPr>
            <w:r>
              <w:t>A report that provides information on the links between government outcomes and departmental outputs, and information on performance measures and targets describing agreed service levels.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Output-based management</w:t>
            </w:r>
          </w:p>
        </w:tc>
        <w:tc>
          <w:tcPr>
            <w:tcW w:w="4765" w:type="dxa"/>
          </w:tcPr>
          <w:p w:rsidR="00000000" w:rsidRDefault="001F233B" w:rsidP="001F233B">
            <w:pPr>
              <w:numPr>
                <w:ilvl w:val="12"/>
                <w:numId w:val="0"/>
              </w:numPr>
            </w:pPr>
            <w:r>
              <w:t>The process of planning for and providing products or services on behalf of government, in return for the allocation of budgeted resources. Un</w:t>
            </w:r>
            <w:r>
              <w:t>der output management, the Government sets its strategic priorities or intended outcomes, and then commissions departments to deliver outputs that the department determines will best achieve these outcomes.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Own-source revenues </w:t>
            </w:r>
          </w:p>
        </w:tc>
        <w:tc>
          <w:tcPr>
            <w:tcW w:w="4765" w:type="dxa"/>
          </w:tcPr>
          <w:p w:rsidR="00000000" w:rsidRDefault="001F233B" w:rsidP="001F233B">
            <w:pPr>
              <w:numPr>
                <w:ilvl w:val="12"/>
                <w:numId w:val="0"/>
              </w:numPr>
              <w:rPr>
                <w:lang w:val="en-GB"/>
              </w:rPr>
            </w:pPr>
            <w:r>
              <w:rPr>
                <w:lang w:val="en-GB"/>
              </w:rPr>
              <w:t xml:space="preserve">See </w:t>
            </w:r>
            <w:r>
              <w:rPr>
                <w:i/>
                <w:lang w:val="en-GB"/>
              </w:rPr>
              <w:t>State-source revenues</w:t>
            </w:r>
            <w:r>
              <w:rPr>
                <w:lang w:val="en-GB"/>
              </w:rPr>
              <w:t>.</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Performance measures</w:t>
            </w:r>
          </w:p>
        </w:tc>
        <w:tc>
          <w:tcPr>
            <w:tcW w:w="4765" w:type="dxa"/>
          </w:tcPr>
          <w:p w:rsidR="00000000" w:rsidRDefault="001F233B" w:rsidP="001F233B">
            <w:pPr>
              <w:numPr>
                <w:ilvl w:val="12"/>
                <w:numId w:val="0"/>
              </w:numPr>
            </w:pPr>
            <w:r>
              <w:t>Dimensions of quantity, quality and timeliness used to describe how many, how well, when or how frequently the outputs that the Government intends to fund will be delivered.</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Performance targets</w:t>
            </w:r>
          </w:p>
        </w:tc>
        <w:tc>
          <w:tcPr>
            <w:tcW w:w="4765" w:type="dxa"/>
          </w:tcPr>
          <w:p w:rsidR="00000000" w:rsidRDefault="001F233B" w:rsidP="001F233B">
            <w:pPr>
              <w:numPr>
                <w:ilvl w:val="12"/>
                <w:numId w:val="0"/>
              </w:numPr>
            </w:pPr>
            <w:r>
              <w:t>Intended output delivery levels express</w:t>
            </w:r>
            <w:r>
              <w:t>ed in terms of each of the performance measures. Targets are used as a benchmark to assess performance in delivering budgeted outputs.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Public Authority Contribution </w:t>
            </w:r>
          </w:p>
        </w:tc>
        <w:tc>
          <w:tcPr>
            <w:tcW w:w="4765" w:type="dxa"/>
          </w:tcPr>
          <w:p w:rsidR="00000000" w:rsidRDefault="001F233B" w:rsidP="001F233B">
            <w:pPr>
              <w:numPr>
                <w:ilvl w:val="12"/>
                <w:numId w:val="0"/>
              </w:numPr>
              <w:rPr>
                <w:lang w:val="en-GB"/>
              </w:rPr>
            </w:pPr>
            <w:r>
              <w:rPr>
                <w:color w:val="000000"/>
              </w:rPr>
              <w:t>A payment made by GASCOR to the Victorian Government in relation to its natural gas revenue.</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Public Authority Dividend</w:t>
            </w:r>
          </w:p>
        </w:tc>
        <w:tc>
          <w:tcPr>
            <w:tcW w:w="4765" w:type="dxa"/>
          </w:tcPr>
          <w:p w:rsidR="00000000" w:rsidRDefault="001F233B" w:rsidP="001F233B">
            <w:pPr>
              <w:numPr>
                <w:ilvl w:val="12"/>
                <w:numId w:val="0"/>
              </w:numPr>
              <w:rPr>
                <w:lang w:val="en-GB"/>
              </w:rPr>
            </w:pPr>
            <w:r>
              <w:rPr>
                <w:color w:val="000000"/>
              </w:rPr>
              <w:t xml:space="preserve">A payment made by Government Business Enterprises to the Victorian Government under the provisions of the State Owned Enterprises Act 1992 or other industry specific legislation.  Conceptually, Public Authority Dividends are </w:t>
            </w:r>
            <w:r>
              <w:rPr>
                <w:color w:val="000000"/>
              </w:rPr>
              <w:t>intended to represent a return to the Government on its investment in those enterprises. The amount and timing of the payments are determined by the Treasurer, after consultation with the relevant Minister and board of each enterprise.</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Public Sector </w:t>
            </w:r>
          </w:p>
        </w:tc>
        <w:tc>
          <w:tcPr>
            <w:tcW w:w="4765" w:type="dxa"/>
          </w:tcPr>
          <w:p w:rsidR="00000000" w:rsidRDefault="001F233B" w:rsidP="001F233B">
            <w:pPr>
              <w:pStyle w:val="Header"/>
              <w:numPr>
                <w:ilvl w:val="12"/>
                <w:numId w:val="0"/>
              </w:numPr>
              <w:tabs>
                <w:tab w:val="clear" w:pos="4320"/>
                <w:tab w:val="clear" w:pos="8640"/>
              </w:tabs>
              <w:rPr>
                <w:lang w:val="en-GB"/>
              </w:rPr>
            </w:pPr>
            <w:r>
              <w:rPr>
                <w:lang w:val="en-GB"/>
              </w:rPr>
              <w:t>Non-financial public enterprises and public financial institutions that have government ownership or control.</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Public Trading Enterprises</w:t>
            </w:r>
          </w:p>
        </w:tc>
        <w:tc>
          <w:tcPr>
            <w:tcW w:w="4765" w:type="dxa"/>
          </w:tcPr>
          <w:p w:rsidR="00000000" w:rsidRDefault="001F233B" w:rsidP="001F233B">
            <w:pPr>
              <w:numPr>
                <w:ilvl w:val="12"/>
                <w:numId w:val="0"/>
              </w:numPr>
            </w:pPr>
            <w:r>
              <w:t>Resident public enterprises mainly engaged in the production of goods and services of a non-financial nature for sale in t</w:t>
            </w:r>
            <w:r>
              <w:t>he market place at prices which aim to recover most or all of the costs involved.</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Purchaser/provider split </w:t>
            </w:r>
          </w:p>
        </w:tc>
        <w:tc>
          <w:tcPr>
            <w:tcW w:w="4765" w:type="dxa"/>
          </w:tcPr>
          <w:p w:rsidR="00000000" w:rsidRDefault="001F233B" w:rsidP="001F233B">
            <w:pPr>
              <w:numPr>
                <w:ilvl w:val="12"/>
                <w:numId w:val="0"/>
              </w:numPr>
              <w:rPr>
                <w:lang w:val="en-GB"/>
              </w:rPr>
            </w:pPr>
            <w:r>
              <w:rPr>
                <w:lang w:val="en-GB"/>
              </w:rPr>
              <w:t xml:space="preserve">A structural separation of the funding and service delivery roles within the health system. Under this approach, funds are provided to selected agencies for the delivery of particular services on the basis of a contract, sometimes as the result of a tender process. The funding body is the purchaser of services for the community and the agencies contracted to provide the services to the community are </w:t>
            </w:r>
            <w:r>
              <w:rPr>
                <w:lang w:val="en-GB"/>
              </w:rPr>
              <w:t>the providers.</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lang w:val="en-GB"/>
              </w:rPr>
            </w:pPr>
            <w:r>
              <w:rPr>
                <w:b/>
                <w:lang w:val="en-GB"/>
              </w:rPr>
              <w:t xml:space="preserve">Real terms </w:t>
            </w:r>
          </w:p>
        </w:tc>
        <w:tc>
          <w:tcPr>
            <w:tcW w:w="4765" w:type="dxa"/>
          </w:tcPr>
          <w:p w:rsidR="00000000" w:rsidRDefault="001F233B" w:rsidP="001F233B">
            <w:pPr>
              <w:numPr>
                <w:ilvl w:val="12"/>
                <w:numId w:val="0"/>
              </w:numPr>
              <w:rPr>
                <w:lang w:val="en-GB"/>
              </w:rPr>
            </w:pPr>
            <w:r>
              <w:rPr>
                <w:lang w:val="en-GB"/>
              </w:rPr>
              <w:t xml:space="preserve">A monetary value expressed in </w:t>
            </w:r>
            <w:r>
              <w:rPr>
                <w:i/>
                <w:lang w:val="en-GB"/>
              </w:rPr>
              <w:t>Constant prices</w:t>
            </w:r>
            <w:r>
              <w:rPr>
                <w:lang w:val="en-GB"/>
              </w:rPr>
              <w:t>, or adjusted to allow for inflation.</w:t>
            </w:r>
          </w:p>
        </w:tc>
      </w:tr>
      <w:tr w:rsidR="00000000">
        <w:tblPrEx>
          <w:tblCellMar>
            <w:top w:w="0" w:type="dxa"/>
            <w:bottom w:w="0" w:type="dxa"/>
          </w:tblCellMar>
        </w:tblPrEx>
        <w:trPr>
          <w:cantSplit/>
        </w:trPr>
        <w:tc>
          <w:tcPr>
            <w:tcW w:w="2538" w:type="dxa"/>
          </w:tcPr>
          <w:p w:rsidR="00000000" w:rsidRDefault="001F233B" w:rsidP="001F233B">
            <w:pPr>
              <w:numPr>
                <w:ilvl w:val="12"/>
                <w:numId w:val="0"/>
              </w:numPr>
              <w:jc w:val="left"/>
              <w:rPr>
                <w:b/>
              </w:rPr>
            </w:pPr>
            <w:r>
              <w:rPr>
                <w:b/>
              </w:rPr>
              <w:t xml:space="preserve">Receipts credited appropriations </w:t>
            </w:r>
          </w:p>
        </w:tc>
        <w:tc>
          <w:tcPr>
            <w:tcW w:w="4765" w:type="dxa"/>
          </w:tcPr>
          <w:p w:rsidR="00000000" w:rsidRDefault="001F233B" w:rsidP="001F233B">
            <w:pPr>
              <w:numPr>
                <w:ilvl w:val="12"/>
                <w:numId w:val="0"/>
              </w:numPr>
            </w:pPr>
            <w:r>
              <w:t>Appropriated limit which recognises either revenue or capital from:</w:t>
            </w:r>
          </w:p>
          <w:p w:rsidR="00000000" w:rsidRDefault="001F233B" w:rsidP="001F233B">
            <w:pPr>
              <w:numPr>
                <w:ilvl w:val="0"/>
                <w:numId w:val="16"/>
              </w:numPr>
              <w:tabs>
                <w:tab w:val="left" w:pos="360"/>
              </w:tabs>
            </w:pPr>
            <w:r>
              <w:t>agreed user charges for the provision of outputs by a department directly to third parties in return for payment;</w:t>
            </w:r>
          </w:p>
          <w:p w:rsidR="00000000" w:rsidRDefault="001F233B" w:rsidP="001F233B">
            <w:pPr>
              <w:pStyle w:val="BulletText"/>
              <w:numPr>
                <w:ilvl w:val="0"/>
                <w:numId w:val="16"/>
              </w:numPr>
              <w:tabs>
                <w:tab w:val="left" w:pos="360"/>
              </w:tabs>
              <w:rPr>
                <w:lang w:val="en-AU"/>
              </w:rPr>
            </w:pPr>
            <w:r>
              <w:rPr>
                <w:i/>
                <w:lang w:val="en-AU"/>
              </w:rPr>
              <w:t>Specific purpose payments</w:t>
            </w:r>
            <w:r>
              <w:rPr>
                <w:lang w:val="en-AU"/>
              </w:rPr>
              <w:t xml:space="preserve"> from the Commonwealth;</w:t>
            </w:r>
          </w:p>
          <w:p w:rsidR="00000000" w:rsidRDefault="001F233B" w:rsidP="001F233B">
            <w:pPr>
              <w:numPr>
                <w:ilvl w:val="0"/>
                <w:numId w:val="16"/>
              </w:numPr>
              <w:tabs>
                <w:tab w:val="left" w:pos="360"/>
              </w:tabs>
            </w:pPr>
            <w:r>
              <w:t>payments from municipal councils; and</w:t>
            </w:r>
          </w:p>
          <w:p w:rsidR="00000000" w:rsidRDefault="001F233B" w:rsidP="001F233B">
            <w:pPr>
              <w:numPr>
                <w:ilvl w:val="0"/>
                <w:numId w:val="16"/>
              </w:numPr>
              <w:tabs>
                <w:tab w:val="left" w:pos="360"/>
              </w:tabs>
            </w:pPr>
            <w:r>
              <w:t>proceeds from sale of assets.</w:t>
            </w:r>
          </w:p>
          <w:p w:rsidR="00000000" w:rsidRDefault="001F233B">
            <w:r>
              <w:t>It allows departments to make arrangements and incur expenses and o</w:t>
            </w:r>
            <w:r>
              <w:t>bligations in the delivery of outputs and additions to the net asset base.</w:t>
            </w:r>
          </w:p>
          <w:p w:rsidR="00000000" w:rsidRDefault="001F233B">
            <w:r>
              <w:t>Amounts are deemed to be appropriated upon receipt to the Consolidated Fund.</w:t>
            </w:r>
          </w:p>
          <w:p w:rsidR="00000000" w:rsidRDefault="001F233B">
            <w:r>
              <w:t xml:space="preserve">Receipts credited appropriations are also referred to as </w:t>
            </w:r>
            <w:r>
              <w:rPr>
                <w:i/>
              </w:rPr>
              <w:t>Annotated appropriations</w:t>
            </w:r>
            <w:r>
              <w:t>.</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Revenue </w:t>
            </w:r>
          </w:p>
        </w:tc>
        <w:tc>
          <w:tcPr>
            <w:tcW w:w="4765" w:type="dxa"/>
          </w:tcPr>
          <w:p w:rsidR="00000000" w:rsidRDefault="001F233B">
            <w:pPr>
              <w:rPr>
                <w:lang w:val="en-GB"/>
              </w:rPr>
            </w:pPr>
            <w:r>
              <w:rPr>
                <w:lang w:val="en-GB"/>
              </w:rPr>
              <w:t>The non-repayable receipts available to finance the outlays of public authorities. Revenue includes taxes, grants, interest, royalties, dividends and the operating surpluses of public trading enterprises. For State governments, revenue is often categorised</w:t>
            </w:r>
            <w:r>
              <w:rPr>
                <w:color w:val="FF0000"/>
                <w:lang w:val="en-GB"/>
              </w:rPr>
              <w:t xml:space="preserve"> </w:t>
            </w:r>
            <w:r>
              <w:rPr>
                <w:lang w:val="en-GB"/>
              </w:rPr>
              <w:t>into grant</w:t>
            </w:r>
            <w:r>
              <w:rPr>
                <w:lang w:val="en-GB"/>
              </w:rPr>
              <w:t>s from the Commonwealth and State-source or own-source revenues.</w:t>
            </w:r>
          </w:p>
        </w:tc>
      </w:tr>
      <w:tr w:rsidR="00000000">
        <w:tblPrEx>
          <w:tblCellMar>
            <w:top w:w="0" w:type="dxa"/>
            <w:bottom w:w="0" w:type="dxa"/>
          </w:tblCellMar>
        </w:tblPrEx>
        <w:trPr>
          <w:cantSplit/>
        </w:trPr>
        <w:tc>
          <w:tcPr>
            <w:tcW w:w="2538" w:type="dxa"/>
          </w:tcPr>
          <w:p w:rsidR="00000000" w:rsidRDefault="001F233B">
            <w:pPr>
              <w:jc w:val="left"/>
              <w:rPr>
                <w:b/>
              </w:rPr>
            </w:pPr>
            <w:r>
              <w:rPr>
                <w:b/>
              </w:rPr>
              <w:t>Revenue on behalf of the State</w:t>
            </w:r>
          </w:p>
        </w:tc>
        <w:tc>
          <w:tcPr>
            <w:tcW w:w="4765" w:type="dxa"/>
          </w:tcPr>
          <w:p w:rsidR="00000000" w:rsidRDefault="001F233B">
            <w:r>
              <w:t>Revenue collected from sources such as taxes and Commonwealth Financial Assistance Grants, that is collected for the purpose of funding State government generally. These revenues are not retained specifically by the department which collects them, and are not related to the provision of departmental outputs.</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Revenue-raising effort ratio </w:t>
            </w:r>
          </w:p>
        </w:tc>
        <w:tc>
          <w:tcPr>
            <w:tcW w:w="4765" w:type="dxa"/>
          </w:tcPr>
          <w:p w:rsidR="00000000" w:rsidRDefault="001F233B">
            <w:pPr>
              <w:rPr>
                <w:lang w:val="en-GB"/>
              </w:rPr>
            </w:pPr>
            <w:r>
              <w:rPr>
                <w:lang w:val="en-GB"/>
              </w:rPr>
              <w:t xml:space="preserve">The ratio of actual revenue to </w:t>
            </w:r>
            <w:r>
              <w:rPr>
                <w:i/>
                <w:lang w:val="en-GB"/>
              </w:rPr>
              <w:t>standardised revenue</w:t>
            </w:r>
            <w:r>
              <w:rPr>
                <w:lang w:val="en-GB"/>
              </w:rPr>
              <w:t xml:space="preserve"> as measured by the Com</w:t>
            </w:r>
            <w:r>
              <w:rPr>
                <w:lang w:val="en-GB"/>
              </w:rPr>
              <w:t>monwealth Grants Commission (CGC). Revenue-raising effort ratios may be calculated for individual revenue sources or for total State-source revenues. The revenue-raising effort ratio measures the extent to which a State or Territory government is raising more (or less) revenue from a particular source (or in total) than it would by levying the tax (or taxes) at the Australian average rate on a standard revenue base.</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Special Appropriation </w:t>
            </w:r>
          </w:p>
        </w:tc>
        <w:tc>
          <w:tcPr>
            <w:tcW w:w="4765" w:type="dxa"/>
          </w:tcPr>
          <w:p w:rsidR="00000000" w:rsidRDefault="001F233B">
            <w:pPr>
              <w:rPr>
                <w:lang w:val="en-GB"/>
              </w:rPr>
            </w:pPr>
            <w:r>
              <w:rPr>
                <w:lang w:val="en-GB"/>
              </w:rPr>
              <w:t>A standing authority that remains in force until amended or repealed</w:t>
            </w:r>
            <w:r>
              <w:rPr>
                <w:lang w:val="en-GB"/>
              </w:rPr>
              <w:t xml:space="preserve"> by Parliament, for ongoing payments which need to be made independently of the Government’s annual budget priorities. Compare with </w:t>
            </w:r>
            <w:r>
              <w:rPr>
                <w:i/>
                <w:lang w:val="en-GB"/>
              </w:rPr>
              <w:t>annual appropriation</w:t>
            </w:r>
            <w:r>
              <w:rPr>
                <w:lang w:val="en-GB"/>
              </w:rPr>
              <w:t>.</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Specific purpose payments</w:t>
            </w:r>
          </w:p>
        </w:tc>
        <w:tc>
          <w:tcPr>
            <w:tcW w:w="4765" w:type="dxa"/>
          </w:tcPr>
          <w:p w:rsidR="00000000" w:rsidRDefault="001F233B">
            <w:pPr>
              <w:rPr>
                <w:lang w:val="en-GB"/>
              </w:rPr>
            </w:pPr>
            <w:r>
              <w:rPr>
                <w:lang w:val="en-GB"/>
              </w:rPr>
              <w:t>Grants made by the Commonwealth to State and Territory governments subject to terms and conditions laid down by the Commonwealth, generally with a view to ensuring that Commonwealth policy objectives (or national objectives agreed between the Commonwealth and the States) are met. In practice, the terms and conditions may simply r</w:t>
            </w:r>
            <w:r>
              <w:rPr>
                <w:lang w:val="en-GB"/>
              </w:rPr>
              <w:t>equire that the grants be spent in accordance with broad agreements covering principles and program delivery mechanisms. However, they may be more detailed, and include requirements for Commonwealth approval of individual projects or the commitment of matching funds by the State.</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Standardised expenditure </w:t>
            </w:r>
          </w:p>
        </w:tc>
        <w:tc>
          <w:tcPr>
            <w:tcW w:w="4765" w:type="dxa"/>
          </w:tcPr>
          <w:p w:rsidR="00000000" w:rsidRDefault="001F233B">
            <w:pPr>
              <w:rPr>
                <w:lang w:val="en-GB"/>
              </w:rPr>
            </w:pPr>
            <w:r>
              <w:rPr>
                <w:lang w:val="en-GB"/>
              </w:rPr>
              <w:t>The per capita expenditure which a State or Territory government would incur on a particular category of service provision (or across all categories) if it provided the Australian average level of service</w:t>
            </w:r>
            <w:r>
              <w:rPr>
                <w:lang w:val="en-GB"/>
              </w:rPr>
              <w:t xml:space="preserve"> and operated at the Australian average level of efficiency. This measure is commonly used by the Commonwealth Grants Commission. </w:t>
            </w:r>
          </w:p>
        </w:tc>
      </w:tr>
      <w:tr w:rsidR="00000000">
        <w:tblPrEx>
          <w:tblCellMar>
            <w:top w:w="0" w:type="dxa"/>
            <w:bottom w:w="0" w:type="dxa"/>
          </w:tblCellMar>
        </w:tblPrEx>
        <w:trPr>
          <w:cantSplit/>
        </w:trPr>
        <w:tc>
          <w:tcPr>
            <w:tcW w:w="2538" w:type="dxa"/>
          </w:tcPr>
          <w:p w:rsidR="00000000" w:rsidRDefault="001F233B">
            <w:pPr>
              <w:jc w:val="left"/>
              <w:rPr>
                <w:b/>
              </w:rPr>
            </w:pPr>
            <w:r>
              <w:rPr>
                <w:b/>
              </w:rPr>
              <w:t xml:space="preserve">State final demand </w:t>
            </w:r>
          </w:p>
        </w:tc>
        <w:tc>
          <w:tcPr>
            <w:tcW w:w="4765" w:type="dxa"/>
          </w:tcPr>
          <w:p w:rsidR="00000000" w:rsidRDefault="001F233B">
            <w:pPr>
              <w:rPr>
                <w:b/>
              </w:rPr>
            </w:pPr>
            <w:r>
              <w:t>Domestic final demand</w:t>
            </w:r>
            <w:r>
              <w:rPr>
                <w:b/>
              </w:rPr>
              <w:t xml:space="preserve"> </w:t>
            </w:r>
            <w:r>
              <w:t xml:space="preserve">for a State of Territory. </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Standardised revenue </w:t>
            </w:r>
          </w:p>
        </w:tc>
        <w:tc>
          <w:tcPr>
            <w:tcW w:w="4765" w:type="dxa"/>
          </w:tcPr>
          <w:p w:rsidR="00000000" w:rsidRDefault="001F233B">
            <w:pPr>
              <w:rPr>
                <w:lang w:val="en-GB"/>
              </w:rPr>
            </w:pPr>
            <w:r>
              <w:rPr>
                <w:lang w:val="en-GB"/>
              </w:rPr>
              <w:t>The per capita revenue which a State government would collect from its own taxes and charges if it made the Australian average effort to raise revenue - that is, if it imposed taxes and charges on a standard tax base at the average rate of all States and territories. This measure is comm</w:t>
            </w:r>
            <w:r>
              <w:rPr>
                <w:lang w:val="en-GB"/>
              </w:rPr>
              <w:t>only used by the Commonwealth Grants Commission.</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State owned enterprises </w:t>
            </w:r>
          </w:p>
        </w:tc>
        <w:tc>
          <w:tcPr>
            <w:tcW w:w="4765" w:type="dxa"/>
          </w:tcPr>
          <w:p w:rsidR="00000000" w:rsidRDefault="001F233B">
            <w:pPr>
              <w:rPr>
                <w:lang w:val="en-GB"/>
              </w:rPr>
            </w:pPr>
            <w:r>
              <w:rPr>
                <w:lang w:val="en-GB"/>
              </w:rPr>
              <w:t xml:space="preserve">Widely used as an alternative term for Government Business Enterprises. Strictly speaking, however, a GBE in Victoria is a State owned enterprise only if it has been declared by the Treasurer as such under the provisions of the </w:t>
            </w:r>
            <w:r>
              <w:rPr>
                <w:i/>
                <w:lang w:val="en-GB"/>
              </w:rPr>
              <w:t>State Owned Enterprises Act 1992</w:t>
            </w:r>
            <w:r>
              <w:rPr>
                <w:lang w:val="en-GB"/>
              </w:rPr>
              <w:t>.</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State-source revenues </w:t>
            </w:r>
          </w:p>
        </w:tc>
        <w:tc>
          <w:tcPr>
            <w:tcW w:w="4765" w:type="dxa"/>
          </w:tcPr>
          <w:p w:rsidR="00000000" w:rsidRDefault="001F233B">
            <w:pPr>
              <w:rPr>
                <w:lang w:val="en-GB"/>
              </w:rPr>
            </w:pPr>
            <w:r>
              <w:rPr>
                <w:lang w:val="en-GB"/>
              </w:rPr>
              <w:t xml:space="preserve">Revenues which a State government collects from the taxes, charges and other levies which it imposes under its own legislation, as distinct from those </w:t>
            </w:r>
            <w:r>
              <w:rPr>
                <w:lang w:val="en-GB"/>
              </w:rPr>
              <w:t>revenues it obtains by way of grants from the Commonwealth. Sometimes referred to as ‘own-source revenues’.</w:t>
            </w:r>
          </w:p>
        </w:tc>
      </w:tr>
      <w:tr w:rsidR="00000000">
        <w:tblPrEx>
          <w:tblCellMar>
            <w:top w:w="0" w:type="dxa"/>
            <w:bottom w:w="0" w:type="dxa"/>
          </w:tblCellMar>
        </w:tblPrEx>
        <w:trPr>
          <w:cantSplit/>
        </w:trPr>
        <w:tc>
          <w:tcPr>
            <w:tcW w:w="2538" w:type="dxa"/>
          </w:tcPr>
          <w:p w:rsidR="00000000" w:rsidRDefault="001F233B">
            <w:pPr>
              <w:jc w:val="left"/>
              <w:rPr>
                <w:b/>
              </w:rPr>
            </w:pPr>
            <w:r>
              <w:rPr>
                <w:b/>
              </w:rPr>
              <w:t>Statement of financial position</w:t>
            </w:r>
          </w:p>
        </w:tc>
        <w:tc>
          <w:tcPr>
            <w:tcW w:w="4765" w:type="dxa"/>
          </w:tcPr>
          <w:p w:rsidR="00000000" w:rsidRDefault="001F233B">
            <w:r>
              <w:t>A report that provides information on the assets and liabilities of an entity. The statement also reflects the financial position or the net worth of an entity for the reporting period. Also known as balance sheet.</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Subsidies </w:t>
            </w:r>
          </w:p>
        </w:tc>
        <w:tc>
          <w:tcPr>
            <w:tcW w:w="4765" w:type="dxa"/>
          </w:tcPr>
          <w:p w:rsidR="00000000" w:rsidRDefault="001F233B">
            <w:pPr>
              <w:rPr>
                <w:lang w:val="en-GB"/>
              </w:rPr>
            </w:pPr>
            <w:r>
              <w:rPr>
                <w:lang w:val="en-GB"/>
              </w:rPr>
              <w:t>Payments made by governments to public trading enterprises or private sector organisations to enable them to provide goods or services at reduce</w:t>
            </w:r>
            <w:r>
              <w:rPr>
                <w:lang w:val="en-GB"/>
              </w:rPr>
              <w:t>d cost.</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Tax-equivalent payments </w:t>
            </w:r>
          </w:p>
        </w:tc>
        <w:tc>
          <w:tcPr>
            <w:tcW w:w="4765" w:type="dxa"/>
          </w:tcPr>
          <w:p w:rsidR="00000000" w:rsidRDefault="001F233B">
            <w:pPr>
              <w:rPr>
                <w:lang w:val="en-GB"/>
              </w:rPr>
            </w:pPr>
            <w:r>
              <w:rPr>
                <w:lang w:val="en-GB"/>
              </w:rPr>
              <w:t>Payments which a Government Business Enterprise may be required to make in order to ensure that, as far as possible, it has the same taxation obligations as private sector firms. For example, although GBEs are ordinarily exempt from Commonwealth income taxes, they may be required by their owner governments to make payments calculated on the same basis as income tax.</w:t>
            </w:r>
          </w:p>
        </w:tc>
      </w:tr>
      <w:tr w:rsidR="00000000">
        <w:tblPrEx>
          <w:tblCellMar>
            <w:top w:w="0" w:type="dxa"/>
            <w:bottom w:w="0" w:type="dxa"/>
          </w:tblCellMar>
        </w:tblPrEx>
        <w:trPr>
          <w:cantSplit/>
        </w:trPr>
        <w:tc>
          <w:tcPr>
            <w:tcW w:w="2538" w:type="dxa"/>
          </w:tcPr>
          <w:p w:rsidR="00000000" w:rsidRDefault="001F233B">
            <w:pPr>
              <w:jc w:val="left"/>
              <w:rPr>
                <w:b/>
                <w:lang w:val="en-GB"/>
              </w:rPr>
            </w:pPr>
            <w:r>
              <w:rPr>
                <w:b/>
                <w:lang w:val="en-GB"/>
              </w:rPr>
              <w:t xml:space="preserve">Unfunded liabilities </w:t>
            </w:r>
          </w:p>
        </w:tc>
        <w:tc>
          <w:tcPr>
            <w:tcW w:w="4765" w:type="dxa"/>
          </w:tcPr>
          <w:p w:rsidR="00000000" w:rsidRDefault="001F233B">
            <w:pPr>
              <w:rPr>
                <w:lang w:val="en-GB"/>
              </w:rPr>
            </w:pPr>
            <w:r>
              <w:rPr>
                <w:lang w:val="en-GB"/>
              </w:rPr>
              <w:t>Liabilities which are accruing but for which no explicit provision has been made for p</w:t>
            </w:r>
            <w:r>
              <w:rPr>
                <w:lang w:val="en-GB"/>
              </w:rPr>
              <w:t>ayment.</w:t>
            </w:r>
          </w:p>
          <w:p w:rsidR="00000000" w:rsidRDefault="001F233B">
            <w:pPr>
              <w:rPr>
                <w:lang w:val="en-GB"/>
              </w:rPr>
            </w:pPr>
            <w:r>
              <w:rPr>
                <w:lang w:val="en-GB"/>
              </w:rPr>
              <w:t>For example, unfunded liabilities may exist in respect of employee entitlements (such as long-service and annual leave), and in respect of public insurance schemes (such as WorkCover).</w:t>
            </w:r>
          </w:p>
        </w:tc>
      </w:tr>
    </w:tbl>
    <w:p w:rsidR="00000000" w:rsidRDefault="001F233B">
      <w:pPr>
        <w:rPr>
          <w:lang w:val="en-GB"/>
        </w:rPr>
        <w:sectPr w:rsidR="00000000">
          <w:headerReference w:type="even" r:id="rId113"/>
          <w:type w:val="oddPage"/>
          <w:pgSz w:w="11907" w:h="16840" w:code="9"/>
          <w:pgMar w:top="1440" w:right="3402" w:bottom="4082" w:left="1418" w:header="720" w:footer="4253" w:gutter="0"/>
          <w:cols w:space="720"/>
        </w:sectPr>
      </w:pPr>
    </w:p>
    <w:p w:rsidR="00000000" w:rsidRDefault="001F233B">
      <w:pPr>
        <w:pStyle w:val="Heading1"/>
      </w:pPr>
      <w:r>
        <w:br w:type="page"/>
      </w:r>
      <w:bookmarkStart w:id="251" w:name="_Toc417552133"/>
      <w:r>
        <w:t>Index</w:t>
      </w:r>
      <w:bookmarkEnd w:id="251"/>
    </w:p>
    <w:p w:rsidR="00000000" w:rsidRDefault="001F233B">
      <w:pPr>
        <w:spacing w:after="240"/>
        <w:rPr>
          <w:noProof/>
          <w:color w:val="000000"/>
        </w:rPr>
        <w:sectPr w:rsidR="00000000">
          <w:headerReference w:type="even" r:id="rId114"/>
          <w:footerReference w:type="even" r:id="rId115"/>
          <w:type w:val="continuous"/>
          <w:pgSz w:w="11907" w:h="16840" w:code="9"/>
          <w:pgMar w:top="1440" w:right="3402" w:bottom="4082" w:left="1418" w:header="720" w:footer="4253" w:gutter="0"/>
          <w:cols w:space="720"/>
        </w:sectPr>
      </w:pPr>
      <w:r>
        <w:rPr>
          <w:color w:val="000000"/>
        </w:rPr>
        <w:fldChar w:fldCharType="begin"/>
      </w:r>
      <w:r>
        <w:rPr>
          <w:color w:val="000000"/>
        </w:rPr>
        <w:instrText xml:space="preserve"> INDEX \h "A" \c "2" </w:instrText>
      </w:r>
      <w:r>
        <w:rPr>
          <w:color w:val="000000"/>
        </w:rPr>
        <w:fldChar w:fldCharType="separate"/>
      </w:r>
    </w:p>
    <w:p w:rsidR="00000000" w:rsidRDefault="001F233B">
      <w:pPr>
        <w:pStyle w:val="IndexHeading"/>
        <w:keepNext/>
        <w:tabs>
          <w:tab w:val="right" w:pos="3173"/>
        </w:tabs>
        <w:rPr>
          <w:b w:val="0"/>
          <w:noProof/>
        </w:rPr>
      </w:pPr>
      <w:r>
        <w:rPr>
          <w:noProof/>
        </w:rPr>
        <w:t>A</w:t>
      </w:r>
    </w:p>
    <w:p w:rsidR="00000000" w:rsidRDefault="001F233B">
      <w:pPr>
        <w:pStyle w:val="Index1"/>
        <w:tabs>
          <w:tab w:val="right" w:pos="3173"/>
        </w:tabs>
        <w:rPr>
          <w:noProof/>
        </w:rPr>
      </w:pPr>
      <w:r>
        <w:rPr>
          <w:noProof/>
        </w:rPr>
        <w:t>Accrual</w:t>
      </w:r>
    </w:p>
    <w:p w:rsidR="00000000" w:rsidRDefault="001F233B">
      <w:pPr>
        <w:pStyle w:val="Index2"/>
        <w:tabs>
          <w:tab w:val="right" w:pos="3173"/>
        </w:tabs>
        <w:rPr>
          <w:noProof/>
        </w:rPr>
      </w:pPr>
      <w:r>
        <w:rPr>
          <w:noProof/>
        </w:rPr>
        <w:t>Output based budgeting, 29, 104</w:t>
      </w:r>
    </w:p>
    <w:p w:rsidR="00000000" w:rsidRDefault="001F233B">
      <w:pPr>
        <w:pStyle w:val="Index1"/>
        <w:tabs>
          <w:tab w:val="right" w:pos="3173"/>
        </w:tabs>
        <w:rPr>
          <w:noProof/>
        </w:rPr>
      </w:pPr>
      <w:r>
        <w:rPr>
          <w:noProof/>
        </w:rPr>
        <w:t>Agenda 21, 6, 38, 50, 61</w:t>
      </w:r>
    </w:p>
    <w:p w:rsidR="00000000" w:rsidRDefault="001F233B">
      <w:pPr>
        <w:pStyle w:val="Index1"/>
        <w:tabs>
          <w:tab w:val="right" w:pos="3173"/>
        </w:tabs>
        <w:rPr>
          <w:noProof/>
        </w:rPr>
      </w:pPr>
      <w:r>
        <w:rPr>
          <w:noProof/>
        </w:rPr>
        <w:t>Allders case, 89</w:t>
      </w:r>
    </w:p>
    <w:p w:rsidR="00000000" w:rsidRDefault="001F233B">
      <w:pPr>
        <w:pStyle w:val="Index1"/>
        <w:tabs>
          <w:tab w:val="right" w:pos="3173"/>
        </w:tabs>
        <w:rPr>
          <w:noProof/>
        </w:rPr>
      </w:pPr>
      <w:r>
        <w:rPr>
          <w:noProof/>
        </w:rPr>
        <w:t>Asia, 3, 23, 45, 62, 103, 123, 124, 129, 130</w:t>
      </w:r>
    </w:p>
    <w:p w:rsidR="00000000" w:rsidRDefault="001F233B">
      <w:pPr>
        <w:pStyle w:val="Index1"/>
        <w:tabs>
          <w:tab w:val="right" w:pos="3173"/>
        </w:tabs>
        <w:rPr>
          <w:noProof/>
        </w:rPr>
      </w:pPr>
      <w:r>
        <w:rPr>
          <w:noProof/>
        </w:rPr>
        <w:t>Asset base, 34</w:t>
      </w:r>
    </w:p>
    <w:p w:rsidR="00000000" w:rsidRDefault="001F233B">
      <w:pPr>
        <w:pStyle w:val="Index1"/>
        <w:tabs>
          <w:tab w:val="right" w:pos="3173"/>
        </w:tabs>
        <w:rPr>
          <w:noProof/>
        </w:rPr>
      </w:pPr>
      <w:r>
        <w:rPr>
          <w:noProof/>
        </w:rPr>
        <w:t>Asset Management, 103, 104, 106, 107</w:t>
      </w:r>
    </w:p>
    <w:p w:rsidR="00000000" w:rsidRDefault="001F233B">
      <w:pPr>
        <w:pStyle w:val="Index2"/>
        <w:tabs>
          <w:tab w:val="right" w:pos="3173"/>
        </w:tabs>
        <w:rPr>
          <w:noProof/>
        </w:rPr>
      </w:pPr>
      <w:r>
        <w:rPr>
          <w:noProof/>
        </w:rPr>
        <w:t>Budget sector assets, 108, 109</w:t>
      </w:r>
    </w:p>
    <w:p w:rsidR="00000000" w:rsidRDefault="001F233B">
      <w:pPr>
        <w:pStyle w:val="Index2"/>
        <w:tabs>
          <w:tab w:val="right" w:pos="3173"/>
        </w:tabs>
        <w:rPr>
          <w:noProof/>
        </w:rPr>
      </w:pPr>
      <w:r>
        <w:rPr>
          <w:noProof/>
        </w:rPr>
        <w:t>Public sector assets, 109</w:t>
      </w:r>
    </w:p>
    <w:p w:rsidR="00000000" w:rsidRDefault="001F233B">
      <w:pPr>
        <w:pStyle w:val="Index1"/>
        <w:tabs>
          <w:tab w:val="right" w:pos="3173"/>
        </w:tabs>
        <w:rPr>
          <w:noProof/>
        </w:rPr>
      </w:pPr>
      <w:r>
        <w:rPr>
          <w:noProof/>
        </w:rPr>
        <w:t xml:space="preserve">Australian Competition and Consumer Commission, </w:t>
      </w:r>
      <w:r>
        <w:rPr>
          <w:noProof/>
        </w:rPr>
        <w:t>86, 144</w:t>
      </w:r>
    </w:p>
    <w:p w:rsidR="00000000" w:rsidRDefault="001F233B">
      <w:pPr>
        <w:pStyle w:val="Index1"/>
        <w:tabs>
          <w:tab w:val="right" w:pos="3173"/>
        </w:tabs>
        <w:rPr>
          <w:noProof/>
        </w:rPr>
      </w:pPr>
      <w:r>
        <w:rPr>
          <w:noProof/>
        </w:rPr>
        <w:t>Australian Health Care Agreement (AHCA), 158, 160, 162, 171</w:t>
      </w:r>
    </w:p>
    <w:p w:rsidR="00000000" w:rsidRDefault="001F233B">
      <w:pPr>
        <w:pStyle w:val="IndexHeading"/>
        <w:keepNext/>
        <w:tabs>
          <w:tab w:val="right" w:pos="3173"/>
        </w:tabs>
        <w:rPr>
          <w:b w:val="0"/>
          <w:noProof/>
        </w:rPr>
      </w:pPr>
      <w:r>
        <w:rPr>
          <w:noProof/>
        </w:rPr>
        <w:t>B</w:t>
      </w:r>
    </w:p>
    <w:p w:rsidR="00000000" w:rsidRDefault="001F233B">
      <w:pPr>
        <w:pStyle w:val="Index1"/>
        <w:tabs>
          <w:tab w:val="right" w:pos="3173"/>
        </w:tabs>
        <w:rPr>
          <w:noProof/>
        </w:rPr>
      </w:pPr>
      <w:r>
        <w:rPr>
          <w:noProof/>
        </w:rPr>
        <w:t>Budget</w:t>
      </w:r>
    </w:p>
    <w:p w:rsidR="00000000" w:rsidRDefault="001F233B">
      <w:pPr>
        <w:pStyle w:val="Index2"/>
        <w:tabs>
          <w:tab w:val="right" w:pos="3173"/>
        </w:tabs>
        <w:rPr>
          <w:noProof/>
        </w:rPr>
      </w:pPr>
      <w:r>
        <w:rPr>
          <w:noProof/>
        </w:rPr>
        <w:t>1998</w:t>
      </w:r>
      <w:r>
        <w:rPr>
          <w:noProof/>
        </w:rPr>
        <w:noBreakHyphen/>
        <w:t>99 Budget initiatives, 19, 24, 36, 37, 38</w:t>
      </w:r>
    </w:p>
    <w:p w:rsidR="00000000" w:rsidRDefault="001F233B">
      <w:pPr>
        <w:pStyle w:val="Index2"/>
        <w:tabs>
          <w:tab w:val="right" w:pos="3173"/>
        </w:tabs>
        <w:rPr>
          <w:noProof/>
        </w:rPr>
      </w:pPr>
      <w:r>
        <w:rPr>
          <w:noProof/>
        </w:rPr>
        <w:t>Budget strategy, 17, 18, 19</w:t>
      </w:r>
    </w:p>
    <w:p w:rsidR="00000000" w:rsidRDefault="001F233B">
      <w:pPr>
        <w:pStyle w:val="Index2"/>
        <w:tabs>
          <w:tab w:val="right" w:pos="3173"/>
        </w:tabs>
        <w:rPr>
          <w:noProof/>
        </w:rPr>
      </w:pPr>
      <w:r>
        <w:rPr>
          <w:noProof/>
        </w:rPr>
        <w:t>Position, 2, 7, 11, 18, 19, 25, 34, 45, 73</w:t>
      </w:r>
    </w:p>
    <w:p w:rsidR="00000000" w:rsidRDefault="001F233B">
      <w:pPr>
        <w:pStyle w:val="Index2"/>
        <w:tabs>
          <w:tab w:val="right" w:pos="3173"/>
        </w:tabs>
        <w:rPr>
          <w:noProof/>
        </w:rPr>
      </w:pPr>
      <w:r>
        <w:rPr>
          <w:noProof/>
        </w:rPr>
        <w:t>Sustainable budget planning position, 45</w:t>
      </w:r>
    </w:p>
    <w:p w:rsidR="00000000" w:rsidRDefault="001F233B">
      <w:pPr>
        <w:pStyle w:val="Index2"/>
        <w:tabs>
          <w:tab w:val="right" w:pos="3173"/>
        </w:tabs>
        <w:rPr>
          <w:noProof/>
        </w:rPr>
      </w:pPr>
      <w:r>
        <w:rPr>
          <w:noProof/>
        </w:rPr>
        <w:t>Sustainable planning, 45, 46</w:t>
      </w:r>
    </w:p>
    <w:p w:rsidR="00000000" w:rsidRDefault="001F233B">
      <w:pPr>
        <w:pStyle w:val="Index2"/>
        <w:tabs>
          <w:tab w:val="right" w:pos="3173"/>
        </w:tabs>
        <w:rPr>
          <w:noProof/>
        </w:rPr>
      </w:pPr>
      <w:r>
        <w:rPr>
          <w:noProof/>
        </w:rPr>
        <w:t>Sustainable planning surplus, 45</w:t>
      </w:r>
    </w:p>
    <w:p w:rsidR="00000000" w:rsidRDefault="001F233B">
      <w:pPr>
        <w:pStyle w:val="Index1"/>
        <w:tabs>
          <w:tab w:val="right" w:pos="3173"/>
        </w:tabs>
        <w:rPr>
          <w:noProof/>
        </w:rPr>
      </w:pPr>
      <w:r>
        <w:rPr>
          <w:noProof/>
        </w:rPr>
        <w:t>Budget sector debt portfolio, 114</w:t>
      </w:r>
    </w:p>
    <w:p w:rsidR="00000000" w:rsidRDefault="001F233B">
      <w:pPr>
        <w:pStyle w:val="Index1"/>
        <w:tabs>
          <w:tab w:val="right" w:pos="3173"/>
        </w:tabs>
        <w:rPr>
          <w:noProof/>
        </w:rPr>
      </w:pPr>
      <w:r>
        <w:rPr>
          <w:noProof/>
        </w:rPr>
        <w:t>Budget sector interest paid, 104</w:t>
      </w:r>
    </w:p>
    <w:p w:rsidR="00000000" w:rsidRDefault="001F233B">
      <w:pPr>
        <w:pStyle w:val="Index1"/>
        <w:tabs>
          <w:tab w:val="right" w:pos="3173"/>
        </w:tabs>
        <w:rPr>
          <w:noProof/>
        </w:rPr>
      </w:pPr>
      <w:r>
        <w:rPr>
          <w:noProof/>
        </w:rPr>
        <w:t>Budget sector net debt, 10, 104, 111, 112</w:t>
      </w:r>
    </w:p>
    <w:p w:rsidR="00000000" w:rsidRDefault="001F233B">
      <w:pPr>
        <w:pStyle w:val="Index2"/>
        <w:tabs>
          <w:tab w:val="right" w:pos="3173"/>
        </w:tabs>
        <w:rPr>
          <w:noProof/>
        </w:rPr>
      </w:pPr>
      <w:r>
        <w:rPr>
          <w:noProof/>
        </w:rPr>
        <w:t>Budget sector net debt to GSP, 112</w:t>
      </w:r>
    </w:p>
    <w:p w:rsidR="00000000" w:rsidRDefault="001F233B">
      <w:pPr>
        <w:pStyle w:val="Index1"/>
        <w:tabs>
          <w:tab w:val="right" w:pos="3173"/>
        </w:tabs>
        <w:rPr>
          <w:noProof/>
        </w:rPr>
      </w:pPr>
      <w:r>
        <w:rPr>
          <w:noProof/>
        </w:rPr>
        <w:t>Business Franchise Fee (Safety Net) Act 1997, 86</w:t>
      </w:r>
    </w:p>
    <w:p w:rsidR="00000000" w:rsidRDefault="001F233B">
      <w:pPr>
        <w:pStyle w:val="IndexHeading"/>
        <w:keepNext/>
        <w:tabs>
          <w:tab w:val="right" w:pos="3173"/>
        </w:tabs>
        <w:rPr>
          <w:b w:val="0"/>
          <w:noProof/>
        </w:rPr>
      </w:pPr>
      <w:r>
        <w:rPr>
          <w:noProof/>
        </w:rPr>
        <w:br w:type="column"/>
        <w:t>C</w:t>
      </w:r>
    </w:p>
    <w:p w:rsidR="00000000" w:rsidRDefault="001F233B">
      <w:pPr>
        <w:pStyle w:val="Index1"/>
        <w:tabs>
          <w:tab w:val="right" w:pos="3173"/>
        </w:tabs>
        <w:rPr>
          <w:noProof/>
        </w:rPr>
      </w:pPr>
      <w:r>
        <w:rPr>
          <w:noProof/>
        </w:rPr>
        <w:t>Casemix, 48, 67</w:t>
      </w:r>
    </w:p>
    <w:p w:rsidR="00000000" w:rsidRDefault="001F233B">
      <w:pPr>
        <w:pStyle w:val="Index1"/>
        <w:tabs>
          <w:tab w:val="right" w:pos="3173"/>
        </w:tabs>
        <w:rPr>
          <w:noProof/>
        </w:rPr>
      </w:pPr>
      <w:r>
        <w:rPr>
          <w:noProof/>
        </w:rPr>
        <w:t>Ca</w:t>
      </w:r>
      <w:r>
        <w:rPr>
          <w:noProof/>
        </w:rPr>
        <w:t>shflow statement, 38, 39</w:t>
      </w:r>
    </w:p>
    <w:p w:rsidR="00000000" w:rsidRDefault="001F233B">
      <w:pPr>
        <w:pStyle w:val="Index1"/>
        <w:tabs>
          <w:tab w:val="right" w:pos="3173"/>
        </w:tabs>
        <w:rPr>
          <w:noProof/>
        </w:rPr>
      </w:pPr>
      <w:r>
        <w:rPr>
          <w:noProof/>
        </w:rPr>
        <w:t>City Link project, 152, 191</w:t>
      </w:r>
    </w:p>
    <w:p w:rsidR="00000000" w:rsidRDefault="001F233B">
      <w:pPr>
        <w:pStyle w:val="Index1"/>
        <w:tabs>
          <w:tab w:val="right" w:pos="3173"/>
        </w:tabs>
        <w:rPr>
          <w:noProof/>
        </w:rPr>
      </w:pPr>
      <w:r>
        <w:rPr>
          <w:noProof/>
        </w:rPr>
        <w:t>Commonwealth Grants Commission, 160, 161, 168, 169</w:t>
      </w:r>
    </w:p>
    <w:p w:rsidR="00000000" w:rsidRDefault="001F233B">
      <w:pPr>
        <w:pStyle w:val="Index1"/>
        <w:tabs>
          <w:tab w:val="right" w:pos="3173"/>
        </w:tabs>
        <w:rPr>
          <w:noProof/>
        </w:rPr>
      </w:pPr>
      <w:r>
        <w:rPr>
          <w:noProof/>
        </w:rPr>
        <w:t>Commonwealth Grants Commission (CGC), 24, 25, 64, 81, 82, 151, 159</w:t>
      </w:r>
    </w:p>
    <w:p w:rsidR="00000000" w:rsidRDefault="001F233B">
      <w:pPr>
        <w:pStyle w:val="Index1"/>
        <w:tabs>
          <w:tab w:val="right" w:pos="3173"/>
        </w:tabs>
        <w:rPr>
          <w:noProof/>
        </w:rPr>
      </w:pPr>
      <w:r>
        <w:rPr>
          <w:noProof/>
        </w:rPr>
        <w:t>Commonwealth National Heritage Trust, 32</w:t>
      </w:r>
    </w:p>
    <w:p w:rsidR="00000000" w:rsidRDefault="001F233B">
      <w:pPr>
        <w:pStyle w:val="Index1"/>
        <w:tabs>
          <w:tab w:val="right" w:pos="3173"/>
        </w:tabs>
        <w:rPr>
          <w:noProof/>
        </w:rPr>
      </w:pPr>
      <w:r>
        <w:rPr>
          <w:noProof/>
        </w:rPr>
        <w:t>Commonwealth places, 89, 90</w:t>
      </w:r>
    </w:p>
    <w:p w:rsidR="00000000" w:rsidRDefault="001F233B">
      <w:pPr>
        <w:pStyle w:val="Index1"/>
        <w:tabs>
          <w:tab w:val="right" w:pos="3173"/>
        </w:tabs>
        <w:rPr>
          <w:noProof/>
        </w:rPr>
      </w:pPr>
      <w:r>
        <w:rPr>
          <w:noProof/>
        </w:rPr>
        <w:t>Commonwealth-State Housing Agreement (CSHA), 171</w:t>
      </w:r>
    </w:p>
    <w:p w:rsidR="00000000" w:rsidRDefault="001F233B">
      <w:pPr>
        <w:pStyle w:val="Index1"/>
        <w:tabs>
          <w:tab w:val="right" w:pos="3173"/>
        </w:tabs>
        <w:rPr>
          <w:noProof/>
        </w:rPr>
      </w:pPr>
      <w:r>
        <w:rPr>
          <w:noProof/>
        </w:rPr>
        <w:t>Competition, 138, 139, 144, 151, 153, 155</w:t>
      </w:r>
    </w:p>
    <w:p w:rsidR="00000000" w:rsidRDefault="001F233B">
      <w:pPr>
        <w:pStyle w:val="Index2"/>
        <w:tabs>
          <w:tab w:val="right" w:pos="3173"/>
        </w:tabs>
        <w:rPr>
          <w:noProof/>
        </w:rPr>
      </w:pPr>
      <w:r>
        <w:rPr>
          <w:noProof/>
        </w:rPr>
        <w:t>Benefits of competition, 13</w:t>
      </w:r>
    </w:p>
    <w:p w:rsidR="00000000" w:rsidRDefault="001F233B">
      <w:pPr>
        <w:pStyle w:val="Index2"/>
        <w:tabs>
          <w:tab w:val="right" w:pos="3173"/>
        </w:tabs>
        <w:rPr>
          <w:noProof/>
        </w:rPr>
      </w:pPr>
      <w:r>
        <w:rPr>
          <w:noProof/>
        </w:rPr>
        <w:t>National Competition Policy, 137, 139, 153, 154, 159, 161</w:t>
      </w:r>
    </w:p>
    <w:p w:rsidR="00000000" w:rsidRDefault="001F233B">
      <w:pPr>
        <w:pStyle w:val="Index1"/>
        <w:tabs>
          <w:tab w:val="right" w:pos="3173"/>
        </w:tabs>
        <w:rPr>
          <w:noProof/>
        </w:rPr>
      </w:pPr>
      <w:r>
        <w:rPr>
          <w:noProof/>
        </w:rPr>
        <w:t>Competitiveness, 5, 73, 75, 80, 83, 91, 121, 132</w:t>
      </w:r>
    </w:p>
    <w:p w:rsidR="00000000" w:rsidRDefault="001F233B">
      <w:pPr>
        <w:pStyle w:val="Index1"/>
        <w:tabs>
          <w:tab w:val="right" w:pos="3173"/>
        </w:tabs>
        <w:rPr>
          <w:noProof/>
        </w:rPr>
      </w:pPr>
      <w:r>
        <w:rPr>
          <w:noProof/>
        </w:rPr>
        <w:t>Credit rating, 104</w:t>
      </w:r>
    </w:p>
    <w:p w:rsidR="00000000" w:rsidRDefault="001F233B">
      <w:pPr>
        <w:pStyle w:val="Index2"/>
        <w:tabs>
          <w:tab w:val="right" w:pos="3173"/>
        </w:tabs>
        <w:rPr>
          <w:noProof/>
        </w:rPr>
      </w:pPr>
      <w:r>
        <w:rPr>
          <w:noProof/>
        </w:rPr>
        <w:t xml:space="preserve">Moody’s Investors Service, </w:t>
      </w:r>
      <w:r>
        <w:rPr>
          <w:noProof/>
        </w:rPr>
        <w:t>104</w:t>
      </w:r>
    </w:p>
    <w:p w:rsidR="00000000" w:rsidRDefault="001F233B">
      <w:pPr>
        <w:pStyle w:val="Index2"/>
        <w:tabs>
          <w:tab w:val="right" w:pos="3173"/>
        </w:tabs>
        <w:rPr>
          <w:noProof/>
        </w:rPr>
      </w:pPr>
      <w:r>
        <w:rPr>
          <w:noProof/>
        </w:rPr>
        <w:t>Standard &amp; Poor’s, 7, 103, 104, 105</w:t>
      </w:r>
    </w:p>
    <w:p w:rsidR="00000000" w:rsidRDefault="001F233B">
      <w:pPr>
        <w:pStyle w:val="Index1"/>
        <w:tabs>
          <w:tab w:val="right" w:pos="3173"/>
        </w:tabs>
        <w:rPr>
          <w:noProof/>
        </w:rPr>
      </w:pPr>
      <w:r>
        <w:rPr>
          <w:noProof/>
        </w:rPr>
        <w:t>Current outlays, 9, 183, 185, 187, 188</w:t>
      </w:r>
    </w:p>
    <w:p w:rsidR="00000000" w:rsidRDefault="001F233B">
      <w:pPr>
        <w:pStyle w:val="IndexHeading"/>
        <w:keepNext/>
        <w:tabs>
          <w:tab w:val="right" w:pos="3173"/>
        </w:tabs>
        <w:rPr>
          <w:b w:val="0"/>
          <w:noProof/>
        </w:rPr>
      </w:pPr>
      <w:r>
        <w:rPr>
          <w:noProof/>
        </w:rPr>
        <w:t>D</w:t>
      </w:r>
    </w:p>
    <w:p w:rsidR="00000000" w:rsidRDefault="001F233B">
      <w:pPr>
        <w:pStyle w:val="Index1"/>
        <w:tabs>
          <w:tab w:val="right" w:pos="3173"/>
        </w:tabs>
        <w:rPr>
          <w:noProof/>
        </w:rPr>
      </w:pPr>
      <w:r>
        <w:rPr>
          <w:noProof/>
        </w:rPr>
        <w:t>Demand contingency, 37, 47, 49</w:t>
      </w:r>
    </w:p>
    <w:p w:rsidR="00000000" w:rsidRDefault="001F233B">
      <w:pPr>
        <w:pStyle w:val="Index1"/>
        <w:tabs>
          <w:tab w:val="right" w:pos="3173"/>
        </w:tabs>
        <w:rPr>
          <w:noProof/>
        </w:rPr>
      </w:pPr>
      <w:r>
        <w:rPr>
          <w:noProof/>
        </w:rPr>
        <w:t>Department of Education</w:t>
      </w:r>
    </w:p>
    <w:p w:rsidR="00000000" w:rsidRDefault="001F233B">
      <w:pPr>
        <w:pStyle w:val="Index2"/>
        <w:tabs>
          <w:tab w:val="right" w:pos="3173"/>
        </w:tabs>
        <w:rPr>
          <w:noProof/>
        </w:rPr>
      </w:pPr>
      <w:r>
        <w:rPr>
          <w:noProof/>
        </w:rPr>
        <w:t>Achievement in year 11 and 12, 65</w:t>
      </w:r>
    </w:p>
    <w:p w:rsidR="00000000" w:rsidRDefault="001F233B">
      <w:pPr>
        <w:pStyle w:val="Index2"/>
        <w:tabs>
          <w:tab w:val="right" w:pos="3173"/>
        </w:tabs>
        <w:rPr>
          <w:noProof/>
        </w:rPr>
      </w:pPr>
      <w:r>
        <w:rPr>
          <w:noProof/>
        </w:rPr>
        <w:t>Average school size, 66</w:t>
      </w:r>
    </w:p>
    <w:p w:rsidR="00000000" w:rsidRDefault="001F233B">
      <w:pPr>
        <w:pStyle w:val="Index2"/>
        <w:tabs>
          <w:tab w:val="right" w:pos="3173"/>
        </w:tabs>
        <w:rPr>
          <w:noProof/>
        </w:rPr>
      </w:pPr>
      <w:r>
        <w:rPr>
          <w:noProof/>
        </w:rPr>
        <w:t>Keys to Life program, 3, 51, 52, 53</w:t>
      </w:r>
    </w:p>
    <w:p w:rsidR="00000000" w:rsidRDefault="001F233B">
      <w:pPr>
        <w:pStyle w:val="Index2"/>
        <w:tabs>
          <w:tab w:val="right" w:pos="3173"/>
        </w:tabs>
        <w:rPr>
          <w:noProof/>
        </w:rPr>
      </w:pPr>
      <w:r>
        <w:rPr>
          <w:noProof/>
        </w:rPr>
        <w:t>Literacy, 3, 6, 14, 51, 52, 53, 65, 66</w:t>
      </w:r>
    </w:p>
    <w:p w:rsidR="00000000" w:rsidRDefault="001F233B">
      <w:pPr>
        <w:pStyle w:val="Index2"/>
        <w:tabs>
          <w:tab w:val="right" w:pos="3173"/>
        </w:tabs>
        <w:rPr>
          <w:noProof/>
        </w:rPr>
      </w:pPr>
      <w:r>
        <w:rPr>
          <w:noProof/>
        </w:rPr>
        <w:t>Literacy 2001, 3, 52, 53</w:t>
      </w:r>
    </w:p>
    <w:p w:rsidR="00000000" w:rsidRDefault="001F233B">
      <w:pPr>
        <w:pStyle w:val="Index2"/>
        <w:tabs>
          <w:tab w:val="right" w:pos="3173"/>
        </w:tabs>
        <w:rPr>
          <w:noProof/>
        </w:rPr>
      </w:pPr>
      <w:r>
        <w:rPr>
          <w:noProof/>
        </w:rPr>
        <w:t>Primary school, 52, 66</w:t>
      </w:r>
    </w:p>
    <w:p w:rsidR="00000000" w:rsidRDefault="001F233B">
      <w:pPr>
        <w:pStyle w:val="Index2"/>
        <w:tabs>
          <w:tab w:val="right" w:pos="3173"/>
        </w:tabs>
        <w:rPr>
          <w:noProof/>
        </w:rPr>
      </w:pPr>
      <w:r>
        <w:rPr>
          <w:noProof/>
        </w:rPr>
        <w:t>Retention rates, 65</w:t>
      </w:r>
    </w:p>
    <w:p w:rsidR="00000000" w:rsidRDefault="001F233B">
      <w:pPr>
        <w:pStyle w:val="Index2"/>
        <w:tabs>
          <w:tab w:val="right" w:pos="3173"/>
        </w:tabs>
        <w:rPr>
          <w:noProof/>
        </w:rPr>
      </w:pPr>
      <w:r>
        <w:rPr>
          <w:noProof/>
        </w:rPr>
        <w:t>School services, 65</w:t>
      </w:r>
    </w:p>
    <w:p w:rsidR="00000000" w:rsidRDefault="001F233B">
      <w:pPr>
        <w:pStyle w:val="Index2"/>
        <w:tabs>
          <w:tab w:val="right" w:pos="3173"/>
        </w:tabs>
        <w:rPr>
          <w:noProof/>
        </w:rPr>
      </w:pPr>
      <w:r>
        <w:rPr>
          <w:noProof/>
        </w:rPr>
        <w:t>Schools of the Future, 53</w:t>
      </w:r>
    </w:p>
    <w:p w:rsidR="00000000" w:rsidRDefault="001F233B">
      <w:pPr>
        <w:pStyle w:val="Index2"/>
        <w:tabs>
          <w:tab w:val="right" w:pos="3173"/>
        </w:tabs>
        <w:rPr>
          <w:noProof/>
        </w:rPr>
      </w:pPr>
      <w:r>
        <w:rPr>
          <w:noProof/>
        </w:rPr>
        <w:t>Schools of the Third Millennium, 53</w:t>
      </w:r>
    </w:p>
    <w:p w:rsidR="00000000" w:rsidRDefault="001F233B">
      <w:pPr>
        <w:pStyle w:val="Index2"/>
        <w:tabs>
          <w:tab w:val="right" w:pos="3173"/>
        </w:tabs>
        <w:rPr>
          <w:noProof/>
        </w:rPr>
      </w:pPr>
      <w:r>
        <w:rPr>
          <w:noProof/>
        </w:rPr>
        <w:t>Secondary school, 66</w:t>
      </w:r>
    </w:p>
    <w:p w:rsidR="00000000" w:rsidRDefault="001F233B">
      <w:pPr>
        <w:pStyle w:val="Index2"/>
        <w:tabs>
          <w:tab w:val="right" w:pos="3173"/>
        </w:tabs>
        <w:rPr>
          <w:noProof/>
        </w:rPr>
      </w:pPr>
      <w:r>
        <w:rPr>
          <w:noProof/>
        </w:rPr>
        <w:t>Students per computer, 66</w:t>
      </w:r>
    </w:p>
    <w:p w:rsidR="00000000" w:rsidRDefault="001F233B">
      <w:pPr>
        <w:pStyle w:val="Index2"/>
        <w:tabs>
          <w:tab w:val="right" w:pos="3173"/>
        </w:tabs>
        <w:rPr>
          <w:noProof/>
        </w:rPr>
      </w:pPr>
      <w:r>
        <w:rPr>
          <w:noProof/>
        </w:rPr>
        <w:t>TAFE, 6, 14, 32, 52, 66, 97, 179</w:t>
      </w:r>
    </w:p>
    <w:p w:rsidR="00000000" w:rsidRDefault="001F233B">
      <w:pPr>
        <w:pStyle w:val="Index2"/>
        <w:tabs>
          <w:tab w:val="right" w:pos="3173"/>
        </w:tabs>
        <w:rPr>
          <w:noProof/>
        </w:rPr>
      </w:pPr>
      <w:r>
        <w:rPr>
          <w:noProof/>
        </w:rPr>
        <w:t>Vocational an</w:t>
      </w:r>
      <w:r>
        <w:rPr>
          <w:noProof/>
        </w:rPr>
        <w:t>d educational training, 66, 67</w:t>
      </w:r>
    </w:p>
    <w:p w:rsidR="00000000" w:rsidRDefault="001F233B">
      <w:pPr>
        <w:pStyle w:val="Index2"/>
        <w:tabs>
          <w:tab w:val="right" w:pos="3173"/>
        </w:tabs>
        <w:rPr>
          <w:noProof/>
        </w:rPr>
      </w:pPr>
      <w:r>
        <w:rPr>
          <w:noProof/>
        </w:rPr>
        <w:t>Youth allowance, 4, 53</w:t>
      </w:r>
    </w:p>
    <w:p w:rsidR="00000000" w:rsidRDefault="001F233B">
      <w:pPr>
        <w:pStyle w:val="Index1"/>
        <w:tabs>
          <w:tab w:val="right" w:pos="3173"/>
        </w:tabs>
        <w:rPr>
          <w:noProof/>
        </w:rPr>
      </w:pPr>
      <w:r>
        <w:rPr>
          <w:noProof/>
        </w:rPr>
        <w:t>Department of Human Services, 49, 54, 191</w:t>
      </w:r>
    </w:p>
    <w:p w:rsidR="00000000" w:rsidRDefault="001F233B">
      <w:pPr>
        <w:pStyle w:val="Index2"/>
        <w:tabs>
          <w:tab w:val="right" w:pos="3173"/>
        </w:tabs>
        <w:rPr>
          <w:noProof/>
        </w:rPr>
      </w:pPr>
      <w:r>
        <w:rPr>
          <w:noProof/>
        </w:rPr>
        <w:t>Acute care services, 67</w:t>
      </w:r>
    </w:p>
    <w:p w:rsidR="00000000" w:rsidRDefault="001F233B">
      <w:pPr>
        <w:pStyle w:val="Index2"/>
        <w:tabs>
          <w:tab w:val="right" w:pos="3173"/>
        </w:tabs>
        <w:rPr>
          <w:noProof/>
        </w:rPr>
      </w:pPr>
      <w:r>
        <w:rPr>
          <w:noProof/>
        </w:rPr>
        <w:t>Aged care services, 54, 55, 67</w:t>
      </w:r>
    </w:p>
    <w:p w:rsidR="00000000" w:rsidRDefault="001F233B">
      <w:pPr>
        <w:pStyle w:val="Index2"/>
        <w:tabs>
          <w:tab w:val="right" w:pos="3173"/>
        </w:tabs>
        <w:rPr>
          <w:noProof/>
        </w:rPr>
      </w:pPr>
      <w:r>
        <w:rPr>
          <w:noProof/>
        </w:rPr>
        <w:t>Disability services, 55, 68</w:t>
      </w:r>
    </w:p>
    <w:p w:rsidR="00000000" w:rsidRDefault="001F233B">
      <w:pPr>
        <w:pStyle w:val="Index2"/>
        <w:tabs>
          <w:tab w:val="right" w:pos="3173"/>
        </w:tabs>
        <w:rPr>
          <w:noProof/>
        </w:rPr>
      </w:pPr>
      <w:r>
        <w:rPr>
          <w:noProof/>
        </w:rPr>
        <w:t>Hospital in the Home program, 55</w:t>
      </w:r>
    </w:p>
    <w:p w:rsidR="00000000" w:rsidRDefault="001F233B">
      <w:pPr>
        <w:pStyle w:val="Index2"/>
        <w:tabs>
          <w:tab w:val="right" w:pos="3173"/>
        </w:tabs>
        <w:rPr>
          <w:noProof/>
        </w:rPr>
      </w:pPr>
      <w:r>
        <w:rPr>
          <w:noProof/>
        </w:rPr>
        <w:t>Hospital services, 55, 152, 192</w:t>
      </w:r>
    </w:p>
    <w:p w:rsidR="00000000" w:rsidRDefault="001F233B">
      <w:pPr>
        <w:pStyle w:val="Index2"/>
        <w:tabs>
          <w:tab w:val="right" w:pos="3173"/>
        </w:tabs>
        <w:rPr>
          <w:noProof/>
        </w:rPr>
      </w:pPr>
      <w:r>
        <w:rPr>
          <w:noProof/>
        </w:rPr>
        <w:t>Mental health, 55, 69</w:t>
      </w:r>
    </w:p>
    <w:p w:rsidR="00000000" w:rsidRDefault="001F233B">
      <w:pPr>
        <w:pStyle w:val="Index2"/>
        <w:tabs>
          <w:tab w:val="right" w:pos="3173"/>
        </w:tabs>
        <w:rPr>
          <w:noProof/>
        </w:rPr>
      </w:pPr>
      <w:r>
        <w:rPr>
          <w:noProof/>
        </w:rPr>
        <w:t>Public hospital, 14, 54, 67, 97, 171, 191, 192</w:t>
      </w:r>
    </w:p>
    <w:p w:rsidR="00000000" w:rsidRDefault="001F233B">
      <w:pPr>
        <w:pStyle w:val="Index1"/>
        <w:tabs>
          <w:tab w:val="right" w:pos="3173"/>
        </w:tabs>
        <w:rPr>
          <w:noProof/>
        </w:rPr>
      </w:pPr>
      <w:r>
        <w:rPr>
          <w:noProof/>
        </w:rPr>
        <w:t>Department of Infrastructure</w:t>
      </w:r>
    </w:p>
    <w:p w:rsidR="00000000" w:rsidRDefault="001F233B">
      <w:pPr>
        <w:pStyle w:val="Index2"/>
        <w:tabs>
          <w:tab w:val="right" w:pos="3173"/>
        </w:tabs>
        <w:rPr>
          <w:noProof/>
        </w:rPr>
      </w:pPr>
      <w:r>
        <w:rPr>
          <w:noProof/>
        </w:rPr>
        <w:t>Better Roads Trust Fund, 38, 50</w:t>
      </w:r>
    </w:p>
    <w:p w:rsidR="00000000" w:rsidRDefault="001F233B">
      <w:pPr>
        <w:pStyle w:val="Index2"/>
        <w:tabs>
          <w:tab w:val="right" w:pos="3173"/>
        </w:tabs>
        <w:rPr>
          <w:noProof/>
        </w:rPr>
      </w:pPr>
      <w:r>
        <w:rPr>
          <w:noProof/>
        </w:rPr>
        <w:t>Public transport costs, 70</w:t>
      </w:r>
    </w:p>
    <w:p w:rsidR="00000000" w:rsidRDefault="001F233B">
      <w:pPr>
        <w:pStyle w:val="Index2"/>
        <w:tabs>
          <w:tab w:val="right" w:pos="3173"/>
        </w:tabs>
        <w:rPr>
          <w:noProof/>
        </w:rPr>
      </w:pPr>
      <w:r>
        <w:rPr>
          <w:noProof/>
        </w:rPr>
        <w:t>Public transport services, 58, 60, 134</w:t>
      </w:r>
    </w:p>
    <w:p w:rsidR="00000000" w:rsidRDefault="001F233B">
      <w:pPr>
        <w:pStyle w:val="Index2"/>
        <w:tabs>
          <w:tab w:val="right" w:pos="3173"/>
        </w:tabs>
        <w:rPr>
          <w:noProof/>
        </w:rPr>
      </w:pPr>
      <w:r>
        <w:rPr>
          <w:noProof/>
        </w:rPr>
        <w:t>Rural Policy, 59</w:t>
      </w:r>
    </w:p>
    <w:p w:rsidR="00000000" w:rsidRDefault="001F233B">
      <w:pPr>
        <w:pStyle w:val="Index1"/>
        <w:tabs>
          <w:tab w:val="right" w:pos="3173"/>
        </w:tabs>
        <w:rPr>
          <w:noProof/>
        </w:rPr>
      </w:pPr>
      <w:r>
        <w:rPr>
          <w:noProof/>
        </w:rPr>
        <w:t>Department of Justice</w:t>
      </w:r>
    </w:p>
    <w:p w:rsidR="00000000" w:rsidRDefault="001F233B">
      <w:pPr>
        <w:pStyle w:val="Index2"/>
        <w:tabs>
          <w:tab w:val="right" w:pos="3173"/>
        </w:tabs>
        <w:rPr>
          <w:noProof/>
        </w:rPr>
      </w:pPr>
      <w:r>
        <w:rPr>
          <w:noProof/>
        </w:rPr>
        <w:t>Bureau of Emergency Services Tele</w:t>
      </w:r>
      <w:r>
        <w:rPr>
          <w:noProof/>
        </w:rPr>
        <w:t>communications, 56, 153</w:t>
      </w:r>
    </w:p>
    <w:p w:rsidR="00000000" w:rsidRDefault="001F233B">
      <w:pPr>
        <w:pStyle w:val="Index2"/>
        <w:tabs>
          <w:tab w:val="right" w:pos="3173"/>
        </w:tabs>
        <w:rPr>
          <w:noProof/>
        </w:rPr>
      </w:pPr>
      <w:r>
        <w:rPr>
          <w:noProof/>
        </w:rPr>
        <w:t>Courts, 6, 69</w:t>
      </w:r>
    </w:p>
    <w:p w:rsidR="00000000" w:rsidRDefault="001F233B">
      <w:pPr>
        <w:pStyle w:val="Index2"/>
        <w:tabs>
          <w:tab w:val="right" w:pos="3173"/>
        </w:tabs>
        <w:rPr>
          <w:noProof/>
        </w:rPr>
      </w:pPr>
      <w:r>
        <w:rPr>
          <w:noProof/>
        </w:rPr>
        <w:t>Crime rate, 14, 69</w:t>
      </w:r>
    </w:p>
    <w:p w:rsidR="00000000" w:rsidRDefault="001F233B">
      <w:pPr>
        <w:pStyle w:val="Index2"/>
        <w:tabs>
          <w:tab w:val="right" w:pos="3173"/>
        </w:tabs>
        <w:rPr>
          <w:noProof/>
        </w:rPr>
      </w:pPr>
      <w:r>
        <w:rPr>
          <w:noProof/>
        </w:rPr>
        <w:t>Firearms Act 1996, 4, 56</w:t>
      </w:r>
    </w:p>
    <w:p w:rsidR="00000000" w:rsidRDefault="001F233B">
      <w:pPr>
        <w:pStyle w:val="Index2"/>
        <w:tabs>
          <w:tab w:val="right" w:pos="3173"/>
        </w:tabs>
        <w:rPr>
          <w:noProof/>
        </w:rPr>
      </w:pPr>
      <w:r>
        <w:rPr>
          <w:noProof/>
        </w:rPr>
        <w:t>Police, 4, 56, 70</w:t>
      </w:r>
    </w:p>
    <w:p w:rsidR="00000000" w:rsidRDefault="001F233B">
      <w:pPr>
        <w:pStyle w:val="Index2"/>
        <w:tabs>
          <w:tab w:val="right" w:pos="3173"/>
        </w:tabs>
        <w:rPr>
          <w:noProof/>
        </w:rPr>
      </w:pPr>
      <w:r>
        <w:rPr>
          <w:noProof/>
        </w:rPr>
        <w:t>Police station, 6, 57</w:t>
      </w:r>
    </w:p>
    <w:p w:rsidR="00000000" w:rsidRDefault="001F233B">
      <w:pPr>
        <w:pStyle w:val="Index2"/>
        <w:tabs>
          <w:tab w:val="right" w:pos="3173"/>
        </w:tabs>
        <w:rPr>
          <w:noProof/>
        </w:rPr>
      </w:pPr>
      <w:r>
        <w:rPr>
          <w:noProof/>
        </w:rPr>
        <w:t>Prisons, 69, 70, 152</w:t>
      </w:r>
    </w:p>
    <w:p w:rsidR="00000000" w:rsidRDefault="001F233B">
      <w:pPr>
        <w:pStyle w:val="Index2"/>
        <w:tabs>
          <w:tab w:val="right" w:pos="3173"/>
        </w:tabs>
        <w:rPr>
          <w:noProof/>
        </w:rPr>
      </w:pPr>
      <w:r>
        <w:rPr>
          <w:noProof/>
        </w:rPr>
        <w:t>Second Hand Dealers and Pawnbrokers, 57</w:t>
      </w:r>
    </w:p>
    <w:p w:rsidR="00000000" w:rsidRDefault="001F233B">
      <w:pPr>
        <w:pStyle w:val="Index1"/>
        <w:tabs>
          <w:tab w:val="right" w:pos="3173"/>
        </w:tabs>
        <w:rPr>
          <w:noProof/>
        </w:rPr>
      </w:pPr>
      <w:r>
        <w:rPr>
          <w:noProof/>
        </w:rPr>
        <w:t>Department of Natural Resources and Environment, 37, 38, 49, 50, 51, 60, 71, 163</w:t>
      </w:r>
    </w:p>
    <w:p w:rsidR="00000000" w:rsidRDefault="001F233B">
      <w:pPr>
        <w:pStyle w:val="Index2"/>
        <w:tabs>
          <w:tab w:val="right" w:pos="3173"/>
        </w:tabs>
        <w:rPr>
          <w:noProof/>
        </w:rPr>
      </w:pPr>
      <w:r>
        <w:rPr>
          <w:noProof/>
        </w:rPr>
        <w:t>Aquaculture industry, 4, 60</w:t>
      </w:r>
    </w:p>
    <w:p w:rsidR="00000000" w:rsidRDefault="001F233B">
      <w:pPr>
        <w:pStyle w:val="Index2"/>
        <w:tabs>
          <w:tab w:val="right" w:pos="3173"/>
        </w:tabs>
        <w:rPr>
          <w:noProof/>
        </w:rPr>
      </w:pPr>
      <w:r>
        <w:rPr>
          <w:noProof/>
        </w:rPr>
        <w:t>Urban water authorities, 71</w:t>
      </w:r>
    </w:p>
    <w:p w:rsidR="00000000" w:rsidRDefault="001F233B">
      <w:pPr>
        <w:pStyle w:val="Index1"/>
        <w:tabs>
          <w:tab w:val="right" w:pos="3173"/>
        </w:tabs>
        <w:rPr>
          <w:noProof/>
        </w:rPr>
      </w:pPr>
      <w:r>
        <w:rPr>
          <w:noProof/>
        </w:rPr>
        <w:t>Department of Premier and Cabinet</w:t>
      </w:r>
    </w:p>
    <w:p w:rsidR="00000000" w:rsidRDefault="001F233B">
      <w:pPr>
        <w:pStyle w:val="Index2"/>
        <w:tabs>
          <w:tab w:val="right" w:pos="3173"/>
        </w:tabs>
        <w:rPr>
          <w:noProof/>
        </w:rPr>
      </w:pPr>
      <w:r>
        <w:rPr>
          <w:noProof/>
        </w:rPr>
        <w:t>National Gallery of Victoria, 61</w:t>
      </w:r>
    </w:p>
    <w:p w:rsidR="00000000" w:rsidRDefault="001F233B">
      <w:pPr>
        <w:pStyle w:val="Index1"/>
        <w:tabs>
          <w:tab w:val="right" w:pos="3173"/>
        </w:tabs>
        <w:rPr>
          <w:noProof/>
        </w:rPr>
      </w:pPr>
      <w:r>
        <w:rPr>
          <w:noProof/>
        </w:rPr>
        <w:t>Department of State Development</w:t>
      </w:r>
    </w:p>
    <w:p w:rsidR="00000000" w:rsidRDefault="001F233B">
      <w:pPr>
        <w:pStyle w:val="Index2"/>
        <w:tabs>
          <w:tab w:val="right" w:pos="3173"/>
        </w:tabs>
        <w:rPr>
          <w:noProof/>
        </w:rPr>
      </w:pPr>
      <w:r>
        <w:rPr>
          <w:noProof/>
        </w:rPr>
        <w:t>Business development, 62, 71</w:t>
      </w:r>
    </w:p>
    <w:p w:rsidR="00000000" w:rsidRDefault="001F233B">
      <w:pPr>
        <w:pStyle w:val="Index2"/>
        <w:tabs>
          <w:tab w:val="right" w:pos="3173"/>
        </w:tabs>
        <w:rPr>
          <w:noProof/>
        </w:rPr>
      </w:pPr>
      <w:r>
        <w:rPr>
          <w:noProof/>
        </w:rPr>
        <w:t>Business Events Strategy, 62</w:t>
      </w:r>
    </w:p>
    <w:p w:rsidR="00000000" w:rsidRDefault="001F233B">
      <w:pPr>
        <w:pStyle w:val="Index2"/>
        <w:tabs>
          <w:tab w:val="right" w:pos="3173"/>
        </w:tabs>
        <w:rPr>
          <w:noProof/>
        </w:rPr>
      </w:pPr>
      <w:r>
        <w:rPr>
          <w:noProof/>
        </w:rPr>
        <w:t>Regulation reform, 71, 72</w:t>
      </w:r>
    </w:p>
    <w:p w:rsidR="00000000" w:rsidRDefault="001F233B">
      <w:pPr>
        <w:pStyle w:val="Index2"/>
        <w:tabs>
          <w:tab w:val="right" w:pos="3173"/>
        </w:tabs>
        <w:rPr>
          <w:noProof/>
        </w:rPr>
      </w:pPr>
      <w:r>
        <w:rPr>
          <w:noProof/>
        </w:rPr>
        <w:t xml:space="preserve">Science, </w:t>
      </w:r>
      <w:r>
        <w:rPr>
          <w:noProof/>
        </w:rPr>
        <w:t>engineering and technology, 63</w:t>
      </w:r>
    </w:p>
    <w:p w:rsidR="00000000" w:rsidRDefault="001F233B">
      <w:pPr>
        <w:pStyle w:val="Index2"/>
        <w:tabs>
          <w:tab w:val="right" w:pos="3173"/>
        </w:tabs>
        <w:rPr>
          <w:noProof/>
        </w:rPr>
      </w:pPr>
      <w:r>
        <w:rPr>
          <w:noProof/>
        </w:rPr>
        <w:t>Victoria 21, 62, 63</w:t>
      </w:r>
    </w:p>
    <w:p w:rsidR="00000000" w:rsidRDefault="001F233B">
      <w:pPr>
        <w:pStyle w:val="Index1"/>
        <w:tabs>
          <w:tab w:val="right" w:pos="3173"/>
        </w:tabs>
        <w:rPr>
          <w:noProof/>
        </w:rPr>
      </w:pPr>
      <w:r>
        <w:rPr>
          <w:noProof/>
        </w:rPr>
        <w:t>Docklands project, 127</w:t>
      </w:r>
    </w:p>
    <w:p w:rsidR="00000000" w:rsidRDefault="001F233B">
      <w:pPr>
        <w:pStyle w:val="IndexHeading"/>
        <w:keepNext/>
        <w:tabs>
          <w:tab w:val="right" w:pos="3173"/>
        </w:tabs>
        <w:rPr>
          <w:b w:val="0"/>
          <w:noProof/>
        </w:rPr>
      </w:pPr>
      <w:r>
        <w:rPr>
          <w:noProof/>
        </w:rPr>
        <w:t>E</w:t>
      </w:r>
    </w:p>
    <w:p w:rsidR="00000000" w:rsidRDefault="001F233B">
      <w:pPr>
        <w:pStyle w:val="Index1"/>
        <w:tabs>
          <w:tab w:val="right" w:pos="3173"/>
        </w:tabs>
        <w:rPr>
          <w:noProof/>
        </w:rPr>
      </w:pPr>
      <w:r>
        <w:rPr>
          <w:noProof/>
        </w:rPr>
        <w:t>East Asia, 3, 5, 23, 103</w:t>
      </w:r>
    </w:p>
    <w:p w:rsidR="00000000" w:rsidRDefault="001F233B">
      <w:pPr>
        <w:pStyle w:val="Index1"/>
        <w:tabs>
          <w:tab w:val="right" w:pos="3173"/>
        </w:tabs>
        <w:rPr>
          <w:noProof/>
        </w:rPr>
      </w:pPr>
      <w:r>
        <w:rPr>
          <w:noProof/>
        </w:rPr>
        <w:t>Economic growth, 1, 20, 23, 25, 130, 167</w:t>
      </w:r>
    </w:p>
    <w:p w:rsidR="00000000" w:rsidRDefault="001F233B">
      <w:pPr>
        <w:pStyle w:val="Index1"/>
        <w:tabs>
          <w:tab w:val="right" w:pos="3173"/>
        </w:tabs>
        <w:rPr>
          <w:noProof/>
        </w:rPr>
      </w:pPr>
      <w:r>
        <w:rPr>
          <w:noProof/>
        </w:rPr>
        <w:t>Economy</w:t>
      </w:r>
    </w:p>
    <w:p w:rsidR="00000000" w:rsidRDefault="001F233B">
      <w:pPr>
        <w:pStyle w:val="Index2"/>
        <w:tabs>
          <w:tab w:val="right" w:pos="3173"/>
        </w:tabs>
        <w:rPr>
          <w:noProof/>
        </w:rPr>
      </w:pPr>
      <w:r>
        <w:rPr>
          <w:noProof/>
        </w:rPr>
        <w:t>Consumer spending, 121, 125, 126, 127</w:t>
      </w:r>
    </w:p>
    <w:p w:rsidR="00000000" w:rsidRDefault="001F233B">
      <w:pPr>
        <w:pStyle w:val="Index2"/>
        <w:tabs>
          <w:tab w:val="right" w:pos="3173"/>
        </w:tabs>
        <w:rPr>
          <w:noProof/>
        </w:rPr>
      </w:pPr>
      <w:r>
        <w:rPr>
          <w:noProof/>
        </w:rPr>
        <w:t>East Asia, 1, 3, 5, 23, 99, 103, 123, 124, 125, 126, 127, 129</w:t>
      </w:r>
    </w:p>
    <w:p w:rsidR="00000000" w:rsidRDefault="001F233B">
      <w:pPr>
        <w:pStyle w:val="Index2"/>
        <w:tabs>
          <w:tab w:val="right" w:pos="3173"/>
        </w:tabs>
        <w:rPr>
          <w:noProof/>
        </w:rPr>
      </w:pPr>
      <w:r>
        <w:rPr>
          <w:noProof/>
        </w:rPr>
        <w:t>Employment, 5, 12, 71, 72, 75, 76, 121, 126, 131, 133, 150</w:t>
      </w:r>
    </w:p>
    <w:p w:rsidR="00000000" w:rsidRDefault="001F233B">
      <w:pPr>
        <w:pStyle w:val="Index2"/>
        <w:tabs>
          <w:tab w:val="right" w:pos="3173"/>
        </w:tabs>
        <w:rPr>
          <w:noProof/>
        </w:rPr>
      </w:pPr>
      <w:r>
        <w:rPr>
          <w:noProof/>
        </w:rPr>
        <w:t>Exports, 71, 123, 124, 125, 129, 131, 133</w:t>
      </w:r>
    </w:p>
    <w:p w:rsidR="00000000" w:rsidRDefault="001F233B">
      <w:pPr>
        <w:pStyle w:val="Index2"/>
        <w:tabs>
          <w:tab w:val="right" w:pos="3173"/>
        </w:tabs>
        <w:rPr>
          <w:noProof/>
        </w:rPr>
      </w:pPr>
      <w:r>
        <w:rPr>
          <w:noProof/>
        </w:rPr>
        <w:t>Farm sector, 129</w:t>
      </w:r>
    </w:p>
    <w:p w:rsidR="00000000" w:rsidRDefault="001F233B">
      <w:pPr>
        <w:pStyle w:val="Index2"/>
        <w:tabs>
          <w:tab w:val="right" w:pos="3173"/>
        </w:tabs>
        <w:rPr>
          <w:noProof/>
        </w:rPr>
      </w:pPr>
      <w:r>
        <w:rPr>
          <w:noProof/>
        </w:rPr>
        <w:t>Forecasts, 41, 97, 126</w:t>
      </w:r>
    </w:p>
    <w:p w:rsidR="00000000" w:rsidRDefault="001F233B">
      <w:pPr>
        <w:pStyle w:val="Index2"/>
        <w:tabs>
          <w:tab w:val="right" w:pos="3173"/>
        </w:tabs>
        <w:rPr>
          <w:noProof/>
        </w:rPr>
      </w:pPr>
      <w:r>
        <w:rPr>
          <w:noProof/>
        </w:rPr>
        <w:t>Gross State Products (GSP), 5, 20, 21, 25, 33, 41, 82, 83, 98, 99, 104, 105, 106, 110, 111, 112, 117, 121, 124, 126, 127</w:t>
      </w:r>
    </w:p>
    <w:p w:rsidR="00000000" w:rsidRDefault="001F233B">
      <w:pPr>
        <w:pStyle w:val="Index2"/>
        <w:tabs>
          <w:tab w:val="right" w:pos="3173"/>
        </w:tabs>
        <w:rPr>
          <w:noProof/>
        </w:rPr>
      </w:pPr>
      <w:r>
        <w:rPr>
          <w:noProof/>
        </w:rPr>
        <w:t>Inflation, 36, 43, 59, 60, 129, 139, 158, 159</w:t>
      </w:r>
    </w:p>
    <w:p w:rsidR="00000000" w:rsidRDefault="001F233B">
      <w:pPr>
        <w:pStyle w:val="Index2"/>
        <w:tabs>
          <w:tab w:val="right" w:pos="3173"/>
        </w:tabs>
        <w:rPr>
          <w:noProof/>
        </w:rPr>
      </w:pPr>
      <w:r>
        <w:rPr>
          <w:noProof/>
        </w:rPr>
        <w:t>Infrastructure, 1, 3, 5, 6, 17, 20, 21, 22, 25, 26, 27, 32, 37, 38, 47, 49, 50, 51, 58, 59, 60, 70, 131, 132, 152, 163, 179, 189</w:t>
      </w:r>
    </w:p>
    <w:p w:rsidR="00000000" w:rsidRDefault="001F233B">
      <w:pPr>
        <w:pStyle w:val="Index2"/>
        <w:tabs>
          <w:tab w:val="right" w:pos="3173"/>
        </w:tabs>
        <w:rPr>
          <w:noProof/>
        </w:rPr>
      </w:pPr>
      <w:r>
        <w:rPr>
          <w:noProof/>
        </w:rPr>
        <w:t>Investment, 2, 3, 5, 6, 13, 17, 20, 21, 22, 23, 26, 27, 32, 38, 45, 53, 56, 57, 58, 59, 60, 62, 71, 80, 95, 108, 121, 127, 132, 137, 141, 144, 150</w:t>
      </w:r>
    </w:p>
    <w:p w:rsidR="00000000" w:rsidRDefault="001F233B">
      <w:pPr>
        <w:pStyle w:val="Index2"/>
        <w:tabs>
          <w:tab w:val="right" w:pos="3173"/>
        </w:tabs>
        <w:rPr>
          <w:noProof/>
        </w:rPr>
      </w:pPr>
      <w:r>
        <w:rPr>
          <w:noProof/>
        </w:rPr>
        <w:t>Manufacturing, 75, 80, 83, 129, 131, 188</w:t>
      </w:r>
    </w:p>
    <w:p w:rsidR="00000000" w:rsidRDefault="001F233B">
      <w:pPr>
        <w:pStyle w:val="Index2"/>
        <w:tabs>
          <w:tab w:val="right" w:pos="3173"/>
        </w:tabs>
        <w:rPr>
          <w:noProof/>
        </w:rPr>
      </w:pPr>
      <w:r>
        <w:rPr>
          <w:noProof/>
        </w:rPr>
        <w:t>Population, 14, 26, 43, 67, 68, 69, 91, 121, 122, 126, 130, 158, 159, 169</w:t>
      </w:r>
    </w:p>
    <w:p w:rsidR="00000000" w:rsidRDefault="001F233B">
      <w:pPr>
        <w:pStyle w:val="Index2"/>
        <w:tabs>
          <w:tab w:val="right" w:pos="3173"/>
        </w:tabs>
        <w:rPr>
          <w:noProof/>
        </w:rPr>
      </w:pPr>
      <w:r>
        <w:rPr>
          <w:noProof/>
        </w:rPr>
        <w:t>Productivity, 7, 13, 52, 64, 121, 130, 131, 133, 134, 135, 171</w:t>
      </w:r>
    </w:p>
    <w:p w:rsidR="00000000" w:rsidRDefault="001F233B">
      <w:pPr>
        <w:pStyle w:val="Index2"/>
        <w:tabs>
          <w:tab w:val="right" w:pos="3173"/>
        </w:tabs>
        <w:rPr>
          <w:noProof/>
        </w:rPr>
      </w:pPr>
      <w:r>
        <w:rPr>
          <w:noProof/>
        </w:rPr>
        <w:t xml:space="preserve">State final </w:t>
      </w:r>
      <w:r>
        <w:rPr>
          <w:noProof/>
        </w:rPr>
        <w:t>demand, 121, 126</w:t>
      </w:r>
    </w:p>
    <w:p w:rsidR="00000000" w:rsidRDefault="001F233B">
      <w:pPr>
        <w:pStyle w:val="Index2"/>
        <w:tabs>
          <w:tab w:val="right" w:pos="3173"/>
        </w:tabs>
        <w:rPr>
          <w:noProof/>
        </w:rPr>
      </w:pPr>
      <w:r>
        <w:rPr>
          <w:noProof/>
        </w:rPr>
        <w:t>Structural change, 96, 130</w:t>
      </w:r>
    </w:p>
    <w:p w:rsidR="00000000" w:rsidRDefault="001F233B">
      <w:pPr>
        <w:pStyle w:val="Index2"/>
        <w:tabs>
          <w:tab w:val="right" w:pos="3173"/>
        </w:tabs>
        <w:rPr>
          <w:noProof/>
        </w:rPr>
      </w:pPr>
      <w:r>
        <w:rPr>
          <w:noProof/>
        </w:rPr>
        <w:t>Unemployment, 121, 126, 127, 130</w:t>
      </w:r>
    </w:p>
    <w:p w:rsidR="00000000" w:rsidRDefault="001F233B">
      <w:pPr>
        <w:pStyle w:val="Index2"/>
        <w:tabs>
          <w:tab w:val="right" w:pos="3173"/>
        </w:tabs>
        <w:rPr>
          <w:noProof/>
        </w:rPr>
      </w:pPr>
      <w:r>
        <w:rPr>
          <w:noProof/>
        </w:rPr>
        <w:t>Wages, 6, 76, 160</w:t>
      </w:r>
    </w:p>
    <w:p w:rsidR="00000000" w:rsidRDefault="001F233B">
      <w:pPr>
        <w:pStyle w:val="Index1"/>
        <w:tabs>
          <w:tab w:val="right" w:pos="3173"/>
        </w:tabs>
        <w:rPr>
          <w:noProof/>
        </w:rPr>
      </w:pPr>
      <w:r>
        <w:rPr>
          <w:noProof/>
        </w:rPr>
        <w:t>Education, 1, 3, 4, 6, 7, 8, 9, 14, 24, 36, 37, 38, 47, 48, 49, 50, 51, 52, 53, 65, 66, 87, 132, 137, 151, 152, 157, 163, 179, 187</w:t>
      </w:r>
    </w:p>
    <w:p w:rsidR="00000000" w:rsidRDefault="001F233B">
      <w:pPr>
        <w:pStyle w:val="Index1"/>
        <w:tabs>
          <w:tab w:val="right" w:pos="3173"/>
        </w:tabs>
        <w:rPr>
          <w:noProof/>
        </w:rPr>
      </w:pPr>
      <w:r>
        <w:rPr>
          <w:noProof/>
        </w:rPr>
        <w:t>Electricity, 3, 12, 13, 24, 37, 41, 43, 46, 94, 97, 99, 101, 119, 132, 138, 139, 142, 143, 153, 180</w:t>
      </w:r>
    </w:p>
    <w:p w:rsidR="00000000" w:rsidRDefault="001F233B">
      <w:pPr>
        <w:pStyle w:val="Index1"/>
        <w:tabs>
          <w:tab w:val="right" w:pos="3173"/>
        </w:tabs>
        <w:rPr>
          <w:noProof/>
        </w:rPr>
      </w:pPr>
      <w:r>
        <w:rPr>
          <w:noProof/>
        </w:rPr>
        <w:t>Electronic gaming machine, 32, 92</w:t>
      </w:r>
    </w:p>
    <w:p w:rsidR="00000000" w:rsidRDefault="001F233B">
      <w:pPr>
        <w:pStyle w:val="IndexHeading"/>
        <w:keepNext/>
        <w:tabs>
          <w:tab w:val="right" w:pos="3173"/>
        </w:tabs>
        <w:rPr>
          <w:b w:val="0"/>
          <w:noProof/>
        </w:rPr>
      </w:pPr>
      <w:r>
        <w:rPr>
          <w:noProof/>
        </w:rPr>
        <w:t>F</w:t>
      </w:r>
    </w:p>
    <w:p w:rsidR="00000000" w:rsidRDefault="001F233B">
      <w:pPr>
        <w:pStyle w:val="Index1"/>
        <w:tabs>
          <w:tab w:val="right" w:pos="3173"/>
        </w:tabs>
        <w:rPr>
          <w:noProof/>
        </w:rPr>
      </w:pPr>
      <w:r>
        <w:rPr>
          <w:noProof/>
        </w:rPr>
        <w:t>Financial assistance grants, 158, 159, 161, 162, 164, 167, 169</w:t>
      </w:r>
    </w:p>
    <w:p w:rsidR="00000000" w:rsidRDefault="001F233B">
      <w:pPr>
        <w:pStyle w:val="Index2"/>
        <w:tabs>
          <w:tab w:val="right" w:pos="3173"/>
        </w:tabs>
        <w:rPr>
          <w:noProof/>
        </w:rPr>
      </w:pPr>
      <w:r>
        <w:rPr>
          <w:noProof/>
        </w:rPr>
        <w:t>Real per capita guarantee, 158, 159</w:t>
      </w:r>
    </w:p>
    <w:p w:rsidR="00000000" w:rsidRDefault="001F233B">
      <w:pPr>
        <w:pStyle w:val="Index1"/>
        <w:tabs>
          <w:tab w:val="right" w:pos="3173"/>
        </w:tabs>
        <w:rPr>
          <w:noProof/>
        </w:rPr>
      </w:pPr>
      <w:r>
        <w:rPr>
          <w:noProof/>
        </w:rPr>
        <w:t>Fiscal consolidation, 160</w:t>
      </w:r>
    </w:p>
    <w:p w:rsidR="00000000" w:rsidRDefault="001F233B">
      <w:pPr>
        <w:pStyle w:val="Index1"/>
        <w:tabs>
          <w:tab w:val="right" w:pos="3173"/>
        </w:tabs>
        <w:rPr>
          <w:noProof/>
        </w:rPr>
      </w:pPr>
      <w:r>
        <w:rPr>
          <w:noProof/>
        </w:rPr>
        <w:t>Flexible Tariff Managemen</w:t>
      </w:r>
      <w:r>
        <w:rPr>
          <w:noProof/>
        </w:rPr>
        <w:t>t Unit Trust, 32, 36</w:t>
      </w:r>
    </w:p>
    <w:p w:rsidR="00000000" w:rsidRDefault="001F233B">
      <w:pPr>
        <w:pStyle w:val="Index1"/>
        <w:tabs>
          <w:tab w:val="right" w:pos="3173"/>
        </w:tabs>
        <w:rPr>
          <w:noProof/>
        </w:rPr>
      </w:pPr>
      <w:r>
        <w:rPr>
          <w:noProof/>
        </w:rPr>
        <w:t>Franchise fees</w:t>
      </w:r>
    </w:p>
    <w:p w:rsidR="00000000" w:rsidRDefault="001F233B">
      <w:pPr>
        <w:pStyle w:val="Index2"/>
        <w:tabs>
          <w:tab w:val="right" w:pos="3173"/>
        </w:tabs>
        <w:rPr>
          <w:noProof/>
        </w:rPr>
      </w:pPr>
      <w:r>
        <w:rPr>
          <w:noProof/>
        </w:rPr>
        <w:t>Business, 14, 32, 73, 83, 85, 88, 90, 91, 92, 93, 157</w:t>
      </w:r>
    </w:p>
    <w:p w:rsidR="00000000" w:rsidRDefault="001F233B">
      <w:pPr>
        <w:pStyle w:val="Index2"/>
        <w:tabs>
          <w:tab w:val="right" w:pos="3173"/>
        </w:tabs>
        <w:rPr>
          <w:noProof/>
        </w:rPr>
      </w:pPr>
      <w:r>
        <w:rPr>
          <w:noProof/>
        </w:rPr>
        <w:t>Liquor, 87</w:t>
      </w:r>
    </w:p>
    <w:p w:rsidR="00000000" w:rsidRDefault="001F233B">
      <w:pPr>
        <w:pStyle w:val="Index2"/>
        <w:tabs>
          <w:tab w:val="right" w:pos="3173"/>
        </w:tabs>
        <w:rPr>
          <w:noProof/>
        </w:rPr>
      </w:pPr>
      <w:r>
        <w:rPr>
          <w:noProof/>
        </w:rPr>
        <w:t>Petroleum, 86</w:t>
      </w:r>
    </w:p>
    <w:p w:rsidR="00000000" w:rsidRDefault="001F233B">
      <w:pPr>
        <w:pStyle w:val="Index2"/>
        <w:tabs>
          <w:tab w:val="right" w:pos="3173"/>
        </w:tabs>
        <w:rPr>
          <w:noProof/>
        </w:rPr>
      </w:pPr>
      <w:r>
        <w:rPr>
          <w:noProof/>
        </w:rPr>
        <w:t>Tobacco, 84, 88</w:t>
      </w:r>
    </w:p>
    <w:p w:rsidR="00000000" w:rsidRDefault="001F233B">
      <w:pPr>
        <w:pStyle w:val="Index1"/>
        <w:tabs>
          <w:tab w:val="right" w:pos="3173"/>
        </w:tabs>
        <w:rPr>
          <w:noProof/>
        </w:rPr>
      </w:pPr>
      <w:r>
        <w:rPr>
          <w:noProof/>
        </w:rPr>
        <w:t>Funding</w:t>
      </w:r>
    </w:p>
    <w:p w:rsidR="00000000" w:rsidRDefault="001F233B">
      <w:pPr>
        <w:pStyle w:val="Index2"/>
        <w:tabs>
          <w:tab w:val="right" w:pos="3173"/>
        </w:tabs>
        <w:rPr>
          <w:noProof/>
        </w:rPr>
      </w:pPr>
      <w:r>
        <w:rPr>
          <w:noProof/>
        </w:rPr>
        <w:t>Capital, 25, 47, 61</w:t>
      </w:r>
    </w:p>
    <w:p w:rsidR="00000000" w:rsidRDefault="001F233B">
      <w:pPr>
        <w:pStyle w:val="Index2"/>
        <w:tabs>
          <w:tab w:val="right" w:pos="3173"/>
        </w:tabs>
        <w:rPr>
          <w:noProof/>
        </w:rPr>
      </w:pPr>
      <w:r>
        <w:rPr>
          <w:noProof/>
        </w:rPr>
        <w:t>Infrastructure expenditure, 26, 49</w:t>
      </w:r>
    </w:p>
    <w:p w:rsidR="00000000" w:rsidRDefault="001F233B">
      <w:pPr>
        <w:pStyle w:val="Index2"/>
        <w:tabs>
          <w:tab w:val="right" w:pos="3173"/>
        </w:tabs>
        <w:rPr>
          <w:noProof/>
        </w:rPr>
      </w:pPr>
      <w:r>
        <w:rPr>
          <w:noProof/>
        </w:rPr>
        <w:t>Operational, 3, 54</w:t>
      </w:r>
    </w:p>
    <w:p w:rsidR="00000000" w:rsidRDefault="001F233B">
      <w:pPr>
        <w:pStyle w:val="IndexHeading"/>
        <w:keepNext/>
        <w:tabs>
          <w:tab w:val="right" w:pos="3173"/>
        </w:tabs>
        <w:rPr>
          <w:b w:val="0"/>
          <w:noProof/>
        </w:rPr>
      </w:pPr>
      <w:r>
        <w:rPr>
          <w:noProof/>
        </w:rPr>
        <w:t>G</w:t>
      </w:r>
    </w:p>
    <w:p w:rsidR="00000000" w:rsidRDefault="001F233B">
      <w:pPr>
        <w:pStyle w:val="Index1"/>
        <w:tabs>
          <w:tab w:val="right" w:pos="3173"/>
        </w:tabs>
        <w:rPr>
          <w:noProof/>
        </w:rPr>
      </w:pPr>
      <w:r>
        <w:rPr>
          <w:noProof/>
        </w:rPr>
        <w:t>Gambling taxes, 41, 92, 93, 94, 97, 98, 99</w:t>
      </w:r>
    </w:p>
    <w:p w:rsidR="00000000" w:rsidRDefault="001F233B">
      <w:pPr>
        <w:pStyle w:val="Index1"/>
        <w:tabs>
          <w:tab w:val="right" w:pos="3173"/>
        </w:tabs>
        <w:rPr>
          <w:noProof/>
        </w:rPr>
      </w:pPr>
      <w:r>
        <w:rPr>
          <w:noProof/>
        </w:rPr>
        <w:t>Gas, 12, 13, 43, 46, 60, 64, 94, 96, 97, 101, 132, 134, 137, 138, 139, 142, 143, 144, 147, 179, 180</w:t>
      </w:r>
    </w:p>
    <w:p w:rsidR="00000000" w:rsidRDefault="001F233B">
      <w:pPr>
        <w:pStyle w:val="Index1"/>
        <w:tabs>
          <w:tab w:val="right" w:pos="3173"/>
        </w:tabs>
        <w:rPr>
          <w:noProof/>
        </w:rPr>
      </w:pPr>
      <w:r>
        <w:rPr>
          <w:noProof/>
        </w:rPr>
        <w:t>General purpose payments, 158</w:t>
      </w:r>
    </w:p>
    <w:p w:rsidR="00000000" w:rsidRDefault="001F233B">
      <w:pPr>
        <w:pStyle w:val="Index1"/>
        <w:tabs>
          <w:tab w:val="right" w:pos="3173"/>
        </w:tabs>
        <w:rPr>
          <w:noProof/>
        </w:rPr>
      </w:pPr>
      <w:r>
        <w:rPr>
          <w:noProof/>
        </w:rPr>
        <w:t>Government’s fiscal strategy, 7</w:t>
      </w:r>
    </w:p>
    <w:p w:rsidR="00000000" w:rsidRDefault="001F233B">
      <w:pPr>
        <w:pStyle w:val="IndexHeading"/>
        <w:keepNext/>
        <w:tabs>
          <w:tab w:val="right" w:pos="3173"/>
        </w:tabs>
        <w:rPr>
          <w:b w:val="0"/>
          <w:noProof/>
        </w:rPr>
      </w:pPr>
      <w:r>
        <w:rPr>
          <w:noProof/>
        </w:rPr>
        <w:t>H</w:t>
      </w:r>
    </w:p>
    <w:p w:rsidR="00000000" w:rsidRDefault="001F233B">
      <w:pPr>
        <w:pStyle w:val="Index1"/>
        <w:tabs>
          <w:tab w:val="right" w:pos="3173"/>
        </w:tabs>
        <w:rPr>
          <w:noProof/>
        </w:rPr>
      </w:pPr>
      <w:r>
        <w:rPr>
          <w:noProof/>
        </w:rPr>
        <w:t xml:space="preserve">Health, 1, 3, 4, 6, 7, 8, 9, 14, 15, 19, 24, 25, 37, 47, 49, 54, 55, 69, 71, 72, 77, 134, </w:t>
      </w:r>
      <w:r>
        <w:rPr>
          <w:noProof/>
        </w:rPr>
        <w:t>137, 144, 151, 152, 157, 158, 159, 164, 171, 172, 187, 191</w:t>
      </w:r>
    </w:p>
    <w:p w:rsidR="00000000" w:rsidRDefault="001F233B">
      <w:pPr>
        <w:pStyle w:val="Index1"/>
        <w:tabs>
          <w:tab w:val="right" w:pos="3173"/>
        </w:tabs>
        <w:rPr>
          <w:noProof/>
        </w:rPr>
      </w:pPr>
      <w:r>
        <w:rPr>
          <w:noProof/>
        </w:rPr>
        <w:t>High Court of Australia, 84</w:t>
      </w:r>
    </w:p>
    <w:p w:rsidR="00000000" w:rsidRDefault="001F233B">
      <w:pPr>
        <w:pStyle w:val="Index1"/>
        <w:tabs>
          <w:tab w:val="right" w:pos="3173"/>
        </w:tabs>
        <w:rPr>
          <w:noProof/>
        </w:rPr>
      </w:pPr>
      <w:r>
        <w:rPr>
          <w:noProof/>
        </w:rPr>
        <w:t>Home and Community Care (HACC) Agreement, 14, 67, 170</w:t>
      </w:r>
    </w:p>
    <w:p w:rsidR="00000000" w:rsidRDefault="001F233B">
      <w:pPr>
        <w:pStyle w:val="Index1"/>
        <w:tabs>
          <w:tab w:val="right" w:pos="3173"/>
        </w:tabs>
        <w:rPr>
          <w:noProof/>
        </w:rPr>
      </w:pPr>
      <w:r>
        <w:rPr>
          <w:noProof/>
        </w:rPr>
        <w:t>Horizontal fiscal equalisation, 158, 167, 168</w:t>
      </w:r>
    </w:p>
    <w:p w:rsidR="00000000" w:rsidRDefault="001F233B">
      <w:pPr>
        <w:pStyle w:val="Index1"/>
        <w:tabs>
          <w:tab w:val="right" w:pos="3173"/>
        </w:tabs>
        <w:rPr>
          <w:noProof/>
        </w:rPr>
      </w:pPr>
      <w:r>
        <w:rPr>
          <w:noProof/>
        </w:rPr>
        <w:t>Horizontal fiscal equalisation (HFE), 163, 169</w:t>
      </w:r>
    </w:p>
    <w:p w:rsidR="00000000" w:rsidRDefault="001F233B">
      <w:pPr>
        <w:pStyle w:val="IndexHeading"/>
        <w:keepNext/>
        <w:tabs>
          <w:tab w:val="right" w:pos="3173"/>
        </w:tabs>
        <w:rPr>
          <w:b w:val="0"/>
          <w:noProof/>
        </w:rPr>
      </w:pPr>
      <w:r>
        <w:rPr>
          <w:noProof/>
        </w:rPr>
        <w:t>I</w:t>
      </w:r>
    </w:p>
    <w:p w:rsidR="00000000" w:rsidRDefault="001F233B">
      <w:pPr>
        <w:pStyle w:val="Index1"/>
        <w:tabs>
          <w:tab w:val="right" w:pos="3173"/>
        </w:tabs>
        <w:rPr>
          <w:noProof/>
        </w:rPr>
      </w:pPr>
      <w:r>
        <w:rPr>
          <w:noProof/>
        </w:rPr>
        <w:t>Identified funding grants (IFGs), 170</w:t>
      </w:r>
    </w:p>
    <w:p w:rsidR="00000000" w:rsidRDefault="001F233B">
      <w:pPr>
        <w:pStyle w:val="Index1"/>
        <w:tabs>
          <w:tab w:val="right" w:pos="3173"/>
        </w:tabs>
        <w:rPr>
          <w:noProof/>
        </w:rPr>
      </w:pPr>
      <w:r>
        <w:rPr>
          <w:noProof/>
        </w:rPr>
        <w:t>Interest savings, 10</w:t>
      </w:r>
    </w:p>
    <w:p w:rsidR="00000000" w:rsidRDefault="001F233B">
      <w:pPr>
        <w:pStyle w:val="IndexHeading"/>
        <w:keepNext/>
        <w:tabs>
          <w:tab w:val="right" w:pos="3173"/>
        </w:tabs>
        <w:rPr>
          <w:b w:val="0"/>
          <w:noProof/>
        </w:rPr>
      </w:pPr>
      <w:r>
        <w:rPr>
          <w:noProof/>
        </w:rPr>
        <w:t>L</w:t>
      </w:r>
    </w:p>
    <w:p w:rsidR="00000000" w:rsidRDefault="001F233B">
      <w:pPr>
        <w:pStyle w:val="Index1"/>
        <w:tabs>
          <w:tab w:val="right" w:pos="3173"/>
        </w:tabs>
        <w:rPr>
          <w:noProof/>
        </w:rPr>
      </w:pPr>
      <w:r>
        <w:rPr>
          <w:noProof/>
        </w:rPr>
        <w:t>Land tax</w:t>
      </w:r>
    </w:p>
    <w:p w:rsidR="00000000" w:rsidRDefault="001F233B">
      <w:pPr>
        <w:pStyle w:val="Index2"/>
        <w:tabs>
          <w:tab w:val="right" w:pos="3173"/>
        </w:tabs>
        <w:rPr>
          <w:noProof/>
        </w:rPr>
      </w:pPr>
      <w:r>
        <w:rPr>
          <w:noProof/>
        </w:rPr>
        <w:t>Capping arrangements, 79, 81</w:t>
      </w:r>
    </w:p>
    <w:p w:rsidR="00000000" w:rsidRDefault="001F233B">
      <w:pPr>
        <w:pStyle w:val="Index2"/>
        <w:tabs>
          <w:tab w:val="right" w:pos="3173"/>
        </w:tabs>
        <w:rPr>
          <w:noProof/>
        </w:rPr>
      </w:pPr>
      <w:r>
        <w:rPr>
          <w:noProof/>
        </w:rPr>
        <w:t>Principal place of residence, 79, 80, 81, 94</w:t>
      </w:r>
    </w:p>
    <w:p w:rsidR="00000000" w:rsidRDefault="001F233B">
      <w:pPr>
        <w:pStyle w:val="Index2"/>
        <w:tabs>
          <w:tab w:val="right" w:pos="3173"/>
        </w:tabs>
        <w:rPr>
          <w:noProof/>
        </w:rPr>
      </w:pPr>
      <w:r>
        <w:rPr>
          <w:noProof/>
        </w:rPr>
        <w:t>Reforms, 12, 79</w:t>
      </w:r>
    </w:p>
    <w:p w:rsidR="00000000" w:rsidRDefault="001F233B">
      <w:pPr>
        <w:pStyle w:val="Index1"/>
        <w:tabs>
          <w:tab w:val="right" w:pos="3173"/>
        </w:tabs>
        <w:rPr>
          <w:noProof/>
        </w:rPr>
      </w:pPr>
      <w:r>
        <w:rPr>
          <w:noProof/>
        </w:rPr>
        <w:t>Liability management, 103</w:t>
      </w:r>
    </w:p>
    <w:p w:rsidR="00000000" w:rsidRDefault="001F233B">
      <w:pPr>
        <w:pStyle w:val="Index2"/>
        <w:tabs>
          <w:tab w:val="right" w:pos="3173"/>
        </w:tabs>
        <w:rPr>
          <w:noProof/>
        </w:rPr>
      </w:pPr>
      <w:r>
        <w:rPr>
          <w:noProof/>
        </w:rPr>
        <w:t>Public sector net financial liabilities, 110</w:t>
      </w:r>
    </w:p>
    <w:p w:rsidR="00000000" w:rsidRDefault="001F233B">
      <w:pPr>
        <w:pStyle w:val="Index1"/>
        <w:tabs>
          <w:tab w:val="right" w:pos="3173"/>
        </w:tabs>
        <w:rPr>
          <w:noProof/>
        </w:rPr>
      </w:pPr>
      <w:r>
        <w:rPr>
          <w:noProof/>
        </w:rPr>
        <w:t>Liability Management, 104, 115</w:t>
      </w:r>
    </w:p>
    <w:p w:rsidR="00000000" w:rsidRDefault="001F233B">
      <w:pPr>
        <w:pStyle w:val="Index2"/>
        <w:tabs>
          <w:tab w:val="right" w:pos="3173"/>
        </w:tabs>
        <w:rPr>
          <w:noProof/>
        </w:rPr>
      </w:pPr>
      <w:r>
        <w:rPr>
          <w:noProof/>
        </w:rPr>
        <w:t xml:space="preserve">Public Sector </w:t>
      </w:r>
      <w:r>
        <w:rPr>
          <w:noProof/>
        </w:rPr>
        <w:t>Net Financial Liabilities, 110</w:t>
      </w:r>
    </w:p>
    <w:p w:rsidR="00000000" w:rsidRDefault="001F233B">
      <w:pPr>
        <w:pStyle w:val="Index1"/>
        <w:tabs>
          <w:tab w:val="right" w:pos="3173"/>
        </w:tabs>
        <w:rPr>
          <w:noProof/>
        </w:rPr>
      </w:pPr>
      <w:r>
        <w:rPr>
          <w:noProof/>
        </w:rPr>
        <w:t>Local Government, 13, 57, 59, 71, 140, 158, 190</w:t>
      </w:r>
    </w:p>
    <w:p w:rsidR="00000000" w:rsidRDefault="001F233B">
      <w:pPr>
        <w:pStyle w:val="IndexHeading"/>
        <w:keepNext/>
        <w:tabs>
          <w:tab w:val="right" w:pos="3173"/>
        </w:tabs>
        <w:rPr>
          <w:b w:val="0"/>
          <w:noProof/>
        </w:rPr>
      </w:pPr>
      <w:r>
        <w:rPr>
          <w:noProof/>
        </w:rPr>
        <w:t>M</w:t>
      </w:r>
    </w:p>
    <w:p w:rsidR="00000000" w:rsidRDefault="001F233B">
      <w:pPr>
        <w:pStyle w:val="Index1"/>
        <w:tabs>
          <w:tab w:val="right" w:pos="3173"/>
        </w:tabs>
        <w:rPr>
          <w:noProof/>
        </w:rPr>
      </w:pPr>
      <w:r>
        <w:rPr>
          <w:noProof/>
        </w:rPr>
        <w:t>Management Reform Programme, 104</w:t>
      </w:r>
    </w:p>
    <w:p w:rsidR="00000000" w:rsidRDefault="001F233B">
      <w:pPr>
        <w:pStyle w:val="Index1"/>
        <w:tabs>
          <w:tab w:val="right" w:pos="3173"/>
        </w:tabs>
        <w:rPr>
          <w:noProof/>
        </w:rPr>
      </w:pPr>
      <w:r>
        <w:rPr>
          <w:noProof/>
        </w:rPr>
        <w:t>Marketable securities stamp duties, 93</w:t>
      </w:r>
    </w:p>
    <w:p w:rsidR="00000000" w:rsidRDefault="001F233B">
      <w:pPr>
        <w:pStyle w:val="Index1"/>
        <w:tabs>
          <w:tab w:val="right" w:pos="3173"/>
        </w:tabs>
        <w:rPr>
          <w:noProof/>
        </w:rPr>
      </w:pPr>
      <w:r>
        <w:rPr>
          <w:noProof/>
        </w:rPr>
        <w:t>Microeconomic reform, 33, 38, 161</w:t>
      </w:r>
    </w:p>
    <w:p w:rsidR="00000000" w:rsidRDefault="001F233B">
      <w:pPr>
        <w:pStyle w:val="Index1"/>
        <w:tabs>
          <w:tab w:val="right" w:pos="3173"/>
        </w:tabs>
        <w:rPr>
          <w:noProof/>
        </w:rPr>
      </w:pPr>
      <w:r>
        <w:rPr>
          <w:noProof/>
        </w:rPr>
        <w:t>Motor vehicle taxes, 93, 94, 97, 98, 99, 186</w:t>
      </w:r>
    </w:p>
    <w:p w:rsidR="00000000" w:rsidRDefault="001F233B">
      <w:pPr>
        <w:pStyle w:val="Index1"/>
        <w:tabs>
          <w:tab w:val="right" w:pos="3173"/>
        </w:tabs>
        <w:rPr>
          <w:noProof/>
        </w:rPr>
      </w:pPr>
      <w:r>
        <w:rPr>
          <w:noProof/>
        </w:rPr>
        <w:t>Multimedia Victoria, 62, 71</w:t>
      </w:r>
    </w:p>
    <w:p w:rsidR="00000000" w:rsidRDefault="001F233B">
      <w:pPr>
        <w:pStyle w:val="IndexHeading"/>
        <w:keepNext/>
        <w:tabs>
          <w:tab w:val="right" w:pos="3173"/>
        </w:tabs>
        <w:rPr>
          <w:b w:val="0"/>
          <w:noProof/>
        </w:rPr>
      </w:pPr>
      <w:r>
        <w:rPr>
          <w:noProof/>
        </w:rPr>
        <w:br w:type="column"/>
        <w:t>N</w:t>
      </w:r>
    </w:p>
    <w:p w:rsidR="00000000" w:rsidRDefault="001F233B">
      <w:pPr>
        <w:pStyle w:val="Index1"/>
        <w:tabs>
          <w:tab w:val="right" w:pos="3173"/>
        </w:tabs>
        <w:rPr>
          <w:noProof/>
        </w:rPr>
      </w:pPr>
      <w:r>
        <w:rPr>
          <w:noProof/>
        </w:rPr>
        <w:t>National tax reform, 14, 15, 89, 90, 91, 157, 166</w:t>
      </w:r>
    </w:p>
    <w:p w:rsidR="00000000" w:rsidRDefault="001F233B">
      <w:pPr>
        <w:pStyle w:val="IndexHeading"/>
        <w:keepNext/>
        <w:tabs>
          <w:tab w:val="right" w:pos="3173"/>
        </w:tabs>
        <w:rPr>
          <w:b w:val="0"/>
          <w:noProof/>
        </w:rPr>
      </w:pPr>
      <w:r>
        <w:rPr>
          <w:noProof/>
        </w:rPr>
        <w:t>O</w:t>
      </w:r>
    </w:p>
    <w:p w:rsidR="00000000" w:rsidRDefault="001F233B">
      <w:pPr>
        <w:pStyle w:val="Index1"/>
        <w:tabs>
          <w:tab w:val="right" w:pos="3173"/>
        </w:tabs>
        <w:rPr>
          <w:noProof/>
        </w:rPr>
      </w:pPr>
      <w:r>
        <w:rPr>
          <w:noProof/>
        </w:rPr>
        <w:t>Operating statement, 2, 21, 31, 35, 41, 42</w:t>
      </w:r>
    </w:p>
    <w:p w:rsidR="00000000" w:rsidRDefault="001F233B">
      <w:pPr>
        <w:pStyle w:val="Index1"/>
        <w:tabs>
          <w:tab w:val="right" w:pos="3173"/>
        </w:tabs>
        <w:rPr>
          <w:noProof/>
        </w:rPr>
      </w:pPr>
      <w:r>
        <w:rPr>
          <w:noProof/>
        </w:rPr>
        <w:t>Operating surplus, 1, 2, 3, 20, 21, 22, 23, 30, 33, 34, 40, 41, 43, 45, 184, 185</w:t>
      </w:r>
    </w:p>
    <w:p w:rsidR="00000000" w:rsidRDefault="001F233B">
      <w:pPr>
        <w:pStyle w:val="Index1"/>
        <w:tabs>
          <w:tab w:val="right" w:pos="3173"/>
        </w:tabs>
        <w:rPr>
          <w:noProof/>
        </w:rPr>
      </w:pPr>
      <w:r>
        <w:rPr>
          <w:noProof/>
        </w:rPr>
        <w:t>Output initiative, 48, 49, 51, 53, 55</w:t>
      </w:r>
    </w:p>
    <w:p w:rsidR="00000000" w:rsidRDefault="001F233B">
      <w:pPr>
        <w:pStyle w:val="Index1"/>
        <w:tabs>
          <w:tab w:val="right" w:pos="3173"/>
        </w:tabs>
        <w:rPr>
          <w:noProof/>
        </w:rPr>
      </w:pPr>
      <w:r>
        <w:rPr>
          <w:noProof/>
        </w:rPr>
        <w:t>Outputs, 29, 47, 48, 50, 55, 107, 1</w:t>
      </w:r>
      <w:r>
        <w:rPr>
          <w:noProof/>
        </w:rPr>
        <w:t>38, 170, 171</w:t>
      </w:r>
    </w:p>
    <w:p w:rsidR="00000000" w:rsidRDefault="001F233B">
      <w:pPr>
        <w:pStyle w:val="Index1"/>
        <w:tabs>
          <w:tab w:val="right" w:pos="3173"/>
        </w:tabs>
        <w:rPr>
          <w:noProof/>
        </w:rPr>
      </w:pPr>
      <w:r>
        <w:rPr>
          <w:noProof/>
        </w:rPr>
        <w:t>Outsourcing, 48, 138, 140</w:t>
      </w:r>
    </w:p>
    <w:p w:rsidR="00000000" w:rsidRDefault="001F233B">
      <w:pPr>
        <w:pStyle w:val="IndexHeading"/>
        <w:keepNext/>
        <w:tabs>
          <w:tab w:val="right" w:pos="3173"/>
        </w:tabs>
        <w:rPr>
          <w:b w:val="0"/>
          <w:noProof/>
        </w:rPr>
      </w:pPr>
      <w:r>
        <w:rPr>
          <w:noProof/>
        </w:rPr>
        <w:t>P</w:t>
      </w:r>
    </w:p>
    <w:p w:rsidR="00000000" w:rsidRDefault="001F233B">
      <w:pPr>
        <w:pStyle w:val="Index1"/>
        <w:tabs>
          <w:tab w:val="right" w:pos="3173"/>
        </w:tabs>
        <w:rPr>
          <w:noProof/>
        </w:rPr>
      </w:pPr>
      <w:r>
        <w:rPr>
          <w:noProof/>
        </w:rPr>
        <w:t>Payroll tax, 1, 4, 5, 12, 37, 74, 75, 90, 93, 97, 98, 99, 157, 186</w:t>
      </w:r>
    </w:p>
    <w:p w:rsidR="00000000" w:rsidRDefault="001F233B">
      <w:pPr>
        <w:pStyle w:val="Index1"/>
        <w:tabs>
          <w:tab w:val="right" w:pos="3173"/>
        </w:tabs>
        <w:rPr>
          <w:noProof/>
        </w:rPr>
      </w:pPr>
      <w:r>
        <w:rPr>
          <w:noProof/>
        </w:rPr>
        <w:t>Performance monitoring, 141</w:t>
      </w:r>
    </w:p>
    <w:p w:rsidR="00000000" w:rsidRDefault="001F233B">
      <w:pPr>
        <w:pStyle w:val="Index1"/>
        <w:tabs>
          <w:tab w:val="right" w:pos="3173"/>
        </w:tabs>
        <w:rPr>
          <w:noProof/>
        </w:rPr>
      </w:pPr>
      <w:r>
        <w:rPr>
          <w:noProof/>
        </w:rPr>
        <w:t>Ports, 140</w:t>
      </w:r>
    </w:p>
    <w:p w:rsidR="00000000" w:rsidRDefault="001F233B">
      <w:pPr>
        <w:pStyle w:val="Index1"/>
        <w:tabs>
          <w:tab w:val="right" w:pos="3173"/>
        </w:tabs>
        <w:rPr>
          <w:noProof/>
        </w:rPr>
      </w:pPr>
      <w:r>
        <w:rPr>
          <w:noProof/>
        </w:rPr>
        <w:t>Power Net Victoria, 32, 33, 94, 96, 106, 142, 180, 189</w:t>
      </w:r>
    </w:p>
    <w:p w:rsidR="00000000" w:rsidRDefault="001F233B">
      <w:pPr>
        <w:pStyle w:val="Index1"/>
        <w:tabs>
          <w:tab w:val="right" w:pos="3173"/>
        </w:tabs>
        <w:rPr>
          <w:noProof/>
        </w:rPr>
      </w:pPr>
      <w:r>
        <w:rPr>
          <w:noProof/>
        </w:rPr>
        <w:t>Prisons, 69, 70, 152</w:t>
      </w:r>
    </w:p>
    <w:p w:rsidR="00000000" w:rsidRDefault="001F233B">
      <w:pPr>
        <w:pStyle w:val="Index1"/>
        <w:tabs>
          <w:tab w:val="right" w:pos="3173"/>
        </w:tabs>
        <w:rPr>
          <w:noProof/>
        </w:rPr>
      </w:pPr>
      <w:r>
        <w:rPr>
          <w:noProof/>
        </w:rPr>
        <w:t>Privatisation, 1, 7, 20, 30, 31, 32, 33, 35, 38, 39, 40, 42, 74, 84, 89, 92, 93, 94, 95, 96, 99, 100, 101, 104, 106, 110, 117, 132, 134, 139, 141, 142, 147, 148, 149, 150, 151, 155</w:t>
      </w:r>
    </w:p>
    <w:p w:rsidR="00000000" w:rsidRDefault="001F233B">
      <w:pPr>
        <w:pStyle w:val="Index1"/>
        <w:tabs>
          <w:tab w:val="right" w:pos="3173"/>
        </w:tabs>
        <w:rPr>
          <w:noProof/>
        </w:rPr>
      </w:pPr>
      <w:r>
        <w:rPr>
          <w:noProof/>
        </w:rPr>
        <w:t>Public authority contribution, 32, 34, 40, 46, 92, 93, 94, 96, 97, 101</w:t>
      </w:r>
    </w:p>
    <w:p w:rsidR="00000000" w:rsidRDefault="001F233B">
      <w:pPr>
        <w:pStyle w:val="Index1"/>
        <w:tabs>
          <w:tab w:val="right" w:pos="3173"/>
        </w:tabs>
        <w:rPr>
          <w:noProof/>
        </w:rPr>
      </w:pPr>
      <w:r>
        <w:rPr>
          <w:noProof/>
        </w:rPr>
        <w:t>Public authority income</w:t>
      </w:r>
    </w:p>
    <w:p w:rsidR="00000000" w:rsidRDefault="001F233B">
      <w:pPr>
        <w:pStyle w:val="Index2"/>
        <w:tabs>
          <w:tab w:val="right" w:pos="3173"/>
        </w:tabs>
        <w:rPr>
          <w:noProof/>
        </w:rPr>
      </w:pPr>
      <w:r>
        <w:rPr>
          <w:noProof/>
        </w:rPr>
        <w:t>Aluvic, 32, 6</w:t>
      </w:r>
      <w:r>
        <w:rPr>
          <w:noProof/>
        </w:rPr>
        <w:t>4, 96, 147</w:t>
      </w:r>
    </w:p>
    <w:p w:rsidR="00000000" w:rsidRDefault="001F233B">
      <w:pPr>
        <w:pStyle w:val="Index2"/>
        <w:tabs>
          <w:tab w:val="right" w:pos="3173"/>
        </w:tabs>
        <w:rPr>
          <w:noProof/>
        </w:rPr>
      </w:pPr>
      <w:r>
        <w:rPr>
          <w:noProof/>
        </w:rPr>
        <w:t>Gas industry, 94, 96, 134, 143</w:t>
      </w:r>
    </w:p>
    <w:p w:rsidR="00000000" w:rsidRDefault="001F233B">
      <w:pPr>
        <w:pStyle w:val="Index2"/>
        <w:tabs>
          <w:tab w:val="right" w:pos="3173"/>
        </w:tabs>
        <w:rPr>
          <w:noProof/>
        </w:rPr>
      </w:pPr>
      <w:r>
        <w:rPr>
          <w:noProof/>
        </w:rPr>
        <w:t>SECV Shell, 36, 106, 119, 180</w:t>
      </w:r>
    </w:p>
    <w:p w:rsidR="00000000" w:rsidRDefault="001F233B">
      <w:pPr>
        <w:pStyle w:val="Index2"/>
        <w:tabs>
          <w:tab w:val="right" w:pos="3173"/>
        </w:tabs>
        <w:rPr>
          <w:noProof/>
        </w:rPr>
      </w:pPr>
      <w:r>
        <w:rPr>
          <w:noProof/>
        </w:rPr>
        <w:t>Transport Accident Commission, 70, 96, 178</w:t>
      </w:r>
    </w:p>
    <w:p w:rsidR="00000000" w:rsidRDefault="001F233B">
      <w:pPr>
        <w:pStyle w:val="Index1"/>
        <w:tabs>
          <w:tab w:val="right" w:pos="3173"/>
        </w:tabs>
        <w:rPr>
          <w:noProof/>
        </w:rPr>
      </w:pPr>
      <w:r>
        <w:rPr>
          <w:noProof/>
        </w:rPr>
        <w:t>Public sector net debt, 1, 10, 18, 20, 104, 109, 111, 139</w:t>
      </w:r>
    </w:p>
    <w:p w:rsidR="00000000" w:rsidRDefault="001F233B">
      <w:pPr>
        <w:pStyle w:val="Index2"/>
        <w:tabs>
          <w:tab w:val="right" w:pos="3173"/>
        </w:tabs>
        <w:rPr>
          <w:noProof/>
        </w:rPr>
      </w:pPr>
      <w:r>
        <w:rPr>
          <w:noProof/>
        </w:rPr>
        <w:t>Public sector net debt to GSP, 111, 112</w:t>
      </w:r>
    </w:p>
    <w:p w:rsidR="00000000" w:rsidRDefault="001F233B">
      <w:pPr>
        <w:pStyle w:val="Index1"/>
        <w:tabs>
          <w:tab w:val="right" w:pos="3173"/>
        </w:tabs>
        <w:rPr>
          <w:noProof/>
        </w:rPr>
      </w:pPr>
      <w:r>
        <w:rPr>
          <w:noProof/>
        </w:rPr>
        <w:t>Public Transport Corporation, 5, 10, 38, 50, 147, 148, 179</w:t>
      </w:r>
    </w:p>
    <w:p w:rsidR="00000000" w:rsidRDefault="001F233B">
      <w:pPr>
        <w:pStyle w:val="IndexHeading"/>
        <w:keepNext/>
        <w:tabs>
          <w:tab w:val="right" w:pos="3173"/>
        </w:tabs>
        <w:rPr>
          <w:b w:val="0"/>
          <w:noProof/>
        </w:rPr>
      </w:pPr>
      <w:r>
        <w:rPr>
          <w:noProof/>
        </w:rPr>
        <w:t>R</w:t>
      </w:r>
    </w:p>
    <w:p w:rsidR="00000000" w:rsidRDefault="001F233B">
      <w:pPr>
        <w:pStyle w:val="Index1"/>
        <w:tabs>
          <w:tab w:val="right" w:pos="3173"/>
        </w:tabs>
        <w:rPr>
          <w:noProof/>
        </w:rPr>
      </w:pPr>
      <w:r>
        <w:rPr>
          <w:noProof/>
        </w:rPr>
        <w:t>Regulation, 71, 148, 154</w:t>
      </w:r>
    </w:p>
    <w:p w:rsidR="00000000" w:rsidRDefault="001F233B">
      <w:pPr>
        <w:pStyle w:val="Index1"/>
        <w:tabs>
          <w:tab w:val="right" w:pos="3173"/>
        </w:tabs>
        <w:rPr>
          <w:noProof/>
        </w:rPr>
      </w:pPr>
      <w:r>
        <w:rPr>
          <w:noProof/>
        </w:rPr>
        <w:t>Revenue raising effort, 5</w:t>
      </w:r>
    </w:p>
    <w:p w:rsidR="00000000" w:rsidRDefault="001F233B">
      <w:pPr>
        <w:pStyle w:val="Index1"/>
        <w:tabs>
          <w:tab w:val="right" w:pos="3173"/>
        </w:tabs>
        <w:rPr>
          <w:noProof/>
        </w:rPr>
      </w:pPr>
      <w:r>
        <w:rPr>
          <w:noProof/>
        </w:rPr>
        <w:t>Roads, 12, 38, 50, 70, 179, 191</w:t>
      </w:r>
    </w:p>
    <w:p w:rsidR="00000000" w:rsidRDefault="001F233B">
      <w:pPr>
        <w:pStyle w:val="IndexHeading"/>
        <w:keepNext/>
        <w:tabs>
          <w:tab w:val="right" w:pos="3173"/>
        </w:tabs>
        <w:rPr>
          <w:b w:val="0"/>
          <w:noProof/>
        </w:rPr>
      </w:pPr>
      <w:r>
        <w:rPr>
          <w:noProof/>
        </w:rPr>
        <w:br w:type="column"/>
        <w:t>S</w:t>
      </w:r>
    </w:p>
    <w:p w:rsidR="00000000" w:rsidRDefault="001F233B">
      <w:pPr>
        <w:pStyle w:val="Index1"/>
        <w:tabs>
          <w:tab w:val="right" w:pos="3173"/>
        </w:tabs>
        <w:rPr>
          <w:noProof/>
        </w:rPr>
      </w:pPr>
      <w:r>
        <w:rPr>
          <w:noProof/>
        </w:rPr>
        <w:t>Safety net arrangements</w:t>
      </w:r>
    </w:p>
    <w:p w:rsidR="00000000" w:rsidRDefault="001F233B">
      <w:pPr>
        <w:pStyle w:val="Index2"/>
        <w:tabs>
          <w:tab w:val="right" w:pos="3173"/>
        </w:tabs>
        <w:rPr>
          <w:noProof/>
        </w:rPr>
      </w:pPr>
      <w:r>
        <w:rPr>
          <w:noProof/>
        </w:rPr>
        <w:t>Fuel, 86</w:t>
      </w:r>
    </w:p>
    <w:p w:rsidR="00000000" w:rsidRDefault="001F233B">
      <w:pPr>
        <w:pStyle w:val="Index2"/>
        <w:tabs>
          <w:tab w:val="right" w:pos="3173"/>
        </w:tabs>
        <w:rPr>
          <w:noProof/>
        </w:rPr>
      </w:pPr>
      <w:r>
        <w:rPr>
          <w:noProof/>
        </w:rPr>
        <w:t>Liquor, 87</w:t>
      </w:r>
    </w:p>
    <w:p w:rsidR="00000000" w:rsidRDefault="001F233B">
      <w:pPr>
        <w:pStyle w:val="Index2"/>
        <w:tabs>
          <w:tab w:val="right" w:pos="3173"/>
        </w:tabs>
        <w:rPr>
          <w:noProof/>
        </w:rPr>
      </w:pPr>
      <w:r>
        <w:rPr>
          <w:noProof/>
        </w:rPr>
        <w:t>Revenues, 32, 40, 88, 89, 92, 93, 94, 98, 100</w:t>
      </w:r>
    </w:p>
    <w:p w:rsidR="00000000" w:rsidRDefault="001F233B">
      <w:pPr>
        <w:pStyle w:val="Index2"/>
        <w:tabs>
          <w:tab w:val="right" w:pos="3173"/>
        </w:tabs>
        <w:rPr>
          <w:noProof/>
        </w:rPr>
      </w:pPr>
      <w:r>
        <w:rPr>
          <w:noProof/>
        </w:rPr>
        <w:t>Tobacco, 88</w:t>
      </w:r>
    </w:p>
    <w:p w:rsidR="00000000" w:rsidRDefault="001F233B">
      <w:pPr>
        <w:pStyle w:val="Index1"/>
        <w:tabs>
          <w:tab w:val="right" w:pos="3173"/>
        </w:tabs>
        <w:rPr>
          <w:noProof/>
        </w:rPr>
      </w:pPr>
      <w:r>
        <w:rPr>
          <w:noProof/>
        </w:rPr>
        <w:t>Sales tax, 85, 95</w:t>
      </w:r>
    </w:p>
    <w:p w:rsidR="00000000" w:rsidRDefault="001F233B">
      <w:pPr>
        <w:pStyle w:val="Index1"/>
        <w:tabs>
          <w:tab w:val="right" w:pos="3173"/>
        </w:tabs>
        <w:rPr>
          <w:noProof/>
        </w:rPr>
      </w:pPr>
      <w:r>
        <w:rPr>
          <w:noProof/>
        </w:rPr>
        <w:t>Section 90, 84, 85, 166</w:t>
      </w:r>
    </w:p>
    <w:p w:rsidR="00000000" w:rsidRDefault="001F233B">
      <w:pPr>
        <w:pStyle w:val="Index1"/>
        <w:tabs>
          <w:tab w:val="right" w:pos="3173"/>
        </w:tabs>
        <w:rPr>
          <w:noProof/>
        </w:rPr>
      </w:pPr>
      <w:r>
        <w:rPr>
          <w:noProof/>
        </w:rPr>
        <w:t>SECV, 10</w:t>
      </w:r>
      <w:r>
        <w:rPr>
          <w:noProof/>
        </w:rPr>
        <w:t>6, 119</w:t>
      </w:r>
    </w:p>
    <w:p w:rsidR="00000000" w:rsidRDefault="001F233B">
      <w:pPr>
        <w:pStyle w:val="Index1"/>
        <w:tabs>
          <w:tab w:val="right" w:pos="3173"/>
        </w:tabs>
        <w:rPr>
          <w:noProof/>
        </w:rPr>
      </w:pPr>
      <w:r>
        <w:rPr>
          <w:noProof/>
        </w:rPr>
        <w:t>Service delivery, 1, 4, 6, 7, 9, 13, 14, 18, 20, 24, 25, 33, 34, 36, 37, 47, 48, 53, 55, 56, 60, 63, 64, 73, 107, 108, 131, 140, 147, 151, 153, 157, 167, 170</w:t>
      </w:r>
    </w:p>
    <w:p w:rsidR="00000000" w:rsidRDefault="001F233B">
      <w:pPr>
        <w:pStyle w:val="Index2"/>
        <w:tabs>
          <w:tab w:val="right" w:pos="3173"/>
        </w:tabs>
        <w:rPr>
          <w:noProof/>
        </w:rPr>
      </w:pPr>
      <w:r>
        <w:rPr>
          <w:noProof/>
        </w:rPr>
        <w:t>Performance and benchmarks, 64</w:t>
      </w:r>
    </w:p>
    <w:p w:rsidR="00000000" w:rsidRDefault="001F233B">
      <w:pPr>
        <w:pStyle w:val="Index2"/>
        <w:tabs>
          <w:tab w:val="right" w:pos="3173"/>
        </w:tabs>
        <w:rPr>
          <w:noProof/>
        </w:rPr>
      </w:pPr>
      <w:r>
        <w:rPr>
          <w:noProof/>
        </w:rPr>
        <w:t>Report on Government Service Provision, 14, 64, 67, 68</w:t>
      </w:r>
    </w:p>
    <w:p w:rsidR="00000000" w:rsidRDefault="001F233B">
      <w:pPr>
        <w:pStyle w:val="Index2"/>
        <w:tabs>
          <w:tab w:val="right" w:pos="3173"/>
        </w:tabs>
        <w:rPr>
          <w:noProof/>
        </w:rPr>
      </w:pPr>
      <w:r>
        <w:rPr>
          <w:noProof/>
        </w:rPr>
        <w:t>Service delivery efficiency, 7, 47</w:t>
      </w:r>
    </w:p>
    <w:p w:rsidR="00000000" w:rsidRDefault="001F233B">
      <w:pPr>
        <w:pStyle w:val="Index2"/>
        <w:tabs>
          <w:tab w:val="right" w:pos="3173"/>
        </w:tabs>
        <w:rPr>
          <w:noProof/>
        </w:rPr>
      </w:pPr>
      <w:r>
        <w:rPr>
          <w:noProof/>
        </w:rPr>
        <w:t>Service delivery initiatives, 9, 24, 34, 36, 37, 55</w:t>
      </w:r>
    </w:p>
    <w:p w:rsidR="00000000" w:rsidRDefault="001F233B">
      <w:pPr>
        <w:pStyle w:val="Index2"/>
        <w:tabs>
          <w:tab w:val="right" w:pos="3173"/>
        </w:tabs>
        <w:rPr>
          <w:noProof/>
        </w:rPr>
      </w:pPr>
      <w:r>
        <w:rPr>
          <w:noProof/>
        </w:rPr>
        <w:t>Service delivery measures, 47</w:t>
      </w:r>
    </w:p>
    <w:p w:rsidR="00000000" w:rsidRDefault="001F233B">
      <w:pPr>
        <w:pStyle w:val="Index2"/>
        <w:tabs>
          <w:tab w:val="right" w:pos="3173"/>
        </w:tabs>
        <w:rPr>
          <w:noProof/>
        </w:rPr>
      </w:pPr>
      <w:r>
        <w:rPr>
          <w:noProof/>
        </w:rPr>
        <w:t>Service delivery reforms, 13, 14, 48, 73</w:t>
      </w:r>
    </w:p>
    <w:p w:rsidR="00000000" w:rsidRDefault="001F233B">
      <w:pPr>
        <w:pStyle w:val="Index1"/>
        <w:tabs>
          <w:tab w:val="right" w:pos="3173"/>
        </w:tabs>
        <w:rPr>
          <w:noProof/>
        </w:rPr>
      </w:pPr>
      <w:r>
        <w:rPr>
          <w:noProof/>
        </w:rPr>
        <w:t>Service delivery initiatives, 9, 24, 34, 36, 37, 55</w:t>
      </w:r>
    </w:p>
    <w:p w:rsidR="00000000" w:rsidRDefault="001F233B">
      <w:pPr>
        <w:pStyle w:val="Index1"/>
        <w:tabs>
          <w:tab w:val="right" w:pos="3173"/>
        </w:tabs>
        <w:rPr>
          <w:noProof/>
        </w:rPr>
      </w:pPr>
      <w:r>
        <w:rPr>
          <w:noProof/>
        </w:rPr>
        <w:t>Social benefit, 7</w:t>
      </w:r>
    </w:p>
    <w:p w:rsidR="00000000" w:rsidRDefault="001F233B">
      <w:pPr>
        <w:pStyle w:val="Index1"/>
        <w:tabs>
          <w:tab w:val="right" w:pos="3173"/>
        </w:tabs>
        <w:rPr>
          <w:noProof/>
        </w:rPr>
      </w:pPr>
      <w:r>
        <w:rPr>
          <w:noProof/>
        </w:rPr>
        <w:t>Social benefits, 36</w:t>
      </w:r>
    </w:p>
    <w:p w:rsidR="00000000" w:rsidRDefault="001F233B">
      <w:pPr>
        <w:pStyle w:val="Index1"/>
        <w:tabs>
          <w:tab w:val="right" w:pos="3173"/>
        </w:tabs>
        <w:rPr>
          <w:noProof/>
        </w:rPr>
      </w:pPr>
      <w:r>
        <w:rPr>
          <w:noProof/>
        </w:rPr>
        <w:t>Social divide</w:t>
      </w:r>
      <w:r>
        <w:rPr>
          <w:noProof/>
        </w:rPr>
        <w:t>nd, 19</w:t>
      </w:r>
    </w:p>
    <w:p w:rsidR="00000000" w:rsidRDefault="001F233B">
      <w:pPr>
        <w:pStyle w:val="Index1"/>
        <w:tabs>
          <w:tab w:val="right" w:pos="3173"/>
        </w:tabs>
        <w:rPr>
          <w:noProof/>
        </w:rPr>
      </w:pPr>
      <w:r>
        <w:rPr>
          <w:noProof/>
        </w:rPr>
        <w:t>Southern Hydro, 33, 34, 40, 96, 102, 106, 142, 180, 189</w:t>
      </w:r>
    </w:p>
    <w:p w:rsidR="00000000" w:rsidRDefault="001F233B">
      <w:pPr>
        <w:pStyle w:val="Index1"/>
        <w:tabs>
          <w:tab w:val="right" w:pos="3173"/>
        </w:tabs>
        <w:rPr>
          <w:noProof/>
        </w:rPr>
      </w:pPr>
      <w:r>
        <w:rPr>
          <w:noProof/>
        </w:rPr>
        <w:t>Specific purpose payments, 158, 162, 163, 164, 169, 170, 171</w:t>
      </w:r>
    </w:p>
    <w:p w:rsidR="00000000" w:rsidRDefault="001F233B">
      <w:pPr>
        <w:pStyle w:val="Index1"/>
        <w:tabs>
          <w:tab w:val="right" w:pos="3173"/>
        </w:tabs>
        <w:rPr>
          <w:noProof/>
        </w:rPr>
      </w:pPr>
      <w:r>
        <w:rPr>
          <w:noProof/>
        </w:rPr>
        <w:t>Spending initiatives, 1, 3, 19, 24, 47</w:t>
      </w:r>
    </w:p>
    <w:p w:rsidR="00000000" w:rsidRDefault="001F233B">
      <w:pPr>
        <w:pStyle w:val="Index1"/>
        <w:tabs>
          <w:tab w:val="right" w:pos="3173"/>
        </w:tabs>
        <w:rPr>
          <w:noProof/>
        </w:rPr>
      </w:pPr>
      <w:r>
        <w:rPr>
          <w:noProof/>
        </w:rPr>
        <w:t>Stamp duty</w:t>
      </w:r>
    </w:p>
    <w:p w:rsidR="00000000" w:rsidRDefault="001F233B">
      <w:pPr>
        <w:pStyle w:val="Index2"/>
        <w:tabs>
          <w:tab w:val="right" w:pos="3173"/>
        </w:tabs>
        <w:rPr>
          <w:noProof/>
        </w:rPr>
      </w:pPr>
      <w:r>
        <w:rPr>
          <w:noProof/>
        </w:rPr>
        <w:t>Conveyancing, 4, 12, 37, 74, 76, 92, 93</w:t>
      </w:r>
    </w:p>
    <w:p w:rsidR="00000000" w:rsidRDefault="001F233B">
      <w:pPr>
        <w:pStyle w:val="Index2"/>
        <w:tabs>
          <w:tab w:val="right" w:pos="3173"/>
        </w:tabs>
        <w:rPr>
          <w:noProof/>
        </w:rPr>
      </w:pPr>
      <w:r>
        <w:rPr>
          <w:noProof/>
        </w:rPr>
        <w:t>First home buyers, 5, 75, 77</w:t>
      </w:r>
    </w:p>
    <w:p w:rsidR="00000000" w:rsidRDefault="001F233B">
      <w:pPr>
        <w:pStyle w:val="Index1"/>
        <w:tabs>
          <w:tab w:val="right" w:pos="3173"/>
        </w:tabs>
        <w:rPr>
          <w:noProof/>
        </w:rPr>
      </w:pPr>
      <w:r>
        <w:rPr>
          <w:noProof/>
        </w:rPr>
        <w:t>State Electricity Commission of Victoria, 34, 36, 40, 102, 106, 119, 139, 142, 180</w:t>
      </w:r>
    </w:p>
    <w:p w:rsidR="00000000" w:rsidRDefault="001F233B">
      <w:pPr>
        <w:pStyle w:val="Index1"/>
        <w:tabs>
          <w:tab w:val="right" w:pos="3173"/>
        </w:tabs>
        <w:rPr>
          <w:noProof/>
        </w:rPr>
      </w:pPr>
      <w:r>
        <w:rPr>
          <w:noProof/>
        </w:rPr>
        <w:t>State fiscal contribution payment, 158, 160</w:t>
      </w:r>
    </w:p>
    <w:p w:rsidR="00000000" w:rsidRDefault="001F233B">
      <w:pPr>
        <w:pStyle w:val="Index1"/>
        <w:tabs>
          <w:tab w:val="right" w:pos="3173"/>
        </w:tabs>
        <w:rPr>
          <w:noProof/>
        </w:rPr>
      </w:pPr>
      <w:r>
        <w:rPr>
          <w:noProof/>
        </w:rPr>
        <w:t>State Government net debt to GSP, 105</w:t>
      </w:r>
    </w:p>
    <w:p w:rsidR="00000000" w:rsidRDefault="001F233B">
      <w:pPr>
        <w:pStyle w:val="Index1"/>
        <w:tabs>
          <w:tab w:val="right" w:pos="3173"/>
        </w:tabs>
        <w:rPr>
          <w:noProof/>
        </w:rPr>
      </w:pPr>
      <w:r>
        <w:rPr>
          <w:noProof/>
        </w:rPr>
        <w:t>State Government Net Debt to GSP, 104, 105</w:t>
      </w:r>
    </w:p>
    <w:p w:rsidR="00000000" w:rsidRDefault="001F233B">
      <w:pPr>
        <w:pStyle w:val="Index1"/>
        <w:tabs>
          <w:tab w:val="right" w:pos="3173"/>
        </w:tabs>
        <w:rPr>
          <w:noProof/>
        </w:rPr>
      </w:pPr>
      <w:r>
        <w:rPr>
          <w:noProof/>
        </w:rPr>
        <w:t>Structured financing, 115</w:t>
      </w:r>
    </w:p>
    <w:p w:rsidR="00000000" w:rsidRDefault="001F233B">
      <w:pPr>
        <w:pStyle w:val="Index2"/>
        <w:tabs>
          <w:tab w:val="right" w:pos="3173"/>
        </w:tabs>
        <w:rPr>
          <w:noProof/>
        </w:rPr>
      </w:pPr>
      <w:r>
        <w:rPr>
          <w:noProof/>
        </w:rPr>
        <w:t>FAI Group, 115</w:t>
      </w:r>
    </w:p>
    <w:p w:rsidR="00000000" w:rsidRDefault="001F233B">
      <w:pPr>
        <w:pStyle w:val="Index2"/>
        <w:tabs>
          <w:tab w:val="right" w:pos="3173"/>
        </w:tabs>
        <w:rPr>
          <w:noProof/>
        </w:rPr>
      </w:pPr>
      <w:r>
        <w:rPr>
          <w:noProof/>
        </w:rPr>
        <w:t>Monash Medical Centr</w:t>
      </w:r>
      <w:r>
        <w:rPr>
          <w:noProof/>
        </w:rPr>
        <w:t>e, 115</w:t>
      </w:r>
    </w:p>
    <w:p w:rsidR="00000000" w:rsidRDefault="001F233B">
      <w:pPr>
        <w:pStyle w:val="Index2"/>
        <w:tabs>
          <w:tab w:val="right" w:pos="3173"/>
        </w:tabs>
        <w:rPr>
          <w:noProof/>
        </w:rPr>
      </w:pPr>
      <w:r>
        <w:rPr>
          <w:noProof/>
        </w:rPr>
        <w:t>World Congress Centre, 115</w:t>
      </w:r>
    </w:p>
    <w:p w:rsidR="00000000" w:rsidRDefault="001F233B">
      <w:pPr>
        <w:pStyle w:val="Index1"/>
        <w:tabs>
          <w:tab w:val="right" w:pos="3173"/>
        </w:tabs>
        <w:rPr>
          <w:noProof/>
        </w:rPr>
      </w:pPr>
      <w:r>
        <w:rPr>
          <w:noProof/>
        </w:rPr>
        <w:t>Superannuation</w:t>
      </w:r>
    </w:p>
    <w:p w:rsidR="00000000" w:rsidRDefault="001F233B">
      <w:pPr>
        <w:pStyle w:val="Index2"/>
        <w:tabs>
          <w:tab w:val="right" w:pos="3173"/>
        </w:tabs>
        <w:rPr>
          <w:noProof/>
        </w:rPr>
      </w:pPr>
      <w:r>
        <w:rPr>
          <w:noProof/>
        </w:rPr>
        <w:t>Ratio of superannuation outlays to revenue and current grants, 118</w:t>
      </w:r>
    </w:p>
    <w:p w:rsidR="00000000" w:rsidRDefault="001F233B">
      <w:pPr>
        <w:pStyle w:val="Index2"/>
        <w:tabs>
          <w:tab w:val="right" w:pos="3173"/>
        </w:tabs>
        <w:rPr>
          <w:noProof/>
        </w:rPr>
      </w:pPr>
      <w:r>
        <w:rPr>
          <w:noProof/>
        </w:rPr>
        <w:t>Unfunded superannuation liabilities, 109, 110, 116, 117</w:t>
      </w:r>
    </w:p>
    <w:p w:rsidR="00000000" w:rsidRDefault="001F233B">
      <w:pPr>
        <w:pStyle w:val="Index2"/>
        <w:tabs>
          <w:tab w:val="right" w:pos="3173"/>
        </w:tabs>
        <w:rPr>
          <w:noProof/>
        </w:rPr>
      </w:pPr>
      <w:r>
        <w:rPr>
          <w:noProof/>
        </w:rPr>
        <w:t>Unfunded superannuation liabilities to GSP, 117</w:t>
      </w:r>
    </w:p>
    <w:p w:rsidR="00000000" w:rsidRDefault="001F233B">
      <w:pPr>
        <w:pStyle w:val="IndexHeading"/>
        <w:keepNext/>
        <w:tabs>
          <w:tab w:val="right" w:pos="3173"/>
        </w:tabs>
        <w:rPr>
          <w:b w:val="0"/>
          <w:noProof/>
        </w:rPr>
      </w:pPr>
      <w:r>
        <w:rPr>
          <w:noProof/>
        </w:rPr>
        <w:t>T</w:t>
      </w:r>
    </w:p>
    <w:p w:rsidR="00000000" w:rsidRDefault="001F233B">
      <w:pPr>
        <w:pStyle w:val="Index1"/>
        <w:tabs>
          <w:tab w:val="right" w:pos="3173"/>
        </w:tabs>
        <w:rPr>
          <w:noProof/>
        </w:rPr>
      </w:pPr>
      <w:r>
        <w:rPr>
          <w:noProof/>
        </w:rPr>
        <w:t>Tax</w:t>
      </w:r>
    </w:p>
    <w:p w:rsidR="00000000" w:rsidRDefault="001F233B">
      <w:pPr>
        <w:pStyle w:val="Index2"/>
        <w:tabs>
          <w:tab w:val="right" w:pos="3173"/>
        </w:tabs>
        <w:rPr>
          <w:noProof/>
        </w:rPr>
      </w:pPr>
      <w:r>
        <w:rPr>
          <w:noProof/>
        </w:rPr>
        <w:t>Financial institutions duty, 74, 75, 78, 90</w:t>
      </w:r>
    </w:p>
    <w:p w:rsidR="00000000" w:rsidRDefault="001F233B">
      <w:pPr>
        <w:pStyle w:val="Index2"/>
        <w:tabs>
          <w:tab w:val="right" w:pos="3173"/>
        </w:tabs>
        <w:rPr>
          <w:noProof/>
        </w:rPr>
      </w:pPr>
      <w:r>
        <w:rPr>
          <w:noProof/>
        </w:rPr>
        <w:t>Fuel tax, 24, 37, 73, 74, 86</w:t>
      </w:r>
    </w:p>
    <w:p w:rsidR="00000000" w:rsidRDefault="001F233B">
      <w:pPr>
        <w:pStyle w:val="Index2"/>
        <w:tabs>
          <w:tab w:val="right" w:pos="3173"/>
        </w:tabs>
        <w:rPr>
          <w:noProof/>
        </w:rPr>
      </w:pPr>
      <w:r>
        <w:rPr>
          <w:noProof/>
        </w:rPr>
        <w:t>Initiatives, 3, 24, 37, 74</w:t>
      </w:r>
    </w:p>
    <w:p w:rsidR="00000000" w:rsidRDefault="001F233B">
      <w:pPr>
        <w:pStyle w:val="Index2"/>
        <w:tabs>
          <w:tab w:val="right" w:pos="3173"/>
        </w:tabs>
        <w:rPr>
          <w:noProof/>
        </w:rPr>
      </w:pPr>
      <w:r>
        <w:rPr>
          <w:noProof/>
        </w:rPr>
        <w:t>Payroll tax, 1, 4, 5, 12, 37, 74, 75, 90, 93, 97, 98, 99, 157, 186</w:t>
      </w:r>
    </w:p>
    <w:p w:rsidR="00000000" w:rsidRDefault="001F233B">
      <w:pPr>
        <w:pStyle w:val="Index1"/>
        <w:tabs>
          <w:tab w:val="right" w:pos="3173"/>
        </w:tabs>
        <w:rPr>
          <w:noProof/>
        </w:rPr>
      </w:pPr>
      <w:r>
        <w:rPr>
          <w:noProof/>
        </w:rPr>
        <w:t>Tax equivalent payments</w:t>
      </w:r>
    </w:p>
    <w:p w:rsidR="00000000" w:rsidRDefault="001F233B">
      <w:pPr>
        <w:pStyle w:val="Index2"/>
        <w:tabs>
          <w:tab w:val="right" w:pos="3173"/>
        </w:tabs>
        <w:rPr>
          <w:noProof/>
        </w:rPr>
      </w:pPr>
      <w:r>
        <w:rPr>
          <w:noProof/>
        </w:rPr>
        <w:t>Income tax, 91, 95, 168, 169</w:t>
      </w:r>
    </w:p>
    <w:p w:rsidR="00000000" w:rsidRDefault="001F233B">
      <w:pPr>
        <w:pStyle w:val="Index2"/>
        <w:tabs>
          <w:tab w:val="right" w:pos="3173"/>
        </w:tabs>
        <w:rPr>
          <w:noProof/>
        </w:rPr>
      </w:pPr>
      <w:r>
        <w:rPr>
          <w:noProof/>
        </w:rPr>
        <w:t>Wholesale sales tax, 85, 87, 95</w:t>
      </w:r>
    </w:p>
    <w:p w:rsidR="00000000" w:rsidRDefault="001F233B">
      <w:pPr>
        <w:pStyle w:val="Index1"/>
        <w:tabs>
          <w:tab w:val="right" w:pos="3173"/>
        </w:tabs>
        <w:rPr>
          <w:noProof/>
        </w:rPr>
      </w:pPr>
      <w:r>
        <w:rPr>
          <w:noProof/>
        </w:rPr>
        <w:t>Tax equivalent regime, 96</w:t>
      </w:r>
    </w:p>
    <w:p w:rsidR="00000000" w:rsidRDefault="001F233B">
      <w:pPr>
        <w:pStyle w:val="Index1"/>
        <w:tabs>
          <w:tab w:val="right" w:pos="3173"/>
        </w:tabs>
        <w:rPr>
          <w:noProof/>
        </w:rPr>
      </w:pPr>
      <w:r>
        <w:rPr>
          <w:noProof/>
        </w:rPr>
        <w:t>Tourism,</w:t>
      </w:r>
      <w:r>
        <w:rPr>
          <w:noProof/>
        </w:rPr>
        <w:t xml:space="preserve"> 62, 71, 72, 124, 131</w:t>
      </w:r>
    </w:p>
    <w:p w:rsidR="00000000" w:rsidRDefault="001F233B">
      <w:pPr>
        <w:pStyle w:val="Index1"/>
        <w:tabs>
          <w:tab w:val="right" w:pos="3173"/>
        </w:tabs>
        <w:rPr>
          <w:noProof/>
        </w:rPr>
      </w:pPr>
      <w:r>
        <w:rPr>
          <w:noProof/>
        </w:rPr>
        <w:t>Transparency, 29</w:t>
      </w:r>
    </w:p>
    <w:p w:rsidR="00000000" w:rsidRDefault="001F233B">
      <w:pPr>
        <w:pStyle w:val="Index1"/>
        <w:tabs>
          <w:tab w:val="right" w:pos="3173"/>
        </w:tabs>
        <w:rPr>
          <w:noProof/>
        </w:rPr>
      </w:pPr>
      <w:r>
        <w:rPr>
          <w:noProof/>
        </w:rPr>
        <w:t>Transport, 5, 6, 26, 36, 38, 43, 50, 58, 59, 60, 64, 70, 96, 132, 134, 137, 138, 140, 148, 149, 150, 151, 152, 178, 188</w:t>
      </w:r>
    </w:p>
    <w:p w:rsidR="00000000" w:rsidRDefault="001F233B">
      <w:pPr>
        <w:pStyle w:val="Index1"/>
        <w:tabs>
          <w:tab w:val="right" w:pos="3173"/>
        </w:tabs>
        <w:rPr>
          <w:noProof/>
        </w:rPr>
      </w:pPr>
      <w:r>
        <w:rPr>
          <w:noProof/>
        </w:rPr>
        <w:t>Treasury Corporation of Victoria, 114, 115</w:t>
      </w:r>
    </w:p>
    <w:p w:rsidR="00000000" w:rsidRDefault="001F233B">
      <w:pPr>
        <w:pStyle w:val="Index2"/>
        <w:tabs>
          <w:tab w:val="right" w:pos="3173"/>
        </w:tabs>
        <w:rPr>
          <w:noProof/>
        </w:rPr>
      </w:pPr>
      <w:r>
        <w:rPr>
          <w:noProof/>
        </w:rPr>
        <w:t>Victorian borrowing margins, 114</w:t>
      </w:r>
    </w:p>
    <w:p w:rsidR="00000000" w:rsidRDefault="001F233B">
      <w:pPr>
        <w:pStyle w:val="IndexHeading"/>
        <w:keepNext/>
        <w:tabs>
          <w:tab w:val="right" w:pos="3173"/>
        </w:tabs>
        <w:rPr>
          <w:b w:val="0"/>
          <w:noProof/>
        </w:rPr>
      </w:pPr>
      <w:r>
        <w:rPr>
          <w:noProof/>
        </w:rPr>
        <w:t>V</w:t>
      </w:r>
    </w:p>
    <w:p w:rsidR="00000000" w:rsidRDefault="001F233B">
      <w:pPr>
        <w:pStyle w:val="Index1"/>
        <w:tabs>
          <w:tab w:val="right" w:pos="3173"/>
        </w:tabs>
        <w:rPr>
          <w:noProof/>
        </w:rPr>
      </w:pPr>
      <w:r>
        <w:rPr>
          <w:noProof/>
        </w:rPr>
        <w:t>Vertical fiscal imbalance (VFI), 85, 90, 157, 163, 166, 167, 170</w:t>
      </w:r>
    </w:p>
    <w:p w:rsidR="00000000" w:rsidRDefault="001F233B">
      <w:pPr>
        <w:pStyle w:val="Index1"/>
        <w:tabs>
          <w:tab w:val="right" w:pos="3173"/>
        </w:tabs>
        <w:rPr>
          <w:noProof/>
        </w:rPr>
      </w:pPr>
      <w:r>
        <w:rPr>
          <w:noProof/>
        </w:rPr>
        <w:t>VicRoads, 70</w:t>
      </w:r>
    </w:p>
    <w:p w:rsidR="00000000" w:rsidRDefault="001F233B">
      <w:pPr>
        <w:pStyle w:val="Index1"/>
        <w:tabs>
          <w:tab w:val="right" w:pos="3173"/>
        </w:tabs>
        <w:rPr>
          <w:noProof/>
        </w:rPr>
      </w:pPr>
      <w:r>
        <w:rPr>
          <w:noProof/>
        </w:rPr>
        <w:t>Victorian borrowing margins, 114</w:t>
      </w:r>
    </w:p>
    <w:p w:rsidR="00000000" w:rsidRDefault="001F233B">
      <w:pPr>
        <w:pStyle w:val="Index1"/>
        <w:tabs>
          <w:tab w:val="right" w:pos="3173"/>
        </w:tabs>
        <w:rPr>
          <w:noProof/>
        </w:rPr>
      </w:pPr>
      <w:r>
        <w:rPr>
          <w:noProof/>
        </w:rPr>
        <w:t>Victorian Plantations Corporation, 64, 147, 150, 181</w:t>
      </w:r>
    </w:p>
    <w:p w:rsidR="00000000" w:rsidRDefault="001F233B">
      <w:pPr>
        <w:pStyle w:val="IndexHeading"/>
        <w:keepNext/>
        <w:tabs>
          <w:tab w:val="right" w:pos="3173"/>
        </w:tabs>
        <w:rPr>
          <w:b w:val="0"/>
          <w:noProof/>
        </w:rPr>
      </w:pPr>
      <w:r>
        <w:rPr>
          <w:noProof/>
        </w:rPr>
        <w:t>W</w:t>
      </w:r>
    </w:p>
    <w:p w:rsidR="00000000" w:rsidRDefault="001F233B">
      <w:pPr>
        <w:pStyle w:val="Index1"/>
        <w:tabs>
          <w:tab w:val="right" w:pos="3173"/>
        </w:tabs>
        <w:rPr>
          <w:noProof/>
        </w:rPr>
      </w:pPr>
      <w:r>
        <w:rPr>
          <w:noProof/>
        </w:rPr>
        <w:t>Water and sewerage, 140, 145, 190</w:t>
      </w:r>
    </w:p>
    <w:p w:rsidR="00000000" w:rsidRDefault="001F233B">
      <w:pPr>
        <w:pStyle w:val="Index1"/>
        <w:tabs>
          <w:tab w:val="right" w:pos="3173"/>
        </w:tabs>
        <w:rPr>
          <w:noProof/>
        </w:rPr>
      </w:pPr>
      <w:r>
        <w:rPr>
          <w:noProof/>
        </w:rPr>
        <w:t>Winter power bonus, 13, 24, 34, 36, 37, 139</w:t>
      </w:r>
    </w:p>
    <w:p w:rsidR="00000000" w:rsidRDefault="001F233B">
      <w:pPr>
        <w:spacing w:after="240"/>
        <w:rPr>
          <w:noProof/>
          <w:color w:val="000000"/>
        </w:rPr>
        <w:sectPr w:rsidR="00000000">
          <w:type w:val="continuous"/>
          <w:pgSz w:w="11907" w:h="16840" w:code="9"/>
          <w:pgMar w:top="1440" w:right="3402" w:bottom="4082" w:left="1418" w:header="720" w:footer="4253" w:gutter="0"/>
          <w:cols w:num="2" w:space="337"/>
        </w:sectPr>
      </w:pPr>
    </w:p>
    <w:p w:rsidR="00000000" w:rsidRDefault="001F233B">
      <w:pPr>
        <w:spacing w:after="240"/>
        <w:rPr>
          <w:color w:val="000000"/>
        </w:rPr>
      </w:pPr>
      <w:r>
        <w:rPr>
          <w:color w:val="000000"/>
        </w:rPr>
        <w:fldChar w:fldCharType="end"/>
      </w:r>
    </w:p>
    <w:sectPr w:rsidR="00000000">
      <w:headerReference w:type="even" r:id="rId116"/>
      <w:footerReference w:type="even" r:id="rId117"/>
      <w:type w:val="continuous"/>
      <w:pgSz w:w="11907" w:h="16840" w:code="9"/>
      <w:pgMar w:top="1440" w:right="3402" w:bottom="4082" w:left="1418" w:header="720" w:footer="4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233B">
      <w:pPr>
        <w:spacing w:after="0"/>
      </w:pPr>
      <w:r>
        <w:separator/>
      </w:r>
    </w:p>
  </w:endnote>
  <w:endnote w:type="continuationSeparator" w:id="0">
    <w:p w:rsidR="00000000" w:rsidRDefault="001F23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Bdr>
        <w:top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fldChar w:fldCharType="begin"/>
    </w:r>
    <w:r>
      <w:instrText xml:space="preserve"> PAGE </w:instrText>
    </w:r>
    <w:r>
      <w:fldChar w:fldCharType="separate"/>
    </w:r>
    <w:r>
      <w:rPr>
        <w:noProof/>
      </w:rPr>
      <w:t>38</w:t>
    </w:r>
    <w:r>
      <w:fldChar w:fldCharType="end"/>
    </w:r>
    <w:r>
      <w:tab/>
      <w:t>Budget Statement 1998</w:t>
    </w:r>
    <w:r>
      <w:noBreakHyphen/>
      <w:t>99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ab/>
      <w:t>vii</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r>
      <w:rPr>
        <w:rStyle w:val="PageNumber"/>
      </w:rPr>
      <w:tab/>
    </w:r>
    <w:r>
      <w:t>Budget Statement 1998</w:t>
    </w:r>
    <w:r>
      <w:noBreakHyphen/>
      <w:t>99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Bdr>
        <w:top w:val="single" w:sz="6" w:space="1" w:color="auto"/>
      </w:pBdr>
      <w:tabs>
        <w:tab w:val="right" w:pos="7088"/>
      </w:tabs>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ab/>
    </w:r>
    <w:r>
      <w:rPr>
        <w:rFonts w:ascii="Arial" w:hAnsi="Arial"/>
        <w:sz w:val="18"/>
      </w:rPr>
      <w:t>Budget Statement 1998</w:t>
    </w:r>
    <w:r>
      <w:rPr>
        <w:rFonts w:ascii="Arial" w:hAnsi="Arial"/>
        <w:sz w:val="18"/>
      </w:rPr>
      <w:noBreakHyphen/>
      <w:t>99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Bdr>
        <w:top w:val="single" w:sz="6" w:space="1" w:color="auto"/>
      </w:pBdr>
      <w:tabs>
        <w:tab w:val="right" w:pos="7088"/>
      </w:tabs>
      <w:rPr>
        <w:sz w:val="18"/>
      </w:rPr>
    </w:pPr>
    <w:r>
      <w:rPr>
        <w:rFonts w:ascii="Arial" w:hAnsi="Arial"/>
        <w:sz w:val="18"/>
      </w:rPr>
      <w:t>Budget Statement 1998</w:t>
    </w:r>
    <w:r>
      <w:rPr>
        <w:rFonts w:ascii="Arial" w:hAnsi="Arial"/>
        <w:sz w:val="18"/>
      </w:rPr>
      <w:noBreakHyphen/>
      <w:t>99</w:t>
    </w:r>
    <w:r>
      <w:rPr>
        <w:rFonts w:ascii="Arial" w:hAnsi="Arial"/>
        <w:sz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Bdr>
        <w:top w:val="single" w:sz="6" w:space="1" w:color="auto"/>
      </w:pBdr>
      <w:tabs>
        <w:tab w:val="right" w:pos="7088"/>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r>
    <w:r>
      <w:rPr>
        <w:rFonts w:ascii="Arial" w:hAnsi="Arial"/>
        <w:sz w:val="18"/>
      </w:rPr>
      <w:t>Budget Statement 1998</w:t>
    </w:r>
    <w:r>
      <w:rPr>
        <w:rFonts w:ascii="Arial" w:hAnsi="Arial"/>
        <w:sz w:val="18"/>
      </w:rPr>
      <w:noBreakHyphen/>
      <w:t>99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Bdr>
        <w:top w:val="single" w:sz="6" w:space="1" w:color="auto"/>
      </w:pBdr>
      <w:tabs>
        <w:tab w:val="right" w:pos="7088"/>
      </w:tabs>
      <w:rPr>
        <w:sz w:val="18"/>
      </w:rPr>
    </w:pPr>
    <w:r>
      <w:rPr>
        <w:rFonts w:ascii="Arial" w:hAnsi="Arial"/>
        <w:sz w:val="18"/>
      </w:rPr>
      <w:t>Budget Statement 1998</w:t>
    </w:r>
    <w:r>
      <w:rPr>
        <w:rFonts w:ascii="Arial" w:hAnsi="Arial"/>
        <w:sz w:val="18"/>
      </w:rPr>
      <w:noBreakHyphen/>
      <w:t>99</w:t>
    </w:r>
    <w:r>
      <w:rPr>
        <w:rFonts w:ascii="Arial" w:hAnsi="Arial"/>
        <w:sz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Bdr>
        <w:top w:val="none" w:sz="0" w:space="0" w:color="auto"/>
      </w:pBdr>
      <w:ind w:right="-1"/>
    </w:pPr>
    <w:r>
      <w:tab/>
    </w:r>
    <w:r>
      <w:rPr>
        <w:rStyle w:val="PageNumber"/>
      </w:rPr>
      <w:fldChar w:fldCharType="begin"/>
    </w:r>
    <w:r>
      <w:rPr>
        <w:rStyle w:val="PageNumber"/>
      </w:rPr>
      <w:instrText xml:space="preserve"> PAGE </w:instrText>
    </w:r>
    <w:r>
      <w:rPr>
        <w:rStyle w:val="PageNumber"/>
      </w:rPr>
      <w:fldChar w:fldCharType="separate"/>
    </w:r>
    <w:r>
      <w:rPr>
        <w:rStyle w:val="PageNumber"/>
      </w:rPr>
      <w:t>163</w:t>
    </w:r>
    <w:r>
      <w:rPr>
        <w:rStyle w:val="PageNumber"/>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 xml:space="preserve">Budget Statement </w:t>
    </w:r>
    <w:r>
      <w:t>1998</w:t>
    </w:r>
    <w:r>
      <w:noBreakHyphen/>
      <w:t>99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rPr>
        <w:rStyle w:val="PageNumber"/>
      </w:rPr>
      <w:t xml:space="preserve">Budget Statement </w:t>
    </w:r>
    <w:r>
      <w:t>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r>
      <w:rPr>
        <w:rStyle w:val="PageNumber"/>
      </w:rPr>
      <w:tab/>
      <w:t xml:space="preserve">Budget Statement </w:t>
    </w:r>
    <w:r>
      <w:t>1998</w:t>
    </w:r>
    <w:r>
      <w:noBreakHyphen/>
      <w:t>99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rPr>
        <w:rStyle w:val="PageNumber"/>
      </w:rPr>
      <w:t xml:space="preserve">Budget Statement </w:t>
    </w:r>
    <w:r>
      <w:t>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Bdr>
        <w:top w:val="single" w:sz="6" w:space="1" w:color="auto"/>
      </w:pBdr>
      <w:tabs>
        <w:tab w:val="right" w:pos="7088"/>
      </w:tabs>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r>
      <w:rPr>
        <w:rStyle w:val="PageNumber"/>
      </w:rPr>
      <w:tab/>
    </w:r>
    <w:r>
      <w:rPr>
        <w:rFonts w:ascii="Arial" w:hAnsi="Arial"/>
        <w:sz w:val="18"/>
      </w:rPr>
      <w:t>Budget Statement 1998</w:t>
    </w:r>
    <w:r>
      <w:rPr>
        <w:rFonts w:ascii="Arial" w:hAnsi="Arial"/>
        <w:sz w:val="18"/>
      </w:rPr>
      <w:noBreakHyphen/>
      <w:t>99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19</w:t>
    </w:r>
    <w:r>
      <w:rPr>
        <w:rStyle w:val="PageNumber"/>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Bdr>
        <w:top w:val="single" w:sz="6" w:space="1" w:color="auto"/>
      </w:pBdr>
      <w:tabs>
        <w:tab w:val="right" w:pos="7088"/>
      </w:tabs>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r>
      <w:rPr>
        <w:rStyle w:val="PageNumber"/>
      </w:rPr>
      <w:tab/>
    </w:r>
    <w:r>
      <w:rPr>
        <w:rFonts w:ascii="Arial" w:hAnsi="Arial"/>
        <w:sz w:val="18"/>
      </w:rPr>
      <w:t>Budget Statement 1998</w:t>
    </w:r>
    <w:r>
      <w:rPr>
        <w:rFonts w:ascii="Arial" w:hAnsi="Arial"/>
        <w:sz w:val="18"/>
      </w:rPr>
      <w:noBreakHyphen/>
      <w:t>99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r>
      <w:rPr>
        <w:rStyle w:val="PageNumber"/>
      </w:rPr>
      <w:tab/>
    </w:r>
    <w:r>
      <w:t>Budget Statement 1998</w:t>
    </w:r>
    <w:r>
      <w:noBreakHyphen/>
      <w:t>99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Bdr>
        <w:top w:val="none" w:sz="0" w:space="0" w:color="auto"/>
      </w:pBd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r>
      <w:tab/>
      <w:t>Budget Statement 1998</w:t>
    </w:r>
    <w:r>
      <w:noBreakHyphen/>
      <w:t>99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Budget Statement 1998</w:t>
    </w:r>
    <w:r>
      <w:noBreakHyphen/>
      <w:t>99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r>
      <w:rPr>
        <w:rStyle w:val="PageNumber"/>
      </w:rPr>
      <w:tab/>
      <w:t>Budget Statement 1998</w:t>
    </w:r>
    <w:r>
      <w:noBreakHyphen/>
    </w:r>
    <w:r>
      <w:rPr>
        <w:rStyle w:val="PageNumber"/>
      </w:rPr>
      <w:t>99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r>
      <w:rPr>
        <w:rStyle w:val="PageNumber"/>
      </w:rPr>
      <w:tab/>
      <w:t>Budget Statement 1998</w:t>
    </w:r>
    <w:r>
      <w:noBreakHyphen/>
    </w:r>
    <w:r>
      <w:rPr>
        <w:rStyle w:val="PageNumber"/>
      </w:rPr>
      <w:t>99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211</w:t>
    </w:r>
    <w:r>
      <w:rPr>
        <w:rStyle w:val="PageNumber"/>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r>
      <w:rPr>
        <w:rStyle w:val="PageNumber"/>
      </w:rPr>
      <w:tab/>
    </w:r>
    <w:r>
      <w:t>Budget Statement 19</w:t>
    </w:r>
    <w:r>
      <w:t>98</w:t>
    </w:r>
    <w:r>
      <w:noBreakHyphen/>
      <w:t>99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Bdr>
        <w:top w:val="none" w:sz="0" w:space="0"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fldChar w:fldCharType="begin"/>
    </w:r>
    <w:r>
      <w:instrText xml:space="preserve"> PAGE </w:instrText>
    </w:r>
    <w:r>
      <w:fldChar w:fldCharType="separate"/>
    </w:r>
    <w:r>
      <w:rPr>
        <w:noProof/>
      </w:rPr>
      <w:t>188</w:t>
    </w:r>
    <w:r>
      <w:fldChar w:fldCharType="end"/>
    </w:r>
    <w:r>
      <w:tab/>
      <w:t>Budget Statement 1998-99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fldChar w:fldCharType="begin"/>
    </w:r>
    <w:r>
      <w:instrText xml:space="preserve"> PAGE </w:instrText>
    </w:r>
    <w:r>
      <w:fldChar w:fldCharType="separate"/>
    </w:r>
    <w:r>
      <w:rPr>
        <w:noProof/>
      </w:rPr>
      <w:t>228</w:t>
    </w:r>
    <w:r>
      <w:fldChar w:fldCharType="end"/>
    </w:r>
    <w:r>
      <w:tab/>
      <w:t>Budget Statement 1998-99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229</w:t>
    </w:r>
    <w:r>
      <w:rPr>
        <w:rStyle w:val="PageNumber"/>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r>
      <w:rPr>
        <w:rStyle w:val="PageNumber"/>
      </w:rPr>
      <w:tab/>
    </w:r>
    <w:r>
      <w:t>Budget Statement 1998</w:t>
    </w:r>
    <w:r>
      <w:noBreakHyphen/>
      <w:t>99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t>Budget Statement 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211</w:t>
    </w:r>
    <w:r>
      <w:rPr>
        <w:rStyle w:val="PageNumber"/>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212</w:t>
    </w:r>
    <w:r>
      <w:rPr>
        <w:rStyle w:val="PageNumber"/>
      </w:rPr>
      <w:fldChar w:fldCharType="end"/>
    </w:r>
    <w:r>
      <w:rPr>
        <w:rStyle w:val="PageNumber"/>
      </w:rPr>
      <w:tab/>
    </w:r>
    <w:r>
      <w:t>Budget Statement 1998</w:t>
    </w:r>
    <w:r>
      <w:noBreakHyphen/>
      <w:t>99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Bdr>
        <w:top w:val="single" w:sz="6" w:space="1" w:color="auto"/>
      </w:pBdr>
      <w:tabs>
        <w:tab w:val="right" w:pos="7088"/>
      </w:tabs>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Pr>
        <w:rFonts w:ascii="Arial" w:hAnsi="Arial"/>
      </w:rPr>
      <w:t>Glossary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Bdr>
        <w:top w:val="none" w:sz="0" w:space="0" w:color="auto"/>
      </w:pBdr>
      <w:ind w:right="360"/>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ix</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Bdr>
        <w:top w:val="single" w:sz="6" w:space="1" w:color="auto"/>
      </w:pBdr>
      <w:tabs>
        <w:tab w:val="right" w:pos="7088"/>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r>
    <w:r>
      <w:rPr>
        <w:rFonts w:ascii="Arial" w:hAnsi="Arial"/>
      </w:rPr>
      <w:t>Glossary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Bdr>
        <w:top w:val="single" w:sz="6" w:space="1" w:color="auto"/>
      </w:pBdr>
      <w:tabs>
        <w:tab w:val="right" w:pos="7088"/>
      </w:tabs>
      <w:rPr>
        <w:rFonts w:ascii="Arial" w:hAnsi="Arial"/>
      </w:rPr>
    </w:pPr>
    <w:r>
      <w:rPr>
        <w:rFonts w:ascii="Arial" w:hAnsi="Arial"/>
      </w:rPr>
      <w:t>Glossary</w:t>
    </w:r>
    <w:r>
      <w:rPr>
        <w:rFonts w:ascii="Arial" w:hAnsi="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Bdr>
        <w:top w:val="none" w:sz="0" w:space="0"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x</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Footer"/>
      <w:pBdr>
        <w:top w:val="none" w:sz="0" w:space="0" w:color="auto"/>
      </w:pBdr>
      <w:ind w:right="360"/>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233B">
      <w:pPr>
        <w:spacing w:after="0"/>
      </w:pPr>
      <w:r>
        <w:separator/>
      </w:r>
    </w:p>
  </w:footnote>
  <w:footnote w:type="continuationSeparator" w:id="0">
    <w:p w:rsidR="00000000" w:rsidRDefault="001F233B">
      <w:pPr>
        <w:spacing w:after="0"/>
      </w:pPr>
      <w:r>
        <w:continuationSeparator/>
      </w:r>
    </w:p>
  </w:footnote>
  <w:footnote w:id="1">
    <w:p w:rsidR="00000000" w:rsidRDefault="001F233B">
      <w:r>
        <w:rPr>
          <w:sz w:val="20"/>
          <w:vertAlign w:val="superscript"/>
        </w:rPr>
        <w:footnoteRef/>
      </w:r>
      <w:r>
        <w:rPr>
          <w:vertAlign w:val="superscript"/>
        </w:rPr>
        <w:t xml:space="preserve"> </w:t>
      </w:r>
      <w:r>
        <w:rPr>
          <w:sz w:val="20"/>
        </w:rPr>
        <w:t>Based on a study by Arthur</w:t>
      </w:r>
      <w:r>
        <w:rPr>
          <w:sz w:val="20"/>
        </w:rPr>
        <w:t xml:space="preserve"> Andersen commissioned by the Department of Treasury and Finance in 1995</w:t>
      </w:r>
      <w:r>
        <w:rPr>
          <w:sz w:val="20"/>
        </w:rPr>
        <w:noBreakHyphen/>
        <w:t>96.</w:t>
      </w:r>
    </w:p>
    <w:p w:rsidR="00000000" w:rsidRDefault="001F233B"/>
  </w:footnote>
  <w:footnote w:id="2">
    <w:p w:rsidR="00000000" w:rsidRDefault="001F233B">
      <w:r>
        <w:rPr>
          <w:sz w:val="20"/>
          <w:vertAlign w:val="superscript"/>
        </w:rPr>
        <w:footnoteRef/>
      </w:r>
      <w:r>
        <w:rPr>
          <w:sz w:val="20"/>
          <w:vertAlign w:val="superscript"/>
        </w:rPr>
        <w:t xml:space="preserve"> </w:t>
      </w:r>
      <w:r>
        <w:rPr>
          <w:i/>
          <w:sz w:val="20"/>
        </w:rPr>
        <w:t>Ngo Ngo Ha and Anor</w:t>
      </w:r>
      <w:r>
        <w:rPr>
          <w:sz w:val="20"/>
        </w:rPr>
        <w:t xml:space="preserve"> v </w:t>
      </w:r>
      <w:r>
        <w:rPr>
          <w:i/>
          <w:sz w:val="20"/>
        </w:rPr>
        <w:t>State of New South Wales &amp; Ors</w:t>
      </w:r>
      <w:r>
        <w:rPr>
          <w:sz w:val="20"/>
        </w:rPr>
        <w:t xml:space="preserve"> and </w:t>
      </w:r>
      <w:r>
        <w:rPr>
          <w:i/>
          <w:sz w:val="20"/>
        </w:rPr>
        <w:t>Walter Hammond &amp; Associates Pty Ltd</w:t>
      </w:r>
      <w:r>
        <w:rPr>
          <w:sz w:val="20"/>
        </w:rPr>
        <w:t xml:space="preserve"> v </w:t>
      </w:r>
      <w:r>
        <w:rPr>
          <w:i/>
          <w:sz w:val="20"/>
        </w:rPr>
        <w:t>New South Wales and Ors</w:t>
      </w:r>
      <w:r>
        <w:rPr>
          <w:sz w:val="20"/>
        </w:rPr>
        <w:t>, (1997) 146 ALR 355.</w:t>
      </w:r>
    </w:p>
  </w:footnote>
  <w:footnote w:id="3">
    <w:p w:rsidR="00000000" w:rsidRDefault="001F233B">
      <w:r>
        <w:rPr>
          <w:sz w:val="20"/>
          <w:vertAlign w:val="superscript"/>
        </w:rPr>
        <w:footnoteRef/>
      </w:r>
      <w:r>
        <w:rPr>
          <w:sz w:val="20"/>
          <w:vertAlign w:val="superscript"/>
        </w:rPr>
        <w:t xml:space="preserve"> </w:t>
      </w:r>
      <w:r>
        <w:rPr>
          <w:i/>
          <w:sz w:val="20"/>
        </w:rPr>
        <w:t>Allders International Pty Ltd</w:t>
      </w:r>
      <w:r>
        <w:rPr>
          <w:sz w:val="20"/>
        </w:rPr>
        <w:t xml:space="preserve"> v </w:t>
      </w:r>
      <w:r>
        <w:rPr>
          <w:i/>
          <w:sz w:val="20"/>
        </w:rPr>
        <w:t>Commissioner of State Revenue</w:t>
      </w:r>
      <w:r>
        <w:rPr>
          <w:sz w:val="20"/>
        </w:rPr>
        <w:t xml:space="preserve"> (1996), 140 ALR 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p w:rsidR="00000000" w:rsidRDefault="001F233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p w:rsidR="00000000" w:rsidRDefault="001F233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Header"/>
      <w:tabs>
        <w:tab w:val="center" w:pos="-4111"/>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pStyle w:val="Header"/>
      <w:tabs>
        <w:tab w:val="center" w:pos="-4111"/>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33B">
    <w:pPr>
      <w:tabs>
        <w:tab w:val="center"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9F639BE"/>
    <w:lvl w:ilvl="0">
      <w:numFmt w:val="bullet"/>
      <w:lvlText w:val="*"/>
      <w:lvlJc w:val="left"/>
    </w:lvl>
  </w:abstractNum>
  <w:abstractNum w:abstractNumId="1">
    <w:nsid w:val="0D2D320E"/>
    <w:multiLevelType w:val="singleLevel"/>
    <w:tmpl w:val="524EEE64"/>
    <w:lvl w:ilvl="0">
      <w:start w:val="1"/>
      <w:numFmt w:val="lowerLetter"/>
      <w:lvlText w:val="(%1)"/>
      <w:legacy w:legacy="1" w:legacySpace="0" w:legacyIndent="360"/>
      <w:lvlJc w:val="left"/>
      <w:pPr>
        <w:ind w:left="360" w:hanging="360"/>
      </w:pPr>
    </w:lvl>
  </w:abstractNum>
  <w:abstractNum w:abstractNumId="2">
    <w:nsid w:val="0FE866A0"/>
    <w:multiLevelType w:val="singleLevel"/>
    <w:tmpl w:val="8B384AC4"/>
    <w:lvl w:ilvl="0">
      <w:start w:val="1"/>
      <w:numFmt w:val="decimal"/>
      <w:lvlText w:val="%1."/>
      <w:legacy w:legacy="1" w:legacySpace="0" w:legacyIndent="720"/>
      <w:lvlJc w:val="left"/>
      <w:pPr>
        <w:ind w:left="720" w:hanging="720"/>
      </w:pPr>
    </w:lvl>
  </w:abstractNum>
  <w:abstractNum w:abstractNumId="3">
    <w:nsid w:val="12A20072"/>
    <w:multiLevelType w:val="singleLevel"/>
    <w:tmpl w:val="524EEE64"/>
    <w:lvl w:ilvl="0">
      <w:start w:val="1"/>
      <w:numFmt w:val="lowerLetter"/>
      <w:lvlText w:val="(%1)"/>
      <w:legacy w:legacy="1" w:legacySpace="0" w:legacyIndent="360"/>
      <w:lvlJc w:val="left"/>
      <w:pPr>
        <w:ind w:left="360" w:hanging="360"/>
      </w:pPr>
    </w:lvl>
  </w:abstractNum>
  <w:abstractNum w:abstractNumId="4">
    <w:nsid w:val="201B57DD"/>
    <w:multiLevelType w:val="singleLevel"/>
    <w:tmpl w:val="07D49694"/>
    <w:lvl w:ilvl="0">
      <w:start w:val="6"/>
      <w:numFmt w:val="lowerLetter"/>
      <w:lvlText w:val="(%1)"/>
      <w:legacy w:legacy="1" w:legacySpace="0" w:legacyIndent="360"/>
      <w:lvlJc w:val="left"/>
      <w:pPr>
        <w:ind w:left="360" w:hanging="360"/>
      </w:pPr>
    </w:lvl>
  </w:abstractNum>
  <w:abstractNum w:abstractNumId="5">
    <w:nsid w:val="20AC165C"/>
    <w:multiLevelType w:val="singleLevel"/>
    <w:tmpl w:val="F7BC9EFC"/>
    <w:lvl w:ilvl="0">
      <w:start w:val="1"/>
      <w:numFmt w:val="lowerLetter"/>
      <w:lvlText w:val="(%1)"/>
      <w:legacy w:legacy="1" w:legacySpace="0" w:legacyIndent="450"/>
      <w:lvlJc w:val="left"/>
      <w:pPr>
        <w:ind w:left="450" w:hanging="450"/>
      </w:pPr>
    </w:lvl>
  </w:abstractNum>
  <w:abstractNum w:abstractNumId="6">
    <w:nsid w:val="283B28FE"/>
    <w:multiLevelType w:val="singleLevel"/>
    <w:tmpl w:val="524EEE64"/>
    <w:lvl w:ilvl="0">
      <w:start w:val="1"/>
      <w:numFmt w:val="lowerLetter"/>
      <w:lvlText w:val="(%1)"/>
      <w:legacy w:legacy="1" w:legacySpace="0" w:legacyIndent="360"/>
      <w:lvlJc w:val="left"/>
      <w:pPr>
        <w:ind w:left="360" w:hanging="360"/>
      </w:pPr>
    </w:lvl>
  </w:abstractNum>
  <w:abstractNum w:abstractNumId="7">
    <w:nsid w:val="43DA44B5"/>
    <w:multiLevelType w:val="singleLevel"/>
    <w:tmpl w:val="524EEE64"/>
    <w:lvl w:ilvl="0">
      <w:start w:val="1"/>
      <w:numFmt w:val="lowerLetter"/>
      <w:lvlText w:val="(%1)"/>
      <w:legacy w:legacy="1" w:legacySpace="0" w:legacyIndent="360"/>
      <w:lvlJc w:val="left"/>
      <w:pPr>
        <w:ind w:left="360" w:hanging="360"/>
      </w:pPr>
    </w:lvl>
  </w:abstractNum>
  <w:abstractNum w:abstractNumId="8">
    <w:nsid w:val="5B0F097A"/>
    <w:multiLevelType w:val="singleLevel"/>
    <w:tmpl w:val="524EEE64"/>
    <w:lvl w:ilvl="0">
      <w:start w:val="1"/>
      <w:numFmt w:val="lowerLetter"/>
      <w:lvlText w:val="(%1)"/>
      <w:legacy w:legacy="1" w:legacySpace="0" w:legacyIndent="360"/>
      <w:lvlJc w:val="left"/>
      <w:pPr>
        <w:ind w:left="360" w:hanging="360"/>
      </w:pPr>
    </w:lvl>
  </w:abstractNum>
  <w:abstractNum w:abstractNumId="9">
    <w:nsid w:val="60741A70"/>
    <w:multiLevelType w:val="singleLevel"/>
    <w:tmpl w:val="F7BC9EFC"/>
    <w:lvl w:ilvl="0">
      <w:start w:val="1"/>
      <w:numFmt w:val="lowerLetter"/>
      <w:lvlText w:val="(%1)"/>
      <w:legacy w:legacy="1" w:legacySpace="0" w:legacyIndent="450"/>
      <w:lvlJc w:val="left"/>
      <w:pPr>
        <w:ind w:left="360" w:hanging="450"/>
      </w:pPr>
    </w:lvl>
  </w:abstractNum>
  <w:abstractNum w:abstractNumId="10">
    <w:nsid w:val="66051D8A"/>
    <w:multiLevelType w:val="singleLevel"/>
    <w:tmpl w:val="F8961708"/>
    <w:lvl w:ilvl="0">
      <w:start w:val="2"/>
      <w:numFmt w:val="lowerLetter"/>
      <w:lvlText w:val="(%1)"/>
      <w:legacy w:legacy="1" w:legacySpace="0" w:legacyIndent="456"/>
      <w:lvlJc w:val="left"/>
      <w:pPr>
        <w:ind w:left="456" w:hanging="456"/>
      </w:pPr>
    </w:lvl>
  </w:abstractNum>
  <w:abstractNum w:abstractNumId="11">
    <w:nsid w:val="702630F6"/>
    <w:multiLevelType w:val="singleLevel"/>
    <w:tmpl w:val="F7BC9EFC"/>
    <w:lvl w:ilvl="0">
      <w:start w:val="1"/>
      <w:numFmt w:val="lowerLetter"/>
      <w:lvlText w:val="(%1)"/>
      <w:legacy w:legacy="1" w:legacySpace="0" w:legacyIndent="450"/>
      <w:lvlJc w:val="left"/>
      <w:pPr>
        <w:ind w:left="450" w:hanging="450"/>
      </w:pPr>
    </w:lvl>
  </w:abstractNum>
  <w:abstractNum w:abstractNumId="12">
    <w:nsid w:val="7C6872FA"/>
    <w:multiLevelType w:val="singleLevel"/>
    <w:tmpl w:val="524EEE64"/>
    <w:lvl w:ilvl="0">
      <w:start w:val="1"/>
      <w:numFmt w:val="lowerLetter"/>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2">
    <w:abstractNumId w:val="6"/>
  </w:num>
  <w:num w:numId="3">
    <w:abstractNumId w:val="12"/>
  </w:num>
  <w:num w:numId="4">
    <w:abstractNumId w:val="3"/>
  </w:num>
  <w:num w:numId="5">
    <w:abstractNumId w:val="4"/>
  </w:num>
  <w:num w:numId="6">
    <w:abstractNumId w:val="5"/>
  </w:num>
  <w:num w:numId="7">
    <w:abstractNumId w:val="8"/>
  </w:num>
  <w:num w:numId="8">
    <w:abstractNumId w:val="7"/>
  </w:num>
  <w:num w:numId="9">
    <w:abstractNumId w:val="0"/>
    <w:lvlOverride w:ilvl="0">
      <w:lvl w:ilvl="0">
        <w:start w:val="1"/>
        <w:numFmt w:val="bullet"/>
        <w:lvlText w:val=""/>
        <w:legacy w:legacy="1" w:legacySpace="0" w:legacyIndent="720"/>
        <w:lvlJc w:val="left"/>
        <w:pPr>
          <w:ind w:left="1080" w:hanging="720"/>
        </w:pPr>
        <w:rPr>
          <w:rFonts w:ascii="Symbol" w:hAnsi="Symbol" w:hint="default"/>
        </w:rPr>
      </w:lvl>
    </w:lvlOverride>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
  </w:num>
  <w:num w:numId="12">
    <w:abstractNumId w:val="9"/>
  </w:num>
  <w:num w:numId="13">
    <w:abstractNumId w:val="2"/>
  </w:num>
  <w:num w:numId="14">
    <w:abstractNumId w:val="10"/>
  </w:num>
  <w:num w:numId="15">
    <w:abstractNumId w:val="11"/>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3B"/>
    <w:rsid w:val="001F2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sz w:val="22"/>
    </w:rPr>
  </w:style>
  <w:style w:type="paragraph" w:styleId="Heading1">
    <w:name w:val="heading 1"/>
    <w:basedOn w:val="Normal"/>
    <w:next w:val="Normal"/>
    <w:qFormat/>
    <w:pPr>
      <w:keepNext/>
      <w:pBdr>
        <w:bottom w:val="single" w:sz="12" w:space="7" w:color="auto"/>
      </w:pBdr>
      <w:spacing w:before="1440" w:after="360"/>
      <w:outlineLvl w:val="0"/>
    </w:pPr>
    <w:rPr>
      <w:rFonts w:ascii="Arial" w:hAnsi="Arial"/>
      <w:b/>
      <w:kern w:val="28"/>
      <w:sz w:val="28"/>
    </w:rPr>
  </w:style>
  <w:style w:type="paragraph" w:styleId="Heading2">
    <w:name w:val="heading 2"/>
    <w:basedOn w:val="Normal"/>
    <w:next w:val="Normal"/>
    <w:qFormat/>
    <w:pPr>
      <w:keepNext/>
      <w:spacing w:before="360"/>
      <w:outlineLvl w:val="1"/>
    </w:pPr>
    <w:rPr>
      <w:rFonts w:ascii="Arial" w:hAnsi="Arial"/>
      <w:b/>
      <w:sz w:val="24"/>
    </w:rPr>
  </w:style>
  <w:style w:type="paragraph" w:styleId="Heading3">
    <w:name w:val="heading 3"/>
    <w:basedOn w:val="Normal"/>
    <w:next w:val="Normal"/>
    <w:qFormat/>
    <w:pPr>
      <w:keepNext/>
      <w:spacing w:before="240"/>
      <w:outlineLvl w:val="2"/>
    </w:pPr>
    <w:rPr>
      <w:rFonts w:ascii="Arial" w:hAnsi="Arial"/>
      <w:b/>
      <w:kern w:val="28"/>
    </w:rPr>
  </w:style>
  <w:style w:type="paragraph" w:styleId="Heading4">
    <w:name w:val="heading 4"/>
    <w:basedOn w:val="Normal"/>
    <w:next w:val="Normal"/>
    <w:qFormat/>
    <w:pPr>
      <w:keepNext/>
      <w:spacing w:before="240"/>
      <w:outlineLvl w:val="3"/>
    </w:pPr>
    <w:rPr>
      <w:rFonts w:ascii="Arial" w:hAnsi="Arial"/>
      <w:i/>
      <w:kern w:val="28"/>
      <w:lang w:val="en-US"/>
    </w:rPr>
  </w:style>
  <w:style w:type="paragraph" w:styleId="Heading5">
    <w:name w:val="heading 5"/>
    <w:basedOn w:val="Normal"/>
    <w:next w:val="Normal"/>
    <w:qFormat/>
    <w:pPr>
      <w:keepNext/>
      <w:spacing w:before="240" w:after="60"/>
      <w:jc w:val="left"/>
      <w:outlineLvl w:val="4"/>
    </w:pPr>
    <w:rPr>
      <w:rFonts w:ascii="Arial" w:hAnsi="Arial"/>
      <w:i/>
    </w:rPr>
  </w:style>
  <w:style w:type="paragraph" w:styleId="Heading6">
    <w:name w:val="heading 6"/>
    <w:basedOn w:val="Normal"/>
    <w:next w:val="Normal"/>
    <w:qFormat/>
    <w:pPr>
      <w:keepNext/>
      <w:ind w:right="-1440"/>
      <w:outlineLvl w:val="5"/>
    </w:pPr>
    <w:rPr>
      <w:i/>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ind w:left="360" w:hanging="360"/>
    </w:pPr>
    <w:rPr>
      <w:lang w:val="en-GB"/>
    </w:r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jc w:val="left"/>
    </w:pPr>
    <w:rPr>
      <w:i/>
      <w:sz w:val="18"/>
    </w:rPr>
  </w:style>
  <w:style w:type="paragraph" w:styleId="TOC1">
    <w:name w:val="toc 1"/>
    <w:basedOn w:val="Normal"/>
    <w:next w:val="Normal"/>
    <w:semiHidden/>
    <w:pPr>
      <w:tabs>
        <w:tab w:val="right" w:leader="dot" w:pos="7087"/>
      </w:tabs>
      <w:spacing w:before="120"/>
    </w:pPr>
    <w:rPr>
      <w:rFonts w:ascii="Arial" w:hAnsi="Arial"/>
      <w:b/>
      <w:sz w:val="20"/>
    </w:rPr>
  </w:style>
  <w:style w:type="paragraph" w:styleId="TOC2">
    <w:name w:val="toc 2"/>
    <w:basedOn w:val="Normal"/>
    <w:next w:val="Normal"/>
    <w:semiHidden/>
    <w:pPr>
      <w:tabs>
        <w:tab w:val="right" w:leader="dot" w:pos="7087"/>
      </w:tabs>
      <w:spacing w:after="60"/>
    </w:pPr>
    <w:rPr>
      <w:rFonts w:ascii="Arial" w:hAnsi="Arial"/>
      <w:sz w:val="18"/>
    </w:rPr>
  </w:style>
  <w:style w:type="paragraph" w:styleId="TOC3">
    <w:name w:val="toc 3"/>
    <w:basedOn w:val="Normal"/>
    <w:next w:val="Normal"/>
    <w:semiHidden/>
    <w:pPr>
      <w:tabs>
        <w:tab w:val="right" w:leader="dot" w:pos="7087"/>
      </w:tabs>
      <w:ind w:left="220"/>
    </w:pPr>
    <w:rPr>
      <w:rFonts w:ascii="Arial" w:hAnsi="Arial"/>
      <w:i/>
      <w:sz w:val="18"/>
    </w:rPr>
  </w:style>
  <w:style w:type="paragraph" w:customStyle="1" w:styleId="Tableheading">
    <w:name w:val="Table heading"/>
    <w:basedOn w:val="Normal"/>
    <w:pPr>
      <w:spacing w:before="240"/>
      <w:jc w:val="left"/>
    </w:pPr>
    <w:rPr>
      <w:rFonts w:ascii="Arial" w:hAnsi="Arial"/>
      <w:b/>
      <w:sz w:val="20"/>
    </w:rPr>
  </w:style>
  <w:style w:type="paragraph" w:customStyle="1" w:styleId="TableofContentsheading">
    <w:name w:val="Table of Contents heading"/>
    <w:basedOn w:val="Heading1"/>
    <w:next w:val="Normal"/>
    <w:pPr>
      <w:outlineLvl w:val="9"/>
    </w:p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spacing w:after="0"/>
      <w:jc w:val="right"/>
    </w:pPr>
    <w:rPr>
      <w:rFonts w:ascii="Arial" w:hAnsi="Arial"/>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styleId="Index1">
    <w:name w:val="index 1"/>
    <w:basedOn w:val="Normal"/>
    <w:next w:val="Normal"/>
    <w:semiHidden/>
    <w:pPr>
      <w:spacing w:after="0"/>
      <w:ind w:left="220" w:hanging="220"/>
      <w:jc w:val="left"/>
    </w:pPr>
    <w:rPr>
      <w:sz w:val="18"/>
    </w:rPr>
  </w:style>
  <w:style w:type="paragraph" w:customStyle="1" w:styleId="Tabletext">
    <w:name w:val="Table text"/>
    <w:basedOn w:val="TableofFigures"/>
    <w:pPr>
      <w:jc w:val="left"/>
    </w:pPr>
  </w:style>
  <w:style w:type="paragraph" w:customStyle="1" w:styleId="Tabletextheading">
    <w:name w:val="Table text heading"/>
    <w:basedOn w:val="TableofFigures"/>
    <w:rPr>
      <w:b/>
    </w:rPr>
  </w:style>
  <w:style w:type="paragraph" w:styleId="Index2">
    <w:name w:val="index 2"/>
    <w:basedOn w:val="Normal"/>
    <w:next w:val="Normal"/>
    <w:semiHidden/>
    <w:pPr>
      <w:spacing w:after="0"/>
      <w:ind w:left="440" w:hanging="220"/>
      <w:jc w:val="left"/>
    </w:pPr>
    <w:rPr>
      <w:sz w:val="18"/>
    </w:rPr>
  </w:style>
  <w:style w:type="paragraph" w:styleId="Index3">
    <w:name w:val="index 3"/>
    <w:basedOn w:val="Normal"/>
    <w:next w:val="Normal"/>
    <w:semiHidden/>
    <w:pPr>
      <w:spacing w:after="0"/>
      <w:ind w:left="660" w:hanging="220"/>
      <w:jc w:val="left"/>
    </w:pPr>
    <w:rPr>
      <w:sz w:val="18"/>
    </w:rPr>
  </w:style>
  <w:style w:type="paragraph" w:styleId="Index4">
    <w:name w:val="index 4"/>
    <w:basedOn w:val="Normal"/>
    <w:next w:val="Normal"/>
    <w:semiHidden/>
    <w:pPr>
      <w:spacing w:after="0"/>
      <w:ind w:left="880" w:hanging="220"/>
      <w:jc w:val="left"/>
    </w:pPr>
    <w:rPr>
      <w:sz w:val="18"/>
    </w:rPr>
  </w:style>
  <w:style w:type="paragraph" w:styleId="Index5">
    <w:name w:val="index 5"/>
    <w:basedOn w:val="Normal"/>
    <w:next w:val="Normal"/>
    <w:semiHidden/>
    <w:pPr>
      <w:spacing w:after="0"/>
      <w:ind w:left="1100" w:hanging="220"/>
      <w:jc w:val="left"/>
    </w:pPr>
    <w:rPr>
      <w:sz w:val="18"/>
    </w:rPr>
  </w:style>
  <w:style w:type="paragraph" w:styleId="Index6">
    <w:name w:val="index 6"/>
    <w:basedOn w:val="Normal"/>
    <w:next w:val="Normal"/>
    <w:semiHidden/>
    <w:pPr>
      <w:spacing w:after="0"/>
      <w:ind w:left="1320" w:hanging="220"/>
      <w:jc w:val="left"/>
    </w:pPr>
    <w:rPr>
      <w:sz w:val="18"/>
    </w:rPr>
  </w:style>
  <w:style w:type="paragraph" w:styleId="Index7">
    <w:name w:val="index 7"/>
    <w:basedOn w:val="Normal"/>
    <w:next w:val="Normal"/>
    <w:semiHidden/>
    <w:pPr>
      <w:spacing w:after="0"/>
      <w:ind w:left="1540" w:hanging="220"/>
      <w:jc w:val="left"/>
    </w:pPr>
    <w:rPr>
      <w:sz w:val="18"/>
    </w:rPr>
  </w:style>
  <w:style w:type="paragraph" w:styleId="Index8">
    <w:name w:val="index 8"/>
    <w:basedOn w:val="Normal"/>
    <w:next w:val="Normal"/>
    <w:semiHidden/>
    <w:pPr>
      <w:spacing w:after="0"/>
      <w:ind w:left="1760" w:hanging="220"/>
      <w:jc w:val="left"/>
    </w:pPr>
    <w:rPr>
      <w:sz w:val="18"/>
    </w:rPr>
  </w:style>
  <w:style w:type="paragraph" w:styleId="Index9">
    <w:name w:val="index 9"/>
    <w:basedOn w:val="Normal"/>
    <w:next w:val="Normal"/>
    <w:semiHidden/>
    <w:pPr>
      <w:spacing w:after="0"/>
      <w:ind w:left="1980" w:hanging="220"/>
      <w:jc w:val="left"/>
    </w:pPr>
    <w:rPr>
      <w:sz w:val="18"/>
    </w:rPr>
  </w:style>
  <w:style w:type="paragraph" w:styleId="IndexHeading">
    <w:name w:val="index heading"/>
    <w:basedOn w:val="Normal"/>
    <w:next w:val="Index1"/>
    <w:semiHidden/>
    <w:pPr>
      <w:spacing w:before="240"/>
      <w:jc w:val="center"/>
    </w:pPr>
    <w:rPr>
      <w:b/>
      <w:sz w:val="26"/>
    </w:rPr>
  </w:style>
  <w:style w:type="paragraph" w:customStyle="1" w:styleId="tabletextheading0">
    <w:name w:val="table text heading"/>
    <w:basedOn w:val="Normal"/>
    <w:pPr>
      <w:jc w:val="right"/>
    </w:pPr>
    <w:rPr>
      <w:rFonts w:ascii="Arial" w:hAnsi="Arial"/>
      <w:b/>
      <w:color w:val="000000"/>
      <w:sz w:val="18"/>
    </w:rPr>
  </w:style>
  <w:style w:type="paragraph" w:customStyle="1" w:styleId="chapterno">
    <w:name w:val="chapter no"/>
    <w:basedOn w:val="Normal"/>
    <w:pPr>
      <w:jc w:val="center"/>
    </w:pPr>
    <w:rPr>
      <w:b/>
      <w:caps/>
      <w:sz w:val="26"/>
      <w:lang w:val="en-GB"/>
    </w:rPr>
  </w:style>
  <w:style w:type="paragraph" w:customStyle="1" w:styleId="IntroductoryPoint2">
    <w:name w:val="Introductory Point 2"/>
    <w:basedOn w:val="IntroductoryPoint"/>
    <w:next w:val="Normal"/>
  </w:style>
  <w:style w:type="paragraph" w:customStyle="1" w:styleId="IntroductoryPoint">
    <w:name w:val="Introductory Point"/>
    <w:basedOn w:val="Normal"/>
    <w:pPr>
      <w:spacing w:before="120" w:after="60"/>
      <w:ind w:left="927" w:right="567" w:hanging="360"/>
    </w:pPr>
    <w:rPr>
      <w:rFonts w:ascii="Arial" w:hAnsi="Arial"/>
      <w:lang w:val="en-GB"/>
    </w:rPr>
  </w:style>
  <w:style w:type="paragraph" w:customStyle="1" w:styleId="chaptertitle">
    <w:name w:val="chapter title"/>
    <w:basedOn w:val="Normal"/>
    <w:pPr>
      <w:jc w:val="center"/>
    </w:pPr>
    <w:rPr>
      <w:b/>
      <w:caps/>
      <w:lang w:val="en-GB"/>
    </w:rPr>
  </w:style>
  <w:style w:type="paragraph" w:customStyle="1" w:styleId="level1">
    <w:name w:val="level 1"/>
    <w:basedOn w:val="Normal"/>
    <w:rPr>
      <w:b/>
      <w:lang w:val="en-GB"/>
    </w:rPr>
  </w:style>
  <w:style w:type="paragraph" w:customStyle="1" w:styleId="level2">
    <w:name w:val="level 2"/>
    <w:basedOn w:val="level1"/>
    <w:rPr>
      <w:i/>
    </w:rPr>
  </w:style>
  <w:style w:type="paragraph" w:customStyle="1" w:styleId="level3">
    <w:name w:val="level 3"/>
    <w:basedOn w:val="Normal"/>
    <w:rPr>
      <w:i/>
      <w:lang w:val="en-GB"/>
    </w:rPr>
  </w:style>
  <w:style w:type="paragraph" w:customStyle="1" w:styleId="Table1">
    <w:name w:val="Table 1"/>
    <w:basedOn w:val="Normal"/>
    <w:pPr>
      <w:jc w:val="left"/>
    </w:pPr>
    <w:rPr>
      <w:b/>
      <w:caps/>
      <w:color w:val="000000"/>
      <w:sz w:val="24"/>
      <w:lang w:val="en-GB"/>
    </w:rPr>
  </w:style>
  <w:style w:type="paragraph" w:customStyle="1" w:styleId="OPHeading1">
    <w:name w:val="O/PHeading1"/>
    <w:basedOn w:val="Normal"/>
    <w:next w:val="Normal"/>
    <w:pPr>
      <w:keepNext/>
      <w:spacing w:before="120" w:after="60"/>
      <w:jc w:val="left"/>
    </w:pPr>
    <w:rPr>
      <w:rFonts w:ascii="Arial" w:hAnsi="Arial"/>
      <w:b/>
      <w:sz w:val="18"/>
      <w:lang w:val="en-GB"/>
    </w:rPr>
  </w:style>
  <w:style w:type="paragraph" w:customStyle="1" w:styleId="dollars">
    <w:name w:val="dollars"/>
    <w:basedOn w:val="Notes"/>
    <w:pPr>
      <w:jc w:val="center"/>
    </w:pPr>
    <w:rPr>
      <w:rFonts w:ascii="Arial" w:hAnsi="Arial"/>
      <w:sz w:val="20"/>
      <w:lang w:val="en-GB"/>
    </w:rPr>
  </w:style>
  <w:style w:type="paragraph" w:customStyle="1" w:styleId="DotPoint">
    <w:name w:val="Dot Point"/>
    <w:basedOn w:val="Normal"/>
    <w:pPr>
      <w:spacing w:after="60"/>
      <w:ind w:left="360" w:hanging="360"/>
    </w:pPr>
    <w:rPr>
      <w:rFonts w:ascii="Arial" w:hAnsi="Arial"/>
      <w:sz w:val="18"/>
      <w:lang w:val="en-GB"/>
    </w:rPr>
  </w:style>
  <w:style w:type="paragraph" w:customStyle="1" w:styleId="Dot">
    <w:name w:val="Dot"/>
    <w:basedOn w:val="DotPoint"/>
    <w:pPr>
      <w:spacing w:after="120"/>
    </w:pPr>
    <w:rPr>
      <w:rFonts w:ascii="Times New Roman" w:hAnsi="Times New Roman"/>
      <w:sz w:val="22"/>
    </w:rPr>
  </w:style>
  <w:style w:type="paragraph" w:styleId="TOC4">
    <w:name w:val="toc 4"/>
    <w:basedOn w:val="Normal"/>
    <w:next w:val="Normal"/>
    <w:semiHidden/>
    <w:pPr>
      <w:ind w:left="660"/>
    </w:pPr>
  </w:style>
  <w:style w:type="paragraph" w:styleId="TOC5">
    <w:name w:val="toc 5"/>
    <w:basedOn w:val="Normal"/>
    <w:next w:val="Normal"/>
    <w:semiHidden/>
    <w:pPr>
      <w:ind w:left="880"/>
    </w:pPr>
  </w:style>
  <w:style w:type="paragraph" w:styleId="TOC6">
    <w:name w:val="toc 6"/>
    <w:basedOn w:val="Normal"/>
    <w:next w:val="Normal"/>
    <w:semiHidden/>
    <w:pPr>
      <w:ind w:left="1100"/>
    </w:pPr>
  </w:style>
  <w:style w:type="paragraph" w:styleId="TOC7">
    <w:name w:val="toc 7"/>
    <w:basedOn w:val="Normal"/>
    <w:next w:val="Normal"/>
    <w:semiHidden/>
    <w:pPr>
      <w:ind w:left="1320"/>
    </w:pPr>
  </w:style>
  <w:style w:type="paragraph" w:styleId="TOC8">
    <w:name w:val="toc 8"/>
    <w:basedOn w:val="Normal"/>
    <w:next w:val="Normal"/>
    <w:semiHidden/>
    <w:pPr>
      <w:ind w:left="1540"/>
    </w:pPr>
  </w:style>
  <w:style w:type="paragraph" w:styleId="TOC9">
    <w:name w:val="toc 9"/>
    <w:basedOn w:val="Normal"/>
    <w:next w:val="Normal"/>
    <w:semiHidden/>
    <w:pPr>
      <w:ind w:left="1760"/>
    </w:pPr>
  </w:style>
  <w:style w:type="character" w:styleId="Hyperlink">
    <w:name w:val="Hyperlink"/>
    <w:basedOn w:val="DefaultParagraphFont"/>
    <w:rPr>
      <w:color w:val="0000FF"/>
      <w:u w:val="single"/>
    </w:rPr>
  </w:style>
  <w:style w:type="paragraph" w:styleId="BodyText2">
    <w:name w:val="Body Text 2"/>
    <w:basedOn w:val="Normal"/>
    <w:pPr>
      <w:ind w:right="-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sz w:val="22"/>
    </w:rPr>
  </w:style>
  <w:style w:type="paragraph" w:styleId="Heading1">
    <w:name w:val="heading 1"/>
    <w:basedOn w:val="Normal"/>
    <w:next w:val="Normal"/>
    <w:qFormat/>
    <w:pPr>
      <w:keepNext/>
      <w:pBdr>
        <w:bottom w:val="single" w:sz="12" w:space="7" w:color="auto"/>
      </w:pBdr>
      <w:spacing w:before="1440" w:after="360"/>
      <w:outlineLvl w:val="0"/>
    </w:pPr>
    <w:rPr>
      <w:rFonts w:ascii="Arial" w:hAnsi="Arial"/>
      <w:b/>
      <w:kern w:val="28"/>
      <w:sz w:val="28"/>
    </w:rPr>
  </w:style>
  <w:style w:type="paragraph" w:styleId="Heading2">
    <w:name w:val="heading 2"/>
    <w:basedOn w:val="Normal"/>
    <w:next w:val="Normal"/>
    <w:qFormat/>
    <w:pPr>
      <w:keepNext/>
      <w:spacing w:before="360"/>
      <w:outlineLvl w:val="1"/>
    </w:pPr>
    <w:rPr>
      <w:rFonts w:ascii="Arial" w:hAnsi="Arial"/>
      <w:b/>
      <w:sz w:val="24"/>
    </w:rPr>
  </w:style>
  <w:style w:type="paragraph" w:styleId="Heading3">
    <w:name w:val="heading 3"/>
    <w:basedOn w:val="Normal"/>
    <w:next w:val="Normal"/>
    <w:qFormat/>
    <w:pPr>
      <w:keepNext/>
      <w:spacing w:before="240"/>
      <w:outlineLvl w:val="2"/>
    </w:pPr>
    <w:rPr>
      <w:rFonts w:ascii="Arial" w:hAnsi="Arial"/>
      <w:b/>
      <w:kern w:val="28"/>
    </w:rPr>
  </w:style>
  <w:style w:type="paragraph" w:styleId="Heading4">
    <w:name w:val="heading 4"/>
    <w:basedOn w:val="Normal"/>
    <w:next w:val="Normal"/>
    <w:qFormat/>
    <w:pPr>
      <w:keepNext/>
      <w:spacing w:before="240"/>
      <w:outlineLvl w:val="3"/>
    </w:pPr>
    <w:rPr>
      <w:rFonts w:ascii="Arial" w:hAnsi="Arial"/>
      <w:i/>
      <w:kern w:val="28"/>
      <w:lang w:val="en-US"/>
    </w:rPr>
  </w:style>
  <w:style w:type="paragraph" w:styleId="Heading5">
    <w:name w:val="heading 5"/>
    <w:basedOn w:val="Normal"/>
    <w:next w:val="Normal"/>
    <w:qFormat/>
    <w:pPr>
      <w:keepNext/>
      <w:spacing w:before="240" w:after="60"/>
      <w:jc w:val="left"/>
      <w:outlineLvl w:val="4"/>
    </w:pPr>
    <w:rPr>
      <w:rFonts w:ascii="Arial" w:hAnsi="Arial"/>
      <w:i/>
    </w:rPr>
  </w:style>
  <w:style w:type="paragraph" w:styleId="Heading6">
    <w:name w:val="heading 6"/>
    <w:basedOn w:val="Normal"/>
    <w:next w:val="Normal"/>
    <w:qFormat/>
    <w:pPr>
      <w:keepNext/>
      <w:ind w:right="-1440"/>
      <w:outlineLvl w:val="5"/>
    </w:pPr>
    <w:rPr>
      <w:i/>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ind w:left="360" w:hanging="360"/>
    </w:pPr>
    <w:rPr>
      <w:lang w:val="en-GB"/>
    </w:r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jc w:val="left"/>
    </w:pPr>
    <w:rPr>
      <w:i/>
      <w:sz w:val="18"/>
    </w:rPr>
  </w:style>
  <w:style w:type="paragraph" w:styleId="TOC1">
    <w:name w:val="toc 1"/>
    <w:basedOn w:val="Normal"/>
    <w:next w:val="Normal"/>
    <w:semiHidden/>
    <w:pPr>
      <w:tabs>
        <w:tab w:val="right" w:leader="dot" w:pos="7087"/>
      </w:tabs>
      <w:spacing w:before="120"/>
    </w:pPr>
    <w:rPr>
      <w:rFonts w:ascii="Arial" w:hAnsi="Arial"/>
      <w:b/>
      <w:sz w:val="20"/>
    </w:rPr>
  </w:style>
  <w:style w:type="paragraph" w:styleId="TOC2">
    <w:name w:val="toc 2"/>
    <w:basedOn w:val="Normal"/>
    <w:next w:val="Normal"/>
    <w:semiHidden/>
    <w:pPr>
      <w:tabs>
        <w:tab w:val="right" w:leader="dot" w:pos="7087"/>
      </w:tabs>
      <w:spacing w:after="60"/>
    </w:pPr>
    <w:rPr>
      <w:rFonts w:ascii="Arial" w:hAnsi="Arial"/>
      <w:sz w:val="18"/>
    </w:rPr>
  </w:style>
  <w:style w:type="paragraph" w:styleId="TOC3">
    <w:name w:val="toc 3"/>
    <w:basedOn w:val="Normal"/>
    <w:next w:val="Normal"/>
    <w:semiHidden/>
    <w:pPr>
      <w:tabs>
        <w:tab w:val="right" w:leader="dot" w:pos="7087"/>
      </w:tabs>
      <w:ind w:left="220"/>
    </w:pPr>
    <w:rPr>
      <w:rFonts w:ascii="Arial" w:hAnsi="Arial"/>
      <w:i/>
      <w:sz w:val="18"/>
    </w:rPr>
  </w:style>
  <w:style w:type="paragraph" w:customStyle="1" w:styleId="Tableheading">
    <w:name w:val="Table heading"/>
    <w:basedOn w:val="Normal"/>
    <w:pPr>
      <w:spacing w:before="240"/>
      <w:jc w:val="left"/>
    </w:pPr>
    <w:rPr>
      <w:rFonts w:ascii="Arial" w:hAnsi="Arial"/>
      <w:b/>
      <w:sz w:val="20"/>
    </w:rPr>
  </w:style>
  <w:style w:type="paragraph" w:customStyle="1" w:styleId="TableofContentsheading">
    <w:name w:val="Table of Contents heading"/>
    <w:basedOn w:val="Heading1"/>
    <w:next w:val="Normal"/>
    <w:pPr>
      <w:outlineLvl w:val="9"/>
    </w:p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spacing w:after="0"/>
      <w:jc w:val="right"/>
    </w:pPr>
    <w:rPr>
      <w:rFonts w:ascii="Arial" w:hAnsi="Arial"/>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styleId="Index1">
    <w:name w:val="index 1"/>
    <w:basedOn w:val="Normal"/>
    <w:next w:val="Normal"/>
    <w:semiHidden/>
    <w:pPr>
      <w:spacing w:after="0"/>
      <w:ind w:left="220" w:hanging="220"/>
      <w:jc w:val="left"/>
    </w:pPr>
    <w:rPr>
      <w:sz w:val="18"/>
    </w:rPr>
  </w:style>
  <w:style w:type="paragraph" w:customStyle="1" w:styleId="Tabletext">
    <w:name w:val="Table text"/>
    <w:basedOn w:val="TableofFigures"/>
    <w:pPr>
      <w:jc w:val="left"/>
    </w:pPr>
  </w:style>
  <w:style w:type="paragraph" w:customStyle="1" w:styleId="Tabletextheading">
    <w:name w:val="Table text heading"/>
    <w:basedOn w:val="TableofFigures"/>
    <w:rPr>
      <w:b/>
    </w:rPr>
  </w:style>
  <w:style w:type="paragraph" w:styleId="Index2">
    <w:name w:val="index 2"/>
    <w:basedOn w:val="Normal"/>
    <w:next w:val="Normal"/>
    <w:semiHidden/>
    <w:pPr>
      <w:spacing w:after="0"/>
      <w:ind w:left="440" w:hanging="220"/>
      <w:jc w:val="left"/>
    </w:pPr>
    <w:rPr>
      <w:sz w:val="18"/>
    </w:rPr>
  </w:style>
  <w:style w:type="paragraph" w:styleId="Index3">
    <w:name w:val="index 3"/>
    <w:basedOn w:val="Normal"/>
    <w:next w:val="Normal"/>
    <w:semiHidden/>
    <w:pPr>
      <w:spacing w:after="0"/>
      <w:ind w:left="660" w:hanging="220"/>
      <w:jc w:val="left"/>
    </w:pPr>
    <w:rPr>
      <w:sz w:val="18"/>
    </w:rPr>
  </w:style>
  <w:style w:type="paragraph" w:styleId="Index4">
    <w:name w:val="index 4"/>
    <w:basedOn w:val="Normal"/>
    <w:next w:val="Normal"/>
    <w:semiHidden/>
    <w:pPr>
      <w:spacing w:after="0"/>
      <w:ind w:left="880" w:hanging="220"/>
      <w:jc w:val="left"/>
    </w:pPr>
    <w:rPr>
      <w:sz w:val="18"/>
    </w:rPr>
  </w:style>
  <w:style w:type="paragraph" w:styleId="Index5">
    <w:name w:val="index 5"/>
    <w:basedOn w:val="Normal"/>
    <w:next w:val="Normal"/>
    <w:semiHidden/>
    <w:pPr>
      <w:spacing w:after="0"/>
      <w:ind w:left="1100" w:hanging="220"/>
      <w:jc w:val="left"/>
    </w:pPr>
    <w:rPr>
      <w:sz w:val="18"/>
    </w:rPr>
  </w:style>
  <w:style w:type="paragraph" w:styleId="Index6">
    <w:name w:val="index 6"/>
    <w:basedOn w:val="Normal"/>
    <w:next w:val="Normal"/>
    <w:semiHidden/>
    <w:pPr>
      <w:spacing w:after="0"/>
      <w:ind w:left="1320" w:hanging="220"/>
      <w:jc w:val="left"/>
    </w:pPr>
    <w:rPr>
      <w:sz w:val="18"/>
    </w:rPr>
  </w:style>
  <w:style w:type="paragraph" w:styleId="Index7">
    <w:name w:val="index 7"/>
    <w:basedOn w:val="Normal"/>
    <w:next w:val="Normal"/>
    <w:semiHidden/>
    <w:pPr>
      <w:spacing w:after="0"/>
      <w:ind w:left="1540" w:hanging="220"/>
      <w:jc w:val="left"/>
    </w:pPr>
    <w:rPr>
      <w:sz w:val="18"/>
    </w:rPr>
  </w:style>
  <w:style w:type="paragraph" w:styleId="Index8">
    <w:name w:val="index 8"/>
    <w:basedOn w:val="Normal"/>
    <w:next w:val="Normal"/>
    <w:semiHidden/>
    <w:pPr>
      <w:spacing w:after="0"/>
      <w:ind w:left="1760" w:hanging="220"/>
      <w:jc w:val="left"/>
    </w:pPr>
    <w:rPr>
      <w:sz w:val="18"/>
    </w:rPr>
  </w:style>
  <w:style w:type="paragraph" w:styleId="Index9">
    <w:name w:val="index 9"/>
    <w:basedOn w:val="Normal"/>
    <w:next w:val="Normal"/>
    <w:semiHidden/>
    <w:pPr>
      <w:spacing w:after="0"/>
      <w:ind w:left="1980" w:hanging="220"/>
      <w:jc w:val="left"/>
    </w:pPr>
    <w:rPr>
      <w:sz w:val="18"/>
    </w:rPr>
  </w:style>
  <w:style w:type="paragraph" w:styleId="IndexHeading">
    <w:name w:val="index heading"/>
    <w:basedOn w:val="Normal"/>
    <w:next w:val="Index1"/>
    <w:semiHidden/>
    <w:pPr>
      <w:spacing w:before="240"/>
      <w:jc w:val="center"/>
    </w:pPr>
    <w:rPr>
      <w:b/>
      <w:sz w:val="26"/>
    </w:rPr>
  </w:style>
  <w:style w:type="paragraph" w:customStyle="1" w:styleId="tabletextheading0">
    <w:name w:val="table text heading"/>
    <w:basedOn w:val="Normal"/>
    <w:pPr>
      <w:jc w:val="right"/>
    </w:pPr>
    <w:rPr>
      <w:rFonts w:ascii="Arial" w:hAnsi="Arial"/>
      <w:b/>
      <w:color w:val="000000"/>
      <w:sz w:val="18"/>
    </w:rPr>
  </w:style>
  <w:style w:type="paragraph" w:customStyle="1" w:styleId="chapterno">
    <w:name w:val="chapter no"/>
    <w:basedOn w:val="Normal"/>
    <w:pPr>
      <w:jc w:val="center"/>
    </w:pPr>
    <w:rPr>
      <w:b/>
      <w:caps/>
      <w:sz w:val="26"/>
      <w:lang w:val="en-GB"/>
    </w:rPr>
  </w:style>
  <w:style w:type="paragraph" w:customStyle="1" w:styleId="IntroductoryPoint2">
    <w:name w:val="Introductory Point 2"/>
    <w:basedOn w:val="IntroductoryPoint"/>
    <w:next w:val="Normal"/>
  </w:style>
  <w:style w:type="paragraph" w:customStyle="1" w:styleId="IntroductoryPoint">
    <w:name w:val="Introductory Point"/>
    <w:basedOn w:val="Normal"/>
    <w:pPr>
      <w:spacing w:before="120" w:after="60"/>
      <w:ind w:left="927" w:right="567" w:hanging="360"/>
    </w:pPr>
    <w:rPr>
      <w:rFonts w:ascii="Arial" w:hAnsi="Arial"/>
      <w:lang w:val="en-GB"/>
    </w:rPr>
  </w:style>
  <w:style w:type="paragraph" w:customStyle="1" w:styleId="chaptertitle">
    <w:name w:val="chapter title"/>
    <w:basedOn w:val="Normal"/>
    <w:pPr>
      <w:jc w:val="center"/>
    </w:pPr>
    <w:rPr>
      <w:b/>
      <w:caps/>
      <w:lang w:val="en-GB"/>
    </w:rPr>
  </w:style>
  <w:style w:type="paragraph" w:customStyle="1" w:styleId="level1">
    <w:name w:val="level 1"/>
    <w:basedOn w:val="Normal"/>
    <w:rPr>
      <w:b/>
      <w:lang w:val="en-GB"/>
    </w:rPr>
  </w:style>
  <w:style w:type="paragraph" w:customStyle="1" w:styleId="level2">
    <w:name w:val="level 2"/>
    <w:basedOn w:val="level1"/>
    <w:rPr>
      <w:i/>
    </w:rPr>
  </w:style>
  <w:style w:type="paragraph" w:customStyle="1" w:styleId="level3">
    <w:name w:val="level 3"/>
    <w:basedOn w:val="Normal"/>
    <w:rPr>
      <w:i/>
      <w:lang w:val="en-GB"/>
    </w:rPr>
  </w:style>
  <w:style w:type="paragraph" w:customStyle="1" w:styleId="Table1">
    <w:name w:val="Table 1"/>
    <w:basedOn w:val="Normal"/>
    <w:pPr>
      <w:jc w:val="left"/>
    </w:pPr>
    <w:rPr>
      <w:b/>
      <w:caps/>
      <w:color w:val="000000"/>
      <w:sz w:val="24"/>
      <w:lang w:val="en-GB"/>
    </w:rPr>
  </w:style>
  <w:style w:type="paragraph" w:customStyle="1" w:styleId="OPHeading1">
    <w:name w:val="O/PHeading1"/>
    <w:basedOn w:val="Normal"/>
    <w:next w:val="Normal"/>
    <w:pPr>
      <w:keepNext/>
      <w:spacing w:before="120" w:after="60"/>
      <w:jc w:val="left"/>
    </w:pPr>
    <w:rPr>
      <w:rFonts w:ascii="Arial" w:hAnsi="Arial"/>
      <w:b/>
      <w:sz w:val="18"/>
      <w:lang w:val="en-GB"/>
    </w:rPr>
  </w:style>
  <w:style w:type="paragraph" w:customStyle="1" w:styleId="dollars">
    <w:name w:val="dollars"/>
    <w:basedOn w:val="Notes"/>
    <w:pPr>
      <w:jc w:val="center"/>
    </w:pPr>
    <w:rPr>
      <w:rFonts w:ascii="Arial" w:hAnsi="Arial"/>
      <w:sz w:val="20"/>
      <w:lang w:val="en-GB"/>
    </w:rPr>
  </w:style>
  <w:style w:type="paragraph" w:customStyle="1" w:styleId="DotPoint">
    <w:name w:val="Dot Point"/>
    <w:basedOn w:val="Normal"/>
    <w:pPr>
      <w:spacing w:after="60"/>
      <w:ind w:left="360" w:hanging="360"/>
    </w:pPr>
    <w:rPr>
      <w:rFonts w:ascii="Arial" w:hAnsi="Arial"/>
      <w:sz w:val="18"/>
      <w:lang w:val="en-GB"/>
    </w:rPr>
  </w:style>
  <w:style w:type="paragraph" w:customStyle="1" w:styleId="Dot">
    <w:name w:val="Dot"/>
    <w:basedOn w:val="DotPoint"/>
    <w:pPr>
      <w:spacing w:after="120"/>
    </w:pPr>
    <w:rPr>
      <w:rFonts w:ascii="Times New Roman" w:hAnsi="Times New Roman"/>
      <w:sz w:val="22"/>
    </w:rPr>
  </w:style>
  <w:style w:type="paragraph" w:styleId="TOC4">
    <w:name w:val="toc 4"/>
    <w:basedOn w:val="Normal"/>
    <w:next w:val="Normal"/>
    <w:semiHidden/>
    <w:pPr>
      <w:ind w:left="660"/>
    </w:pPr>
  </w:style>
  <w:style w:type="paragraph" w:styleId="TOC5">
    <w:name w:val="toc 5"/>
    <w:basedOn w:val="Normal"/>
    <w:next w:val="Normal"/>
    <w:semiHidden/>
    <w:pPr>
      <w:ind w:left="880"/>
    </w:pPr>
  </w:style>
  <w:style w:type="paragraph" w:styleId="TOC6">
    <w:name w:val="toc 6"/>
    <w:basedOn w:val="Normal"/>
    <w:next w:val="Normal"/>
    <w:semiHidden/>
    <w:pPr>
      <w:ind w:left="1100"/>
    </w:pPr>
  </w:style>
  <w:style w:type="paragraph" w:styleId="TOC7">
    <w:name w:val="toc 7"/>
    <w:basedOn w:val="Normal"/>
    <w:next w:val="Normal"/>
    <w:semiHidden/>
    <w:pPr>
      <w:ind w:left="1320"/>
    </w:pPr>
  </w:style>
  <w:style w:type="paragraph" w:styleId="TOC8">
    <w:name w:val="toc 8"/>
    <w:basedOn w:val="Normal"/>
    <w:next w:val="Normal"/>
    <w:semiHidden/>
    <w:pPr>
      <w:ind w:left="1540"/>
    </w:pPr>
  </w:style>
  <w:style w:type="paragraph" w:styleId="TOC9">
    <w:name w:val="toc 9"/>
    <w:basedOn w:val="Normal"/>
    <w:next w:val="Normal"/>
    <w:semiHidden/>
    <w:pPr>
      <w:ind w:left="1760"/>
    </w:pPr>
  </w:style>
  <w:style w:type="character" w:styleId="Hyperlink">
    <w:name w:val="Hyperlink"/>
    <w:basedOn w:val="DefaultParagraphFont"/>
    <w:rPr>
      <w:color w:val="0000FF"/>
      <w:u w:val="single"/>
    </w:rPr>
  </w:style>
  <w:style w:type="paragraph" w:styleId="BodyText2">
    <w:name w:val="Body Text 2"/>
    <w:basedOn w:val="Normal"/>
    <w:pPr>
      <w:ind w:right="-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xml"/><Relationship Id="rId117" Type="http://schemas.openxmlformats.org/officeDocument/2006/relationships/footer" Target="footer47.xml"/><Relationship Id="rId21" Type="http://schemas.openxmlformats.org/officeDocument/2006/relationships/footer" Target="footer9.xml"/><Relationship Id="rId42" Type="http://schemas.openxmlformats.org/officeDocument/2006/relationships/footer" Target="footer15.xml"/><Relationship Id="rId47" Type="http://schemas.openxmlformats.org/officeDocument/2006/relationships/footer" Target="footer18.xml"/><Relationship Id="rId63" Type="http://schemas.openxmlformats.org/officeDocument/2006/relationships/image" Target="media/image22.wmf"/><Relationship Id="rId68" Type="http://schemas.openxmlformats.org/officeDocument/2006/relationships/image" Target="media/image27.wmf"/><Relationship Id="rId84" Type="http://schemas.openxmlformats.org/officeDocument/2006/relationships/image" Target="media/image37.wmf"/><Relationship Id="rId89" Type="http://schemas.openxmlformats.org/officeDocument/2006/relationships/footer" Target="footer29.xml"/><Relationship Id="rId112" Type="http://schemas.openxmlformats.org/officeDocument/2006/relationships/footer" Target="footer45.xml"/><Relationship Id="rId16" Type="http://schemas.openxmlformats.org/officeDocument/2006/relationships/header" Target="header2.xml"/><Relationship Id="rId107" Type="http://schemas.openxmlformats.org/officeDocument/2006/relationships/footer" Target="footer41.xml"/><Relationship Id="rId11" Type="http://schemas.openxmlformats.org/officeDocument/2006/relationships/footer" Target="footer2.xml"/><Relationship Id="rId24" Type="http://schemas.openxmlformats.org/officeDocument/2006/relationships/image" Target="media/image2.wmf"/><Relationship Id="rId32" Type="http://schemas.openxmlformats.org/officeDocument/2006/relationships/image" Target="media/image9.wmf"/><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footer" Target="footer17.xml"/><Relationship Id="rId53" Type="http://schemas.openxmlformats.org/officeDocument/2006/relationships/image" Target="media/image16.wmf"/><Relationship Id="rId58" Type="http://schemas.openxmlformats.org/officeDocument/2006/relationships/footer" Target="footer23.xml"/><Relationship Id="rId66" Type="http://schemas.openxmlformats.org/officeDocument/2006/relationships/image" Target="media/image25.wmf"/><Relationship Id="rId74" Type="http://schemas.openxmlformats.org/officeDocument/2006/relationships/header" Target="header11.xml"/><Relationship Id="rId79" Type="http://schemas.openxmlformats.org/officeDocument/2006/relationships/image" Target="media/image32.wmf"/><Relationship Id="rId87" Type="http://schemas.openxmlformats.org/officeDocument/2006/relationships/header" Target="header12.xml"/><Relationship Id="rId102" Type="http://schemas.openxmlformats.org/officeDocument/2006/relationships/footer" Target="footer37.xml"/><Relationship Id="rId110" Type="http://schemas.openxmlformats.org/officeDocument/2006/relationships/header" Target="header14.xml"/><Relationship Id="rId115" Type="http://schemas.openxmlformats.org/officeDocument/2006/relationships/footer" Target="footer46.xml"/><Relationship Id="rId5" Type="http://schemas.openxmlformats.org/officeDocument/2006/relationships/webSettings" Target="webSettings.xml"/><Relationship Id="rId61" Type="http://schemas.openxmlformats.org/officeDocument/2006/relationships/image" Target="media/image20.wmf"/><Relationship Id="rId82" Type="http://schemas.openxmlformats.org/officeDocument/2006/relationships/image" Target="media/image35.wmf"/><Relationship Id="rId90" Type="http://schemas.openxmlformats.org/officeDocument/2006/relationships/image" Target="media/image40.wmf"/><Relationship Id="rId95" Type="http://schemas.openxmlformats.org/officeDocument/2006/relationships/footer" Target="footer33.xml"/><Relationship Id="rId19" Type="http://schemas.openxmlformats.org/officeDocument/2006/relationships/footer" Target="footer7.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header" Target="header4.xml"/><Relationship Id="rId43" Type="http://schemas.openxmlformats.org/officeDocument/2006/relationships/header" Target="header8.xml"/><Relationship Id="rId48" Type="http://schemas.openxmlformats.org/officeDocument/2006/relationships/footer" Target="footer19.xml"/><Relationship Id="rId56" Type="http://schemas.openxmlformats.org/officeDocument/2006/relationships/footer" Target="footer21.xml"/><Relationship Id="rId64" Type="http://schemas.openxmlformats.org/officeDocument/2006/relationships/image" Target="media/image23.wmf"/><Relationship Id="rId69" Type="http://schemas.openxmlformats.org/officeDocument/2006/relationships/image" Target="media/image28.wmf"/><Relationship Id="rId77" Type="http://schemas.openxmlformats.org/officeDocument/2006/relationships/image" Target="media/image30.wmf"/><Relationship Id="rId100" Type="http://schemas.openxmlformats.org/officeDocument/2006/relationships/footer" Target="footer35.xml"/><Relationship Id="rId105" Type="http://schemas.openxmlformats.org/officeDocument/2006/relationships/footer" Target="footer39.xml"/><Relationship Id="rId113" Type="http://schemas.openxmlformats.org/officeDocument/2006/relationships/header" Target="header15.xml"/><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14.wmf"/><Relationship Id="rId72" Type="http://schemas.openxmlformats.org/officeDocument/2006/relationships/footer" Target="footer24.xml"/><Relationship Id="rId80" Type="http://schemas.openxmlformats.org/officeDocument/2006/relationships/image" Target="media/image33.wmf"/><Relationship Id="rId85" Type="http://schemas.openxmlformats.org/officeDocument/2006/relationships/image" Target="media/image38.wmf"/><Relationship Id="rId93" Type="http://schemas.openxmlformats.org/officeDocument/2006/relationships/footer" Target="footer31.xml"/><Relationship Id="rId98" Type="http://schemas.openxmlformats.org/officeDocument/2006/relationships/image" Target="media/image43.wmf"/><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image" Target="media/image3.wmf"/><Relationship Id="rId33" Type="http://schemas.openxmlformats.org/officeDocument/2006/relationships/image" Target="media/image10.wmf"/><Relationship Id="rId38" Type="http://schemas.openxmlformats.org/officeDocument/2006/relationships/footer" Target="footer13.xml"/><Relationship Id="rId46" Type="http://schemas.openxmlformats.org/officeDocument/2006/relationships/header" Target="header9.xml"/><Relationship Id="rId59" Type="http://schemas.openxmlformats.org/officeDocument/2006/relationships/image" Target="media/image18.wmf"/><Relationship Id="rId67" Type="http://schemas.openxmlformats.org/officeDocument/2006/relationships/image" Target="media/image26.wmf"/><Relationship Id="rId103" Type="http://schemas.openxmlformats.org/officeDocument/2006/relationships/header" Target="header13.xml"/><Relationship Id="rId108" Type="http://schemas.openxmlformats.org/officeDocument/2006/relationships/footer" Target="footer42.xml"/><Relationship Id="rId116" Type="http://schemas.openxmlformats.org/officeDocument/2006/relationships/header" Target="header17.xml"/><Relationship Id="rId20" Type="http://schemas.openxmlformats.org/officeDocument/2006/relationships/footer" Target="footer8.xml"/><Relationship Id="rId41" Type="http://schemas.openxmlformats.org/officeDocument/2006/relationships/footer" Target="footer14.xml"/><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footer" Target="footer26.xml"/><Relationship Id="rId83" Type="http://schemas.openxmlformats.org/officeDocument/2006/relationships/image" Target="media/image36.wmf"/><Relationship Id="rId88" Type="http://schemas.openxmlformats.org/officeDocument/2006/relationships/footer" Target="footer28.xml"/><Relationship Id="rId91" Type="http://schemas.openxmlformats.org/officeDocument/2006/relationships/oleObject" Target="embeddings/oleObject2.bin"/><Relationship Id="rId96" Type="http://schemas.openxmlformats.org/officeDocument/2006/relationships/image" Target="media/image41.wmf"/><Relationship Id="rId111" Type="http://schemas.openxmlformats.org/officeDocument/2006/relationships/footer" Target="footer4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image" Target="media/image5.wmf"/><Relationship Id="rId36" Type="http://schemas.openxmlformats.org/officeDocument/2006/relationships/footer" Target="footer12.xml"/><Relationship Id="rId49" Type="http://schemas.openxmlformats.org/officeDocument/2006/relationships/image" Target="media/image12.wmf"/><Relationship Id="rId57" Type="http://schemas.openxmlformats.org/officeDocument/2006/relationships/footer" Target="footer22.xml"/><Relationship Id="rId106" Type="http://schemas.openxmlformats.org/officeDocument/2006/relationships/footer" Target="footer40.xml"/><Relationship Id="rId114" Type="http://schemas.openxmlformats.org/officeDocument/2006/relationships/header" Target="header16.xml"/><Relationship Id="rId11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8.wmf"/><Relationship Id="rId44" Type="http://schemas.openxmlformats.org/officeDocument/2006/relationships/footer" Target="footer16.xml"/><Relationship Id="rId52" Type="http://schemas.openxmlformats.org/officeDocument/2006/relationships/image" Target="media/image15.wmf"/><Relationship Id="rId60" Type="http://schemas.openxmlformats.org/officeDocument/2006/relationships/image" Target="media/image19.wmf"/><Relationship Id="rId65" Type="http://schemas.openxmlformats.org/officeDocument/2006/relationships/image" Target="media/image24.wmf"/><Relationship Id="rId73" Type="http://schemas.openxmlformats.org/officeDocument/2006/relationships/footer" Target="footer25.xml"/><Relationship Id="rId78" Type="http://schemas.openxmlformats.org/officeDocument/2006/relationships/image" Target="media/image31.wmf"/><Relationship Id="rId81" Type="http://schemas.openxmlformats.org/officeDocument/2006/relationships/image" Target="media/image34.wmf"/><Relationship Id="rId86" Type="http://schemas.openxmlformats.org/officeDocument/2006/relationships/image" Target="media/image39.wmf"/><Relationship Id="rId94" Type="http://schemas.openxmlformats.org/officeDocument/2006/relationships/footer" Target="footer32.xml"/><Relationship Id="rId99" Type="http://schemas.openxmlformats.org/officeDocument/2006/relationships/footer" Target="footer34.xml"/><Relationship Id="rId101"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6.xml"/><Relationship Id="rId39" Type="http://schemas.openxmlformats.org/officeDocument/2006/relationships/header" Target="header6.xml"/><Relationship Id="rId109" Type="http://schemas.openxmlformats.org/officeDocument/2006/relationships/footer" Target="footer43.xml"/><Relationship Id="rId34" Type="http://schemas.openxmlformats.org/officeDocument/2006/relationships/image" Target="media/image11.wmf"/><Relationship Id="rId50" Type="http://schemas.openxmlformats.org/officeDocument/2006/relationships/image" Target="media/image13.wmf"/><Relationship Id="rId55" Type="http://schemas.openxmlformats.org/officeDocument/2006/relationships/footer" Target="footer20.xml"/><Relationship Id="rId76" Type="http://schemas.openxmlformats.org/officeDocument/2006/relationships/footer" Target="footer27.xml"/><Relationship Id="rId97" Type="http://schemas.openxmlformats.org/officeDocument/2006/relationships/image" Target="media/image42.wmf"/><Relationship Id="rId104" Type="http://schemas.openxmlformats.org/officeDocument/2006/relationships/footer" Target="footer38.xml"/><Relationship Id="rId7" Type="http://schemas.openxmlformats.org/officeDocument/2006/relationships/endnotes" Target="endnotes.xml"/><Relationship Id="rId71" Type="http://schemas.openxmlformats.org/officeDocument/2006/relationships/header" Target="header10.xml"/><Relationship Id="rId92" Type="http://schemas.openxmlformats.org/officeDocument/2006/relationships/footer" Target="footer30.xml"/><Relationship Id="rId2" Type="http://schemas.openxmlformats.org/officeDocument/2006/relationships/styles" Target="styles.xml"/><Relationship Id="rId29" Type="http://schemas.openxmlformats.org/officeDocument/2006/relationships/image" Target="media/image6.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roundedCorners val="1"/>
  <c:style val="2"/>
  <c:chart>
    <c:autoTitleDeleted val="1"/>
    <c:plotArea>
      <c:layout>
        <c:manualLayout>
          <c:layoutTarget val="inner"/>
          <c:xMode val="edge"/>
          <c:yMode val="edge"/>
          <c:x val="0.35856573705179284"/>
          <c:y val="0.22279792746113988"/>
          <c:w val="0.30942895086321381"/>
          <c:h val="0.60362694300518138"/>
        </c:manualLayout>
      </c:layout>
      <c:pieChart>
        <c:varyColors val="1"/>
        <c:ser>
          <c:idx val="0"/>
          <c:order val="0"/>
          <c:tx>
            <c:strRef>
              <c:f>DATA!$B$1</c:f>
              <c:strCache>
                <c:ptCount val="1"/>
                <c:pt idx="0">
                  <c:v>1991-92</c:v>
                </c:pt>
              </c:strCache>
            </c:strRef>
          </c:tx>
          <c:spPr>
            <a:solidFill>
              <a:srgbClr val="8080FF"/>
            </a:solidFill>
            <a:ln w="6991">
              <a:solidFill>
                <a:srgbClr val="000000"/>
              </a:solidFill>
              <a:prstDash val="solid"/>
            </a:ln>
          </c:spPr>
          <c:dPt>
            <c:idx val="0"/>
            <c:bubble3D val="0"/>
          </c:dPt>
          <c:dPt>
            <c:idx val="1"/>
            <c:bubble3D val="0"/>
            <c:spPr>
              <a:solidFill>
                <a:srgbClr val="802060"/>
              </a:solidFill>
              <a:ln w="6991">
                <a:solidFill>
                  <a:srgbClr val="000000"/>
                </a:solidFill>
                <a:prstDash val="solid"/>
              </a:ln>
            </c:spPr>
          </c:dPt>
          <c:dPt>
            <c:idx val="2"/>
            <c:bubble3D val="0"/>
            <c:explosion val="7"/>
            <c:spPr>
              <a:solidFill>
                <a:srgbClr val="FFFFC0"/>
              </a:solidFill>
              <a:ln w="6991">
                <a:solidFill>
                  <a:srgbClr val="000000"/>
                </a:solidFill>
                <a:prstDash val="solid"/>
              </a:ln>
            </c:spPr>
          </c:dPt>
          <c:dPt>
            <c:idx val="3"/>
            <c:bubble3D val="0"/>
            <c:spPr>
              <a:solidFill>
                <a:srgbClr val="A0E0E0"/>
              </a:solidFill>
              <a:ln w="6991">
                <a:solidFill>
                  <a:srgbClr val="000000"/>
                </a:solidFill>
                <a:prstDash val="solid"/>
              </a:ln>
            </c:spPr>
          </c:dPt>
          <c:dPt>
            <c:idx val="4"/>
            <c:bubble3D val="0"/>
            <c:explosion val="8"/>
            <c:spPr>
              <a:solidFill>
                <a:srgbClr val="600080"/>
              </a:solidFill>
              <a:ln w="6991">
                <a:solidFill>
                  <a:srgbClr val="000000"/>
                </a:solidFill>
                <a:prstDash val="solid"/>
              </a:ln>
            </c:spPr>
          </c:dPt>
          <c:dPt>
            <c:idx val="5"/>
            <c:bubble3D val="0"/>
            <c:spPr>
              <a:solidFill>
                <a:srgbClr val="FF8080"/>
              </a:solidFill>
              <a:ln w="6991">
                <a:solidFill>
                  <a:srgbClr val="000000"/>
                </a:solidFill>
                <a:prstDash val="solid"/>
              </a:ln>
            </c:spPr>
          </c:dPt>
          <c:dLbls>
            <c:numFmt formatCode="0%" sourceLinked="0"/>
            <c:spPr>
              <a:noFill/>
              <a:ln w="13982">
                <a:noFill/>
              </a:ln>
            </c:spPr>
            <c:txPr>
              <a:bodyPr/>
              <a:lstStyle/>
              <a:p>
                <a:pPr>
                  <a:defRPr sz="495" b="0" i="0" u="none" strike="noStrike" baseline="0">
                    <a:solidFill>
                      <a:srgbClr val="000000"/>
                    </a:solidFill>
                    <a:latin typeface="Arial"/>
                    <a:ea typeface="Arial"/>
                    <a:cs typeface="Arial"/>
                  </a:defRPr>
                </a:pPr>
                <a:endParaRPr lang="en-US"/>
              </a:p>
            </c:txPr>
            <c:dLblPos val="outEnd"/>
            <c:showLegendKey val="1"/>
            <c:showVal val="1"/>
            <c:showCatName val="1"/>
            <c:showSerName val="1"/>
            <c:showPercent val="1"/>
            <c:showBubbleSize val="1"/>
            <c:showLeaderLines val="1"/>
          </c:dLbls>
          <c:cat>
            <c:strRef>
              <c:f>DATA!$A$2:$A$7</c:f>
              <c:strCache>
                <c:ptCount val="6"/>
                <c:pt idx="0">
                  <c:v>Public Order and Safety</c:v>
                </c:pt>
                <c:pt idx="1">
                  <c:v>Education - excluding Universities</c:v>
                </c:pt>
                <c:pt idx="2">
                  <c:v>Health, Social Security and Welfare</c:v>
                </c:pt>
                <c:pt idx="3">
                  <c:v>Transport and Communications</c:v>
                </c:pt>
                <c:pt idx="4">
                  <c:v>Public debt</c:v>
                </c:pt>
                <c:pt idx="5">
                  <c:v>All Other</c:v>
                </c:pt>
              </c:strCache>
            </c:strRef>
          </c:cat>
          <c:val>
            <c:numRef>
              <c:f>DATA!$B$2:$B$7</c:f>
              <c:numCache>
                <c:formatCode>0.00</c:formatCode>
                <c:ptCount val="6"/>
                <c:pt idx="0">
                  <c:v>6.9425801640566744</c:v>
                </c:pt>
                <c:pt idx="1">
                  <c:v>26.055182699478003</c:v>
                </c:pt>
                <c:pt idx="2">
                  <c:v>26.249067859806114</c:v>
                </c:pt>
                <c:pt idx="3">
                  <c:v>8.5384041759880684</c:v>
                </c:pt>
                <c:pt idx="4">
                  <c:v>13.758389261744966</c:v>
                </c:pt>
                <c:pt idx="5">
                  <c:v>18.456375838926174</c:v>
                </c:pt>
              </c:numCache>
            </c:numRef>
          </c:val>
        </c:ser>
        <c:dLbls>
          <c:showLegendKey val="1"/>
          <c:showVal val="1"/>
          <c:showCatName val="1"/>
          <c:showSerName val="1"/>
          <c:showPercent val="1"/>
          <c:showBubbleSize val="1"/>
          <c:showLeaderLines val="1"/>
        </c:dLbls>
        <c:firstSliceAng val="0"/>
      </c:pieChart>
      <c:spPr>
        <a:noFill/>
        <a:ln w="13982">
          <a:noFill/>
        </a:ln>
      </c:spPr>
    </c:plotArea>
    <c:plotVisOnly val="1"/>
    <c:dispBlanksAs val="zero"/>
    <c:showDLblsOverMax val="1"/>
  </c:chart>
  <c:spPr>
    <a:noFill/>
    <a:ln w="1748">
      <a:solidFill>
        <a:srgbClr val="000000"/>
      </a:solidFill>
      <a:prstDash val="solid"/>
    </a:ln>
  </c:spPr>
  <c:txPr>
    <a:bodyPr/>
    <a:lstStyle/>
    <a:p>
      <a:pPr>
        <a:defRPr sz="44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A7F548E1.dotm</Template>
  <TotalTime>0</TotalTime>
  <Pages>51</Pages>
  <Words>62308</Words>
  <Characters>355159</Characters>
  <Application>Microsoft Office Word</Application>
  <DocSecurity>0</DocSecurity>
  <Lines>2959</Lines>
  <Paragraphs>833</Paragraphs>
  <ScaleCrop>false</ScaleCrop>
  <HeadingPairs>
    <vt:vector size="2" baseType="variant">
      <vt:variant>
        <vt:lpstr>Title</vt:lpstr>
      </vt:variant>
      <vt:variant>
        <vt:i4>1</vt:i4>
      </vt:variant>
    </vt:vector>
  </HeadingPairs>
  <TitlesOfParts>
    <vt:vector size="1" baseType="lpstr">
      <vt:lpstr>Budget Statement</vt:lpstr>
    </vt:vector>
  </TitlesOfParts>
  <Company>Treasury Precinct</Company>
  <LinksUpToDate>false</LinksUpToDate>
  <CharactersWithSpaces>416634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Statement</dc:title>
  <dc:subject/>
  <dc:creator>Deidre Steain</dc:creator>
  <cp:keywords/>
  <dc:description/>
  <cp:lastModifiedBy>Leigh Anzelark</cp:lastModifiedBy>
  <cp:revision>2</cp:revision>
  <cp:lastPrinted>1998-04-18T09:07:00Z</cp:lastPrinted>
  <dcterms:created xsi:type="dcterms:W3CDTF">2015-01-15T06:59:00Z</dcterms:created>
  <dcterms:modified xsi:type="dcterms:W3CDTF">2015-01-15T06:59:00Z</dcterms:modified>
</cp:coreProperties>
</file>