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061FC" w14:textId="77777777" w:rsidR="00222E93" w:rsidRDefault="00222E93" w:rsidP="000306DC">
      <w:pPr>
        <w:pStyle w:val="Title"/>
      </w:pPr>
      <w:bookmarkStart w:id="0" w:name="_Toc442780672"/>
      <w:r w:rsidRPr="00222E93">
        <w:t>Forecasting Land Transfer Duty with a</w:t>
      </w:r>
      <w:r>
        <w:t xml:space="preserve"> </w:t>
      </w:r>
      <w:r w:rsidRPr="00222E93">
        <w:t>Regime Switching Vector Error Correction Model</w:t>
      </w:r>
    </w:p>
    <w:p w14:paraId="677A59D1" w14:textId="7428C66B" w:rsidR="00342822" w:rsidRPr="00222E93" w:rsidRDefault="00342822" w:rsidP="00222E93">
      <w:pPr>
        <w:pStyle w:val="Author"/>
        <w:rPr>
          <w:rFonts w:asciiTheme="majorHAnsi" w:hAnsiTheme="majorHAnsi" w:cstheme="majorHAnsi"/>
          <w:spacing w:val="-2"/>
          <w:sz w:val="40"/>
          <w:szCs w:val="40"/>
        </w:rPr>
      </w:pPr>
      <w:r w:rsidRPr="00342822">
        <w:t xml:space="preserve">By </w:t>
      </w:r>
      <w:r w:rsidR="00222E93">
        <w:t>Sebastian Paz and Jonathan Dark</w:t>
      </w:r>
    </w:p>
    <w:p w14:paraId="065EE2B6" w14:textId="77777777" w:rsidR="006400F0" w:rsidRDefault="006400F0" w:rsidP="006400F0">
      <w:pPr>
        <w:pStyle w:val="Heading1"/>
      </w:pPr>
      <w:r>
        <w:t>Abstract</w:t>
      </w:r>
    </w:p>
    <w:p w14:paraId="012C05BC" w14:textId="32BA6D0B" w:rsidR="00342822" w:rsidRPr="00342822" w:rsidRDefault="00222E93" w:rsidP="006400F0">
      <w:pPr>
        <w:pStyle w:val="Abstracttext"/>
      </w:pPr>
      <w:r w:rsidRPr="00222E93">
        <w:t>Accurately forecasting government revenue is crucial for effective budgeting and policy making. To model and forecast land transfer duty we use regime</w:t>
      </w:r>
      <w:r w:rsidR="007C68E4">
        <w:noBreakHyphen/>
      </w:r>
      <w:r w:rsidRPr="00222E93">
        <w:t>switching vector error correction models. We identify two states: a high-growth low-volatility state and a low-growth high-volatility state. In real</w:t>
      </w:r>
      <w:r w:rsidR="006D6C37">
        <w:t xml:space="preserve"> </w:t>
      </w:r>
      <w:r w:rsidRPr="00222E93">
        <w:t>time, the models identify the high-volatility state associated with COVID-19. Our models consistently provide better forecasts than state invariant alternatives across multiple horizons and loss functions. Our findings suggest that regime switching models may be a useful tool for budgeting purposes.</w:t>
      </w:r>
    </w:p>
    <w:p w14:paraId="10E4B7D2" w14:textId="77777777" w:rsidR="00342822" w:rsidRPr="00342822" w:rsidRDefault="006400F0" w:rsidP="006400F0">
      <w:pPr>
        <w:pStyle w:val="Heading1numbered"/>
        <w:pageBreakBefore/>
      </w:pPr>
      <w:r>
        <w:lastRenderedPageBreak/>
        <w:t>Introduction</w:t>
      </w:r>
    </w:p>
    <w:p w14:paraId="3ED85068" w14:textId="1956A11E" w:rsidR="00222E93" w:rsidRDefault="00222E93" w:rsidP="0065590C">
      <w:r w:rsidRPr="00222E93">
        <w:t>Land transfer duty (LTD), commonly referred to as stamp duty, is a tax payable by property purchasers in Victoria, Australia. LTD rates range from 1.4 per cent to 6.5 per</w:t>
      </w:r>
      <w:r w:rsidR="00422490">
        <w:rPr>
          <w:rFonts w:ascii="Calibri" w:hAnsi="Calibri" w:cs="Calibri"/>
        </w:rPr>
        <w:t> </w:t>
      </w:r>
      <w:r w:rsidRPr="00222E93">
        <w:t>cent of the property’s purchase price, depending on its value (State Revenue Office Victoria, 2024). As of 2023, the total value of the Victorian residential housing market is approximately AUD $2 trillion, with a median house price in Melbourne of $907</w:t>
      </w:r>
      <w:r w:rsidR="00E36DF1">
        <w:rPr>
          <w:rFonts w:ascii="Calibri" w:hAnsi="Calibri" w:cs="Calibri"/>
        </w:rPr>
        <w:t> </w:t>
      </w:r>
      <w:r w:rsidRPr="00222E93">
        <w:t>000. Housing prices have seen an annualised growth rate of around 5 per cent in recent years (CoreLogic Australia, 2023).</w:t>
      </w:r>
      <w:bookmarkEnd w:id="0"/>
    </w:p>
    <w:p w14:paraId="6ACC6D18" w14:textId="7D973903" w:rsidR="00222E93" w:rsidRDefault="00222E93" w:rsidP="0065590C">
      <w:r>
        <w:t xml:space="preserve">LTD </w:t>
      </w:r>
      <w:r w:rsidR="00302950">
        <w:t>accounts</w:t>
      </w:r>
      <w:r>
        <w:t xml:space="preserve"> for 27 per cent of the State’s total taxation revenue in 2023, as shown in Figure 1a. Moreover, LTD returns exhibit substantial volatility - almost five times greater than that of the ASX 200 index - with month-to-month changes ranging from </w:t>
      </w:r>
      <w:r w:rsidR="00040365">
        <w:t>-</w:t>
      </w:r>
      <w:r>
        <w:t>53.3 per cent to +81.5 per cent.</w:t>
      </w:r>
    </w:p>
    <w:p w14:paraId="0AA4D0A1" w14:textId="77777777" w:rsidR="00120114" w:rsidRDefault="00120114" w:rsidP="00120114">
      <w:pPr>
        <w:pStyle w:val="Caption"/>
        <w:rPr>
          <w:lang w:val="en-GB"/>
        </w:rPr>
      </w:pPr>
      <w:r w:rsidRPr="00120114">
        <w:rPr>
          <w:lang w:val="en-GB"/>
        </w:rPr>
        <w:t>Figure 1: Land transfer duty</w:t>
      </w:r>
    </w:p>
    <w:p w14:paraId="5ABE7976" w14:textId="07F8E478" w:rsidR="00120114" w:rsidRPr="005573C3" w:rsidRDefault="005573C3" w:rsidP="005573C3">
      <w:pPr>
        <w:pStyle w:val="Caption"/>
        <w:tabs>
          <w:tab w:val="left" w:pos="4410"/>
        </w:tabs>
        <w:rPr>
          <w:sz w:val="16"/>
          <w:lang w:val="en-GB"/>
        </w:rPr>
      </w:pPr>
      <w:r w:rsidRPr="005573C3">
        <w:rPr>
          <w:sz w:val="16"/>
          <w:lang w:val="en-GB"/>
        </w:rPr>
        <w:t>(a) FY 2023 Victorian tax revenue</w:t>
      </w:r>
      <w:r w:rsidRPr="005573C3">
        <w:rPr>
          <w:sz w:val="16"/>
          <w:lang w:val="en-GB"/>
        </w:rPr>
        <w:tab/>
        <w:t>(b) LTD return volatility</w:t>
      </w:r>
    </w:p>
    <w:p w14:paraId="2CC4C7B2" w14:textId="1FB15119" w:rsidR="007C68E4" w:rsidRDefault="00596D49" w:rsidP="005573C3">
      <w:pPr>
        <w:tabs>
          <w:tab w:val="left" w:pos="4410"/>
        </w:tabs>
      </w:pPr>
      <w:r>
        <w:rPr>
          <w:noProof/>
        </w:rPr>
        <w:drawing>
          <wp:inline distT="0" distB="0" distL="0" distR="0" wp14:anchorId="5F51EAAA" wp14:editId="7EA7A927">
            <wp:extent cx="2743200" cy="1786628"/>
            <wp:effectExtent l="0" t="0" r="0" b="4445"/>
            <wp:docPr id="1096936980" name="Picture 1" descr="A bar graph comparing LTD revenue to other tax lines in FY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36980" name="Picture 1" descr="A bar graph comparing LTD revenue to other tax lines in FY20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86628"/>
                    </a:xfrm>
                    <a:prstGeom prst="rect">
                      <a:avLst/>
                    </a:prstGeom>
                  </pic:spPr>
                </pic:pic>
              </a:graphicData>
            </a:graphic>
          </wp:inline>
        </w:drawing>
      </w:r>
      <w:r w:rsidR="005573C3">
        <w:tab/>
      </w:r>
      <w:r w:rsidR="00120114">
        <w:rPr>
          <w:noProof/>
        </w:rPr>
        <w:drawing>
          <wp:inline distT="0" distB="0" distL="0" distR="0" wp14:anchorId="09DE284E" wp14:editId="2B69C1E1">
            <wp:extent cx="2743200" cy="1786012"/>
            <wp:effectExtent l="0" t="0" r="0" b="5080"/>
            <wp:docPr id="1701614372" name="Picture 2" descr="Line chart showing monthly returns from 1992 to 2022 for Land Transfer Duty (LTD, blue line) and the ASX index (orange line). LTD returns are more volatile with large spikes, while ASX returns remain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14372" name="Picture 2" descr="Line chart showing monthly returns from 1992 to 2022 for Land Transfer Duty (LTD, blue line) and the ASX index (orange line). LTD returns are more volatile with large spikes, while ASX returns remain relatively stab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786012"/>
                    </a:xfrm>
                    <a:prstGeom prst="rect">
                      <a:avLst/>
                    </a:prstGeom>
                  </pic:spPr>
                </pic:pic>
              </a:graphicData>
            </a:graphic>
          </wp:inline>
        </w:drawing>
      </w:r>
    </w:p>
    <w:p w14:paraId="2D73D88C" w14:textId="77777777" w:rsidR="000C1F72" w:rsidRPr="000C1F72" w:rsidRDefault="000C1F72" w:rsidP="000C1F72">
      <w:pPr>
        <w:pStyle w:val="Caption"/>
        <w:tabs>
          <w:tab w:val="left" w:pos="4410"/>
        </w:tabs>
        <w:rPr>
          <w:sz w:val="16"/>
          <w:lang w:val="en-GB"/>
        </w:rPr>
      </w:pPr>
      <w:r w:rsidRPr="000C1F72">
        <w:rPr>
          <w:sz w:val="16"/>
          <w:lang w:val="en-GB"/>
        </w:rPr>
        <w:t>(c) LTD share of Victorian tax revenue</w:t>
      </w:r>
    </w:p>
    <w:p w14:paraId="1E68BBF4" w14:textId="35CE9965" w:rsidR="005573C3" w:rsidRDefault="000C1F72" w:rsidP="005573C3">
      <w:pPr>
        <w:tabs>
          <w:tab w:val="left" w:pos="4410"/>
        </w:tabs>
      </w:pPr>
      <w:r>
        <w:rPr>
          <w:noProof/>
        </w:rPr>
        <w:drawing>
          <wp:inline distT="0" distB="0" distL="0" distR="0" wp14:anchorId="51DF9700" wp14:editId="1942364C">
            <wp:extent cx="2743200" cy="1786629"/>
            <wp:effectExtent l="0" t="0" r="0" b="4445"/>
            <wp:docPr id="800806980" name="Picture 3" descr="Line chart showing the percentage share from 1998 to 2023. The series trends upward overall, starting near 12% in 1998, rising steadily with fluctuations, and peaking at in 2021 before a slight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06980" name="Picture 3" descr="Line chart showing the percentage share from 1998 to 2023. The series trends upward overall, starting near 12% in 1998, rising steadily with fluctuations, and peaking at in 2021 before a slight declin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786629"/>
                    </a:xfrm>
                    <a:prstGeom prst="rect">
                      <a:avLst/>
                    </a:prstGeom>
                  </pic:spPr>
                </pic:pic>
              </a:graphicData>
            </a:graphic>
          </wp:inline>
        </w:drawing>
      </w:r>
    </w:p>
    <w:p w14:paraId="3E5705D5" w14:textId="11064D60" w:rsidR="00222E93" w:rsidRDefault="00222E93" w:rsidP="0065590C">
      <w:r>
        <w:lastRenderedPageBreak/>
        <w:t>The forecasting of land transfer duty (LTD) in Victoria is challenging given this volatility and the cyclicality of the property market. The task becomes even more complex when considering broader economic factors that influence property</w:t>
      </w:r>
      <w:r w:rsidRPr="00C92338">
        <w:t xml:space="preserve"> </w:t>
      </w:r>
      <w:r>
        <w:t>transactions, such as interest rates, economic growth, and policy changes. This paper aims to address these complexities by employing regime switching models, specifically Markov switching models. This model class has gained prominence in recent literature given its ability to capture non</w:t>
      </w:r>
      <w:r w:rsidR="00C16B21">
        <w:t>-</w:t>
      </w:r>
      <w:r>
        <w:t>linearities and structural breaks.</w:t>
      </w:r>
    </w:p>
    <w:p w14:paraId="2B878E21" w14:textId="77777777" w:rsidR="00222E93" w:rsidRDefault="00222E93" w:rsidP="0065590C">
      <w:r>
        <w:t>Accurate revenue forecasts are critical for the Victorian Government’s expenditure and budget planning, especially for significant revenue sources like LTD. The risks of forecast inaccuracies are amplified during economic disruptions. For instance, the COVID-19 pandemic severely impacted the Victorian property market, resulting in a 58 per cent decline in LTD revenue over the first six months of 2020. These factors underscore the potential value of models that can capture market shifts through regime switching.</w:t>
      </w:r>
    </w:p>
    <w:p w14:paraId="0A6441FD" w14:textId="77777777" w:rsidR="00222E93" w:rsidRDefault="00222E93" w:rsidP="0065590C">
      <w:r>
        <w:t>Traditional linear models, such as vector autoregression (VAR) (Sims, 1980), assume a stable relationship between variables over time. This may be unrealistic in a property market influenced by various factors which may cause sudden shifts in transaction volumes and prices. Markov switching models (Hamilton, 1989) have been used to model and forecast time series with distinct regimes, such as high and low-volatility periods. Interactions between property prices, sales volumes and LTD may differ during expansionary and contractionary periods, so we aim to capture any shifts and improve LTD forecasts.</w:t>
      </w:r>
    </w:p>
    <w:p w14:paraId="43442AA7" w14:textId="77777777" w:rsidR="00222E93" w:rsidRDefault="00222E93" w:rsidP="0065590C">
      <w:r>
        <w:t>Cointegration is vital for analysing multiple time series that exhibit long-run equilibrium relationships. The vector error correction model (VECM) extends the VAR to incorporate cointegration between non-stationary series, while also adjusting for short-term deviations from equilibrium. When combined with regime switching, VECMs have been shown to capture long-run relationships and shifts across states, providing superior forecasts in volatile markets (Lim and Tsiaplias, 2019, Ang and Bekaert, 2002, Krolzig, 2001) and across business cycles (Filardo, 1994).</w:t>
      </w:r>
    </w:p>
    <w:p w14:paraId="125FD232" w14:textId="11C20D60" w:rsidR="00222E93" w:rsidRDefault="00222E93" w:rsidP="0065590C">
      <w:r>
        <w:t>Our results support the use of the MS-VECM when modelling and forecasting LTD. Our models identify two states: a contractionary short-lived state characterised by low LTD growth and heightened volatility; and an expansionary (normal) state with stronger LTD growth and lower volatility. In real</w:t>
      </w:r>
      <w:r w:rsidR="006B6422">
        <w:t xml:space="preserve"> </w:t>
      </w:r>
      <w:r>
        <w:t>time, the models iden tify the high volatility state associated with the onset of COVID-19. The MS-VECM consistently improves LTD forecasts across multiple horizons and loss functions relative to benchmarks.</w:t>
      </w:r>
    </w:p>
    <w:p w14:paraId="48178A67" w14:textId="727F4DB8" w:rsidR="00293A31" w:rsidRDefault="00222E93" w:rsidP="0065590C">
      <w:r>
        <w:t>We proceed as follows: Section 2 summarises the relevant literature on non-linear models. Section 3 details the models and their estimation. Section 4 presents estimation results and out-of-sample forecast performance, including an analysis over the COVID-19 period. Section 5 concludes the paper.</w:t>
      </w:r>
    </w:p>
    <w:p w14:paraId="4BEB7CD2" w14:textId="16FF5446" w:rsidR="00222E93" w:rsidRDefault="00222E93" w:rsidP="00222E93">
      <w:pPr>
        <w:pStyle w:val="Heading1numbered"/>
      </w:pPr>
      <w:r>
        <w:lastRenderedPageBreak/>
        <w:t>Literature review</w:t>
      </w:r>
    </w:p>
    <w:p w14:paraId="47D39512" w14:textId="256566B2" w:rsidR="00222E93" w:rsidRDefault="00222E93" w:rsidP="00222E93">
      <w:r>
        <w:t xml:space="preserve">The goal of this paper is to combine the Markov switching framework with a </w:t>
      </w:r>
      <w:r w:rsidR="004E3D4D">
        <w:t>v</w:t>
      </w:r>
      <w:r>
        <w:t>ector error correction model (VECM). We therefore seek a model that can jointly capture regime switches and long</w:t>
      </w:r>
      <w:r w:rsidR="004E3D4D">
        <w:t>-</w:t>
      </w:r>
      <w:r>
        <w:t>run equilibrium dynamics.</w:t>
      </w:r>
    </w:p>
    <w:p w14:paraId="1B0AACEE" w14:textId="77777777" w:rsidR="00222E93" w:rsidRDefault="00222E93" w:rsidP="00222E93">
      <w:r>
        <w:t>Standard time series models assume a stable relationship between variables over time. This is despite tests which often suggest regime switches in macroeconomic and financial variables (Bai and Perron, 2003). This is important because unmodelled breaks can lead to forecast failure (Clements and Hendry, 1999).</w:t>
      </w:r>
    </w:p>
    <w:p w14:paraId="2771E3AF" w14:textId="231F0D01" w:rsidR="00222E93" w:rsidRDefault="00222E93" w:rsidP="00222E93">
      <w:r>
        <w:t>Markov switching models (Hamilton, 1989) are a popular way to model structural breaks.</w:t>
      </w:r>
      <w:r>
        <w:rPr>
          <w:rStyle w:val="FootnoteReference"/>
        </w:rPr>
        <w:footnoteReference w:id="1"/>
      </w:r>
      <w:r>
        <w:t xml:space="preserve"> The regime is determined by an unobserved latent variable that follows a discrete time Markov Chain. Each regime has its own set of parameters, so the model is well-suited for capturing non-linear dynamics and regime shifts. Furthermore, the construction of a Markov Chain allows for the study of regime movements through time and the forecasting of future states.</w:t>
      </w:r>
      <w:r>
        <w:rPr>
          <w:rStyle w:val="FootnoteReference"/>
        </w:rPr>
        <w:footnoteReference w:id="2"/>
      </w:r>
    </w:p>
    <w:p w14:paraId="1B53B513" w14:textId="0E3BED60" w:rsidR="00222E93" w:rsidRDefault="00222E93" w:rsidP="00222E93">
      <w:r w:rsidRPr="00222E93">
        <w:t xml:space="preserve">Markov switching models have been used to model expansions and contractions </w:t>
      </w:r>
      <w:r>
        <w:t>in business cycles, and shifts between bull and bear markets (Hamilton, 1994 and Guidolin and Timmermann, 2005). This is important, as macroeconomic shocks such as the COVID-19 pandemic can cause structural breaks, particularly in financial and property markets (Trefz, 2023 and Issam et al., 2024). Shen (2014) uses a Markov switching vector error correction model (MS-VECM) to examine housing market interactions with the stock market and consumer spending across different regimes. During economic expansions, rising housing prices positively affect consumer spending through the ‘wealth effect’. However, in downturns, the housing market’s influence on consumption can weaken or even become negative, exacerbating consumer pessimism and reducing spending.</w:t>
      </w:r>
    </w:p>
    <w:p w14:paraId="16BF118B" w14:textId="7CCA97BD" w:rsidR="00222E93" w:rsidRDefault="00222E93" w:rsidP="00222E93">
      <w:r>
        <w:lastRenderedPageBreak/>
        <w:t>When forecasting, Markov switching models have outperformed linear (state- invariant) models (Ang and Bekaert, 2002, Filardo, 1994, and Krolzig, 2001). Markov switching models however do not always provide reliable forecasts as minor errors in predicting the regime can severely degrade performance, resulting in higher forecast errors than a random walk (Dacco and Satchell, 1999). Furthermore, determining the number of regimes is essential, but plagued by unidentified nuisance parameters under the null hypothesis of no structural change. This model class may therefore perform worse than state-invariant alternatives due to the large number of parameters, and the possibility of false break identification (Guidolin, 2009 and Guidolin et al., 2014).</w:t>
      </w:r>
      <w:r>
        <w:rPr>
          <w:rStyle w:val="FootnoteReference"/>
        </w:rPr>
        <w:footnoteReference w:id="3"/>
      </w:r>
    </w:p>
    <w:p w14:paraId="2B483B26" w14:textId="09DB561E" w:rsidR="00222E93" w:rsidRDefault="00222E93" w:rsidP="00222E93">
      <w:r w:rsidRPr="00222E93">
        <w:t>While Markov switching models offer advantages in capturing non-linearities and structural breaks, their forecasting performance relies heavily on accurate regime identification and lag selection. We integrate the Markov switching framework with a VECM to assess whether these models can outperform traditional state-invariant approaches in forecasting LTD.</w:t>
      </w:r>
    </w:p>
    <w:p w14:paraId="5124FF72" w14:textId="46F860C0" w:rsidR="00222E93" w:rsidRDefault="00222E93" w:rsidP="00222E93">
      <w:pPr>
        <w:pStyle w:val="Heading1numbered"/>
      </w:pPr>
      <w:r>
        <w:t>Data and methodology</w:t>
      </w:r>
    </w:p>
    <w:p w14:paraId="6BC6E0A4" w14:textId="77777777" w:rsidR="00222E93" w:rsidRDefault="00222E93" w:rsidP="00222E93">
      <w:r>
        <w:t>We perform two sets of analysis to identify regime switching ability and forecast accuracy. The first estimates MS-VECM models using the entire data set. We use this analysis to gain insights into the ability of the models to infer regime switches over the entire sample. In the second part of our analysis, we examine the out-of-sample forecast performance of our model. Section 3.1 introduces</w:t>
      </w:r>
    </w:p>
    <w:p w14:paraId="608E60B4" w14:textId="47A4D895" w:rsidR="00222E93" w:rsidRDefault="00222E93" w:rsidP="00222E93">
      <w:r>
        <w:t>the data and performs tests for cointegration. Section 3.2 discusses the MS-VECM model and its estimation. Section 3.3 then describes the model selection criteria and out-of-sample forecast methodology. The results follow in section 4.</w:t>
      </w:r>
    </w:p>
    <w:p w14:paraId="4AB27698" w14:textId="21FD95AE" w:rsidR="00222E93" w:rsidRDefault="00222E93" w:rsidP="00222E93">
      <w:pPr>
        <w:pStyle w:val="Heading2numbered"/>
      </w:pPr>
      <w:r>
        <w:t>Data and preliminary analysis</w:t>
      </w:r>
    </w:p>
    <w:p w14:paraId="182F39B9" w14:textId="77777777" w:rsidR="00222E93" w:rsidRDefault="00222E93" w:rsidP="00222E93">
      <w:r>
        <w:t>This section describes the data, focusing on the variables that form the core of the forecasting models.</w:t>
      </w:r>
    </w:p>
    <w:p w14:paraId="5056A796" w14:textId="7A3B5C26" w:rsidR="00222E93" w:rsidRDefault="00222E93" w:rsidP="00222E93">
      <w:r>
        <w:t>LTD is levied based on property value, making it a function of both house prices and the volume of property transfers. Accordingly, we define the following three-variable system:</w:t>
      </w:r>
    </w:p>
    <w:p w14:paraId="192FBE0F" w14:textId="77777777" w:rsidR="00A47AB0" w:rsidRPr="0023062E" w:rsidRDefault="00CD633C" w:rsidP="00A47AB0">
      <w:pPr>
        <w:pStyle w:val="BodyText"/>
        <w:spacing w:before="222" w:line="478" w:lineRule="exact"/>
        <w:ind w:left="100" w:right="278"/>
        <w:jc w:val="both"/>
        <w:rPr>
          <w:rFonts w:ascii="Times New Roman" w:hAnsi="Times New Roman" w:cs="Times New Roman"/>
          <w:b/>
          <w:w w:val="105"/>
          <w:position w:val="4"/>
          <w:szCs w:val="22"/>
        </w:rPr>
      </w:pPr>
      <m:oMathPara>
        <m:oMath>
          <m:sSub>
            <m:sSubPr>
              <m:ctrlPr>
                <w:rPr>
                  <w:rFonts w:ascii="Cambria Math" w:hAnsi="Cambria Math" w:cs="Times New Roman"/>
                  <w:b/>
                  <w:i/>
                  <w:w w:val="105"/>
                  <w:position w:val="4"/>
                  <w:szCs w:val="22"/>
                </w:rPr>
              </m:ctrlPr>
            </m:sSubPr>
            <m:e>
              <m:r>
                <m:rPr>
                  <m:sty m:val="bi"/>
                </m:rPr>
                <w:rPr>
                  <w:rFonts w:ascii="Cambria Math" w:hAnsi="Cambria Math" w:cs="Times New Roman"/>
                  <w:w w:val="105"/>
                  <w:position w:val="4"/>
                  <w:szCs w:val="22"/>
                </w:rPr>
                <m:t>x</m:t>
              </m:r>
            </m:e>
            <m:sub>
              <m:r>
                <m:rPr>
                  <m:sty m:val="bi"/>
                </m:rPr>
                <w:rPr>
                  <w:rFonts w:ascii="Cambria Math" w:hAnsi="Cambria Math" w:cs="Times New Roman"/>
                  <w:w w:val="105"/>
                  <w:position w:val="4"/>
                  <w:szCs w:val="22"/>
                </w:rPr>
                <m:t>t</m:t>
              </m:r>
            </m:sub>
          </m:sSub>
          <m:r>
            <m:rPr>
              <m:sty m:val="bi"/>
            </m:rPr>
            <w:rPr>
              <w:rFonts w:ascii="Cambria Math" w:hAnsi="Cambria Math" w:cs="Times New Roman"/>
              <w:w w:val="105"/>
              <w:position w:val="4"/>
              <w:szCs w:val="22"/>
            </w:rPr>
            <m:t>=</m:t>
          </m:r>
          <m:r>
            <m:rPr>
              <m:lit/>
              <m:sty m:val="bi"/>
            </m:rPr>
            <w:rPr>
              <w:rFonts w:ascii="Cambria Math" w:hAnsi="Cambria Math" w:cs="Times New Roman"/>
              <w:w w:val="105"/>
              <w:position w:val="4"/>
              <w:szCs w:val="22"/>
            </w:rPr>
            <m:t>[</m:t>
          </m:r>
          <m:m>
            <m:mPr>
              <m:mcs>
                <m:mc>
                  <m:mcPr>
                    <m:count m:val="3"/>
                    <m:mcJc m:val="center"/>
                  </m:mcPr>
                </m:mc>
              </m:mcs>
              <m:ctrlPr>
                <w:rPr>
                  <w:rFonts w:ascii="Cambria Math" w:hAnsi="Cambria Math" w:cs="Times New Roman"/>
                  <w:b/>
                  <w:w w:val="105"/>
                  <w:position w:val="4"/>
                  <w:szCs w:val="22"/>
                </w:rPr>
              </m:ctrlPr>
            </m:mPr>
            <m:mr>
              <m:e>
                <m:sSub>
                  <m:sSubPr>
                    <m:ctrlPr>
                      <w:rPr>
                        <w:rFonts w:ascii="Cambria Math" w:hAnsi="Cambria Math" w:cs="Times New Roman"/>
                        <w:i/>
                      </w:rPr>
                    </m:ctrlPr>
                  </m:sSubPr>
                  <m:e>
                    <m:r>
                      <w:rPr>
                        <w:rFonts w:ascii="Cambria Math" w:hAnsi="Cambria Math" w:cs="Times New Roman"/>
                      </w:rPr>
                      <m:t>LTD</m:t>
                    </m:r>
                  </m:e>
                  <m:sub>
                    <m:r>
                      <w:rPr>
                        <w:rFonts w:ascii="Cambria Math" w:hAnsi="Cambria Math" w:cs="Times New Roman"/>
                      </w:rPr>
                      <m:t>t</m:t>
                    </m:r>
                  </m:sub>
                </m:sSub>
                <m:ctrlPr>
                  <w:rPr>
                    <w:rFonts w:ascii="Cambria Math" w:hAnsi="Cambria Math" w:cs="Times New Roman"/>
                    <w:b/>
                    <w:i/>
                    <w:w w:val="105"/>
                    <w:position w:val="4"/>
                    <w:szCs w:val="22"/>
                  </w:rPr>
                </m:ctrlPr>
              </m:e>
              <m:e>
                <m:sSub>
                  <m:sSubPr>
                    <m:ctrlPr>
                      <w:rPr>
                        <w:rFonts w:ascii="Cambria Math" w:hAnsi="Cambria Math" w:cs="Times New Roman"/>
                        <w:i/>
                      </w:rPr>
                    </m:ctrlPr>
                  </m:sSubPr>
                  <m:e>
                    <m:r>
                      <w:rPr>
                        <w:rFonts w:ascii="Cambria Math" w:hAnsi="Cambria Math" w:cs="Times New Roman"/>
                      </w:rPr>
                      <m:t>HVI</m:t>
                    </m:r>
                  </m:e>
                  <m:sub>
                    <m:r>
                      <w:rPr>
                        <w:rFonts w:ascii="Cambria Math" w:hAnsi="Cambria Math" w:cs="Times New Roman"/>
                      </w:rPr>
                      <m:t>t</m:t>
                    </m:r>
                  </m:sub>
                </m:sSub>
                <m:ctrlPr>
                  <w:rPr>
                    <w:rFonts w:ascii="Cambria Math" w:hAnsi="Cambria Math" w:cs="Times New Roman"/>
                    <w:b/>
                    <w:i/>
                    <w:w w:val="105"/>
                    <w:position w:val="4"/>
                    <w:szCs w:val="22"/>
                  </w:rPr>
                </m:ctrlPr>
              </m:e>
              <m:e>
                <m:sSub>
                  <m:sSubPr>
                    <m:ctrlPr>
                      <w:rPr>
                        <w:rFonts w:ascii="Cambria Math" w:hAnsi="Cambria Math" w:cs="Times New Roman"/>
                        <w:i/>
                      </w:rPr>
                    </m:ctrlPr>
                  </m:sSubPr>
                  <m:e>
                    <m:r>
                      <w:rPr>
                        <w:rFonts w:ascii="Cambria Math" w:hAnsi="Cambria Math" w:cs="Times New Roman"/>
                      </w:rPr>
                      <m:t>VOL</m:t>
                    </m:r>
                  </m:e>
                  <m:sub>
                    <m:r>
                      <w:rPr>
                        <w:rFonts w:ascii="Cambria Math" w:hAnsi="Cambria Math" w:cs="Times New Roman"/>
                      </w:rPr>
                      <m:t>t</m:t>
                    </m:r>
                  </m:sub>
                </m:sSub>
                <m:ctrlPr>
                  <w:rPr>
                    <w:rFonts w:ascii="Cambria Math" w:hAnsi="Cambria Math" w:cs="Times New Roman"/>
                    <w:b/>
                    <w:i/>
                    <w:w w:val="105"/>
                    <w:position w:val="4"/>
                    <w:szCs w:val="22"/>
                  </w:rPr>
                </m:ctrlPr>
              </m:e>
            </m:mr>
          </m:m>
          <m:r>
            <m:rPr>
              <m:lit/>
              <m:sty m:val="bi"/>
            </m:rPr>
            <w:rPr>
              <w:rFonts w:ascii="Cambria Math" w:hAnsi="Cambria Math" w:cs="Times New Roman"/>
              <w:w w:val="105"/>
              <w:position w:val="4"/>
              <w:szCs w:val="22"/>
            </w:rPr>
            <m:t>]</m:t>
          </m:r>
        </m:oMath>
      </m:oMathPara>
    </w:p>
    <w:p w14:paraId="7C86056A" w14:textId="5A5BF825" w:rsidR="00222E93" w:rsidRDefault="00222E93" w:rsidP="00222E93">
      <w:r w:rsidRPr="00222E93">
        <w:lastRenderedPageBreak/>
        <w:t>where: LTD</w:t>
      </w:r>
      <w:r w:rsidR="00A47AB0" w:rsidRPr="00A47AB0">
        <w:rPr>
          <w:vertAlign w:val="subscript"/>
        </w:rPr>
        <w:t>t</w:t>
      </w:r>
      <w:r w:rsidRPr="00222E93">
        <w:t xml:space="preserve"> represents land transfer duty at time t, HVIt the CoreLogic Home Value Index for Victoria, and VOL</w:t>
      </w:r>
      <w:r w:rsidR="00A47AB0" w:rsidRPr="00A47AB0">
        <w:rPr>
          <w:vertAlign w:val="subscript"/>
        </w:rPr>
        <w:t>t</w:t>
      </w:r>
      <w:r w:rsidRPr="00222E93">
        <w:t xml:space="preserve"> the volume of property transfers in Victoria.</w:t>
      </w:r>
      <w:r w:rsidR="00A47AB0">
        <w:rPr>
          <w:rStyle w:val="FootnoteReference"/>
        </w:rPr>
        <w:footnoteReference w:id="4"/>
      </w:r>
      <w:r w:rsidRPr="00222E93">
        <w:t xml:space="preserve"> Each variable is monthly, seasonally adjusted, and transformed into logarithmic form. The data set spans July 1986 to June 2023, providing 444 observations. Figure 2 presents time series plots of x</w:t>
      </w:r>
      <w:r w:rsidR="00A47AB0" w:rsidRPr="00A47AB0">
        <w:rPr>
          <w:vertAlign w:val="subscript"/>
        </w:rPr>
        <w:t>t</w:t>
      </w:r>
      <w:r w:rsidRPr="00222E93">
        <w:t xml:space="preserve"> (in levels) and its first differences </w:t>
      </w:r>
      <w:r w:rsidRPr="00222E93">
        <w:rPr>
          <w:rFonts w:hint="eastAsia"/>
        </w:rPr>
        <w:t>Δ</w:t>
      </w:r>
      <w:r w:rsidRPr="00222E93">
        <w:t>x</w:t>
      </w:r>
      <w:r w:rsidR="00A47AB0" w:rsidRPr="00A47AB0">
        <w:rPr>
          <w:vertAlign w:val="subscript"/>
        </w:rPr>
        <w:t>t</w:t>
      </w:r>
      <w:r w:rsidR="00A47AB0">
        <w:rPr>
          <w:vertAlign w:val="subscript"/>
        </w:rPr>
        <w:t xml:space="preserve"> </w:t>
      </w:r>
      <w:r w:rsidRPr="00222E93">
        <w:t>=</w:t>
      </w:r>
      <w:r w:rsidR="00A47AB0">
        <w:t xml:space="preserve"> </w:t>
      </w:r>
      <w:r w:rsidRPr="00222E93">
        <w:t>x</w:t>
      </w:r>
      <w:r w:rsidR="00A47AB0" w:rsidRPr="00A47AB0">
        <w:rPr>
          <w:vertAlign w:val="subscript"/>
        </w:rPr>
        <w:t>t</w:t>
      </w:r>
      <w:r w:rsidRPr="00222E93">
        <w:t>-x</w:t>
      </w:r>
      <w:r w:rsidR="00A47AB0" w:rsidRPr="00A47AB0">
        <w:rPr>
          <w:vertAlign w:val="subscript"/>
        </w:rPr>
        <w:t>t</w:t>
      </w:r>
      <w:r w:rsidR="00A47AB0">
        <w:rPr>
          <w:vertAlign w:val="subscript"/>
        </w:rPr>
        <w:t>-1</w:t>
      </w:r>
      <w:r w:rsidRPr="00222E93">
        <w:t>. The plots reveal that volume was heavily impacted by COVID-19, with property sales plummeting 61 per cent in March and April 2020. This had significant effects on the Victorian housing market and may be evidence of a structural break.</w:t>
      </w:r>
    </w:p>
    <w:p w14:paraId="39B27035" w14:textId="1EDD2279" w:rsidR="00A47AB0" w:rsidRDefault="00A47AB0" w:rsidP="00222E93">
      <w:r w:rsidRPr="00A47AB0">
        <w:t>Table 1 summarises the key descriptive statistics along with Augmented Dickey-Fuller (ADF) and ARCH tests (Engle, 1982). Results show that each series is I(1) in levels but I(0) once differenced. ARCH tests indicate time-varying volatility in LTD and VOL. While ARCH/GARCH errors (Bollerslev, 1986) are not directly modelled here, our Markov switching models (below) allow for state-dependent covariance matrices, capturing heteroskedasticity across regimes.</w:t>
      </w:r>
      <w:r>
        <w:rPr>
          <w:rStyle w:val="FootnoteReference"/>
        </w:rPr>
        <w:footnoteReference w:id="5"/>
      </w:r>
    </w:p>
    <w:p w14:paraId="24EC55A0" w14:textId="16A75FEC" w:rsidR="006F58EB" w:rsidRPr="001340FA" w:rsidRDefault="000B0E42" w:rsidP="000B0E42">
      <w:pPr>
        <w:pStyle w:val="Caption"/>
        <w:rPr>
          <w:i/>
          <w:iCs/>
          <w:vertAlign w:val="subscript"/>
          <w:lang w:val="en-GB"/>
        </w:rPr>
      </w:pPr>
      <w:r w:rsidRPr="000B0E42">
        <w:lastRenderedPageBreak/>
        <w:t xml:space="preserve">Figure 2: Time series plots of </w:t>
      </w:r>
      <w:r w:rsidR="001340FA" w:rsidRPr="005A3885">
        <w:rPr>
          <w:rFonts w:asciiTheme="minorHAnsi" w:hAnsiTheme="minorHAnsi"/>
          <w:i/>
          <w:iCs/>
          <w:lang w:val="en-GB"/>
        </w:rPr>
        <w:t>x</w:t>
      </w:r>
      <w:r w:rsidR="001340FA" w:rsidRPr="005A3885">
        <w:rPr>
          <w:rFonts w:asciiTheme="minorHAnsi" w:hAnsiTheme="minorHAnsi"/>
          <w:i/>
          <w:iCs/>
          <w:vertAlign w:val="subscript"/>
          <w:lang w:val="en-GB"/>
        </w:rPr>
        <w:t>t</w:t>
      </w:r>
      <w:r w:rsidR="001340FA">
        <w:rPr>
          <w:i/>
          <w:iCs/>
          <w:vertAlign w:val="subscript"/>
          <w:lang w:val="en-GB"/>
        </w:rPr>
        <w:t xml:space="preserve"> </w:t>
      </w:r>
      <w:r w:rsidRPr="000B0E42">
        <w:t xml:space="preserve">and </w:t>
      </w:r>
      <w:r w:rsidRPr="005A3885">
        <w:rPr>
          <w:rFonts w:ascii="Courier New" w:hAnsi="Courier New" w:cs="Courier New"/>
        </w:rPr>
        <w:t>Δ</w:t>
      </w:r>
      <w:r w:rsidRPr="005A3885">
        <w:rPr>
          <w:rFonts w:asciiTheme="minorHAnsi" w:hAnsiTheme="minorHAnsi"/>
        </w:rPr>
        <w:t>x</w:t>
      </w:r>
      <w:r w:rsidRPr="005A3885">
        <w:rPr>
          <w:rFonts w:asciiTheme="minorHAnsi" w:hAnsiTheme="minorHAnsi"/>
          <w:vertAlign w:val="subscript"/>
        </w:rPr>
        <w:t>t</w:t>
      </w:r>
    </w:p>
    <w:p w14:paraId="46377088" w14:textId="3943A4CB" w:rsidR="000B0E42" w:rsidRPr="000B0E42" w:rsidRDefault="00E369FA" w:rsidP="000B0E42">
      <w:r>
        <w:rPr>
          <w:noProof/>
        </w:rPr>
        <w:drawing>
          <wp:inline distT="0" distB="0" distL="0" distR="0" wp14:anchorId="7315E246" wp14:editId="411A1CA0">
            <wp:extent cx="5645150" cy="4279900"/>
            <wp:effectExtent l="0" t="0" r="0" b="6350"/>
            <wp:docPr id="475116871" name="Picture 4" descr="Six line charts showing log time series (left) and their first differences (right) from 1986 to 2023. Top row: Land Transfer Duty (LTD) grows with cycles, while differenced LTD fluctuates around zero with volatility. Middle row: Home Value Index (HVI) shows steady long-term growth, with differenced HVI oscillating in cycles. Bottom row: Housing transaction volumes (VOL) trend upward with fluctuations, while differenced VOL shows sharp spikes and variability around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16871" name="Picture 4" descr="Six line charts showing log time series (left) and their first differences (right) from 1986 to 2023. Top row: Land Transfer Duty (LTD) grows with cycles, while differenced LTD fluctuates around zero with volatility. Middle row: Home Value Index (HVI) shows steady long-term growth, with differenced HVI oscillating in cycles. Bottom row: Housing transaction volumes (VOL) trend upward with fluctuations, while differenced VOL shows sharp spikes and variability around zer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5150" cy="4279900"/>
                    </a:xfrm>
                    <a:prstGeom prst="rect">
                      <a:avLst/>
                    </a:prstGeom>
                  </pic:spPr>
                </pic:pic>
              </a:graphicData>
            </a:graphic>
          </wp:inline>
        </w:drawing>
      </w:r>
    </w:p>
    <w:p w14:paraId="09FC7AD3" w14:textId="27B36D53" w:rsidR="00130F54" w:rsidRDefault="00130F54" w:rsidP="007D204B">
      <w:pPr>
        <w:pStyle w:val="Caption"/>
      </w:pPr>
      <w:r>
        <w:t>Table 1</w:t>
      </w:r>
      <w:r w:rsidR="000C20B3">
        <w:t>:</w:t>
      </w:r>
      <w:r>
        <w:t xml:space="preserve"> Descriptive statistics</w:t>
      </w:r>
    </w:p>
    <w:tbl>
      <w:tblPr>
        <w:tblStyle w:val="Financialtable"/>
        <w:tblW w:w="8853" w:type="dxa"/>
        <w:tblLayout w:type="fixed"/>
        <w:tblLook w:val="06A0" w:firstRow="1" w:lastRow="0" w:firstColumn="1" w:lastColumn="0" w:noHBand="1" w:noVBand="1"/>
      </w:tblPr>
      <w:tblGrid>
        <w:gridCol w:w="1620"/>
        <w:gridCol w:w="1205"/>
        <w:gridCol w:w="1206"/>
        <w:gridCol w:w="1205"/>
        <w:gridCol w:w="1206"/>
        <w:gridCol w:w="1205"/>
        <w:gridCol w:w="1206"/>
      </w:tblGrid>
      <w:tr w:rsidR="00130F54" w:rsidRPr="00DB733F" w14:paraId="6BE4DFCA" w14:textId="77777777" w:rsidTr="00554EDA">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20" w:type="dxa"/>
          </w:tcPr>
          <w:p w14:paraId="6F1D2EAF" w14:textId="2CF4455A" w:rsidR="00C4449D" w:rsidRPr="000B372C" w:rsidRDefault="00C4449D" w:rsidP="007D204B">
            <w:pPr>
              <w:spacing w:before="30" w:after="30"/>
            </w:pPr>
            <w:r>
              <w:t>Series</w:t>
            </w:r>
          </w:p>
        </w:tc>
        <w:tc>
          <w:tcPr>
            <w:tcW w:w="1205" w:type="dxa"/>
          </w:tcPr>
          <w:p w14:paraId="4D94ECEE" w14:textId="1A75F9F9"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rPr>
                <w:rFonts w:ascii="Cambria" w:hAnsi="Cambria" w:cs="Cambria"/>
                <w:b/>
                <w:bCs/>
                <w:color w:val="FFFFFF"/>
                <w:sz w:val="24"/>
                <w:szCs w:val="24"/>
              </w:rPr>
              <w:t>µ</w:t>
            </w:r>
          </w:p>
        </w:tc>
        <w:tc>
          <w:tcPr>
            <w:tcW w:w="1206" w:type="dxa"/>
          </w:tcPr>
          <w:p w14:paraId="65523BF4" w14:textId="3B038D3D"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rPr>
                <w:rFonts w:ascii="Cambria" w:hAnsi="Cambria" w:cs="Cambria"/>
                <w:b/>
                <w:bCs/>
                <w:color w:val="FFFFFF"/>
                <w:sz w:val="24"/>
                <w:szCs w:val="24"/>
              </w:rPr>
              <w:t>σ</w:t>
            </w:r>
          </w:p>
        </w:tc>
        <w:tc>
          <w:tcPr>
            <w:tcW w:w="1205" w:type="dxa"/>
          </w:tcPr>
          <w:p w14:paraId="1ED2E326" w14:textId="124E3774"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t>Skew</w:t>
            </w:r>
          </w:p>
        </w:tc>
        <w:tc>
          <w:tcPr>
            <w:tcW w:w="1206" w:type="dxa"/>
          </w:tcPr>
          <w:p w14:paraId="1B60E4AD" w14:textId="5DB20BE5"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t>Kurt</w:t>
            </w:r>
          </w:p>
        </w:tc>
        <w:tc>
          <w:tcPr>
            <w:tcW w:w="1205" w:type="dxa"/>
          </w:tcPr>
          <w:p w14:paraId="6F317957" w14:textId="127F3739"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t>ADF</w:t>
            </w:r>
          </w:p>
        </w:tc>
        <w:tc>
          <w:tcPr>
            <w:tcW w:w="1206" w:type="dxa"/>
          </w:tcPr>
          <w:p w14:paraId="5808FD29" w14:textId="35762FD1" w:rsidR="00C4449D" w:rsidRPr="00DB733F" w:rsidRDefault="00C4449D" w:rsidP="007D204B">
            <w:pPr>
              <w:spacing w:before="30" w:after="30"/>
              <w:cnfStyle w:val="100000000000" w:firstRow="1" w:lastRow="0" w:firstColumn="0" w:lastColumn="0" w:oddVBand="0" w:evenVBand="0" w:oddHBand="0" w:evenHBand="0" w:firstRowFirstColumn="0" w:firstRowLastColumn="0" w:lastRowFirstColumn="0" w:lastRowLastColumn="0"/>
              <w:rPr>
                <w:lang w:val="en-GB"/>
              </w:rPr>
            </w:pPr>
            <w:r>
              <w:t>ARCH</w:t>
            </w:r>
          </w:p>
        </w:tc>
      </w:tr>
      <w:tr w:rsidR="00130F54" w:rsidRPr="00DB733F" w14:paraId="19A206D8" w14:textId="77777777" w:rsidTr="00554EDA">
        <w:trPr>
          <w:trHeight w:val="358"/>
        </w:trPr>
        <w:tc>
          <w:tcPr>
            <w:cnfStyle w:val="001000000000" w:firstRow="0" w:lastRow="0" w:firstColumn="1" w:lastColumn="0" w:oddVBand="0" w:evenVBand="0" w:oddHBand="0" w:evenHBand="0" w:firstRowFirstColumn="0" w:firstRowLastColumn="0" w:lastRowFirstColumn="0" w:lastRowLastColumn="0"/>
            <w:tcW w:w="1620" w:type="dxa"/>
          </w:tcPr>
          <w:p w14:paraId="119E03B3" w14:textId="77777777" w:rsidR="00DB733F" w:rsidRPr="00DB733F" w:rsidRDefault="00DB733F" w:rsidP="007D204B">
            <w:pPr>
              <w:keepNext/>
              <w:spacing w:before="30" w:after="30" w:line="276" w:lineRule="auto"/>
              <w:rPr>
                <w:lang w:val="en-GB"/>
              </w:rPr>
            </w:pPr>
            <w:r w:rsidRPr="00DB733F">
              <w:rPr>
                <w:i/>
                <w:iCs/>
                <w:lang w:val="en-GB"/>
              </w:rPr>
              <w:t>LTDt</w:t>
            </w:r>
          </w:p>
        </w:tc>
        <w:tc>
          <w:tcPr>
            <w:tcW w:w="1205" w:type="dxa"/>
          </w:tcPr>
          <w:p w14:paraId="7600B1F5"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18.9439</w:t>
            </w:r>
          </w:p>
        </w:tc>
        <w:tc>
          <w:tcPr>
            <w:tcW w:w="1206" w:type="dxa"/>
          </w:tcPr>
          <w:p w14:paraId="13B7EC3B"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0.9524</w:t>
            </w:r>
          </w:p>
        </w:tc>
        <w:tc>
          <w:tcPr>
            <w:tcW w:w="1205" w:type="dxa"/>
          </w:tcPr>
          <w:p w14:paraId="11EE6063"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-0.1100</w:t>
            </w:r>
          </w:p>
        </w:tc>
        <w:tc>
          <w:tcPr>
            <w:tcW w:w="1206" w:type="dxa"/>
          </w:tcPr>
          <w:p w14:paraId="00F47E5A"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1.7229</w:t>
            </w:r>
          </w:p>
        </w:tc>
        <w:tc>
          <w:tcPr>
            <w:tcW w:w="1205" w:type="dxa"/>
          </w:tcPr>
          <w:p w14:paraId="3E9FE1A4"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0.9202</w:t>
            </w:r>
          </w:p>
        </w:tc>
        <w:tc>
          <w:tcPr>
            <w:tcW w:w="1206" w:type="dxa"/>
          </w:tcPr>
          <w:p w14:paraId="16A02B18"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119.8286**</w:t>
            </w:r>
          </w:p>
        </w:tc>
      </w:tr>
      <w:tr w:rsidR="00130F54" w:rsidRPr="00DB733F" w14:paraId="1AAE09F9" w14:textId="77777777" w:rsidTr="00554EDA">
        <w:trPr>
          <w:trHeight w:val="288"/>
        </w:trPr>
        <w:tc>
          <w:tcPr>
            <w:cnfStyle w:val="001000000000" w:firstRow="0" w:lastRow="0" w:firstColumn="1" w:lastColumn="0" w:oddVBand="0" w:evenVBand="0" w:oddHBand="0" w:evenHBand="0" w:firstRowFirstColumn="0" w:firstRowLastColumn="0" w:lastRowFirstColumn="0" w:lastRowLastColumn="0"/>
            <w:tcW w:w="1620" w:type="dxa"/>
          </w:tcPr>
          <w:p w14:paraId="77ED5F1D" w14:textId="77777777" w:rsidR="00DB733F" w:rsidRPr="00DB733F" w:rsidRDefault="00DB733F" w:rsidP="007D204B">
            <w:pPr>
              <w:keepNext/>
              <w:spacing w:before="30" w:after="30" w:line="276" w:lineRule="auto"/>
              <w:rPr>
                <w:lang w:val="en-GB"/>
              </w:rPr>
            </w:pPr>
            <w:r w:rsidRPr="00DB733F">
              <w:rPr>
                <w:i/>
                <w:iCs/>
                <w:lang w:val="en-GB"/>
              </w:rPr>
              <w:t>HV It</w:t>
            </w:r>
          </w:p>
        </w:tc>
        <w:tc>
          <w:tcPr>
            <w:tcW w:w="1205" w:type="dxa"/>
          </w:tcPr>
          <w:p w14:paraId="6866C2C9"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4.1898</w:t>
            </w:r>
          </w:p>
        </w:tc>
        <w:tc>
          <w:tcPr>
            <w:tcW w:w="1206" w:type="dxa"/>
          </w:tcPr>
          <w:p w14:paraId="494B7E8C"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0.6266</w:t>
            </w:r>
          </w:p>
        </w:tc>
        <w:tc>
          <w:tcPr>
            <w:tcW w:w="1205" w:type="dxa"/>
          </w:tcPr>
          <w:p w14:paraId="70429F6B"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-0.0323</w:t>
            </w:r>
          </w:p>
        </w:tc>
        <w:tc>
          <w:tcPr>
            <w:tcW w:w="1206" w:type="dxa"/>
          </w:tcPr>
          <w:p w14:paraId="46EAAE8D"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1.5675</w:t>
            </w:r>
          </w:p>
        </w:tc>
        <w:tc>
          <w:tcPr>
            <w:tcW w:w="1205" w:type="dxa"/>
          </w:tcPr>
          <w:p w14:paraId="3437399B"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11.3262</w:t>
            </w:r>
          </w:p>
        </w:tc>
        <w:tc>
          <w:tcPr>
            <w:tcW w:w="1206" w:type="dxa"/>
          </w:tcPr>
          <w:p w14:paraId="45A9B5BE"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313.9819**</w:t>
            </w:r>
          </w:p>
        </w:tc>
      </w:tr>
      <w:tr w:rsidR="00130F54" w:rsidRPr="00DB733F" w14:paraId="31363D1A" w14:textId="77777777" w:rsidTr="00554EDA">
        <w:trPr>
          <w:trHeight w:val="288"/>
        </w:trPr>
        <w:tc>
          <w:tcPr>
            <w:cnfStyle w:val="001000000000" w:firstRow="0" w:lastRow="0" w:firstColumn="1" w:lastColumn="0" w:oddVBand="0" w:evenVBand="0" w:oddHBand="0" w:evenHBand="0" w:firstRowFirstColumn="0" w:firstRowLastColumn="0" w:lastRowFirstColumn="0" w:lastRowLastColumn="0"/>
            <w:tcW w:w="1620" w:type="dxa"/>
          </w:tcPr>
          <w:p w14:paraId="21C16808" w14:textId="77777777" w:rsidR="00DB733F" w:rsidRPr="00DB733F" w:rsidRDefault="00DB733F" w:rsidP="007D204B">
            <w:pPr>
              <w:keepNext/>
              <w:spacing w:before="30" w:after="30" w:line="276" w:lineRule="auto"/>
              <w:rPr>
                <w:lang w:val="en-GB"/>
              </w:rPr>
            </w:pPr>
            <w:r w:rsidRPr="00DB733F">
              <w:rPr>
                <w:i/>
                <w:iCs/>
                <w:lang w:val="en-GB"/>
              </w:rPr>
              <w:t>V OLt</w:t>
            </w:r>
          </w:p>
        </w:tc>
        <w:tc>
          <w:tcPr>
            <w:tcW w:w="1205" w:type="dxa"/>
          </w:tcPr>
          <w:p w14:paraId="13C0B4D4"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8.9350</w:t>
            </w:r>
          </w:p>
        </w:tc>
        <w:tc>
          <w:tcPr>
            <w:tcW w:w="1206" w:type="dxa"/>
          </w:tcPr>
          <w:p w14:paraId="62E5EC26"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0.2665</w:t>
            </w:r>
          </w:p>
        </w:tc>
        <w:tc>
          <w:tcPr>
            <w:tcW w:w="1205" w:type="dxa"/>
          </w:tcPr>
          <w:p w14:paraId="29A1646B"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-0.4652</w:t>
            </w:r>
          </w:p>
        </w:tc>
        <w:tc>
          <w:tcPr>
            <w:tcW w:w="1206" w:type="dxa"/>
          </w:tcPr>
          <w:p w14:paraId="2F9624F4"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2.3793</w:t>
            </w:r>
          </w:p>
        </w:tc>
        <w:tc>
          <w:tcPr>
            <w:tcW w:w="1205" w:type="dxa"/>
          </w:tcPr>
          <w:p w14:paraId="2E147471"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0.2596</w:t>
            </w:r>
          </w:p>
        </w:tc>
        <w:tc>
          <w:tcPr>
            <w:tcW w:w="1206" w:type="dxa"/>
          </w:tcPr>
          <w:p w14:paraId="61C3D7AF"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91.1425**</w:t>
            </w:r>
          </w:p>
        </w:tc>
      </w:tr>
      <w:tr w:rsidR="00130F54" w:rsidRPr="00DB733F" w14:paraId="38415577" w14:textId="77777777" w:rsidTr="00554EDA">
        <w:trPr>
          <w:trHeight w:val="288"/>
        </w:trPr>
        <w:tc>
          <w:tcPr>
            <w:cnfStyle w:val="001000000000" w:firstRow="0" w:lastRow="0" w:firstColumn="1" w:lastColumn="0" w:oddVBand="0" w:evenVBand="0" w:oddHBand="0" w:evenHBand="0" w:firstRowFirstColumn="0" w:firstRowLastColumn="0" w:lastRowFirstColumn="0" w:lastRowLastColumn="0"/>
            <w:tcW w:w="1620" w:type="dxa"/>
          </w:tcPr>
          <w:p w14:paraId="08D2D0D6" w14:textId="77777777" w:rsidR="00DB733F" w:rsidRPr="00DB733F" w:rsidRDefault="00DB733F" w:rsidP="007D204B">
            <w:pPr>
              <w:keepNext/>
              <w:spacing w:before="30" w:after="30" w:line="276" w:lineRule="auto"/>
              <w:rPr>
                <w:lang w:val="en-GB"/>
              </w:rPr>
            </w:pPr>
            <w:r w:rsidRPr="00DB733F">
              <w:rPr>
                <w:rFonts w:ascii="Cambria Math" w:hAnsi="Cambria Math" w:cs="Cambria Math"/>
                <w:i/>
                <w:iCs/>
                <w:lang w:val="en-GB"/>
              </w:rPr>
              <w:t>∆</w:t>
            </w:r>
            <w:r w:rsidRPr="00DB733F">
              <w:rPr>
                <w:i/>
                <w:iCs/>
                <w:lang w:val="en-GB"/>
              </w:rPr>
              <w:t>LTDt</w:t>
            </w:r>
          </w:p>
        </w:tc>
        <w:tc>
          <w:tcPr>
            <w:tcW w:w="1205" w:type="dxa"/>
          </w:tcPr>
          <w:p w14:paraId="1AA252AC"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0.0074</w:t>
            </w:r>
          </w:p>
        </w:tc>
        <w:tc>
          <w:tcPr>
            <w:tcW w:w="1206" w:type="dxa"/>
          </w:tcPr>
          <w:p w14:paraId="604A5B69"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0.1536</w:t>
            </w:r>
          </w:p>
        </w:tc>
        <w:tc>
          <w:tcPr>
            <w:tcW w:w="1205" w:type="dxa"/>
          </w:tcPr>
          <w:p w14:paraId="1FA1BD90"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-0.5762</w:t>
            </w:r>
          </w:p>
        </w:tc>
        <w:tc>
          <w:tcPr>
            <w:tcW w:w="1206" w:type="dxa"/>
          </w:tcPr>
          <w:p w14:paraId="1AF1FECD"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9.0680</w:t>
            </w:r>
          </w:p>
        </w:tc>
        <w:tc>
          <w:tcPr>
            <w:tcW w:w="1205" w:type="dxa"/>
          </w:tcPr>
          <w:p w14:paraId="50C8CEDF"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-36.9412**</w:t>
            </w:r>
          </w:p>
        </w:tc>
        <w:tc>
          <w:tcPr>
            <w:tcW w:w="1206" w:type="dxa"/>
          </w:tcPr>
          <w:p w14:paraId="42B51708"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59.9471**</w:t>
            </w:r>
          </w:p>
        </w:tc>
      </w:tr>
      <w:tr w:rsidR="00130F54" w:rsidRPr="00DB733F" w14:paraId="789504BE" w14:textId="77777777" w:rsidTr="00554EDA">
        <w:trPr>
          <w:trHeight w:val="345"/>
        </w:trPr>
        <w:tc>
          <w:tcPr>
            <w:cnfStyle w:val="001000000000" w:firstRow="0" w:lastRow="0" w:firstColumn="1" w:lastColumn="0" w:oddVBand="0" w:evenVBand="0" w:oddHBand="0" w:evenHBand="0" w:firstRowFirstColumn="0" w:firstRowLastColumn="0" w:lastRowFirstColumn="0" w:lastRowLastColumn="0"/>
            <w:tcW w:w="1620" w:type="dxa"/>
          </w:tcPr>
          <w:p w14:paraId="3D787B9D" w14:textId="77777777" w:rsidR="00DB733F" w:rsidRPr="00DB733F" w:rsidRDefault="00DB733F" w:rsidP="007D204B">
            <w:pPr>
              <w:keepNext/>
              <w:spacing w:before="30" w:after="30" w:line="276" w:lineRule="auto"/>
              <w:rPr>
                <w:lang w:val="en-GB"/>
              </w:rPr>
            </w:pPr>
            <w:r w:rsidRPr="00DB733F">
              <w:rPr>
                <w:rFonts w:ascii="Cambria Math" w:hAnsi="Cambria Math" w:cs="Cambria Math"/>
                <w:i/>
                <w:iCs/>
                <w:lang w:val="en-GB"/>
              </w:rPr>
              <w:t>∆</w:t>
            </w:r>
            <w:r w:rsidRPr="00DB733F">
              <w:rPr>
                <w:i/>
                <w:iCs/>
                <w:lang w:val="en-GB"/>
              </w:rPr>
              <w:t>HV It</w:t>
            </w:r>
          </w:p>
        </w:tc>
        <w:tc>
          <w:tcPr>
            <w:tcW w:w="1205" w:type="dxa"/>
          </w:tcPr>
          <w:p w14:paraId="522B1784"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0.0045</w:t>
            </w:r>
          </w:p>
        </w:tc>
        <w:tc>
          <w:tcPr>
            <w:tcW w:w="1206" w:type="dxa"/>
          </w:tcPr>
          <w:p w14:paraId="5A3208DB"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0.0080</w:t>
            </w:r>
          </w:p>
        </w:tc>
        <w:tc>
          <w:tcPr>
            <w:tcW w:w="1205" w:type="dxa"/>
          </w:tcPr>
          <w:p w14:paraId="4C8A9499"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0.2775</w:t>
            </w:r>
          </w:p>
        </w:tc>
        <w:tc>
          <w:tcPr>
            <w:tcW w:w="1206" w:type="dxa"/>
          </w:tcPr>
          <w:p w14:paraId="7B737FA7"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2.7385</w:t>
            </w:r>
          </w:p>
        </w:tc>
        <w:tc>
          <w:tcPr>
            <w:tcW w:w="1205" w:type="dxa"/>
          </w:tcPr>
          <w:p w14:paraId="18F53437"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-3.501**</w:t>
            </w:r>
          </w:p>
        </w:tc>
        <w:tc>
          <w:tcPr>
            <w:tcW w:w="1206" w:type="dxa"/>
          </w:tcPr>
          <w:p w14:paraId="11E0CFEA"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7.204</w:t>
            </w:r>
          </w:p>
        </w:tc>
      </w:tr>
      <w:tr w:rsidR="00130F54" w:rsidRPr="00DB733F" w14:paraId="55F6ABED" w14:textId="77777777" w:rsidTr="00554EDA">
        <w:trPr>
          <w:trHeight w:val="339"/>
        </w:trPr>
        <w:tc>
          <w:tcPr>
            <w:cnfStyle w:val="001000000000" w:firstRow="0" w:lastRow="0" w:firstColumn="1" w:lastColumn="0" w:oddVBand="0" w:evenVBand="0" w:oddHBand="0" w:evenHBand="0" w:firstRowFirstColumn="0" w:firstRowLastColumn="0" w:lastRowFirstColumn="0" w:lastRowLastColumn="0"/>
            <w:tcW w:w="1620" w:type="dxa"/>
          </w:tcPr>
          <w:p w14:paraId="07E3EAD5" w14:textId="77777777" w:rsidR="00DB733F" w:rsidRPr="00DB733F" w:rsidRDefault="00DB733F" w:rsidP="007D204B">
            <w:pPr>
              <w:keepNext/>
              <w:spacing w:before="30" w:after="30" w:line="276" w:lineRule="auto"/>
              <w:rPr>
                <w:lang w:val="en-GB"/>
              </w:rPr>
            </w:pPr>
            <w:r w:rsidRPr="00DB733F">
              <w:rPr>
                <w:rFonts w:ascii="Cambria Math" w:hAnsi="Cambria Math" w:cs="Cambria Math"/>
                <w:i/>
                <w:iCs/>
                <w:lang w:val="en-GB"/>
              </w:rPr>
              <w:t>∆</w:t>
            </w:r>
            <w:r w:rsidRPr="00DB733F">
              <w:rPr>
                <w:i/>
                <w:iCs/>
                <w:lang w:val="en-GB"/>
              </w:rPr>
              <w:t>V OLt</w:t>
            </w:r>
          </w:p>
        </w:tc>
        <w:tc>
          <w:tcPr>
            <w:tcW w:w="1205" w:type="dxa"/>
          </w:tcPr>
          <w:p w14:paraId="4DB49FF4"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0.0016</w:t>
            </w:r>
          </w:p>
        </w:tc>
        <w:tc>
          <w:tcPr>
            <w:tcW w:w="1206" w:type="dxa"/>
          </w:tcPr>
          <w:p w14:paraId="256944C9"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0.0887</w:t>
            </w:r>
          </w:p>
        </w:tc>
        <w:tc>
          <w:tcPr>
            <w:tcW w:w="1205" w:type="dxa"/>
          </w:tcPr>
          <w:p w14:paraId="52809122"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0.4784</w:t>
            </w:r>
          </w:p>
        </w:tc>
        <w:tc>
          <w:tcPr>
            <w:tcW w:w="1206" w:type="dxa"/>
          </w:tcPr>
          <w:p w14:paraId="294CB572"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11.5881</w:t>
            </w:r>
          </w:p>
        </w:tc>
        <w:tc>
          <w:tcPr>
            <w:tcW w:w="1205" w:type="dxa"/>
          </w:tcPr>
          <w:p w14:paraId="7ED9A60F"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-26.4065**</w:t>
            </w:r>
          </w:p>
        </w:tc>
        <w:tc>
          <w:tcPr>
            <w:tcW w:w="1206" w:type="dxa"/>
          </w:tcPr>
          <w:p w14:paraId="7EC490DF" w14:textId="77777777" w:rsidR="00DB733F" w:rsidRPr="00DB733F" w:rsidRDefault="00DB733F" w:rsidP="007D204B">
            <w:pPr>
              <w:keepNext/>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DB733F">
              <w:rPr>
                <w:lang w:val="en-GB"/>
              </w:rPr>
              <w:t>118.2388**</w:t>
            </w:r>
          </w:p>
        </w:tc>
      </w:tr>
    </w:tbl>
    <w:p w14:paraId="56CB0EDC" w14:textId="77777777" w:rsidR="000C20B3" w:rsidRPr="000C20B3" w:rsidRDefault="000C20B3" w:rsidP="00A773AF">
      <w:pPr>
        <w:pStyle w:val="Note"/>
      </w:pPr>
      <w:r w:rsidRPr="000C20B3">
        <w:t>Note: All variables are in natural logs. The final two columns report the ADF and ARCH test statistics, with critical values of -1.941 and 7.815, respectively. Notations * and ** denote rejection of the null hypothesis at the 5 per cent and 1 per cent levels. ARCH tests are based on three lags of</w:t>
      </w:r>
      <w:r w:rsidRPr="000C20B3">
        <w:rPr>
          <w:rFonts w:ascii="Calibri" w:hAnsi="Calibri" w:cs="Calibri"/>
        </w:rPr>
        <w:t> </w:t>
      </w:r>
      <w:r w:rsidRPr="000C20B3">
        <w:t>fitted AR(1) residuals.</w:t>
      </w:r>
    </w:p>
    <w:p w14:paraId="16CBCCCC" w14:textId="77777777" w:rsidR="0091256E" w:rsidRDefault="0091256E" w:rsidP="00554EDA"/>
    <w:p w14:paraId="0DBD4603" w14:textId="1837267A" w:rsidR="00A47AB0" w:rsidRDefault="00A47AB0" w:rsidP="00554EDA">
      <w:r w:rsidRPr="00A47AB0">
        <w:lastRenderedPageBreak/>
        <w:t>Table 2 reports the trace test for cointegration between the x</w:t>
      </w:r>
      <w:r w:rsidRPr="00A47AB0">
        <w:rPr>
          <w:vertAlign w:val="subscript"/>
        </w:rPr>
        <w:t>t</w:t>
      </w:r>
      <w:r w:rsidRPr="00A47AB0">
        <w:t xml:space="preserve"> variables.</w:t>
      </w:r>
      <w:r>
        <w:rPr>
          <w:rStyle w:val="FootnoteReference"/>
        </w:rPr>
        <w:footnoteReference w:id="6"/>
      </w:r>
      <w:r w:rsidRPr="00A47AB0">
        <w:t xml:space="preserve"> The rejection of the first null hypothesis (r = 0) and failure to reject the second (r ≤ 1) suggests one cointegrating vector. The maximum eigenvalue test provides similar results. This supports one, state-invariant cointegrating vector in the regime switching models that follow. Despite this, we also consider a VAR in levels because it may outperform a VECM when the number of cointegrating vectors or their form is mis-specified (Clark, 2000).</w:t>
      </w:r>
      <w:r>
        <w:rPr>
          <w:rStyle w:val="FootnoteReference"/>
        </w:rPr>
        <w:footnoteReference w:id="7"/>
      </w:r>
    </w:p>
    <w:p w14:paraId="1638B540" w14:textId="77777777" w:rsidR="00554EDA" w:rsidRPr="00554EDA" w:rsidRDefault="00554EDA" w:rsidP="00554EDA">
      <w:pPr>
        <w:pStyle w:val="Caption"/>
        <w:rPr>
          <w:lang w:val="en-GB"/>
        </w:rPr>
      </w:pPr>
      <w:r w:rsidRPr="00554EDA">
        <w:rPr>
          <w:lang w:val="en-GB"/>
        </w:rPr>
        <w:t>Table 2: Trace test</w:t>
      </w:r>
    </w:p>
    <w:tbl>
      <w:tblPr>
        <w:tblStyle w:val="Financialtable"/>
        <w:tblW w:w="8956" w:type="dxa"/>
        <w:tblLayout w:type="fixed"/>
        <w:tblLook w:val="06A0" w:firstRow="1" w:lastRow="0" w:firstColumn="1" w:lastColumn="0" w:noHBand="1" w:noVBand="1"/>
      </w:tblPr>
      <w:tblGrid>
        <w:gridCol w:w="1890"/>
        <w:gridCol w:w="1766"/>
        <w:gridCol w:w="1767"/>
        <w:gridCol w:w="1766"/>
        <w:gridCol w:w="1767"/>
      </w:tblGrid>
      <w:tr w:rsidR="009E6931" w:rsidRPr="00F82602" w14:paraId="567EECD3" w14:textId="77777777" w:rsidTr="00554EDA">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1890" w:type="dxa"/>
          </w:tcPr>
          <w:p w14:paraId="3D7C227B" w14:textId="77777777" w:rsidR="009E6931" w:rsidRPr="00F82602" w:rsidRDefault="009E6931" w:rsidP="00680386">
            <w:pPr>
              <w:spacing w:before="30" w:after="30"/>
              <w:rPr>
                <w:i/>
                <w:iCs/>
                <w:lang w:val="en-GB"/>
              </w:rPr>
            </w:pPr>
          </w:p>
        </w:tc>
        <w:tc>
          <w:tcPr>
            <w:tcW w:w="1766" w:type="dxa"/>
          </w:tcPr>
          <w:p w14:paraId="5E43AF42" w14:textId="28B05118" w:rsidR="009E6931" w:rsidRPr="00680386" w:rsidRDefault="009E6931" w:rsidP="00680386">
            <w:pPr>
              <w:spacing w:before="30" w:after="30"/>
              <w:cnfStyle w:val="100000000000" w:firstRow="1" w:lastRow="0" w:firstColumn="0" w:lastColumn="0" w:oddVBand="0" w:evenVBand="0" w:oddHBand="0" w:evenHBand="0" w:firstRowFirstColumn="0" w:firstRowLastColumn="0" w:lastRowFirstColumn="0" w:lastRowLastColumn="0"/>
              <w:rPr>
                <w:caps/>
                <w:lang w:val="en-GB"/>
              </w:rPr>
            </w:pPr>
            <w:r w:rsidRPr="00680386">
              <w:rPr>
                <w:caps/>
              </w:rPr>
              <w:t>Eigenvalue</w:t>
            </w:r>
          </w:p>
        </w:tc>
        <w:tc>
          <w:tcPr>
            <w:tcW w:w="1767" w:type="dxa"/>
          </w:tcPr>
          <w:p w14:paraId="65A76A5D" w14:textId="0F23BDEB" w:rsidR="009E6931" w:rsidRPr="00680386" w:rsidRDefault="009E6931" w:rsidP="00680386">
            <w:pPr>
              <w:spacing w:before="30" w:after="30"/>
              <w:cnfStyle w:val="100000000000" w:firstRow="1" w:lastRow="0" w:firstColumn="0" w:lastColumn="0" w:oddVBand="0" w:evenVBand="0" w:oddHBand="0" w:evenHBand="0" w:firstRowFirstColumn="0" w:firstRowLastColumn="0" w:lastRowFirstColumn="0" w:lastRowLastColumn="0"/>
              <w:rPr>
                <w:caps/>
                <w:lang w:val="en-GB"/>
              </w:rPr>
            </w:pPr>
            <w:r w:rsidRPr="00680386">
              <w:rPr>
                <w:caps/>
              </w:rPr>
              <w:t>Test stat</w:t>
            </w:r>
          </w:p>
        </w:tc>
        <w:tc>
          <w:tcPr>
            <w:tcW w:w="1766" w:type="dxa"/>
          </w:tcPr>
          <w:p w14:paraId="62A8677F" w14:textId="69399CB0" w:rsidR="009E6931" w:rsidRPr="00680386" w:rsidRDefault="009E6931" w:rsidP="00680386">
            <w:pPr>
              <w:spacing w:before="30" w:after="30"/>
              <w:cnfStyle w:val="100000000000" w:firstRow="1" w:lastRow="0" w:firstColumn="0" w:lastColumn="0" w:oddVBand="0" w:evenVBand="0" w:oddHBand="0" w:evenHBand="0" w:firstRowFirstColumn="0" w:firstRowLastColumn="0" w:lastRowFirstColumn="0" w:lastRowLastColumn="0"/>
              <w:rPr>
                <w:caps/>
                <w:lang w:val="en-GB"/>
              </w:rPr>
            </w:pPr>
            <w:r w:rsidRPr="00680386">
              <w:rPr>
                <w:caps/>
              </w:rPr>
              <w:t>Critical value</w:t>
            </w:r>
          </w:p>
        </w:tc>
        <w:tc>
          <w:tcPr>
            <w:tcW w:w="1767" w:type="dxa"/>
          </w:tcPr>
          <w:p w14:paraId="71975AAF" w14:textId="623CEE3E" w:rsidR="009E6931" w:rsidRPr="00680386" w:rsidRDefault="009E6931" w:rsidP="00680386">
            <w:pPr>
              <w:spacing w:before="30" w:after="30"/>
              <w:cnfStyle w:val="100000000000" w:firstRow="1" w:lastRow="0" w:firstColumn="0" w:lastColumn="0" w:oddVBand="0" w:evenVBand="0" w:oddHBand="0" w:evenHBand="0" w:firstRowFirstColumn="0" w:firstRowLastColumn="0" w:lastRowFirstColumn="0" w:lastRowLastColumn="0"/>
              <w:rPr>
                <w:caps/>
                <w:lang w:val="en-GB"/>
              </w:rPr>
            </w:pPr>
            <w:r w:rsidRPr="00680386">
              <w:rPr>
                <w:caps/>
              </w:rPr>
              <w:t>p-value</w:t>
            </w:r>
          </w:p>
        </w:tc>
      </w:tr>
      <w:tr w:rsidR="00F82602" w:rsidRPr="00F82602" w14:paraId="31DE5B20" w14:textId="77777777" w:rsidTr="00554EDA">
        <w:trPr>
          <w:trHeight w:val="304"/>
        </w:trPr>
        <w:tc>
          <w:tcPr>
            <w:cnfStyle w:val="001000000000" w:firstRow="0" w:lastRow="0" w:firstColumn="1" w:lastColumn="0" w:oddVBand="0" w:evenVBand="0" w:oddHBand="0" w:evenHBand="0" w:firstRowFirstColumn="0" w:firstRowLastColumn="0" w:lastRowFirstColumn="0" w:lastRowLastColumn="0"/>
            <w:tcW w:w="1890" w:type="dxa"/>
          </w:tcPr>
          <w:p w14:paraId="2FB9D553" w14:textId="77777777" w:rsidR="00F82602" w:rsidRPr="00F82602" w:rsidRDefault="00F82602" w:rsidP="00680386">
            <w:pPr>
              <w:spacing w:before="30" w:after="30" w:line="276" w:lineRule="auto"/>
              <w:rPr>
                <w:lang w:val="en-GB"/>
              </w:rPr>
            </w:pPr>
            <w:r w:rsidRPr="00F82602">
              <w:rPr>
                <w:i/>
                <w:iCs/>
                <w:lang w:val="en-GB"/>
              </w:rPr>
              <w:t xml:space="preserve">r </w:t>
            </w:r>
            <w:r w:rsidRPr="00F82602">
              <w:rPr>
                <w:lang w:val="en-GB"/>
              </w:rPr>
              <w:t>=</w:t>
            </w:r>
            <w:r w:rsidRPr="00F82602">
              <w:rPr>
                <w:i/>
                <w:iCs/>
                <w:lang w:val="en-GB"/>
              </w:rPr>
              <w:t xml:space="preserve"> 0</w:t>
            </w:r>
          </w:p>
        </w:tc>
        <w:tc>
          <w:tcPr>
            <w:tcW w:w="1766" w:type="dxa"/>
          </w:tcPr>
          <w:p w14:paraId="0739ABD2"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0.0532</w:t>
            </w:r>
          </w:p>
        </w:tc>
        <w:tc>
          <w:tcPr>
            <w:tcW w:w="1767" w:type="dxa"/>
          </w:tcPr>
          <w:p w14:paraId="4A814286"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33.8647</w:t>
            </w:r>
          </w:p>
        </w:tc>
        <w:tc>
          <w:tcPr>
            <w:tcW w:w="1766" w:type="dxa"/>
          </w:tcPr>
          <w:p w14:paraId="5BE1E119"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29.7976</w:t>
            </w:r>
          </w:p>
        </w:tc>
        <w:tc>
          <w:tcPr>
            <w:tcW w:w="1767" w:type="dxa"/>
          </w:tcPr>
          <w:p w14:paraId="038574CC"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0.0162</w:t>
            </w:r>
          </w:p>
        </w:tc>
      </w:tr>
      <w:tr w:rsidR="00F82602" w:rsidRPr="00F82602" w14:paraId="589E5A15" w14:textId="77777777" w:rsidTr="00554EDA">
        <w:trPr>
          <w:trHeight w:val="248"/>
        </w:trPr>
        <w:tc>
          <w:tcPr>
            <w:cnfStyle w:val="001000000000" w:firstRow="0" w:lastRow="0" w:firstColumn="1" w:lastColumn="0" w:oddVBand="0" w:evenVBand="0" w:oddHBand="0" w:evenHBand="0" w:firstRowFirstColumn="0" w:firstRowLastColumn="0" w:lastRowFirstColumn="0" w:lastRowLastColumn="0"/>
            <w:tcW w:w="1890" w:type="dxa"/>
          </w:tcPr>
          <w:p w14:paraId="3A5AAA20" w14:textId="77777777" w:rsidR="00F82602" w:rsidRPr="00F82602" w:rsidRDefault="00F82602" w:rsidP="00680386">
            <w:pPr>
              <w:spacing w:before="30" w:after="30" w:line="276" w:lineRule="auto"/>
              <w:rPr>
                <w:lang w:val="en-GB"/>
              </w:rPr>
            </w:pPr>
            <w:r w:rsidRPr="00F82602">
              <w:rPr>
                <w:i/>
                <w:iCs/>
                <w:lang w:val="en-GB"/>
              </w:rPr>
              <w:t xml:space="preserve">r </w:t>
            </w:r>
            <w:r w:rsidRPr="00F82602">
              <w:rPr>
                <w:lang w:val="en-GB"/>
              </w:rPr>
              <w:t>≤</w:t>
            </w:r>
            <w:r w:rsidRPr="00F82602">
              <w:rPr>
                <w:i/>
                <w:iCs/>
                <w:lang w:val="en-GB"/>
              </w:rPr>
              <w:t xml:space="preserve"> 1</w:t>
            </w:r>
          </w:p>
        </w:tc>
        <w:tc>
          <w:tcPr>
            <w:tcW w:w="1766" w:type="dxa"/>
          </w:tcPr>
          <w:p w14:paraId="433D5CC0"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0.0195</w:t>
            </w:r>
          </w:p>
        </w:tc>
        <w:tc>
          <w:tcPr>
            <w:tcW w:w="1767" w:type="dxa"/>
          </w:tcPr>
          <w:p w14:paraId="241C0466"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9.8816</w:t>
            </w:r>
          </w:p>
        </w:tc>
        <w:tc>
          <w:tcPr>
            <w:tcW w:w="1766" w:type="dxa"/>
          </w:tcPr>
          <w:p w14:paraId="61E17DF1"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15.4948</w:t>
            </w:r>
          </w:p>
        </w:tc>
        <w:tc>
          <w:tcPr>
            <w:tcW w:w="1767" w:type="dxa"/>
          </w:tcPr>
          <w:p w14:paraId="22A96BEE"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0.3287</w:t>
            </w:r>
          </w:p>
        </w:tc>
      </w:tr>
      <w:tr w:rsidR="00680386" w:rsidRPr="00F82602" w14:paraId="424861A8" w14:textId="77777777" w:rsidTr="00554EDA">
        <w:trPr>
          <w:trHeight w:val="248"/>
        </w:trPr>
        <w:tc>
          <w:tcPr>
            <w:cnfStyle w:val="001000000000" w:firstRow="0" w:lastRow="0" w:firstColumn="1" w:lastColumn="0" w:oddVBand="0" w:evenVBand="0" w:oddHBand="0" w:evenHBand="0" w:firstRowFirstColumn="0" w:firstRowLastColumn="0" w:lastRowFirstColumn="0" w:lastRowLastColumn="0"/>
            <w:tcW w:w="1890" w:type="dxa"/>
          </w:tcPr>
          <w:p w14:paraId="4DF2C28D" w14:textId="77777777" w:rsidR="00F82602" w:rsidRPr="00F82602" w:rsidRDefault="00F82602" w:rsidP="00680386">
            <w:pPr>
              <w:spacing w:before="30" w:after="30" w:line="276" w:lineRule="auto"/>
              <w:rPr>
                <w:lang w:val="en-GB"/>
              </w:rPr>
            </w:pPr>
            <w:r w:rsidRPr="00F82602">
              <w:rPr>
                <w:i/>
                <w:iCs/>
                <w:lang w:val="en-GB"/>
              </w:rPr>
              <w:t xml:space="preserve">r </w:t>
            </w:r>
            <w:r w:rsidRPr="00F82602">
              <w:rPr>
                <w:lang w:val="en-GB"/>
              </w:rPr>
              <w:t xml:space="preserve">≤ </w:t>
            </w:r>
            <w:r w:rsidRPr="00F82602">
              <w:rPr>
                <w:i/>
                <w:iCs/>
                <w:lang w:val="en-GB"/>
              </w:rPr>
              <w:t>2</w:t>
            </w:r>
          </w:p>
        </w:tc>
        <w:tc>
          <w:tcPr>
            <w:tcW w:w="1766" w:type="dxa"/>
          </w:tcPr>
          <w:p w14:paraId="751E7CC7"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0.0028</w:t>
            </w:r>
          </w:p>
        </w:tc>
        <w:tc>
          <w:tcPr>
            <w:tcW w:w="1767" w:type="dxa"/>
          </w:tcPr>
          <w:p w14:paraId="2DA5CB2A"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1.2393</w:t>
            </w:r>
          </w:p>
        </w:tc>
        <w:tc>
          <w:tcPr>
            <w:tcW w:w="1766" w:type="dxa"/>
          </w:tcPr>
          <w:p w14:paraId="4C6FE140"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3.8415</w:t>
            </w:r>
          </w:p>
        </w:tc>
        <w:tc>
          <w:tcPr>
            <w:tcW w:w="1767" w:type="dxa"/>
          </w:tcPr>
          <w:p w14:paraId="7B2129AA" w14:textId="77777777" w:rsidR="00F82602" w:rsidRPr="00F82602" w:rsidRDefault="00F82602" w:rsidP="00680386">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F82602">
              <w:rPr>
                <w:lang w:val="en-GB"/>
              </w:rPr>
              <w:t>0.3532</w:t>
            </w:r>
          </w:p>
        </w:tc>
      </w:tr>
    </w:tbl>
    <w:p w14:paraId="3E4E08D8" w14:textId="77777777" w:rsidR="00F82602" w:rsidRDefault="00F82602" w:rsidP="00554EDA"/>
    <w:p w14:paraId="40DF982D" w14:textId="34B0ED25" w:rsidR="00A47AB0" w:rsidRDefault="00A47AB0" w:rsidP="00554EDA">
      <w:pPr>
        <w:pStyle w:val="Heading2numbered"/>
        <w:ind w:left="0"/>
      </w:pPr>
      <w:r>
        <w:t>MS-VECM and smoothed probabilities</w:t>
      </w:r>
    </w:p>
    <w:p w14:paraId="7DBB5569" w14:textId="66651439" w:rsidR="00A47AB0" w:rsidRDefault="00A47AB0" w:rsidP="007D204B">
      <w:pPr>
        <w:keepNext/>
      </w:pPr>
      <w:r w:rsidRPr="00A47AB0">
        <w:t>To develop the Markov switching VECM (MS-VECM), we commence with the state- invariant VECM. The VECM(p) is represented as follows:</w:t>
      </w:r>
    </w:p>
    <w:p w14:paraId="49303309" w14:textId="5922ADBF" w:rsidR="00A47AB0" w:rsidRPr="00A47AB0" w:rsidRDefault="00A47AB0" w:rsidP="007D204B">
      <w:pPr>
        <w:keepNext/>
      </w:pPr>
      <m:oMathPara>
        <m:oMath>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m:t>
              </m:r>
            </m:sub>
          </m:sSub>
          <m:r>
            <w:rPr>
              <w:rFonts w:ascii="Cambria Math" w:hAnsi="Cambria Math"/>
            </w:rPr>
            <m:t>=</m:t>
          </m:r>
          <m:r>
            <m:rPr>
              <m:sty m:val="b"/>
            </m:rPr>
            <w:rPr>
              <w:rFonts w:ascii="Cambria Math" w:hAnsi="Cambria Math"/>
            </w:rPr>
            <m:t>ν</m:t>
          </m:r>
          <m:r>
            <w:rPr>
              <w:rFonts w:ascii="Cambria Math" w:hAnsi="Cambria Math"/>
            </w:rPr>
            <m:t>+</m:t>
          </m:r>
          <m:r>
            <m:rPr>
              <m:sty m:val="b"/>
            </m:rPr>
            <w:rPr>
              <w:rFonts w:ascii="Cambria Math" w:hAnsi="Cambria Math"/>
            </w:rPr>
            <m:t>α</m:t>
          </m:r>
          <m:sSup>
            <m:sSupPr>
              <m:ctrlPr>
                <w:rPr>
                  <w:rFonts w:ascii="Cambria Math" w:hAnsi="Cambria Math"/>
                  <w:i/>
                </w:rPr>
              </m:ctrlPr>
            </m:sSupPr>
            <m:e>
              <m:r>
                <m:rPr>
                  <m:sty m:val="b"/>
                </m:rPr>
                <w:rPr>
                  <w:rFonts w:ascii="Cambria Math" w:hAnsi="Cambria Math"/>
                </w:rPr>
                <m:t>β</m:t>
              </m:r>
              <m:ctrlPr>
                <w:rPr>
                  <w:rFonts w:ascii="Cambria Math" w:hAnsi="Cambria Math"/>
                </w:rPr>
              </m:ctrlPr>
            </m:e>
            <m:sup>
              <m:r>
                <w:rPr>
                  <w:rFonts w:ascii="Cambria Math" w:hAnsi="Cambria Math"/>
                </w:rPr>
                <m:t>T</m:t>
              </m:r>
            </m:sup>
          </m:sSup>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r>
            <w:rPr>
              <w:rFonts w:ascii="Cambria Math" w:hAnsi="Cambria Math"/>
            </w:rPr>
            <m:t>+</m:t>
          </m:r>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p</m:t>
              </m:r>
              <m:ctrlPr>
                <w:rPr>
                  <w:rFonts w:ascii="Cambria Math" w:hAnsi="Cambria Math"/>
                  <w:i/>
                </w:rPr>
              </m:ctrlPr>
            </m:sup>
            <m:e>
              <m:sSub>
                <m:sSubPr>
                  <m:ctrlPr>
                    <w:rPr>
                      <w:rFonts w:ascii="Cambria Math" w:hAnsi="Cambria Math"/>
                      <w:i/>
                    </w:rPr>
                  </m:ctrlPr>
                </m:sSubPr>
                <m:e>
                  <m:r>
                    <m:rPr>
                      <m:sty m:val="b"/>
                    </m:rPr>
                    <w:rPr>
                      <w:rFonts w:ascii="Cambria Math" w:hAnsi="Cambria Math"/>
                    </w:rPr>
                    <m:t>Γ</m:t>
                  </m:r>
                </m:e>
                <m:sub>
                  <m:r>
                    <w:rPr>
                      <w:rFonts w:ascii="Cambria Math" w:hAnsi="Cambria Math"/>
                    </w:rPr>
                    <m:t>k</m:t>
                  </m:r>
                </m:sub>
              </m:sSub>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t-k</m:t>
                  </m:r>
                </m:sub>
              </m:sSub>
              <m:ctrlPr>
                <w:rPr>
                  <w:rFonts w:ascii="Cambria Math" w:hAnsi="Cambria Math"/>
                  <w:i/>
                </w:rPr>
              </m:ctrlPr>
            </m:e>
          </m:nary>
          <m:r>
            <w:rPr>
              <w:rFonts w:ascii="Cambria Math" w:hAnsi="Cambria Math"/>
            </w:rPr>
            <m:t>+</m:t>
          </m:r>
          <m:sSub>
            <m:sSubPr>
              <m:ctrlPr>
                <w:rPr>
                  <w:rFonts w:ascii="Cambria Math" w:hAnsi="Cambria Math"/>
                  <w:i/>
                </w:rPr>
              </m:ctrlPr>
            </m:sSubPr>
            <m:e>
              <m:r>
                <m:rPr>
                  <m:sty m:val="b"/>
                </m:rPr>
                <w:rPr>
                  <w:rFonts w:ascii="Cambria Math" w:hAnsi="Cambria Math"/>
                </w:rPr>
                <m:t>ϵ</m:t>
              </m:r>
            </m:e>
            <m:sub>
              <m:r>
                <w:rPr>
                  <w:rFonts w:ascii="Cambria Math" w:hAnsi="Cambria Math"/>
                </w:rPr>
                <m:t>t</m:t>
              </m:r>
            </m:sub>
          </m:sSub>
        </m:oMath>
      </m:oMathPara>
    </w:p>
    <w:p w14:paraId="6A238240" w14:textId="77777777" w:rsidR="00A47AB0" w:rsidRDefault="00A47AB0" w:rsidP="00554EDA">
      <w:r>
        <w:t xml:space="preserve">where </w:t>
      </w:r>
      <w:r>
        <w:rPr>
          <w:rFonts w:ascii="Courier New" w:hAnsi="Courier New" w:cs="Courier New"/>
          <w:b/>
          <w:bCs/>
        </w:rPr>
        <w:t>Π</w:t>
      </w:r>
      <w:r>
        <w:rPr>
          <w:b/>
          <w:bCs/>
        </w:rPr>
        <w:t xml:space="preserve"> </w:t>
      </w:r>
      <w:r>
        <w:t xml:space="preserve">= </w:t>
      </w:r>
      <w:r>
        <w:rPr>
          <w:rFonts w:ascii="Times New Roman" w:eastAsia="Times New Roman" w:hAnsi="Times New Roman" w:cs="Times New Roman"/>
          <w:b/>
          <w:bCs/>
          <w:i/>
          <w:iCs/>
          <w:w w:val="105"/>
        </w:rPr>
        <w:t>αβ</w:t>
      </w:r>
      <w:r>
        <w:rPr>
          <w:i/>
          <w:iCs/>
          <w:w w:val="105"/>
          <w:vertAlign w:val="superscript"/>
        </w:rPr>
        <w:t>T</w:t>
      </w:r>
      <w:r>
        <w:rPr>
          <w:i/>
          <w:iCs/>
          <w:w w:val="105"/>
        </w:rPr>
        <w:t xml:space="preserve"> </w:t>
      </w:r>
      <w:r>
        <w:t>is the error correction term split into two 3</w:t>
      </w:r>
      <w:r>
        <w:rPr>
          <w:rFonts w:ascii="Cambria" w:eastAsia="Cambria" w:hAnsi="Cambria" w:cs="Cambria"/>
        </w:rPr>
        <w:t>×</w:t>
      </w:r>
      <w:r>
        <w:rPr>
          <w:i/>
          <w:iCs/>
        </w:rPr>
        <w:t xml:space="preserve">r </w:t>
      </w:r>
      <w:r>
        <w:t>matrices:</w:t>
      </w:r>
      <w:r>
        <w:rPr>
          <w:spacing w:val="40"/>
        </w:rPr>
        <w:t xml:space="preserve"> </w:t>
      </w:r>
      <w:r>
        <w:t xml:space="preserve">the adjustment term </w:t>
      </w:r>
      <w:r>
        <w:rPr>
          <w:rFonts w:ascii="Times New Roman" w:eastAsia="Times New Roman" w:hAnsi="Times New Roman" w:cs="Times New Roman"/>
          <w:b/>
          <w:bCs/>
          <w:i/>
          <w:iCs/>
          <w:w w:val="105"/>
        </w:rPr>
        <w:t xml:space="preserve">α </w:t>
      </w:r>
      <w:r>
        <w:t xml:space="preserve">and the cointegrating vector(s) </w:t>
      </w:r>
      <w:r>
        <w:rPr>
          <w:rFonts w:ascii="Times New Roman" w:eastAsia="Times New Roman" w:hAnsi="Times New Roman" w:cs="Times New Roman"/>
          <w:b/>
          <w:bCs/>
          <w:i/>
          <w:iCs/>
        </w:rPr>
        <w:t>β</w:t>
      </w:r>
      <w:r>
        <w:t>.</w:t>
      </w:r>
      <w:r>
        <w:rPr>
          <w:spacing w:val="40"/>
        </w:rPr>
        <w:t xml:space="preserve"> </w:t>
      </w:r>
      <w:r>
        <w:t xml:space="preserve">The cointegrating vector </w:t>
      </w:r>
      <w:r>
        <w:rPr>
          <w:spacing w:val="-2"/>
        </w:rPr>
        <w:t>contains</w:t>
      </w:r>
      <w:r>
        <w:rPr>
          <w:spacing w:val="-13"/>
        </w:rPr>
        <w:t xml:space="preserve"> </w:t>
      </w:r>
      <w:r>
        <w:rPr>
          <w:i/>
          <w:iCs/>
          <w:spacing w:val="-2"/>
        </w:rPr>
        <w:t>r</w:t>
      </w:r>
      <w:r>
        <w:rPr>
          <w:i/>
          <w:iCs/>
          <w:spacing w:val="-11"/>
        </w:rPr>
        <w:t xml:space="preserve"> </w:t>
      </w:r>
      <w:r>
        <w:rPr>
          <w:spacing w:val="-2"/>
        </w:rPr>
        <w:t>cointegration</w:t>
      </w:r>
      <w:r>
        <w:rPr>
          <w:spacing w:val="-12"/>
        </w:rPr>
        <w:t xml:space="preserve"> </w:t>
      </w:r>
      <w:r>
        <w:rPr>
          <w:spacing w:val="-2"/>
        </w:rPr>
        <w:t>relations</w:t>
      </w:r>
      <w:r>
        <w:rPr>
          <w:spacing w:val="-13"/>
        </w:rPr>
        <w:t xml:space="preserve"> </w:t>
      </w:r>
      <w:r>
        <w:rPr>
          <w:spacing w:val="-2"/>
        </w:rPr>
        <w:t>between</w:t>
      </w:r>
      <w:r>
        <w:rPr>
          <w:spacing w:val="-12"/>
        </w:rPr>
        <w:t xml:space="preserve"> </w:t>
      </w:r>
      <w:r>
        <w:rPr>
          <w:spacing w:val="-2"/>
        </w:rPr>
        <w:t>the</w:t>
      </w:r>
      <w:r>
        <w:rPr>
          <w:spacing w:val="-13"/>
        </w:rPr>
        <w:t xml:space="preserve"> </w:t>
      </w:r>
      <w:r>
        <w:rPr>
          <w:spacing w:val="-2"/>
        </w:rPr>
        <w:t>variables</w:t>
      </w:r>
      <w:r>
        <w:rPr>
          <w:spacing w:val="-12"/>
        </w:rPr>
        <w:t xml:space="preserve"> </w:t>
      </w:r>
      <w:r>
        <w:rPr>
          <w:spacing w:val="-2"/>
        </w:rPr>
        <w:t>in</w:t>
      </w:r>
      <w:r>
        <w:rPr>
          <w:spacing w:val="-13"/>
        </w:rPr>
        <w:t xml:space="preserve"> </w:t>
      </w:r>
      <w:r>
        <w:rPr>
          <w:b/>
          <w:bCs/>
          <w:spacing w:val="-2"/>
        </w:rPr>
        <w:t>x</w:t>
      </w:r>
      <w:r>
        <w:rPr>
          <w:i/>
          <w:iCs/>
          <w:spacing w:val="-2"/>
          <w:vertAlign w:val="subscript"/>
        </w:rPr>
        <w:t>t</w:t>
      </w:r>
      <w:r>
        <w:rPr>
          <w:spacing w:val="-2"/>
        </w:rPr>
        <w:t>,</w:t>
      </w:r>
      <w:r>
        <w:rPr>
          <w:spacing w:val="-11"/>
        </w:rPr>
        <w:t xml:space="preserve"> </w:t>
      </w:r>
      <w:r>
        <w:rPr>
          <w:spacing w:val="-2"/>
        </w:rPr>
        <w:t>where</w:t>
      </w:r>
      <w:r>
        <w:rPr>
          <w:spacing w:val="-13"/>
        </w:rPr>
        <w:t xml:space="preserve"> </w:t>
      </w:r>
      <w:r>
        <w:rPr>
          <w:i/>
          <w:iCs/>
          <w:spacing w:val="-2"/>
        </w:rPr>
        <w:t>r</w:t>
      </w:r>
      <w:r>
        <w:rPr>
          <w:i/>
          <w:iCs/>
          <w:spacing w:val="-9"/>
        </w:rPr>
        <w:t xml:space="preserve"> </w:t>
      </w:r>
      <w:r>
        <w:rPr>
          <w:spacing w:val="-2"/>
        </w:rPr>
        <w:t>is</w:t>
      </w:r>
      <w:r>
        <w:rPr>
          <w:spacing w:val="-13"/>
        </w:rPr>
        <w:t xml:space="preserve"> </w:t>
      </w:r>
      <w:r>
        <w:rPr>
          <w:spacing w:val="-2"/>
        </w:rPr>
        <w:t>the</w:t>
      </w:r>
      <w:r>
        <w:rPr>
          <w:spacing w:val="-12"/>
        </w:rPr>
        <w:t xml:space="preserve"> </w:t>
      </w:r>
      <w:r>
        <w:rPr>
          <w:spacing w:val="-2"/>
        </w:rPr>
        <w:t>rank</w:t>
      </w:r>
      <w:r>
        <w:rPr>
          <w:spacing w:val="-13"/>
        </w:rPr>
        <w:t xml:space="preserve"> </w:t>
      </w:r>
      <w:r>
        <w:rPr>
          <w:spacing w:val="-2"/>
        </w:rPr>
        <w:t xml:space="preserve">of </w:t>
      </w:r>
      <w:r>
        <w:rPr>
          <w:rFonts w:ascii="Courier New" w:hAnsi="Courier New" w:cs="Courier New"/>
          <w:b/>
          <w:bCs/>
        </w:rPr>
        <w:t>Π</w:t>
      </w:r>
      <w:r>
        <w:t>.</w:t>
      </w:r>
      <w:r>
        <w:rPr>
          <w:spacing w:val="40"/>
        </w:rPr>
        <w:t xml:space="preserve"> </w:t>
      </w:r>
      <w:r>
        <w:rPr>
          <w:rFonts w:ascii="Times New Roman" w:eastAsia="Times New Roman" w:hAnsi="Times New Roman" w:cs="Times New Roman"/>
          <w:b/>
          <w:bCs/>
          <w:i/>
          <w:iCs/>
        </w:rPr>
        <w:t xml:space="preserve">ν </w:t>
      </w:r>
      <w:r>
        <w:t>is a 3</w:t>
      </w:r>
      <w:r>
        <w:rPr>
          <w:rFonts w:ascii="Cambria" w:eastAsia="Cambria" w:hAnsi="Cambria" w:cs="Cambria"/>
        </w:rPr>
        <w:t>×</w:t>
      </w:r>
      <w:r>
        <w:t xml:space="preserve">1 vector of intercepts, </w:t>
      </w:r>
      <w:r>
        <w:rPr>
          <w:rFonts w:ascii="Courier New" w:hAnsi="Courier New" w:cs="Courier New"/>
          <w:b/>
          <w:bCs/>
        </w:rPr>
        <w:t>Γ</w:t>
      </w:r>
      <w:r>
        <w:rPr>
          <w:i/>
          <w:iCs/>
          <w:vertAlign w:val="subscript"/>
        </w:rPr>
        <w:t>k</w:t>
      </w:r>
      <w:r>
        <w:rPr>
          <w:i/>
          <w:iCs/>
        </w:rPr>
        <w:t xml:space="preserve"> </w:t>
      </w:r>
      <w:r>
        <w:t xml:space="preserve">are </w:t>
      </w:r>
      <w:r>
        <w:rPr>
          <w:i/>
          <w:iCs/>
        </w:rPr>
        <w:t xml:space="preserve">p </w:t>
      </w:r>
      <w:r>
        <w:t>autoregressive parameter matrices of dimension 3</w:t>
      </w:r>
      <w:r>
        <w:rPr>
          <w:rFonts w:ascii="Cambria" w:eastAsia="Cambria" w:hAnsi="Cambria" w:cs="Cambria"/>
        </w:rPr>
        <w:t>×</w:t>
      </w:r>
      <w:r>
        <w:t xml:space="preserve">3, and </w:t>
      </w:r>
      <w:r>
        <w:rPr>
          <w:rFonts w:ascii="Times New Roman" w:eastAsia="Times New Roman" w:hAnsi="Times New Roman" w:cs="Times New Roman"/>
          <w:b/>
          <w:bCs/>
          <w:i/>
          <w:iCs/>
        </w:rPr>
        <w:t>ϵ</w:t>
      </w:r>
      <w:r>
        <w:rPr>
          <w:i/>
          <w:iCs/>
          <w:vertAlign w:val="subscript"/>
        </w:rPr>
        <w:t>t</w:t>
      </w:r>
      <w:r>
        <w:rPr>
          <w:i/>
          <w:iCs/>
        </w:rPr>
        <w:t xml:space="preserve"> </w:t>
      </w:r>
      <w:r>
        <w:t>is a 3</w:t>
      </w:r>
      <w:r>
        <w:rPr>
          <w:rFonts w:ascii="Cambria" w:eastAsia="Cambria" w:hAnsi="Cambria" w:cs="Cambria"/>
        </w:rPr>
        <w:t>×</w:t>
      </w:r>
      <w:r>
        <w:t xml:space="preserve">1 vector of innovations at time </w:t>
      </w:r>
      <w:r>
        <w:rPr>
          <w:i/>
          <w:iCs/>
        </w:rPr>
        <w:t>t</w:t>
      </w:r>
      <w:r>
        <w:t>.</w:t>
      </w:r>
    </w:p>
    <w:p w14:paraId="6F48CA1B" w14:textId="77777777" w:rsidR="00A47AB0" w:rsidRDefault="00A47AB0" w:rsidP="00554EDA">
      <w:r>
        <w:rPr>
          <w:spacing w:val="-4"/>
        </w:rPr>
        <w:lastRenderedPageBreak/>
        <w:t>Markov</w:t>
      </w:r>
      <w:r>
        <w:rPr>
          <w:spacing w:val="-7"/>
        </w:rPr>
        <w:t xml:space="preserve"> </w:t>
      </w:r>
      <w:r>
        <w:rPr>
          <w:spacing w:val="-4"/>
        </w:rPr>
        <w:t>switching</w:t>
      </w:r>
      <w:r>
        <w:rPr>
          <w:spacing w:val="-8"/>
        </w:rPr>
        <w:t xml:space="preserve"> </w:t>
      </w:r>
      <w:r>
        <w:rPr>
          <w:spacing w:val="-4"/>
        </w:rPr>
        <w:t>vector</w:t>
      </w:r>
      <w:r>
        <w:rPr>
          <w:spacing w:val="-7"/>
        </w:rPr>
        <w:t xml:space="preserve"> </w:t>
      </w:r>
      <w:r>
        <w:rPr>
          <w:spacing w:val="-4"/>
        </w:rPr>
        <w:t>error</w:t>
      </w:r>
      <w:r>
        <w:rPr>
          <w:spacing w:val="-7"/>
        </w:rPr>
        <w:t xml:space="preserve"> </w:t>
      </w:r>
      <w:r>
        <w:rPr>
          <w:spacing w:val="-4"/>
        </w:rPr>
        <w:t>correction</w:t>
      </w:r>
      <w:r>
        <w:rPr>
          <w:spacing w:val="-7"/>
        </w:rPr>
        <w:t xml:space="preserve"> </w:t>
      </w:r>
      <w:r>
        <w:rPr>
          <w:spacing w:val="-4"/>
        </w:rPr>
        <w:t>models</w:t>
      </w:r>
      <w:r>
        <w:rPr>
          <w:spacing w:val="-7"/>
        </w:rPr>
        <w:t xml:space="preserve"> </w:t>
      </w:r>
      <w:r>
        <w:rPr>
          <w:spacing w:val="-4"/>
        </w:rPr>
        <w:t>(MS-VECMs)</w:t>
      </w:r>
      <w:r>
        <w:rPr>
          <w:spacing w:val="-7"/>
        </w:rPr>
        <w:t xml:space="preserve"> </w:t>
      </w:r>
      <w:r>
        <w:rPr>
          <w:spacing w:val="-4"/>
        </w:rPr>
        <w:t>are</w:t>
      </w:r>
      <w:r>
        <w:rPr>
          <w:spacing w:val="-8"/>
        </w:rPr>
        <w:t xml:space="preserve"> </w:t>
      </w:r>
      <w:r>
        <w:rPr>
          <w:spacing w:val="-4"/>
        </w:rPr>
        <w:t>an</w:t>
      </w:r>
      <w:r>
        <w:rPr>
          <w:spacing w:val="-7"/>
        </w:rPr>
        <w:t xml:space="preserve"> </w:t>
      </w:r>
      <w:r>
        <w:rPr>
          <w:spacing w:val="-4"/>
        </w:rPr>
        <w:t xml:space="preserve">extension </w:t>
      </w:r>
      <w:r>
        <w:t>of</w:t>
      </w:r>
      <w:r>
        <w:rPr>
          <w:spacing w:val="-8"/>
        </w:rPr>
        <w:t xml:space="preserve"> </w:t>
      </w:r>
      <w:r>
        <w:t>traditional</w:t>
      </w:r>
      <w:r>
        <w:rPr>
          <w:spacing w:val="-8"/>
        </w:rPr>
        <w:t xml:space="preserve"> </w:t>
      </w:r>
      <w:r>
        <w:t>VECM</w:t>
      </w:r>
      <w:r>
        <w:rPr>
          <w:spacing w:val="-8"/>
        </w:rPr>
        <w:t xml:space="preserve"> </w:t>
      </w:r>
      <w:r>
        <w:t>models</w:t>
      </w:r>
      <w:r>
        <w:rPr>
          <w:spacing w:val="-8"/>
        </w:rPr>
        <w:t xml:space="preserve"> </w:t>
      </w:r>
      <w:r>
        <w:t>that</w:t>
      </w:r>
      <w:r>
        <w:rPr>
          <w:spacing w:val="-8"/>
        </w:rPr>
        <w:t xml:space="preserve"> </w:t>
      </w:r>
      <w:r>
        <w:t>allow</w:t>
      </w:r>
      <w:r>
        <w:rPr>
          <w:spacing w:val="-8"/>
        </w:rPr>
        <w:t xml:space="preserve"> </w:t>
      </w:r>
      <w:r>
        <w:t>for</w:t>
      </w:r>
      <w:r>
        <w:rPr>
          <w:spacing w:val="-8"/>
        </w:rPr>
        <w:t xml:space="preserve"> </w:t>
      </w:r>
      <w:r>
        <w:t>state-dependent</w:t>
      </w:r>
      <w:r>
        <w:rPr>
          <w:spacing w:val="-8"/>
        </w:rPr>
        <w:t xml:space="preserve"> </w:t>
      </w:r>
      <w:r>
        <w:t>parameters.</w:t>
      </w:r>
      <w:r>
        <w:rPr>
          <w:spacing w:val="19"/>
        </w:rPr>
        <w:t xml:space="preserve"> </w:t>
      </w:r>
      <w:r>
        <w:t>The</w:t>
      </w:r>
      <w:r>
        <w:rPr>
          <w:spacing w:val="-8"/>
        </w:rPr>
        <w:t xml:space="preserve"> </w:t>
      </w:r>
      <w:r>
        <w:t>central</w:t>
      </w:r>
      <w:r>
        <w:rPr>
          <w:spacing w:val="-14"/>
        </w:rPr>
        <w:t xml:space="preserve"> </w:t>
      </w:r>
      <w:r>
        <w:t>feature</w:t>
      </w:r>
      <w:r>
        <w:rPr>
          <w:spacing w:val="-14"/>
        </w:rPr>
        <w:t xml:space="preserve"> </w:t>
      </w:r>
      <w:r>
        <w:t>of</w:t>
      </w:r>
      <w:r>
        <w:rPr>
          <w:spacing w:val="-14"/>
        </w:rPr>
        <w:t xml:space="preserve"> </w:t>
      </w:r>
      <w:r>
        <w:t>the</w:t>
      </w:r>
      <w:r>
        <w:rPr>
          <w:spacing w:val="-14"/>
        </w:rPr>
        <w:t xml:space="preserve"> </w:t>
      </w:r>
      <w:r>
        <w:t>MS-VECM</w:t>
      </w:r>
      <w:r>
        <w:rPr>
          <w:spacing w:val="-14"/>
        </w:rPr>
        <w:t xml:space="preserve"> </w:t>
      </w:r>
      <w:r>
        <w:t>is</w:t>
      </w:r>
      <w:r>
        <w:rPr>
          <w:spacing w:val="-14"/>
        </w:rPr>
        <w:t xml:space="preserve"> </w:t>
      </w:r>
      <w:r>
        <w:t>a</w:t>
      </w:r>
      <w:r>
        <w:rPr>
          <w:spacing w:val="-14"/>
        </w:rPr>
        <w:t xml:space="preserve"> </w:t>
      </w:r>
      <w:r>
        <w:t>latent,</w:t>
      </w:r>
      <w:r>
        <w:rPr>
          <w:spacing w:val="-14"/>
        </w:rPr>
        <w:t xml:space="preserve"> </w:t>
      </w:r>
      <w:r>
        <w:t>unobservable</w:t>
      </w:r>
      <w:r>
        <w:rPr>
          <w:spacing w:val="-14"/>
        </w:rPr>
        <w:t xml:space="preserve"> </w:t>
      </w:r>
      <w:r>
        <w:t>variable</w:t>
      </w:r>
      <w:r>
        <w:rPr>
          <w:spacing w:val="-14"/>
        </w:rPr>
        <w:t xml:space="preserve"> </w:t>
      </w:r>
      <w:r>
        <w:t>that</w:t>
      </w:r>
      <w:r>
        <w:rPr>
          <w:spacing w:val="-14"/>
        </w:rPr>
        <w:t xml:space="preserve"> </w:t>
      </w:r>
      <w:r>
        <w:t>governs</w:t>
      </w:r>
      <w:r>
        <w:rPr>
          <w:spacing w:val="-14"/>
        </w:rPr>
        <w:t xml:space="preserve"> </w:t>
      </w:r>
      <w:r>
        <w:t>which regime the model is in at any given time.</w:t>
      </w:r>
      <w:r>
        <w:rPr>
          <w:spacing w:val="40"/>
        </w:rPr>
        <w:t xml:space="preserve"> </w:t>
      </w:r>
      <w:r>
        <w:t xml:space="preserve">This latent variable follows a Markov </w:t>
      </w:r>
      <w:r>
        <w:rPr>
          <w:spacing w:val="-4"/>
        </w:rPr>
        <w:t>process, which dictates the transition probabilities between different regimes.</w:t>
      </w:r>
      <w:r>
        <w:rPr>
          <w:spacing w:val="13"/>
        </w:rPr>
        <w:t xml:space="preserve"> </w:t>
      </w:r>
      <w:r>
        <w:rPr>
          <w:spacing w:val="-4"/>
        </w:rPr>
        <w:t xml:space="preserve">Each </w:t>
      </w:r>
      <w:r>
        <w:rPr>
          <w:spacing w:val="-6"/>
        </w:rPr>
        <w:t xml:space="preserve">regime is characterised by its own set of parameters, such as the speed of adjustment </w:t>
      </w:r>
      <w:r>
        <w:rPr>
          <w:spacing w:val="-2"/>
        </w:rPr>
        <w:t>towards</w:t>
      </w:r>
      <w:r>
        <w:rPr>
          <w:spacing w:val="-5"/>
        </w:rPr>
        <w:t xml:space="preserve"> </w:t>
      </w:r>
      <w:r>
        <w:rPr>
          <w:spacing w:val="-2"/>
        </w:rPr>
        <w:t>the</w:t>
      </w:r>
      <w:r>
        <w:rPr>
          <w:spacing w:val="-5"/>
        </w:rPr>
        <w:t xml:space="preserve"> </w:t>
      </w:r>
      <w:r>
        <w:rPr>
          <w:spacing w:val="-2"/>
        </w:rPr>
        <w:t>long-term</w:t>
      </w:r>
      <w:r>
        <w:rPr>
          <w:spacing w:val="-5"/>
        </w:rPr>
        <w:t xml:space="preserve"> </w:t>
      </w:r>
      <w:r>
        <w:rPr>
          <w:spacing w:val="-2"/>
        </w:rPr>
        <w:t>equilibrium,</w:t>
      </w:r>
      <w:r>
        <w:rPr>
          <w:spacing w:val="-5"/>
        </w:rPr>
        <w:t xml:space="preserve"> </w:t>
      </w:r>
      <w:r>
        <w:rPr>
          <w:spacing w:val="-2"/>
        </w:rPr>
        <w:t>short-term</w:t>
      </w:r>
      <w:r>
        <w:rPr>
          <w:spacing w:val="-5"/>
        </w:rPr>
        <w:t xml:space="preserve"> </w:t>
      </w:r>
      <w:r>
        <w:rPr>
          <w:spacing w:val="-2"/>
        </w:rPr>
        <w:t>dynamics,</w:t>
      </w:r>
      <w:r>
        <w:rPr>
          <w:spacing w:val="-5"/>
        </w:rPr>
        <w:t xml:space="preserve"> </w:t>
      </w:r>
      <w:r>
        <w:rPr>
          <w:spacing w:val="-2"/>
        </w:rPr>
        <w:t>and</w:t>
      </w:r>
      <w:r>
        <w:rPr>
          <w:spacing w:val="-5"/>
        </w:rPr>
        <w:t xml:space="preserve"> </w:t>
      </w:r>
      <w:r>
        <w:rPr>
          <w:spacing w:val="-2"/>
        </w:rPr>
        <w:t>error</w:t>
      </w:r>
      <w:r>
        <w:rPr>
          <w:spacing w:val="-5"/>
        </w:rPr>
        <w:t xml:space="preserve"> </w:t>
      </w:r>
      <w:r>
        <w:rPr>
          <w:spacing w:val="-2"/>
        </w:rPr>
        <w:t>variance.</w:t>
      </w:r>
    </w:p>
    <w:p w14:paraId="260A09B7" w14:textId="03F8C7A0" w:rsidR="00A47AB0" w:rsidRDefault="00A47AB0" w:rsidP="00554EDA">
      <w:pPr>
        <w:rPr>
          <w:spacing w:val="-4"/>
        </w:rPr>
      </w:pPr>
      <w:r>
        <w:t xml:space="preserve">The unobserved latent variable, </w:t>
      </w:r>
      <w:r>
        <w:rPr>
          <w:i/>
        </w:rPr>
        <w:t>s</w:t>
      </w:r>
      <w:r>
        <w:rPr>
          <w:i/>
          <w:vertAlign w:val="subscript"/>
        </w:rPr>
        <w:t>t</w:t>
      </w:r>
      <w:r>
        <w:t>, takes on a finite number of values, repre</w:t>
      </w:r>
      <w:r>
        <w:rPr>
          <w:spacing w:val="-2"/>
        </w:rPr>
        <w:t>senting</w:t>
      </w:r>
      <w:r>
        <w:rPr>
          <w:spacing w:val="-10"/>
        </w:rPr>
        <w:t xml:space="preserve"> </w:t>
      </w:r>
      <w:r>
        <w:rPr>
          <w:spacing w:val="-2"/>
        </w:rPr>
        <w:t>each</w:t>
      </w:r>
      <w:r>
        <w:rPr>
          <w:spacing w:val="-10"/>
        </w:rPr>
        <w:t xml:space="preserve"> </w:t>
      </w:r>
      <w:r>
        <w:rPr>
          <w:spacing w:val="-2"/>
        </w:rPr>
        <w:t>different</w:t>
      </w:r>
      <w:r>
        <w:rPr>
          <w:spacing w:val="-10"/>
        </w:rPr>
        <w:t xml:space="preserve"> </w:t>
      </w:r>
      <w:r>
        <w:rPr>
          <w:spacing w:val="-2"/>
        </w:rPr>
        <w:t>regime.</w:t>
      </w:r>
      <w:r>
        <w:rPr>
          <w:spacing w:val="10"/>
        </w:rPr>
        <w:t xml:space="preserve"> </w:t>
      </w:r>
      <w:r>
        <w:rPr>
          <w:spacing w:val="-2"/>
        </w:rPr>
        <w:t>Given</w:t>
      </w:r>
      <w:r>
        <w:rPr>
          <w:spacing w:val="-10"/>
        </w:rPr>
        <w:t xml:space="preserve"> </w:t>
      </w:r>
      <w:r>
        <w:rPr>
          <w:spacing w:val="-2"/>
        </w:rPr>
        <w:t>our</w:t>
      </w:r>
      <w:r>
        <w:rPr>
          <w:spacing w:val="-10"/>
        </w:rPr>
        <w:t xml:space="preserve"> </w:t>
      </w:r>
      <w:r>
        <w:rPr>
          <w:spacing w:val="-2"/>
        </w:rPr>
        <w:t>modest</w:t>
      </w:r>
      <w:r>
        <w:rPr>
          <w:spacing w:val="-10"/>
        </w:rPr>
        <w:t xml:space="preserve"> </w:t>
      </w:r>
      <w:r>
        <w:rPr>
          <w:spacing w:val="-2"/>
        </w:rPr>
        <w:t>sample</w:t>
      </w:r>
      <w:r>
        <w:rPr>
          <w:spacing w:val="-10"/>
        </w:rPr>
        <w:t xml:space="preserve"> </w:t>
      </w:r>
      <w:r>
        <w:rPr>
          <w:spacing w:val="-2"/>
        </w:rPr>
        <w:t>size</w:t>
      </w:r>
      <w:r>
        <w:rPr>
          <w:spacing w:val="-10"/>
        </w:rPr>
        <w:t xml:space="preserve"> </w:t>
      </w:r>
      <w:r>
        <w:rPr>
          <w:spacing w:val="-2"/>
        </w:rPr>
        <w:t>and</w:t>
      </w:r>
      <w:r>
        <w:rPr>
          <w:spacing w:val="-10"/>
        </w:rPr>
        <w:t xml:space="preserve"> </w:t>
      </w:r>
      <w:r>
        <w:rPr>
          <w:spacing w:val="-2"/>
        </w:rPr>
        <w:t>the</w:t>
      </w:r>
      <w:r>
        <w:rPr>
          <w:spacing w:val="-10"/>
        </w:rPr>
        <w:t xml:space="preserve"> </w:t>
      </w:r>
      <w:r>
        <w:rPr>
          <w:spacing w:val="-2"/>
        </w:rPr>
        <w:t>large</w:t>
      </w:r>
      <w:r>
        <w:rPr>
          <w:spacing w:val="-10"/>
        </w:rPr>
        <w:t xml:space="preserve"> </w:t>
      </w:r>
      <w:r>
        <w:rPr>
          <w:spacing w:val="-2"/>
        </w:rPr>
        <w:t xml:space="preserve">number </w:t>
      </w:r>
      <w:r>
        <w:t>of</w:t>
      </w:r>
      <w:r>
        <w:rPr>
          <w:spacing w:val="-1"/>
        </w:rPr>
        <w:t xml:space="preserve"> </w:t>
      </w:r>
      <w:r>
        <w:t>parameters, our</w:t>
      </w:r>
      <w:r>
        <w:rPr>
          <w:spacing w:val="-1"/>
        </w:rPr>
        <w:t xml:space="preserve"> </w:t>
      </w:r>
      <w:r>
        <w:t>MS-VECM</w:t>
      </w:r>
      <w:r>
        <w:rPr>
          <w:spacing w:val="-1"/>
        </w:rPr>
        <w:t xml:space="preserve"> </w:t>
      </w:r>
      <w:r>
        <w:t>models</w:t>
      </w:r>
      <w:r>
        <w:rPr>
          <w:spacing w:val="-1"/>
        </w:rPr>
        <w:t xml:space="preserve"> </w:t>
      </w:r>
      <w:r>
        <w:t>only</w:t>
      </w:r>
      <w:r>
        <w:rPr>
          <w:spacing w:val="-1"/>
        </w:rPr>
        <w:t xml:space="preserve"> </w:t>
      </w:r>
      <w:r>
        <w:t>allow</w:t>
      </w:r>
      <w:r>
        <w:rPr>
          <w:spacing w:val="-1"/>
        </w:rPr>
        <w:t xml:space="preserve"> </w:t>
      </w:r>
      <w:r>
        <w:t>for</w:t>
      </w:r>
      <w:r>
        <w:rPr>
          <w:spacing w:val="-1"/>
        </w:rPr>
        <w:t xml:space="preserve"> </w:t>
      </w:r>
      <w:r>
        <w:t>a</w:t>
      </w:r>
      <w:r>
        <w:rPr>
          <w:spacing w:val="-1"/>
        </w:rPr>
        <w:t xml:space="preserve"> </w:t>
      </w:r>
      <w:r>
        <w:t>maximum</w:t>
      </w:r>
      <w:r>
        <w:rPr>
          <w:spacing w:val="-1"/>
        </w:rPr>
        <w:t xml:space="preserve"> </w:t>
      </w:r>
      <w:r>
        <w:t>of</w:t>
      </w:r>
      <w:r>
        <w:rPr>
          <w:spacing w:val="-1"/>
        </w:rPr>
        <w:t xml:space="preserve"> </w:t>
      </w:r>
      <w:r>
        <w:t>two</w:t>
      </w:r>
      <w:r>
        <w:rPr>
          <w:spacing w:val="-1"/>
        </w:rPr>
        <w:t xml:space="preserve"> </w:t>
      </w:r>
      <w:r>
        <w:t xml:space="preserve">regimes. </w:t>
      </w:r>
      <w:r>
        <w:rPr>
          <w:spacing w:val="-2"/>
        </w:rPr>
        <w:t>The</w:t>
      </w:r>
      <w:r>
        <w:rPr>
          <w:spacing w:val="-13"/>
        </w:rPr>
        <w:t xml:space="preserve"> </w:t>
      </w:r>
      <w:r>
        <w:rPr>
          <w:spacing w:val="-2"/>
        </w:rPr>
        <w:t>transition</w:t>
      </w:r>
      <w:r>
        <w:rPr>
          <w:spacing w:val="-12"/>
        </w:rPr>
        <w:t xml:space="preserve"> </w:t>
      </w:r>
      <w:r>
        <w:rPr>
          <w:spacing w:val="-2"/>
        </w:rPr>
        <w:t>between</w:t>
      </w:r>
      <w:r>
        <w:rPr>
          <w:spacing w:val="-13"/>
        </w:rPr>
        <w:t xml:space="preserve"> </w:t>
      </w:r>
      <w:r>
        <w:rPr>
          <w:spacing w:val="-2"/>
        </w:rPr>
        <w:t>these</w:t>
      </w:r>
      <w:r>
        <w:rPr>
          <w:spacing w:val="-12"/>
        </w:rPr>
        <w:t xml:space="preserve"> </w:t>
      </w:r>
      <w:r>
        <w:rPr>
          <w:spacing w:val="-2"/>
        </w:rPr>
        <w:t>regimes</w:t>
      </w:r>
      <w:r>
        <w:rPr>
          <w:spacing w:val="-13"/>
        </w:rPr>
        <w:t xml:space="preserve"> </w:t>
      </w:r>
      <w:r>
        <w:rPr>
          <w:spacing w:val="-2"/>
        </w:rPr>
        <w:t>occurs</w:t>
      </w:r>
      <w:r>
        <w:rPr>
          <w:spacing w:val="-12"/>
        </w:rPr>
        <w:t xml:space="preserve"> </w:t>
      </w:r>
      <w:r>
        <w:rPr>
          <w:spacing w:val="-2"/>
        </w:rPr>
        <w:t>discretely</w:t>
      </w:r>
      <w:r>
        <w:rPr>
          <w:spacing w:val="-13"/>
        </w:rPr>
        <w:t xml:space="preserve"> </w:t>
      </w:r>
      <w:r>
        <w:rPr>
          <w:spacing w:val="-2"/>
        </w:rPr>
        <w:t>at</w:t>
      </w:r>
      <w:r>
        <w:rPr>
          <w:spacing w:val="-12"/>
        </w:rPr>
        <w:t xml:space="preserve"> </w:t>
      </w:r>
      <w:r>
        <w:rPr>
          <w:spacing w:val="-2"/>
        </w:rPr>
        <w:t>every</w:t>
      </w:r>
      <w:r>
        <w:rPr>
          <w:spacing w:val="-13"/>
        </w:rPr>
        <w:t xml:space="preserve"> </w:t>
      </w:r>
      <w:r>
        <w:rPr>
          <w:spacing w:val="-2"/>
        </w:rPr>
        <w:t>step</w:t>
      </w:r>
      <w:r>
        <w:rPr>
          <w:spacing w:val="-12"/>
        </w:rPr>
        <w:t xml:space="preserve"> </w:t>
      </w:r>
      <w:r>
        <w:rPr>
          <w:spacing w:val="-2"/>
        </w:rPr>
        <w:t>in</w:t>
      </w:r>
      <w:r>
        <w:rPr>
          <w:spacing w:val="-13"/>
        </w:rPr>
        <w:t xml:space="preserve"> </w:t>
      </w:r>
      <w:r>
        <w:rPr>
          <w:spacing w:val="-2"/>
        </w:rPr>
        <w:t>time</w:t>
      </w:r>
      <w:r>
        <w:rPr>
          <w:spacing w:val="-12"/>
        </w:rPr>
        <w:t xml:space="preserve"> </w:t>
      </w:r>
      <w:r>
        <w:rPr>
          <w:spacing w:val="-2"/>
        </w:rPr>
        <w:t>(in</w:t>
      </w:r>
      <w:r>
        <w:rPr>
          <w:spacing w:val="-13"/>
        </w:rPr>
        <w:t xml:space="preserve"> </w:t>
      </w:r>
      <w:r>
        <w:rPr>
          <w:spacing w:val="-2"/>
        </w:rPr>
        <w:t xml:space="preserve">this </w:t>
      </w:r>
      <w:r>
        <w:t>case, every month).</w:t>
      </w:r>
      <w:r>
        <w:rPr>
          <w:spacing w:val="40"/>
        </w:rPr>
        <w:t xml:space="preserve"> </w:t>
      </w:r>
      <w:r>
        <w:t xml:space="preserve">The switch is governed by a discrete time Markov chain - a </w:t>
      </w:r>
      <w:r>
        <w:rPr>
          <w:spacing w:val="-4"/>
        </w:rPr>
        <w:t>stochastic</w:t>
      </w:r>
      <w:r>
        <w:rPr>
          <w:spacing w:val="14"/>
        </w:rPr>
        <w:t xml:space="preserve"> </w:t>
      </w:r>
      <w:r>
        <w:rPr>
          <w:spacing w:val="-4"/>
        </w:rPr>
        <w:t>process</w:t>
      </w:r>
      <w:r>
        <w:rPr>
          <w:spacing w:val="13"/>
        </w:rPr>
        <w:t xml:space="preserve"> </w:t>
      </w:r>
      <w:r>
        <w:rPr>
          <w:spacing w:val="-4"/>
        </w:rPr>
        <w:t>which</w:t>
      </w:r>
      <w:r>
        <w:rPr>
          <w:spacing w:val="14"/>
        </w:rPr>
        <w:t xml:space="preserve"> </w:t>
      </w:r>
      <w:r>
        <w:rPr>
          <w:spacing w:val="-4"/>
        </w:rPr>
        <w:t>specifies</w:t>
      </w:r>
      <w:r>
        <w:rPr>
          <w:spacing w:val="14"/>
        </w:rPr>
        <w:t xml:space="preserve"> </w:t>
      </w:r>
      <w:r>
        <w:rPr>
          <w:spacing w:val="-4"/>
        </w:rPr>
        <w:t>the</w:t>
      </w:r>
      <w:r>
        <w:rPr>
          <w:spacing w:val="14"/>
        </w:rPr>
        <w:t xml:space="preserve"> </w:t>
      </w:r>
      <w:r>
        <w:rPr>
          <w:spacing w:val="-4"/>
        </w:rPr>
        <w:t>probabilities</w:t>
      </w:r>
      <w:r>
        <w:rPr>
          <w:spacing w:val="14"/>
        </w:rPr>
        <w:t xml:space="preserve"> </w:t>
      </w:r>
      <w:r>
        <w:rPr>
          <w:spacing w:val="-4"/>
        </w:rPr>
        <w:t>of</w:t>
      </w:r>
      <w:r>
        <w:rPr>
          <w:spacing w:val="14"/>
        </w:rPr>
        <w:t xml:space="preserve"> </w:t>
      </w:r>
      <w:r>
        <w:rPr>
          <w:spacing w:val="-4"/>
        </w:rPr>
        <w:t>moving</w:t>
      </w:r>
      <w:r w:rsidR="00754207">
        <w:rPr>
          <w:spacing w:val="-4"/>
        </w:rPr>
        <w:t xml:space="preserve"> </w:t>
      </w:r>
      <w:r w:rsidR="00754207" w:rsidRPr="00754207">
        <w:rPr>
          <w:spacing w:val="-4"/>
        </w:rPr>
        <w:t>from one regime to</w:t>
      </w:r>
      <w:r w:rsidR="00754207">
        <w:rPr>
          <w:spacing w:val="-4"/>
        </w:rPr>
        <w:t xml:space="preserve"> </w:t>
      </w:r>
      <w:r w:rsidR="00754207" w:rsidRPr="00754207">
        <w:rPr>
          <w:spacing w:val="-4"/>
        </w:rPr>
        <w:t xml:space="preserve">another. The transition matrix of a two-state Markov chain, denoted P , contains these probabilities where each element </w:t>
      </w:r>
      <w:r w:rsidR="00754207">
        <w:rPr>
          <w:i/>
          <w:spacing w:val="-4"/>
        </w:rPr>
        <w:t>p</w:t>
      </w:r>
      <w:r w:rsidR="00754207">
        <w:rPr>
          <w:i/>
          <w:spacing w:val="-4"/>
          <w:vertAlign w:val="subscript"/>
        </w:rPr>
        <w:t>ij</w:t>
      </w:r>
      <w:r w:rsidR="00754207" w:rsidRPr="00754207">
        <w:rPr>
          <w:spacing w:val="-4"/>
        </w:rPr>
        <w:t xml:space="preserve"> represents the probability of transitioning from regime i to j in the next period.</w:t>
      </w:r>
    </w:p>
    <w:p w14:paraId="7353A5C2" w14:textId="6B0AF0CB" w:rsidR="00754207" w:rsidRPr="00754207" w:rsidRDefault="00754207" w:rsidP="00554EDA">
      <m:oMathPara>
        <m:oMath>
          <m:r>
            <m:rPr>
              <m:sty m:val="bi"/>
            </m:rPr>
            <w:rPr>
              <w:rFonts w:ascii="Cambria Math" w:hAnsi="Cambria Math"/>
            </w:rPr>
            <m:t>P</m:t>
          </m:r>
          <m:r>
            <w:rPr>
              <w:rFonts w:ascii="Cambria Math" w:hAnsi="Cambria Math"/>
            </w:rPr>
            <m:t>=</m:t>
          </m:r>
          <m:d>
            <m:dPr>
              <m:begChr m:val="["/>
              <m:endChr m:val="]"/>
              <m:ctrlPr>
                <w:rPr>
                  <w:rFonts w:ascii="Cambria Math" w:eastAsia="MS Mincho" w:hAnsi="Cambria Math" w:cs="MS Mincho"/>
                </w:rPr>
              </m:ctrlPr>
            </m:dPr>
            <m:e>
              <m:m>
                <m:mPr>
                  <m:mcs>
                    <m:mc>
                      <m:mcPr>
                        <m:count m:val="2"/>
                        <m:mcJc m:val="center"/>
                      </m:mcPr>
                    </m:mc>
                  </m:mcs>
                  <m:ctrlPr>
                    <w:rPr>
                      <w:rFonts w:ascii="Cambria Math" w:eastAsia="MS Mincho" w:hAnsi="Cambria Math" w:cs="MS Mincho"/>
                    </w:rPr>
                  </m:ctrlPr>
                </m:mPr>
                <m:mr>
                  <m:e>
                    <m:sSub>
                      <m:sSubPr>
                        <m:ctrlPr>
                          <w:rPr>
                            <w:rFonts w:ascii="Cambria Math" w:hAnsi="Cambria Math"/>
                            <w:i/>
                          </w:rPr>
                        </m:ctrlPr>
                      </m:sSubPr>
                      <m:e>
                        <m:r>
                          <w:rPr>
                            <w:rFonts w:ascii="Cambria Math" w:hAnsi="Cambria Math"/>
                          </w:rPr>
                          <m:t>p</m:t>
                        </m:r>
                      </m:e>
                      <m:sub>
                        <m:r>
                          <w:rPr>
                            <w:rFonts w:ascii="Cambria Math" w:hAnsi="Cambria Math"/>
                          </w:rPr>
                          <m:t>11</m:t>
                        </m:r>
                      </m:sub>
                    </m:sSub>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12</m:t>
                        </m:r>
                      </m:sub>
                    </m:sSub>
                    <m:ctrlPr>
                      <w:rPr>
                        <w:rFonts w:ascii="Cambria Math" w:hAnsi="Cambria Math"/>
                        <w:i/>
                      </w:rPr>
                    </m:ctrlPr>
                  </m:e>
                </m:mr>
                <m:mr>
                  <m:e>
                    <m:sSub>
                      <m:sSubPr>
                        <m:ctrlPr>
                          <w:rPr>
                            <w:rFonts w:ascii="Cambria Math" w:hAnsi="Cambria Math"/>
                            <w:i/>
                          </w:rPr>
                        </m:ctrlPr>
                      </m:sSubPr>
                      <m:e>
                        <m:r>
                          <w:rPr>
                            <w:rFonts w:ascii="Cambria Math" w:hAnsi="Cambria Math"/>
                          </w:rPr>
                          <m:t>p</m:t>
                        </m:r>
                      </m:e>
                      <m:sub>
                        <m:r>
                          <w:rPr>
                            <w:rFonts w:ascii="Cambria Math" w:hAnsi="Cambria Math"/>
                          </w:rPr>
                          <m:t>21</m:t>
                        </m:r>
                      </m:sub>
                    </m:sSub>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22</m:t>
                        </m:r>
                      </m:sub>
                    </m:sSub>
                    <m:ctrlPr>
                      <w:rPr>
                        <w:rFonts w:ascii="Cambria Math" w:hAnsi="Cambria Math"/>
                        <w:i/>
                      </w:rPr>
                    </m:ctrlPr>
                  </m:e>
                </m:mr>
              </m:m>
            </m:e>
          </m:d>
        </m:oMath>
      </m:oMathPara>
    </w:p>
    <w:p w14:paraId="6F421149" w14:textId="77777777" w:rsidR="00754207" w:rsidRDefault="00754207" w:rsidP="00554EDA">
      <w:r>
        <w:rPr>
          <w:spacing w:val="-4"/>
        </w:rPr>
        <w:t>Markov</w:t>
      </w:r>
      <w:r>
        <w:rPr>
          <w:spacing w:val="-11"/>
        </w:rPr>
        <w:t xml:space="preserve"> </w:t>
      </w:r>
      <w:r>
        <w:rPr>
          <w:spacing w:val="-4"/>
        </w:rPr>
        <w:t>chains</w:t>
      </w:r>
      <w:r>
        <w:rPr>
          <w:spacing w:val="-10"/>
        </w:rPr>
        <w:t xml:space="preserve"> </w:t>
      </w:r>
      <w:r>
        <w:rPr>
          <w:spacing w:val="-4"/>
        </w:rPr>
        <w:t>are</w:t>
      </w:r>
      <w:r>
        <w:rPr>
          <w:spacing w:val="-11"/>
        </w:rPr>
        <w:t xml:space="preserve"> </w:t>
      </w:r>
      <w:r>
        <w:rPr>
          <w:spacing w:val="-4"/>
        </w:rPr>
        <w:t>memoryless,</w:t>
      </w:r>
      <w:r>
        <w:rPr>
          <w:spacing w:val="-9"/>
        </w:rPr>
        <w:t xml:space="preserve"> </w:t>
      </w:r>
      <w:r>
        <w:rPr>
          <w:spacing w:val="-4"/>
        </w:rPr>
        <w:t>meaning</w:t>
      </w:r>
      <w:r>
        <w:rPr>
          <w:spacing w:val="-10"/>
        </w:rPr>
        <w:t xml:space="preserve"> </w:t>
      </w:r>
      <w:r>
        <w:rPr>
          <w:spacing w:val="-4"/>
        </w:rPr>
        <w:t>the</w:t>
      </w:r>
      <w:r>
        <w:rPr>
          <w:spacing w:val="-11"/>
        </w:rPr>
        <w:t xml:space="preserve"> </w:t>
      </w:r>
      <w:r>
        <w:rPr>
          <w:spacing w:val="-4"/>
        </w:rPr>
        <w:t>probability</w:t>
      </w:r>
      <w:r>
        <w:rPr>
          <w:spacing w:val="-10"/>
        </w:rPr>
        <w:t xml:space="preserve"> </w:t>
      </w:r>
      <w:r>
        <w:rPr>
          <w:spacing w:val="-4"/>
        </w:rPr>
        <w:t>of</w:t>
      </w:r>
      <w:r>
        <w:rPr>
          <w:spacing w:val="-11"/>
        </w:rPr>
        <w:t xml:space="preserve"> </w:t>
      </w:r>
      <w:r>
        <w:rPr>
          <w:spacing w:val="-4"/>
        </w:rPr>
        <w:t>moving</w:t>
      </w:r>
      <w:r>
        <w:rPr>
          <w:spacing w:val="-10"/>
        </w:rPr>
        <w:t xml:space="preserve"> </w:t>
      </w:r>
      <w:r>
        <w:rPr>
          <w:spacing w:val="-4"/>
        </w:rPr>
        <w:t>to</w:t>
      </w:r>
      <w:r>
        <w:rPr>
          <w:spacing w:val="-11"/>
        </w:rPr>
        <w:t xml:space="preserve"> </w:t>
      </w:r>
      <w:r>
        <w:rPr>
          <w:spacing w:val="-4"/>
        </w:rPr>
        <w:t>a</w:t>
      </w:r>
      <w:r>
        <w:rPr>
          <w:spacing w:val="-10"/>
        </w:rPr>
        <w:t xml:space="preserve"> </w:t>
      </w:r>
      <w:r>
        <w:rPr>
          <w:spacing w:val="-4"/>
        </w:rPr>
        <w:t xml:space="preserve">different </w:t>
      </w:r>
      <w:r>
        <w:t>state depends only on the current regime and not on any past states:</w:t>
      </w:r>
    </w:p>
    <w:p w14:paraId="549E0B10" w14:textId="77777777" w:rsidR="00754207" w:rsidRDefault="00754207" w:rsidP="00554EDA">
      <w:pPr>
        <w:pStyle w:val="BodyText"/>
        <w:spacing w:before="50"/>
        <w:ind w:left="0"/>
      </w:pPr>
    </w:p>
    <w:p w14:paraId="4E1B543B" w14:textId="77777777" w:rsidR="00754207" w:rsidRPr="00125B6C" w:rsidRDefault="00754207" w:rsidP="00554EDA">
      <w:pPr>
        <w:pStyle w:val="BodyText"/>
        <w:ind w:left="0"/>
        <w:rPr>
          <w:i/>
        </w:rPr>
      </w:pPr>
      <m:oMathPara>
        <m:oMath>
          <m:r>
            <w:rPr>
              <w:rFonts w:ascii="Cambria Math" w:hAnsi="Cambria Math"/>
            </w:rPr>
            <m:t>Pr</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=j</m:t>
              </m:r>
            </m:e>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=i,</m:t>
              </m:r>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t-2</m:t>
                  </m:r>
                </m:sub>
              </m:sSub>
              <m:r>
                <w:rPr>
                  <w:rFonts w:ascii="Cambria Math" w:hAnsi="Cambria Math"/>
                </w:rPr>
                <m:t>,</m:t>
              </m:r>
              <m:r>
                <m:rPr>
                  <m:sty m:val="p"/>
                </m:rPr>
                <w:rPr>
                  <w:rFonts w:ascii="Cambria Math" w:hAnsi="Cambria Math"/>
                </w:rPr>
                <m:t>…</m:t>
              </m:r>
            </m:e>
          </m:d>
          <m:r>
            <w:rPr>
              <w:rFonts w:ascii="Cambria Math" w:hAnsi="Cambria Math"/>
            </w:rPr>
            <m:t>=Pr</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=j</m:t>
              </m:r>
            </m:e>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oMath>
      </m:oMathPara>
    </w:p>
    <w:p w14:paraId="53272742" w14:textId="77777777" w:rsidR="00754207" w:rsidRDefault="00754207" w:rsidP="007D204B">
      <w:pPr>
        <w:keepNext/>
      </w:pPr>
      <w:r>
        <w:t>The</w:t>
      </w:r>
      <w:r>
        <w:rPr>
          <w:spacing w:val="-11"/>
        </w:rPr>
        <w:t xml:space="preserve"> </w:t>
      </w:r>
      <w:r>
        <w:t>two-state</w:t>
      </w:r>
      <w:r>
        <w:rPr>
          <w:spacing w:val="-11"/>
        </w:rPr>
        <w:t xml:space="preserve"> </w:t>
      </w:r>
      <w:r>
        <w:t>MS-VECM(p)</w:t>
      </w:r>
      <w:r>
        <w:rPr>
          <w:spacing w:val="-11"/>
        </w:rPr>
        <w:t xml:space="preserve"> </w:t>
      </w:r>
      <w:r>
        <w:t>with</w:t>
      </w:r>
      <w:r>
        <w:rPr>
          <w:spacing w:val="-11"/>
        </w:rPr>
        <w:t xml:space="preserve"> </w:t>
      </w:r>
      <w:r>
        <w:t>state</w:t>
      </w:r>
      <w:r>
        <w:rPr>
          <w:spacing w:val="-11"/>
        </w:rPr>
        <w:t xml:space="preserve"> </w:t>
      </w:r>
      <w:r>
        <w:t>dependent</w:t>
      </w:r>
      <w:r>
        <w:rPr>
          <w:spacing w:val="-11"/>
        </w:rPr>
        <w:t xml:space="preserve"> </w:t>
      </w:r>
      <w:r>
        <w:t>constant,</w:t>
      </w:r>
      <w:r>
        <w:rPr>
          <w:spacing w:val="-10"/>
        </w:rPr>
        <w:t xml:space="preserve"> </w:t>
      </w:r>
      <w:r>
        <w:t>adjustment</w:t>
      </w:r>
      <w:r>
        <w:rPr>
          <w:spacing w:val="-11"/>
        </w:rPr>
        <w:t xml:space="preserve"> </w:t>
      </w:r>
      <w:r>
        <w:t xml:space="preserve">speed </w:t>
      </w:r>
      <w:r>
        <w:rPr>
          <w:spacing w:val="-4"/>
        </w:rPr>
        <w:t>to</w:t>
      </w:r>
      <w:r>
        <w:rPr>
          <w:spacing w:val="-8"/>
        </w:rPr>
        <w:t xml:space="preserve"> </w:t>
      </w:r>
      <w:r>
        <w:rPr>
          <w:spacing w:val="-4"/>
        </w:rPr>
        <w:t>cointegrating</w:t>
      </w:r>
      <w:r>
        <w:rPr>
          <w:spacing w:val="-8"/>
        </w:rPr>
        <w:t xml:space="preserve"> </w:t>
      </w:r>
      <w:r>
        <w:rPr>
          <w:spacing w:val="-4"/>
        </w:rPr>
        <w:t>equilibrium,</w:t>
      </w:r>
      <w:r>
        <w:rPr>
          <w:spacing w:val="-7"/>
        </w:rPr>
        <w:t xml:space="preserve"> </w:t>
      </w:r>
      <w:r>
        <w:rPr>
          <w:spacing w:val="-4"/>
        </w:rPr>
        <w:t>heteroskedasticity,</w:t>
      </w:r>
      <w:r>
        <w:rPr>
          <w:spacing w:val="-7"/>
        </w:rPr>
        <w:t xml:space="preserve"> </w:t>
      </w:r>
      <w:r>
        <w:rPr>
          <w:spacing w:val="-4"/>
        </w:rPr>
        <w:t>and</w:t>
      </w:r>
      <w:r>
        <w:rPr>
          <w:spacing w:val="-7"/>
        </w:rPr>
        <w:t xml:space="preserve"> </w:t>
      </w:r>
      <w:r>
        <w:rPr>
          <w:spacing w:val="-4"/>
        </w:rPr>
        <w:t>short-run</w:t>
      </w:r>
      <w:r>
        <w:rPr>
          <w:spacing w:val="-8"/>
        </w:rPr>
        <w:t xml:space="preserve"> </w:t>
      </w:r>
      <w:r>
        <w:rPr>
          <w:spacing w:val="-4"/>
        </w:rPr>
        <w:t>dynamics</w:t>
      </w:r>
      <w:r>
        <w:rPr>
          <w:spacing w:val="-8"/>
        </w:rPr>
        <w:t xml:space="preserve"> </w:t>
      </w:r>
      <w:r>
        <w:rPr>
          <w:spacing w:val="-4"/>
        </w:rPr>
        <w:t>can</w:t>
      </w:r>
      <w:r>
        <w:rPr>
          <w:spacing w:val="-8"/>
        </w:rPr>
        <w:t xml:space="preserve"> </w:t>
      </w:r>
      <w:r>
        <w:rPr>
          <w:spacing w:val="-4"/>
        </w:rPr>
        <w:t>be</w:t>
      </w:r>
      <w:r>
        <w:rPr>
          <w:spacing w:val="-8"/>
        </w:rPr>
        <w:t xml:space="preserve"> </w:t>
      </w:r>
      <w:r>
        <w:rPr>
          <w:spacing w:val="-4"/>
        </w:rPr>
        <w:t xml:space="preserve">ex- </w:t>
      </w:r>
      <w:r>
        <w:t>pressed as follows</w:t>
      </w:r>
    </w:p>
    <w:p w14:paraId="2019F050" w14:textId="77777777" w:rsidR="00754207" w:rsidRPr="00E278BC" w:rsidRDefault="00754207" w:rsidP="007D204B">
      <w:pPr>
        <w:pStyle w:val="BodyText"/>
        <w:keepNext/>
        <w:spacing w:before="59"/>
        <w:ind w:left="0"/>
        <w:rPr>
          <w:i/>
        </w:rPr>
      </w:pPr>
      <m:oMathPara>
        <m:oMath>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m:rPr>
                  <m:sty m:val="b"/>
                </m:rPr>
                <w:rPr>
                  <w:rFonts w:ascii="Cambria Math" w:hAnsi="Cambria Math"/>
                </w:rPr>
                <m:t>ν</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sSub>
            <m:sSubPr>
              <m:ctrlPr>
                <w:rPr>
                  <w:rFonts w:ascii="Cambria Math" w:hAnsi="Cambria Math"/>
                  <w:i/>
                </w:rPr>
              </m:ctrlPr>
            </m:sSubPr>
            <m:e>
              <m:r>
                <m:rPr>
                  <m:sty m:val="b"/>
                </m:rPr>
                <w:rPr>
                  <w:rFonts w:ascii="Cambria Math" w:hAnsi="Cambria Math"/>
                </w:rPr>
                <m:t>α</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sSup>
            <m:sSupPr>
              <m:ctrlPr>
                <w:rPr>
                  <w:rFonts w:ascii="Cambria Math" w:hAnsi="Cambria Math"/>
                  <w:i/>
                </w:rPr>
              </m:ctrlPr>
            </m:sSupPr>
            <m:e>
              <m:r>
                <m:rPr>
                  <m:sty m:val="b"/>
                </m:rPr>
                <w:rPr>
                  <w:rFonts w:ascii="Cambria Math" w:hAnsi="Cambria Math"/>
                </w:rPr>
                <m:t>β</m:t>
              </m:r>
            </m:e>
            <m:sup>
              <m:r>
                <w:rPr>
                  <w:rFonts w:ascii="Cambria Math" w:hAnsi="Cambria Math"/>
                </w:rPr>
                <m:t>T</m:t>
              </m:r>
            </m:sup>
          </m:sSup>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r>
            <w:rPr>
              <w:rFonts w:ascii="Cambria Math" w:hAnsi="Cambria Math"/>
            </w:rPr>
            <m:t>+</m:t>
          </m:r>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p</m:t>
              </m:r>
              <m:ctrlPr>
                <w:rPr>
                  <w:rFonts w:ascii="Cambria Math" w:hAnsi="Cambria Math"/>
                  <w:i/>
                </w:rPr>
              </m:ctrlPr>
            </m:sup>
            <m:e>
              <m:sSub>
                <m:sSubPr>
                  <m:ctrlPr>
                    <w:rPr>
                      <w:rFonts w:ascii="Cambria Math" w:hAnsi="Cambria Math"/>
                      <w:i/>
                    </w:rPr>
                  </m:ctrlPr>
                </m:sSubPr>
                <m:e>
                  <m:r>
                    <m:rPr>
                      <m:sty m:val="b"/>
                    </m:rPr>
                    <w:rPr>
                      <w:rFonts w:ascii="Cambria Math" w:hAnsi="Cambria Math"/>
                    </w:rPr>
                    <m:t>Γ</m:t>
                  </m:r>
                </m:e>
                <m:sub>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t</m:t>
                      </m:r>
                    </m:sub>
                  </m:sSub>
                </m:sub>
              </m:sSub>
              <m:ctrlPr>
                <w:rPr>
                  <w:rFonts w:ascii="Cambria Math" w:hAnsi="Cambria Math"/>
                  <w:i/>
                </w:rPr>
              </m:ctrlPr>
            </m:e>
          </m:nary>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t-k</m:t>
              </m:r>
            </m:sub>
          </m:sSub>
          <m:r>
            <w:rPr>
              <w:rFonts w:ascii="Cambria Math" w:hAnsi="Cambria Math"/>
            </w:rPr>
            <m:t>+</m:t>
          </m:r>
          <m:sSub>
            <m:sSubPr>
              <m:ctrlPr>
                <w:rPr>
                  <w:rFonts w:ascii="Cambria Math" w:hAnsi="Cambria Math"/>
                  <w:i/>
                </w:rPr>
              </m:ctrlPr>
            </m:sSubPr>
            <m:e>
              <m:r>
                <m:rPr>
                  <m:sty m:val="b"/>
                </m:rPr>
                <w:rPr>
                  <w:rFonts w:ascii="Cambria Math" w:hAnsi="Cambria Math"/>
                </w:rPr>
                <m:t>ϵ</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oMath>
      </m:oMathPara>
    </w:p>
    <w:p w14:paraId="1E24DEAB" w14:textId="77777777" w:rsidR="00754207" w:rsidRDefault="00754207" w:rsidP="007D204B">
      <w:pPr>
        <w:pStyle w:val="BodyText"/>
        <w:keepNext/>
        <w:spacing w:before="59"/>
        <w:ind w:left="0"/>
        <w:rPr>
          <w:i/>
        </w:rPr>
      </w:pPr>
    </w:p>
    <w:p w14:paraId="077F030B" w14:textId="77777777" w:rsidR="00754207" w:rsidRDefault="00754207" w:rsidP="007D204B">
      <w:pPr>
        <w:keepNext/>
        <w:spacing w:before="59" w:line="312" w:lineRule="auto"/>
      </w:pPr>
      <w:r>
        <w:t>with</w:t>
      </w:r>
      <w:r>
        <w:rPr>
          <w:spacing w:val="-6"/>
        </w:rPr>
        <w:t xml:space="preserve"> </w:t>
      </w:r>
      <w:r>
        <w:t>state</w:t>
      </w:r>
      <w:r>
        <w:rPr>
          <w:spacing w:val="-6"/>
        </w:rPr>
        <w:t xml:space="preserve"> </w:t>
      </w:r>
      <w:r>
        <w:t>dependent</w:t>
      </w:r>
      <w:r>
        <w:rPr>
          <w:spacing w:val="-6"/>
        </w:rPr>
        <w:t xml:space="preserve"> </w:t>
      </w:r>
      <w:r>
        <w:t>parameters</w:t>
      </w:r>
    </w:p>
    <w:p w14:paraId="2EA463F6" w14:textId="77777777" w:rsidR="00754207" w:rsidRDefault="00754207" w:rsidP="00554EDA">
      <w:pPr>
        <w:pStyle w:val="BodyText"/>
        <w:ind w:left="0"/>
        <w:rPr>
          <w:spacing w:val="-2"/>
        </w:rPr>
      </w:pPr>
    </w:p>
    <w:p w14:paraId="739B9939" w14:textId="77777777" w:rsidR="00754207" w:rsidRDefault="00CD633C" w:rsidP="00554EDA">
      <w:pPr>
        <w:pStyle w:val="BodyText"/>
        <w:ind w:left="0"/>
      </w:pPr>
      <m:oMath>
        <m:sSub>
          <m:sSubPr>
            <m:ctrlPr>
              <w:rPr>
                <w:rFonts w:ascii="Cambria Math" w:hAnsi="Cambria Math"/>
                <w:i/>
              </w:rPr>
            </m:ctrlPr>
          </m:sSubPr>
          <m:e>
            <m:r>
              <m:rPr>
                <m:sty m:val="bi"/>
              </m:rPr>
              <w:rPr>
                <w:rFonts w:ascii="Cambria Math" w:hAnsi="Cambria Math"/>
              </w:rPr>
              <m:t>α</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bi"/>
                      </m:rPr>
                      <w:rPr>
                        <w:rFonts w:ascii="Cambria Math" w:hAnsi="Cambria Math"/>
                      </w:rPr>
                      <m:t>α</m:t>
                    </m:r>
                  </m:e>
                  <m:sub>
                    <m:r>
                      <w:rPr>
                        <w:rFonts w:ascii="Cambria Math" w:hAnsi="Cambria Math"/>
                      </w:rPr>
                      <m:t>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=1 </m:t>
                </m:r>
              </m:e>
              <m:e>
                <m:sSub>
                  <m:sSubPr>
                    <m:ctrlPr>
                      <w:rPr>
                        <w:rFonts w:ascii="Cambria Math" w:hAnsi="Cambria Math"/>
                        <w:i/>
                      </w:rPr>
                    </m:ctrlPr>
                  </m:sSubPr>
                  <m:e>
                    <m:r>
                      <m:rPr>
                        <m:sty m:val="bi"/>
                      </m:rPr>
                      <w:rPr>
                        <w:rFonts w:ascii="Cambria Math" w:hAnsi="Cambria Math"/>
                      </w:rPr>
                      <m:t>α</m:t>
                    </m:r>
                  </m:e>
                  <m:sub>
                    <m:r>
                      <w:rPr>
                        <w:rFonts w:ascii="Cambria Math" w:hAnsi="Cambria Math"/>
                      </w:rPr>
                      <m:t>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=2</m:t>
                </m:r>
              </m:e>
            </m:eqArr>
          </m:e>
        </m:d>
      </m:oMath>
      <w:r w:rsidR="00754207">
        <w:t xml:space="preserve">     </w:t>
      </w:r>
      <m:oMath>
        <m:sSub>
          <m:sSubPr>
            <m:ctrlPr>
              <w:rPr>
                <w:rFonts w:ascii="Cambria Math" w:hAnsi="Cambria Math"/>
                <w:i/>
              </w:rPr>
            </m:ctrlPr>
          </m:sSubPr>
          <m:e>
            <m:r>
              <m:rPr>
                <m:sty m:val="bi"/>
              </m:rPr>
              <w:rPr>
                <w:rFonts w:ascii="Cambria Math" w:hAnsi="Cambria Math"/>
              </w:rPr>
              <m:t>v</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bi"/>
                      </m:rPr>
                      <w:rPr>
                        <w:rFonts w:ascii="Cambria Math" w:hAnsi="Cambria Math"/>
                      </w:rPr>
                      <m:t>v</m:t>
                    </m:r>
                  </m:e>
                  <m:sub>
                    <m:r>
                      <w:rPr>
                        <w:rFonts w:ascii="Cambria Math" w:hAnsi="Cambria Math"/>
                      </w:rPr>
                      <m:t>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=1 </m:t>
                </m:r>
              </m:e>
              <m:e>
                <m:sSub>
                  <m:sSubPr>
                    <m:ctrlPr>
                      <w:rPr>
                        <w:rFonts w:ascii="Cambria Math" w:hAnsi="Cambria Math"/>
                        <w:i/>
                      </w:rPr>
                    </m:ctrlPr>
                  </m:sSubPr>
                  <m:e>
                    <m:r>
                      <m:rPr>
                        <m:sty m:val="bi"/>
                      </m:rPr>
                      <w:rPr>
                        <w:rFonts w:ascii="Cambria Math" w:hAnsi="Cambria Math"/>
                      </w:rPr>
                      <m:t>v</m:t>
                    </m:r>
                  </m:e>
                  <m:sub>
                    <m:r>
                      <w:rPr>
                        <w:rFonts w:ascii="Cambria Math" w:hAnsi="Cambria Math"/>
                      </w:rPr>
                      <m:t>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=2</m:t>
                </m:r>
              </m:e>
            </m:eqArr>
          </m:e>
        </m:d>
        <m:r>
          <w:rPr>
            <w:rFonts w:ascii="Cambria Math" w:hAnsi="Cambria Math"/>
          </w:rPr>
          <m:t xml:space="preserve"> </m:t>
        </m:r>
      </m:oMath>
    </w:p>
    <w:p w14:paraId="33521D23" w14:textId="77777777" w:rsidR="00754207" w:rsidRDefault="00754207" w:rsidP="00554EDA">
      <w:pPr>
        <w:pStyle w:val="BodyText"/>
        <w:ind w:left="0"/>
      </w:pPr>
    </w:p>
    <w:p w14:paraId="4FF928D1" w14:textId="77777777" w:rsidR="00754207" w:rsidRDefault="00CD633C" w:rsidP="00554EDA">
      <w:pPr>
        <w:pStyle w:val="BodyText"/>
        <w:ind w:left="0"/>
      </w:pPr>
      <m:oMath>
        <m:sSub>
          <m:sSubPr>
            <m:ctrlPr>
              <w:rPr>
                <w:rFonts w:ascii="Cambria Math" w:hAnsi="Cambria Math"/>
                <w:i/>
              </w:rPr>
            </m:ctrlPr>
          </m:sSubPr>
          <m:e>
            <m:r>
              <m:rPr>
                <m:sty m:val="b"/>
              </m:rPr>
              <w:rPr>
                <w:rFonts w:ascii="Cambria Math" w:hAnsi="Cambria Math"/>
              </w:rPr>
              <m:t>Γ</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b"/>
                      </m:rPr>
                      <w:rPr>
                        <w:rFonts w:ascii="Cambria Math" w:hAnsi="Cambria Math"/>
                      </w:rPr>
                      <m:t>Γ</m:t>
                    </m:r>
                  </m:e>
                  <m:sub>
                    <m:r>
                      <w:rPr>
                        <w:rFonts w:ascii="Cambria Math" w:hAnsi="Cambria Math"/>
                      </w:rPr>
                      <m:t>k,1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=1 </m:t>
                </m:r>
              </m:e>
              <m:e>
                <m:sSub>
                  <m:sSubPr>
                    <m:ctrlPr>
                      <w:rPr>
                        <w:rFonts w:ascii="Cambria Math" w:hAnsi="Cambria Math"/>
                        <w:i/>
                      </w:rPr>
                    </m:ctrlPr>
                  </m:sSubPr>
                  <m:e>
                    <m:r>
                      <m:rPr>
                        <m:sty m:val="b"/>
                      </m:rPr>
                      <w:rPr>
                        <w:rFonts w:ascii="Cambria Math" w:hAnsi="Cambria Math"/>
                      </w:rPr>
                      <m:t>Γ</m:t>
                    </m:r>
                  </m:e>
                  <m:sub>
                    <m:r>
                      <w:rPr>
                        <w:rFonts w:ascii="Cambria Math" w:hAnsi="Cambria Math"/>
                      </w:rPr>
                      <m:t>k,2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=2</m:t>
                </m:r>
              </m:e>
            </m:eqArr>
          </m:e>
        </m:d>
      </m:oMath>
      <w:r w:rsidR="00754207">
        <w:t xml:space="preserve">     </w:t>
      </w:r>
      <m:oMath>
        <m:sSub>
          <m:sSubPr>
            <m:ctrlPr>
              <w:rPr>
                <w:rFonts w:ascii="Cambria Math" w:hAnsi="Cambria Math"/>
                <w:i/>
              </w:rPr>
            </m:ctrlPr>
          </m:sSubPr>
          <m:e>
            <m:r>
              <m:rPr>
                <m:sty m:val="bi"/>
              </m:rPr>
              <w:rPr>
                <w:rFonts w:ascii="Cambria Math" w:hAnsi="Cambria Math"/>
              </w:rPr>
              <m:t>ϵ</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NID(</m:t>
                </m:r>
                <m:r>
                  <m:rPr>
                    <m:sty m:val="bi"/>
                  </m:rPr>
                  <w:rPr>
                    <w:rFonts w:ascii="Cambria Math" w:hAnsi="Cambria Math"/>
                  </w:rPr>
                  <m:t>0</m:t>
                </m:r>
                <m:r>
                  <w:rPr>
                    <w:rFonts w:ascii="Cambria Math" w:hAnsi="Cambria Math"/>
                  </w:rPr>
                  <m:t xml:space="preserve">, </m:t>
                </m:r>
                <m:sSub>
                  <m:sSubPr>
                    <m:ctrlPr>
                      <w:rPr>
                        <w:rFonts w:ascii="Cambria Math" w:hAnsi="Cambria Math"/>
                      </w:rPr>
                    </m:ctrlPr>
                  </m:sSubPr>
                  <m:e>
                    <m:r>
                      <m:rPr>
                        <m:sty m:val="b"/>
                      </m:rPr>
                      <w:rPr>
                        <w:rFonts w:ascii="Cambria Math" w:hAnsi="Cambria Math"/>
                      </w:rPr>
                      <m:t>Σ</m:t>
                    </m:r>
                  </m:e>
                  <m:sub>
                    <m:r>
                      <w:rPr>
                        <w:rFonts w:ascii="Cambria Math" w:hAnsi="Cambria Math"/>
                      </w:rPr>
                      <m:t>1</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=1 </m:t>
                </m:r>
              </m:e>
              <m:e>
                <m:r>
                  <w:rPr>
                    <w:rFonts w:ascii="Cambria Math" w:hAnsi="Cambria Math"/>
                  </w:rPr>
                  <m:t>NID(</m:t>
                </m:r>
                <m:r>
                  <m:rPr>
                    <m:sty m:val="bi"/>
                  </m:rPr>
                  <w:rPr>
                    <w:rFonts w:ascii="Cambria Math" w:hAnsi="Cambria Math"/>
                  </w:rPr>
                  <m:t>0</m:t>
                </m:r>
                <m:r>
                  <w:rPr>
                    <w:rFonts w:ascii="Cambria Math" w:hAnsi="Cambria Math"/>
                  </w:rPr>
                  <m:t xml:space="preserve">, </m:t>
                </m:r>
                <m:sSub>
                  <m:sSubPr>
                    <m:ctrlPr>
                      <w:rPr>
                        <w:rFonts w:ascii="Cambria Math" w:hAnsi="Cambria Math"/>
                      </w:rPr>
                    </m:ctrlPr>
                  </m:sSubPr>
                  <m:e>
                    <m:r>
                      <m:rPr>
                        <m:sty m:val="b"/>
                      </m:rPr>
                      <w:rPr>
                        <w:rFonts w:ascii="Cambria Math" w:hAnsi="Cambria Math"/>
                      </w:rPr>
                      <m:t>Σ</m:t>
                    </m:r>
                  </m:e>
                  <m:sub>
                    <m:r>
                      <w:rPr>
                        <w:rFonts w:ascii="Cambria Math" w:hAnsi="Cambria Math"/>
                      </w:rPr>
                      <m:t>2</m:t>
                    </m:r>
                  </m:sub>
                </m:sSub>
                <m:r>
                  <w:rPr>
                    <w:rFonts w:ascii="Cambria Math" w:hAnsi="Cambria Math"/>
                  </w:rPr>
                  <m:t xml:space="preserve">)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=2</m:t>
                </m:r>
              </m:e>
            </m:eqArr>
          </m:e>
        </m:d>
        <m:r>
          <w:rPr>
            <w:rFonts w:ascii="Cambria Math" w:hAnsi="Cambria Math"/>
          </w:rPr>
          <m:t xml:space="preserve"> </m:t>
        </m:r>
      </m:oMath>
    </w:p>
    <w:p w14:paraId="20B435DD" w14:textId="77777777" w:rsidR="00754207" w:rsidRDefault="00754207" w:rsidP="00554EDA">
      <w:pPr>
        <w:pStyle w:val="BodyText"/>
        <w:ind w:left="0"/>
      </w:pPr>
    </w:p>
    <w:p w14:paraId="70355847" w14:textId="7EA4E329" w:rsidR="00754207" w:rsidRDefault="00754207" w:rsidP="00554EDA">
      <w:r>
        <w:lastRenderedPageBreak/>
        <w:t>An</w:t>
      </w:r>
      <w:r>
        <w:rPr>
          <w:spacing w:val="-7"/>
        </w:rPr>
        <w:t xml:space="preserve"> </w:t>
      </w:r>
      <w:r>
        <w:t>alternative</w:t>
      </w:r>
      <w:r>
        <w:rPr>
          <w:spacing w:val="-7"/>
        </w:rPr>
        <w:t xml:space="preserve"> </w:t>
      </w:r>
      <w:r>
        <w:t>form</w:t>
      </w:r>
      <w:r>
        <w:rPr>
          <w:spacing w:val="-7"/>
        </w:rPr>
        <w:t xml:space="preserve"> </w:t>
      </w:r>
      <w:r>
        <w:t>of</w:t>
      </w:r>
      <w:r>
        <w:rPr>
          <w:spacing w:val="-7"/>
        </w:rPr>
        <w:t xml:space="preserve"> </w:t>
      </w:r>
      <w:r>
        <w:t>regime</w:t>
      </w:r>
      <w:r>
        <w:rPr>
          <w:spacing w:val="-7"/>
        </w:rPr>
        <w:t xml:space="preserve"> </w:t>
      </w:r>
      <w:r>
        <w:t>switching</w:t>
      </w:r>
      <w:r>
        <w:rPr>
          <w:spacing w:val="-7"/>
        </w:rPr>
        <w:t xml:space="preserve"> </w:t>
      </w:r>
      <w:r>
        <w:t>examined</w:t>
      </w:r>
      <w:r>
        <w:rPr>
          <w:spacing w:val="-7"/>
        </w:rPr>
        <w:t xml:space="preserve"> </w:t>
      </w:r>
      <w:r>
        <w:t>in</w:t>
      </w:r>
      <w:r>
        <w:rPr>
          <w:spacing w:val="-7"/>
        </w:rPr>
        <w:t xml:space="preserve"> </w:t>
      </w:r>
      <w:r>
        <w:t>this</w:t>
      </w:r>
      <w:r>
        <w:rPr>
          <w:spacing w:val="-7"/>
        </w:rPr>
        <w:t xml:space="preserve"> </w:t>
      </w:r>
      <w:r>
        <w:t>paper</w:t>
      </w:r>
      <w:r>
        <w:rPr>
          <w:spacing w:val="-7"/>
        </w:rPr>
        <w:t xml:space="preserve"> </w:t>
      </w:r>
      <w:r>
        <w:t>is</w:t>
      </w:r>
      <w:r>
        <w:rPr>
          <w:spacing w:val="-7"/>
        </w:rPr>
        <w:t xml:space="preserve"> </w:t>
      </w:r>
      <w:r>
        <w:t>the</w:t>
      </w:r>
      <w:r>
        <w:rPr>
          <w:spacing w:val="-7"/>
        </w:rPr>
        <w:t xml:space="preserve"> </w:t>
      </w:r>
      <w:r>
        <w:t>Markov switching</w:t>
      </w:r>
      <w:r>
        <w:rPr>
          <w:spacing w:val="-5"/>
        </w:rPr>
        <w:t xml:space="preserve"> </w:t>
      </w:r>
      <w:r>
        <w:t>autoregressive</w:t>
      </w:r>
      <w:r>
        <w:rPr>
          <w:spacing w:val="-5"/>
        </w:rPr>
        <w:t xml:space="preserve"> </w:t>
      </w:r>
      <w:r>
        <w:t>invariant</w:t>
      </w:r>
      <w:r>
        <w:rPr>
          <w:spacing w:val="-5"/>
        </w:rPr>
        <w:t xml:space="preserve"> </w:t>
      </w:r>
      <w:r>
        <w:t>vector</w:t>
      </w:r>
      <w:r>
        <w:rPr>
          <w:spacing w:val="-5"/>
        </w:rPr>
        <w:t xml:space="preserve"> </w:t>
      </w:r>
      <w:r>
        <w:t>error</w:t>
      </w:r>
      <w:r>
        <w:rPr>
          <w:spacing w:val="-5"/>
        </w:rPr>
        <w:t xml:space="preserve"> </w:t>
      </w:r>
      <w:r>
        <w:t>correction</w:t>
      </w:r>
      <w:r>
        <w:rPr>
          <w:spacing w:val="-5"/>
        </w:rPr>
        <w:t xml:space="preserve"> </w:t>
      </w:r>
      <w:r>
        <w:t>model</w:t>
      </w:r>
      <w:r>
        <w:rPr>
          <w:spacing w:val="-5"/>
        </w:rPr>
        <w:t xml:space="preserve"> </w:t>
      </w:r>
      <w:r>
        <w:t xml:space="preserve">(MSAI-VECM). </w:t>
      </w:r>
      <w:r>
        <w:rPr>
          <w:spacing w:val="-6"/>
        </w:rPr>
        <w:t>This model constrains the short-run dynamics (autoregressive terms) to remain con</w:t>
      </w:r>
      <w:r>
        <w:rPr>
          <w:spacing w:val="-2"/>
        </w:rPr>
        <w:t>stant</w:t>
      </w:r>
      <w:r>
        <w:rPr>
          <w:spacing w:val="-3"/>
        </w:rPr>
        <w:t xml:space="preserve"> </w:t>
      </w:r>
      <w:r>
        <w:rPr>
          <w:spacing w:val="-2"/>
        </w:rPr>
        <w:t>across</w:t>
      </w:r>
      <w:r>
        <w:rPr>
          <w:spacing w:val="-4"/>
        </w:rPr>
        <w:t xml:space="preserve"> </w:t>
      </w:r>
      <w:r>
        <w:rPr>
          <w:spacing w:val="-2"/>
        </w:rPr>
        <w:t>regimes, unlike</w:t>
      </w:r>
      <w:r>
        <w:rPr>
          <w:spacing w:val="-4"/>
        </w:rPr>
        <w:t xml:space="preserve"> </w:t>
      </w:r>
      <w:r>
        <w:rPr>
          <w:spacing w:val="-2"/>
        </w:rPr>
        <w:t>the</w:t>
      </w:r>
      <w:r>
        <w:rPr>
          <w:spacing w:val="-3"/>
        </w:rPr>
        <w:t xml:space="preserve"> </w:t>
      </w:r>
      <w:r>
        <w:rPr>
          <w:spacing w:val="-2"/>
        </w:rPr>
        <w:t>full</w:t>
      </w:r>
      <w:r>
        <w:rPr>
          <w:spacing w:val="-3"/>
        </w:rPr>
        <w:t xml:space="preserve"> </w:t>
      </w:r>
      <w:r>
        <w:rPr>
          <w:spacing w:val="-2"/>
        </w:rPr>
        <w:t>MS-VECM,</w:t>
      </w:r>
      <w:r>
        <w:rPr>
          <w:spacing w:val="-3"/>
        </w:rPr>
        <w:t xml:space="preserve"> </w:t>
      </w:r>
      <w:r>
        <w:rPr>
          <w:spacing w:val="-2"/>
        </w:rPr>
        <w:t>where</w:t>
      </w:r>
      <w:r>
        <w:rPr>
          <w:spacing w:val="-3"/>
        </w:rPr>
        <w:t xml:space="preserve"> </w:t>
      </w:r>
      <w:r>
        <w:rPr>
          <w:spacing w:val="-2"/>
        </w:rPr>
        <w:t>all</w:t>
      </w:r>
      <w:r>
        <w:rPr>
          <w:spacing w:val="-3"/>
        </w:rPr>
        <w:t xml:space="preserve"> </w:t>
      </w:r>
      <w:r>
        <w:rPr>
          <w:spacing w:val="-2"/>
        </w:rPr>
        <w:t>parameters</w:t>
      </w:r>
      <w:r>
        <w:rPr>
          <w:spacing w:val="-4"/>
        </w:rPr>
        <w:t xml:space="preserve"> </w:t>
      </w:r>
      <w:r>
        <w:rPr>
          <w:spacing w:val="-2"/>
        </w:rPr>
        <w:t>may vary</w:t>
      </w:r>
      <w:r>
        <w:rPr>
          <w:spacing w:val="-3"/>
        </w:rPr>
        <w:t xml:space="preserve"> </w:t>
      </w:r>
      <w:r>
        <w:rPr>
          <w:spacing w:val="-5"/>
        </w:rPr>
        <w:t>by</w:t>
      </w:r>
      <w:r w:rsidRPr="00754207">
        <w:rPr>
          <w:spacing w:val="-4"/>
        </w:rPr>
        <w:t xml:space="preserve"> </w:t>
      </w:r>
      <w:r>
        <w:rPr>
          <w:spacing w:val="-4"/>
        </w:rPr>
        <w:t>regime.</w:t>
      </w:r>
      <w:r>
        <w:rPr>
          <w:spacing w:val="25"/>
        </w:rPr>
        <w:t xml:space="preserve"> </w:t>
      </w:r>
      <w:r>
        <w:rPr>
          <w:spacing w:val="-4"/>
        </w:rPr>
        <w:t>The</w:t>
      </w:r>
      <w:r>
        <w:rPr>
          <w:spacing w:val="-10"/>
        </w:rPr>
        <w:t xml:space="preserve"> </w:t>
      </w:r>
      <w:r>
        <w:rPr>
          <w:spacing w:val="-4"/>
        </w:rPr>
        <w:t>MSAI-VECM</w:t>
      </w:r>
      <w:r>
        <w:rPr>
          <w:spacing w:val="-10"/>
        </w:rPr>
        <w:t xml:space="preserve"> </w:t>
      </w:r>
      <w:r>
        <w:rPr>
          <w:spacing w:val="-4"/>
        </w:rPr>
        <w:t>is</w:t>
      </w:r>
      <w:r>
        <w:rPr>
          <w:spacing w:val="-10"/>
        </w:rPr>
        <w:t xml:space="preserve"> </w:t>
      </w:r>
      <w:r>
        <w:rPr>
          <w:spacing w:val="-4"/>
        </w:rPr>
        <w:t>therefore</w:t>
      </w:r>
      <w:r>
        <w:rPr>
          <w:spacing w:val="-10"/>
        </w:rPr>
        <w:t xml:space="preserve"> </w:t>
      </w:r>
      <w:r>
        <w:rPr>
          <w:spacing w:val="-4"/>
        </w:rPr>
        <w:t>a</w:t>
      </w:r>
      <w:r>
        <w:rPr>
          <w:spacing w:val="-10"/>
        </w:rPr>
        <w:t xml:space="preserve"> </w:t>
      </w:r>
      <w:r>
        <w:rPr>
          <w:spacing w:val="-4"/>
        </w:rPr>
        <w:t>restricted,</w:t>
      </w:r>
      <w:r>
        <w:rPr>
          <w:spacing w:val="-7"/>
        </w:rPr>
        <w:t xml:space="preserve"> </w:t>
      </w:r>
      <w:r>
        <w:rPr>
          <w:spacing w:val="-4"/>
        </w:rPr>
        <w:t>nested</w:t>
      </w:r>
      <w:r>
        <w:rPr>
          <w:spacing w:val="-10"/>
        </w:rPr>
        <w:t xml:space="preserve"> </w:t>
      </w:r>
      <w:r>
        <w:rPr>
          <w:spacing w:val="-4"/>
        </w:rPr>
        <w:t>version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MS-VECM. It</w:t>
      </w:r>
      <w:r>
        <w:rPr>
          <w:spacing w:val="-5"/>
        </w:rPr>
        <w:t xml:space="preserve"> </w:t>
      </w:r>
      <w:r>
        <w:rPr>
          <w:spacing w:val="-4"/>
        </w:rPr>
        <w:t>is</w:t>
      </w:r>
      <w:r>
        <w:rPr>
          <w:spacing w:val="-5"/>
        </w:rPr>
        <w:t xml:space="preserve"> </w:t>
      </w:r>
      <w:r>
        <w:rPr>
          <w:spacing w:val="-4"/>
        </w:rPr>
        <w:t>primarily</w:t>
      </w:r>
      <w:r>
        <w:rPr>
          <w:spacing w:val="-5"/>
        </w:rPr>
        <w:t xml:space="preserve"> </w:t>
      </w:r>
      <w:r>
        <w:rPr>
          <w:spacing w:val="-4"/>
        </w:rPr>
        <w:t>implemented</w:t>
      </w:r>
      <w:r>
        <w:rPr>
          <w:spacing w:val="-5"/>
        </w:rPr>
        <w:t xml:space="preserve"> </w:t>
      </w:r>
      <w:r>
        <w:rPr>
          <w:spacing w:val="-4"/>
        </w:rPr>
        <w:t>to</w:t>
      </w:r>
      <w:r>
        <w:rPr>
          <w:spacing w:val="-5"/>
        </w:rPr>
        <w:t xml:space="preserve"> </w:t>
      </w:r>
      <w:r>
        <w:rPr>
          <w:spacing w:val="-4"/>
        </w:rPr>
        <w:t>reduce</w:t>
      </w:r>
      <w:r>
        <w:rPr>
          <w:spacing w:val="-5"/>
        </w:rPr>
        <w:t xml:space="preserve"> </w:t>
      </w:r>
      <w:r>
        <w:rPr>
          <w:spacing w:val="-4"/>
        </w:rPr>
        <w:t>the</w:t>
      </w:r>
      <w:r>
        <w:rPr>
          <w:spacing w:val="-5"/>
        </w:rPr>
        <w:t xml:space="preserve"> </w:t>
      </w:r>
      <w:r>
        <w:rPr>
          <w:spacing w:val="-4"/>
        </w:rPr>
        <w:t>number</w:t>
      </w:r>
      <w:r>
        <w:rPr>
          <w:spacing w:val="-5"/>
        </w:rPr>
        <w:t xml:space="preserve"> </w:t>
      </w:r>
      <w:r>
        <w:rPr>
          <w:spacing w:val="-4"/>
        </w:rPr>
        <w:t>of</w:t>
      </w:r>
      <w:r>
        <w:rPr>
          <w:spacing w:val="-5"/>
        </w:rPr>
        <w:t xml:space="preserve"> </w:t>
      </w:r>
      <w:r>
        <w:rPr>
          <w:spacing w:val="-4"/>
        </w:rPr>
        <w:t>estimable</w:t>
      </w:r>
      <w:r>
        <w:rPr>
          <w:spacing w:val="-5"/>
        </w:rPr>
        <w:t xml:space="preserve"> </w:t>
      </w:r>
      <w:r>
        <w:rPr>
          <w:spacing w:val="-4"/>
        </w:rPr>
        <w:t xml:space="preserve">parameters, thereby </w:t>
      </w:r>
      <w:r>
        <w:t>improving the likelihood that the EM algorithm converges.</w:t>
      </w:r>
      <w:r>
        <w:rPr>
          <w:spacing w:val="40"/>
        </w:rPr>
        <w:t xml:space="preserve"> </w:t>
      </w:r>
      <w:r>
        <w:t>The MSAI-VECM is written as follows:</w:t>
      </w:r>
    </w:p>
    <w:p w14:paraId="49887E06" w14:textId="77777777" w:rsidR="00754207" w:rsidRDefault="00754207" w:rsidP="00554EDA">
      <w:pPr>
        <w:pStyle w:val="BodyText"/>
        <w:spacing w:before="42" w:line="420" w:lineRule="auto"/>
        <w:ind w:left="0" w:right="276"/>
        <w:jc w:val="both"/>
      </w:pPr>
      <m:oMathPara>
        <m:oMath>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m:rPr>
                  <m:sty m:val="b"/>
                </m:rPr>
                <w:rPr>
                  <w:rFonts w:ascii="Cambria Math" w:hAnsi="Cambria Math"/>
                </w:rPr>
                <m:t>ν</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r>
            <w:rPr>
              <w:rFonts w:ascii="Cambria Math" w:hAnsi="Cambria Math"/>
            </w:rPr>
            <m:t>+</m:t>
          </m:r>
          <m:sSub>
            <m:sSubPr>
              <m:ctrlPr>
                <w:rPr>
                  <w:rFonts w:ascii="Cambria Math" w:hAnsi="Cambria Math"/>
                  <w:i/>
                </w:rPr>
              </m:ctrlPr>
            </m:sSubPr>
            <m:e>
              <m:r>
                <m:rPr>
                  <m:sty m:val="b"/>
                </m:rPr>
                <w:rPr>
                  <w:rFonts w:ascii="Cambria Math" w:hAnsi="Cambria Math"/>
                </w:rPr>
                <m:t>α</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sSup>
            <m:sSupPr>
              <m:ctrlPr>
                <w:rPr>
                  <w:rFonts w:ascii="Cambria Math" w:hAnsi="Cambria Math"/>
                  <w:i/>
                </w:rPr>
              </m:ctrlPr>
            </m:sSupPr>
            <m:e>
              <m:r>
                <m:rPr>
                  <m:sty m:val="b"/>
                </m:rPr>
                <w:rPr>
                  <w:rFonts w:ascii="Cambria Math" w:hAnsi="Cambria Math"/>
                </w:rPr>
                <m:t>β</m:t>
              </m:r>
            </m:e>
            <m:sup>
              <m:r>
                <w:rPr>
                  <w:rFonts w:ascii="Cambria Math" w:hAnsi="Cambria Math"/>
                </w:rPr>
                <m:t>T</m:t>
              </m:r>
            </m:sup>
          </m:sSup>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r>
            <w:rPr>
              <w:rFonts w:ascii="Cambria Math" w:hAnsi="Cambria Math"/>
            </w:rPr>
            <m:t>+</m:t>
          </m:r>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p</m:t>
              </m:r>
              <m:ctrlPr>
                <w:rPr>
                  <w:rFonts w:ascii="Cambria Math" w:hAnsi="Cambria Math"/>
                  <w:i/>
                </w:rPr>
              </m:ctrlPr>
            </m:sup>
            <m:e>
              <m:sSub>
                <m:sSubPr>
                  <m:ctrlPr>
                    <w:rPr>
                      <w:rFonts w:ascii="Cambria Math" w:hAnsi="Cambria Math"/>
                      <w:i/>
                    </w:rPr>
                  </m:ctrlPr>
                </m:sSubPr>
                <m:e>
                  <m:r>
                    <m:rPr>
                      <m:sty m:val="b"/>
                    </m:rPr>
                    <w:rPr>
                      <w:rFonts w:ascii="Cambria Math" w:hAnsi="Cambria Math"/>
                    </w:rPr>
                    <m:t>Γ</m:t>
                  </m:r>
                </m:e>
                <m:sub>
                  <m:r>
                    <w:rPr>
                      <w:rFonts w:ascii="Cambria Math" w:hAnsi="Cambria Math"/>
                    </w:rPr>
                    <m:t>k</m:t>
                  </m:r>
                </m:sub>
              </m:sSub>
              <m:ctrlPr>
                <w:rPr>
                  <w:rFonts w:ascii="Cambria Math" w:hAnsi="Cambria Math"/>
                  <w:i/>
                </w:rPr>
              </m:ctrlPr>
            </m:e>
          </m:nary>
          <m:r>
            <m:rPr>
              <m:sty m:val="p"/>
            </m:rPr>
            <w:rPr>
              <w:rFonts w:ascii="Cambria Math" w:hAnsi="Cambria Math"/>
            </w:rPr>
            <m:t>Δ</m:t>
          </m:r>
          <m:sSub>
            <m:sSubPr>
              <m:ctrlPr>
                <w:rPr>
                  <w:rFonts w:ascii="Cambria Math" w:hAnsi="Cambria Math"/>
                  <w:i/>
                </w:rPr>
              </m:ctrlPr>
            </m:sSubPr>
            <m:e>
              <m:r>
                <m:rPr>
                  <m:sty m:val="bi"/>
                </m:rPr>
                <w:rPr>
                  <w:rFonts w:ascii="Cambria Math" w:hAnsi="Cambria Math"/>
                </w:rPr>
                <m:t>x</m:t>
              </m:r>
            </m:e>
            <m:sub>
              <m:r>
                <w:rPr>
                  <w:rFonts w:ascii="Cambria Math" w:hAnsi="Cambria Math"/>
                </w:rPr>
                <m:t>t-k</m:t>
              </m:r>
            </m:sub>
          </m:sSub>
          <m:r>
            <w:rPr>
              <w:rFonts w:ascii="Cambria Math" w:hAnsi="Cambria Math"/>
            </w:rPr>
            <m:t>+</m:t>
          </m:r>
          <m:sSub>
            <m:sSubPr>
              <m:ctrlPr>
                <w:rPr>
                  <w:rFonts w:ascii="Cambria Math" w:hAnsi="Cambria Math"/>
                  <w:i/>
                </w:rPr>
              </m:ctrlPr>
            </m:sSubPr>
            <m:e>
              <m:r>
                <m:rPr>
                  <m:sty m:val="b"/>
                </m:rPr>
                <w:rPr>
                  <w:rFonts w:ascii="Cambria Math" w:hAnsi="Cambria Math"/>
                </w:rPr>
                <m:t>ϵ</m:t>
              </m:r>
            </m:e>
            <m:sub>
              <m:sSub>
                <m:sSubPr>
                  <m:ctrlPr>
                    <w:rPr>
                      <w:rFonts w:ascii="Cambria Math" w:hAnsi="Cambria Math"/>
                      <w:i/>
                    </w:rPr>
                  </m:ctrlPr>
                </m:sSubPr>
                <m:e>
                  <m:r>
                    <w:rPr>
                      <w:rFonts w:ascii="Cambria Math" w:hAnsi="Cambria Math"/>
                    </w:rPr>
                    <m:t>s</m:t>
                  </m:r>
                </m:e>
                <m:sub>
                  <m:r>
                    <w:rPr>
                      <w:rFonts w:ascii="Cambria Math" w:hAnsi="Cambria Math"/>
                    </w:rPr>
                    <m:t>t</m:t>
                  </m:r>
                </m:sub>
              </m:sSub>
            </m:sub>
          </m:sSub>
        </m:oMath>
      </m:oMathPara>
    </w:p>
    <w:p w14:paraId="2EFB0F90" w14:textId="26607337" w:rsidR="00754207" w:rsidRDefault="00754207" w:rsidP="00554EDA">
      <w:r>
        <w:t>We</w:t>
      </w:r>
      <w:r>
        <w:rPr>
          <w:spacing w:val="-3"/>
        </w:rPr>
        <w:t xml:space="preserve"> </w:t>
      </w:r>
      <w:r>
        <w:t>estimate</w:t>
      </w:r>
      <w:r>
        <w:rPr>
          <w:spacing w:val="-3"/>
        </w:rPr>
        <w:t xml:space="preserve"> </w:t>
      </w:r>
      <w:r>
        <w:t>our</w:t>
      </w:r>
      <w:r>
        <w:rPr>
          <w:spacing w:val="-3"/>
        </w:rPr>
        <w:t xml:space="preserve"> </w:t>
      </w:r>
      <w:r>
        <w:t>models</w:t>
      </w:r>
      <w:r>
        <w:rPr>
          <w:spacing w:val="-2"/>
        </w:rPr>
        <w:t xml:space="preserve"> </w:t>
      </w:r>
      <w:r>
        <w:t>using</w:t>
      </w:r>
      <w:r>
        <w:rPr>
          <w:spacing w:val="-3"/>
        </w:rPr>
        <w:t xml:space="preserve"> </w:t>
      </w:r>
      <w:r>
        <w:t>the</w:t>
      </w:r>
      <w:r>
        <w:rPr>
          <w:spacing w:val="-3"/>
        </w:rPr>
        <w:t xml:space="preserve"> </w:t>
      </w:r>
      <w:r>
        <w:t>following</w:t>
      </w:r>
      <w:r>
        <w:rPr>
          <w:spacing w:val="-3"/>
        </w:rPr>
        <w:t xml:space="preserve"> </w:t>
      </w:r>
      <w:r>
        <w:t>two</w:t>
      </w:r>
      <w:r>
        <w:rPr>
          <w:spacing w:val="-2"/>
        </w:rPr>
        <w:t>-</w:t>
      </w:r>
      <w:r>
        <w:t>step</w:t>
      </w:r>
      <w:r>
        <w:rPr>
          <w:spacing w:val="-3"/>
        </w:rPr>
        <w:t xml:space="preserve"> </w:t>
      </w:r>
      <w:r>
        <w:t>procedure</w:t>
      </w:r>
      <w:r w:rsidR="009D7BD5">
        <w:t>:</w:t>
      </w:r>
    </w:p>
    <w:p w14:paraId="1CD0DEC7" w14:textId="77777777" w:rsidR="00754207" w:rsidRDefault="00754207" w:rsidP="00554EDA">
      <w:pPr>
        <w:pStyle w:val="Listnumindent2"/>
        <w:tabs>
          <w:tab w:val="clear" w:pos="1800"/>
          <w:tab w:val="num" w:pos="-792"/>
        </w:tabs>
        <w:ind w:left="504"/>
      </w:pPr>
      <w:r>
        <w:t>Estimate</w:t>
      </w:r>
      <w:r>
        <w:rPr>
          <w:spacing w:val="-8"/>
        </w:rPr>
        <w:t xml:space="preserve"> </w:t>
      </w:r>
      <w:r>
        <w:t>the</w:t>
      </w:r>
      <w:r>
        <w:rPr>
          <w:spacing w:val="-8"/>
        </w:rPr>
        <w:t xml:space="preserve"> </w:t>
      </w:r>
      <w:r>
        <w:t>number</w:t>
      </w:r>
      <w:r>
        <w:rPr>
          <w:spacing w:val="-8"/>
        </w:rPr>
        <w:t xml:space="preserve"> </w:t>
      </w:r>
      <w:r>
        <w:t>of</w:t>
      </w:r>
      <w:r>
        <w:rPr>
          <w:spacing w:val="-8"/>
        </w:rPr>
        <w:t xml:space="preserve"> </w:t>
      </w:r>
      <w:r>
        <w:t>cointegrating</w:t>
      </w:r>
      <w:r>
        <w:rPr>
          <w:spacing w:val="-8"/>
        </w:rPr>
        <w:t xml:space="preserve"> </w:t>
      </w:r>
      <w:r>
        <w:t>vectors</w:t>
      </w:r>
      <w:r>
        <w:rPr>
          <w:spacing w:val="-8"/>
        </w:rPr>
        <w:t xml:space="preserve"> </w:t>
      </w:r>
      <w:r>
        <w:t>and</w:t>
      </w:r>
      <w:r>
        <w:rPr>
          <w:spacing w:val="-8"/>
        </w:rPr>
        <w:t xml:space="preserve"> </w:t>
      </w:r>
      <w:r>
        <w:t>their</w:t>
      </w:r>
      <w:r>
        <w:rPr>
          <w:spacing w:val="-8"/>
        </w:rPr>
        <w:t xml:space="preserve"> </w:t>
      </w:r>
      <w:r>
        <w:t>coefficients</w:t>
      </w:r>
      <w:r>
        <w:rPr>
          <w:spacing w:val="-8"/>
        </w:rPr>
        <w:t xml:space="preserve"> </w:t>
      </w:r>
      <w:r>
        <w:t>using</w:t>
      </w:r>
      <w:r>
        <w:rPr>
          <w:spacing w:val="-8"/>
        </w:rPr>
        <w:t xml:space="preserve"> </w:t>
      </w:r>
      <w:r>
        <w:t>the Johansen</w:t>
      </w:r>
      <w:r>
        <w:rPr>
          <w:spacing w:val="-3"/>
        </w:rPr>
        <w:t xml:space="preserve"> </w:t>
      </w:r>
      <w:r>
        <w:t>procedure.</w:t>
      </w:r>
      <w:r>
        <w:rPr>
          <w:spacing w:val="32"/>
        </w:rPr>
        <w:t xml:space="preserve"> </w:t>
      </w:r>
      <w:r>
        <w:t>The</w:t>
      </w:r>
      <w:r>
        <w:rPr>
          <w:spacing w:val="-3"/>
        </w:rPr>
        <w:t xml:space="preserve"> </w:t>
      </w:r>
      <w:r>
        <w:t>cointegrating</w:t>
      </w:r>
      <w:r>
        <w:rPr>
          <w:spacing w:val="-3"/>
        </w:rPr>
        <w:t xml:space="preserve"> </w:t>
      </w:r>
      <w:r>
        <w:t>vector</w:t>
      </w:r>
      <w:r>
        <w:rPr>
          <w:spacing w:val="-4"/>
        </w:rPr>
        <w:t xml:space="preserve"> </w:t>
      </w:r>
      <w:r>
        <w:rPr>
          <w:rFonts w:ascii="Times New Roman" w:hAnsi="Times New Roman"/>
          <w:b/>
          <w:i/>
        </w:rPr>
        <w:t xml:space="preserve">β </w:t>
      </w:r>
      <w:r>
        <w:t>is</w:t>
      </w:r>
      <w:r>
        <w:rPr>
          <w:spacing w:val="-3"/>
        </w:rPr>
        <w:t xml:space="preserve"> </w:t>
      </w:r>
      <w:r>
        <w:t>therefore</w:t>
      </w:r>
      <w:r>
        <w:rPr>
          <w:spacing w:val="-3"/>
        </w:rPr>
        <w:t xml:space="preserve"> </w:t>
      </w:r>
      <w:r>
        <w:t>assumed</w:t>
      </w:r>
      <w:r>
        <w:rPr>
          <w:spacing w:val="-3"/>
        </w:rPr>
        <w:t xml:space="preserve"> </w:t>
      </w:r>
      <w:r>
        <w:t>to</w:t>
      </w:r>
      <w:r>
        <w:rPr>
          <w:spacing w:val="-3"/>
        </w:rPr>
        <w:t xml:space="preserve"> </w:t>
      </w:r>
      <w:r>
        <w:t>be constant</w:t>
      </w:r>
      <w:r>
        <w:rPr>
          <w:spacing w:val="-3"/>
        </w:rPr>
        <w:t xml:space="preserve"> </w:t>
      </w:r>
      <w:r>
        <w:t>across</w:t>
      </w:r>
      <w:r>
        <w:rPr>
          <w:spacing w:val="-3"/>
        </w:rPr>
        <w:t xml:space="preserve"> </w:t>
      </w:r>
      <w:r>
        <w:t>regimes, implying</w:t>
      </w:r>
      <w:r>
        <w:rPr>
          <w:spacing w:val="-3"/>
        </w:rPr>
        <w:t xml:space="preserve"> </w:t>
      </w:r>
      <w:r>
        <w:t>a</w:t>
      </w:r>
      <w:r>
        <w:rPr>
          <w:spacing w:val="-3"/>
        </w:rPr>
        <w:t xml:space="preserve"> </w:t>
      </w:r>
      <w:r>
        <w:t>state-invariant</w:t>
      </w:r>
      <w:r>
        <w:rPr>
          <w:spacing w:val="-3"/>
        </w:rPr>
        <w:t xml:space="preserve"> </w:t>
      </w:r>
      <w:r>
        <w:t>equilibrium</w:t>
      </w:r>
      <w:r>
        <w:rPr>
          <w:spacing w:val="-3"/>
        </w:rPr>
        <w:t xml:space="preserve"> </w:t>
      </w:r>
      <w:r>
        <w:t xml:space="preserve">relationship between </w:t>
      </w:r>
      <w:r>
        <w:rPr>
          <w:i/>
        </w:rPr>
        <w:t>LTD</w:t>
      </w:r>
      <w:r>
        <w:rPr>
          <w:i/>
          <w:vertAlign w:val="subscript"/>
        </w:rPr>
        <w:t>t</w:t>
      </w:r>
      <w:r>
        <w:t xml:space="preserve">, </w:t>
      </w:r>
      <w:r>
        <w:rPr>
          <w:i/>
        </w:rPr>
        <w:t>HVI</w:t>
      </w:r>
      <w:r>
        <w:rPr>
          <w:i/>
          <w:vertAlign w:val="subscript"/>
        </w:rPr>
        <w:t>t</w:t>
      </w:r>
      <w:r>
        <w:t xml:space="preserve">, and </w:t>
      </w:r>
      <w:r>
        <w:rPr>
          <w:i/>
        </w:rPr>
        <w:t>VOL</w:t>
      </w:r>
      <w:r>
        <w:rPr>
          <w:i/>
          <w:vertAlign w:val="subscript"/>
        </w:rPr>
        <w:t>t</w:t>
      </w:r>
      <w:r>
        <w:t>.</w:t>
      </w:r>
    </w:p>
    <w:p w14:paraId="13FF4A58" w14:textId="6B03DE9E" w:rsidR="00754207" w:rsidRDefault="00754207" w:rsidP="00554EDA">
      <w:pPr>
        <w:pStyle w:val="Listnumindent2"/>
        <w:tabs>
          <w:tab w:val="clear" w:pos="1800"/>
          <w:tab w:val="num" w:pos="-792"/>
        </w:tabs>
        <w:ind w:left="504"/>
      </w:pPr>
      <w:r>
        <w:t>Estimate</w:t>
      </w:r>
      <w:r>
        <w:rPr>
          <w:spacing w:val="-7"/>
        </w:rPr>
        <w:t xml:space="preserve"> </w:t>
      </w:r>
      <w:r>
        <w:t>the</w:t>
      </w:r>
      <w:r>
        <w:rPr>
          <w:spacing w:val="-7"/>
        </w:rPr>
        <w:t xml:space="preserve"> </w:t>
      </w:r>
      <w:r>
        <w:t>remaining</w:t>
      </w:r>
      <w:r>
        <w:rPr>
          <w:spacing w:val="-7"/>
        </w:rPr>
        <w:t xml:space="preserve"> </w:t>
      </w:r>
      <w:r>
        <w:t>parameters</w:t>
      </w:r>
      <w:r>
        <w:rPr>
          <w:spacing w:val="-7"/>
        </w:rPr>
        <w:t xml:space="preserve"> </w:t>
      </w:r>
      <w:r>
        <w:t>of</w:t>
      </w:r>
      <w:r>
        <w:rPr>
          <w:spacing w:val="-7"/>
        </w:rPr>
        <w:t xml:space="preserve"> </w:t>
      </w:r>
      <w:r>
        <w:t>the</w:t>
      </w:r>
      <w:r>
        <w:rPr>
          <w:spacing w:val="-7"/>
        </w:rPr>
        <w:t xml:space="preserve"> </w:t>
      </w:r>
      <w:r>
        <w:t>MS-VECM</w:t>
      </w:r>
      <w:r>
        <w:rPr>
          <w:spacing w:val="-7"/>
        </w:rPr>
        <w:t xml:space="preserve"> </w:t>
      </w:r>
      <w:r>
        <w:t>(including</w:t>
      </w:r>
      <w:r>
        <w:rPr>
          <w:spacing w:val="-7"/>
        </w:rPr>
        <w:t xml:space="preserve"> </w:t>
      </w:r>
      <w:r>
        <w:t>the</w:t>
      </w:r>
      <w:r>
        <w:rPr>
          <w:spacing w:val="-7"/>
        </w:rPr>
        <w:t xml:space="preserve"> </w:t>
      </w:r>
      <w:r>
        <w:t xml:space="preserve">regime </w:t>
      </w:r>
      <w:r>
        <w:rPr>
          <w:spacing w:val="-4"/>
        </w:rPr>
        <w:t>transition</w:t>
      </w:r>
      <w:r>
        <w:rPr>
          <w:spacing w:val="-11"/>
        </w:rPr>
        <w:t xml:space="preserve"> </w:t>
      </w:r>
      <w:r>
        <w:rPr>
          <w:spacing w:val="-4"/>
        </w:rPr>
        <w:t>matrix</w:t>
      </w:r>
      <w:r>
        <w:rPr>
          <w:spacing w:val="-10"/>
        </w:rPr>
        <w:t xml:space="preserve"> </w:t>
      </w:r>
      <w:r w:rsidRPr="00BA1D5C">
        <w:rPr>
          <w:b/>
          <w:bCs/>
          <w:i/>
          <w:spacing w:val="-4"/>
        </w:rPr>
        <w:t>P</w:t>
      </w:r>
      <w:r>
        <w:rPr>
          <w:i/>
          <w:spacing w:val="-11"/>
        </w:rPr>
        <w:t xml:space="preserve"> </w:t>
      </w:r>
      <w:r>
        <w:rPr>
          <w:spacing w:val="-4"/>
        </w:rPr>
        <w:t>)</w:t>
      </w:r>
      <w:r>
        <w:rPr>
          <w:spacing w:val="-10"/>
        </w:rPr>
        <w:t xml:space="preserve"> </w:t>
      </w:r>
      <w:r>
        <w:rPr>
          <w:spacing w:val="-4"/>
        </w:rPr>
        <w:t>via</w:t>
      </w:r>
      <w:r>
        <w:rPr>
          <w:spacing w:val="-11"/>
        </w:rPr>
        <w:t xml:space="preserve"> </w:t>
      </w:r>
      <w:r>
        <w:rPr>
          <w:spacing w:val="-4"/>
        </w:rPr>
        <w:t>maximum</w:t>
      </w:r>
      <w:r>
        <w:rPr>
          <w:spacing w:val="-10"/>
        </w:rPr>
        <w:t xml:space="preserve"> </w:t>
      </w:r>
      <w:r>
        <w:rPr>
          <w:spacing w:val="-4"/>
        </w:rPr>
        <w:t>likelihood</w:t>
      </w:r>
      <w:r>
        <w:rPr>
          <w:spacing w:val="-11"/>
        </w:rPr>
        <w:t xml:space="preserve"> </w:t>
      </w:r>
      <w:r>
        <w:rPr>
          <w:spacing w:val="-4"/>
        </w:rPr>
        <w:t>(MLE).</w:t>
      </w:r>
      <w:r>
        <w:rPr>
          <w:spacing w:val="-9"/>
        </w:rPr>
        <w:t xml:space="preserve"> </w:t>
      </w:r>
      <w:r>
        <w:rPr>
          <w:spacing w:val="-4"/>
        </w:rPr>
        <w:t>We</w:t>
      </w:r>
      <w:r>
        <w:rPr>
          <w:spacing w:val="-7"/>
        </w:rPr>
        <w:t xml:space="preserve"> </w:t>
      </w:r>
      <w:r>
        <w:rPr>
          <w:spacing w:val="-4"/>
        </w:rPr>
        <w:t>use</w:t>
      </w:r>
      <w:r>
        <w:rPr>
          <w:spacing w:val="-8"/>
        </w:rPr>
        <w:t xml:space="preserve"> </w:t>
      </w:r>
      <w:r>
        <w:rPr>
          <w:spacing w:val="-4"/>
        </w:rPr>
        <w:t>the</w:t>
      </w:r>
      <w:r>
        <w:rPr>
          <w:spacing w:val="-8"/>
        </w:rPr>
        <w:t xml:space="preserve"> </w:t>
      </w:r>
      <w:r>
        <w:rPr>
          <w:spacing w:val="-4"/>
        </w:rPr>
        <w:t xml:space="preserve">Expectation- </w:t>
      </w:r>
      <w:r>
        <w:rPr>
          <w:spacing w:val="-2"/>
        </w:rPr>
        <w:t>Maximisation</w:t>
      </w:r>
      <w:r>
        <w:rPr>
          <w:spacing w:val="-13"/>
        </w:rPr>
        <w:t xml:space="preserve"> </w:t>
      </w:r>
      <w:r>
        <w:rPr>
          <w:spacing w:val="-2"/>
        </w:rPr>
        <w:t>(EM)</w:t>
      </w:r>
      <w:r>
        <w:rPr>
          <w:spacing w:val="-12"/>
        </w:rPr>
        <w:t xml:space="preserve"> </w:t>
      </w:r>
      <w:r>
        <w:rPr>
          <w:spacing w:val="-2"/>
        </w:rPr>
        <w:t>algorithm.</w:t>
      </w:r>
      <w:r>
        <w:rPr>
          <w:spacing w:val="-11"/>
        </w:rPr>
        <w:t xml:space="preserve"> </w:t>
      </w:r>
      <w:r>
        <w:rPr>
          <w:spacing w:val="-2"/>
        </w:rPr>
        <w:t>Bayesian</w:t>
      </w:r>
      <w:r>
        <w:rPr>
          <w:spacing w:val="-12"/>
        </w:rPr>
        <w:t xml:space="preserve"> </w:t>
      </w:r>
      <w:r>
        <w:rPr>
          <w:spacing w:val="-2"/>
        </w:rPr>
        <w:t>methods</w:t>
      </w:r>
      <w:r>
        <w:rPr>
          <w:spacing w:val="-13"/>
        </w:rPr>
        <w:t xml:space="preserve"> </w:t>
      </w:r>
      <w:r>
        <w:rPr>
          <w:spacing w:val="-2"/>
        </w:rPr>
        <w:t>could</w:t>
      </w:r>
      <w:r>
        <w:rPr>
          <w:spacing w:val="-12"/>
        </w:rPr>
        <w:t xml:space="preserve"> </w:t>
      </w:r>
      <w:r>
        <w:rPr>
          <w:spacing w:val="-2"/>
        </w:rPr>
        <w:t>also</w:t>
      </w:r>
      <w:r>
        <w:rPr>
          <w:spacing w:val="-13"/>
        </w:rPr>
        <w:t xml:space="preserve"> be </w:t>
      </w:r>
      <w:r>
        <w:rPr>
          <w:spacing w:val="-2"/>
        </w:rPr>
        <w:t>used</w:t>
      </w:r>
      <w:r>
        <w:rPr>
          <w:spacing w:val="-12"/>
        </w:rPr>
        <w:t xml:space="preserve"> </w:t>
      </w:r>
      <w:r>
        <w:rPr>
          <w:spacing w:val="-2"/>
        </w:rPr>
        <w:t>for</w:t>
      </w:r>
      <w:r>
        <w:rPr>
          <w:spacing w:val="-13"/>
        </w:rPr>
        <w:t xml:space="preserve"> </w:t>
      </w:r>
      <w:r>
        <w:rPr>
          <w:spacing w:val="-2"/>
        </w:rPr>
        <w:t>estima</w:t>
      </w:r>
      <w:r>
        <w:t xml:space="preserve">tion as described by Kim and Nelson </w:t>
      </w:r>
      <w:hyperlink w:anchor="_bookmark57" w:history="1">
        <w:r>
          <w:t>(1999).</w:t>
        </w:r>
      </w:hyperlink>
      <w:r>
        <w:rPr>
          <w:rStyle w:val="FootnoteReference"/>
        </w:rPr>
        <w:footnoteReference w:id="8"/>
      </w:r>
    </w:p>
    <w:p w14:paraId="384AD0F6" w14:textId="6D418204" w:rsidR="00754207" w:rsidRPr="00754207" w:rsidRDefault="00754207" w:rsidP="00754207">
      <w:pPr>
        <w:rPr>
          <w:spacing w:val="-4"/>
        </w:rPr>
      </w:pPr>
      <w:r>
        <w:t>The</w:t>
      </w:r>
      <w:r>
        <w:rPr>
          <w:spacing w:val="-14"/>
        </w:rPr>
        <w:t xml:space="preserve"> </w:t>
      </w:r>
      <w:r>
        <w:t>EM</w:t>
      </w:r>
      <w:r>
        <w:rPr>
          <w:spacing w:val="-14"/>
        </w:rPr>
        <w:t xml:space="preserve"> </w:t>
      </w:r>
      <w:r>
        <w:t>algorithm</w:t>
      </w:r>
      <w:r>
        <w:rPr>
          <w:spacing w:val="-14"/>
        </w:rPr>
        <w:t xml:space="preserve"> </w:t>
      </w:r>
      <w:r>
        <w:t>estimates</w:t>
      </w:r>
      <w:r>
        <w:rPr>
          <w:spacing w:val="-14"/>
        </w:rPr>
        <w:t xml:space="preserve"> </w:t>
      </w:r>
      <w:r>
        <w:t>both</w:t>
      </w:r>
      <w:r>
        <w:rPr>
          <w:spacing w:val="-14"/>
        </w:rPr>
        <w:t xml:space="preserve"> </w:t>
      </w:r>
      <w:r>
        <w:t>the</w:t>
      </w:r>
      <w:r>
        <w:rPr>
          <w:spacing w:val="-14"/>
        </w:rPr>
        <w:t xml:space="preserve"> </w:t>
      </w:r>
      <w:r>
        <w:t>VECM</w:t>
      </w:r>
      <w:r>
        <w:rPr>
          <w:spacing w:val="-14"/>
        </w:rPr>
        <w:t xml:space="preserve"> </w:t>
      </w:r>
      <w:r>
        <w:t>parameters</w:t>
      </w:r>
      <w:r>
        <w:rPr>
          <w:spacing w:val="-14"/>
        </w:rPr>
        <w:t xml:space="preserve"> </w:t>
      </w:r>
      <w:r>
        <w:t>and</w:t>
      </w:r>
      <w:r>
        <w:rPr>
          <w:spacing w:val="-14"/>
        </w:rPr>
        <w:t xml:space="preserve"> </w:t>
      </w:r>
      <w:r>
        <w:t>regime</w:t>
      </w:r>
      <w:r>
        <w:rPr>
          <w:spacing w:val="-14"/>
        </w:rPr>
        <w:t xml:space="preserve"> </w:t>
      </w:r>
      <w:r>
        <w:t>probabilities via a smoothing algorithm.</w:t>
      </w:r>
      <w:r>
        <w:rPr>
          <w:spacing w:val="40"/>
        </w:rPr>
        <w:t xml:space="preserve"> </w:t>
      </w:r>
      <w:r>
        <w:t>Once the parameters of the MS-VECM are estimated,</w:t>
      </w:r>
      <w:r>
        <w:rPr>
          <w:spacing w:val="-12"/>
        </w:rPr>
        <w:t xml:space="preserve"> </w:t>
      </w:r>
      <w:r>
        <w:t>the</w:t>
      </w:r>
      <w:r>
        <w:rPr>
          <w:spacing w:val="-13"/>
        </w:rPr>
        <w:t xml:space="preserve"> </w:t>
      </w:r>
      <w:r>
        <w:t>smoothed</w:t>
      </w:r>
      <w:r>
        <w:rPr>
          <w:spacing w:val="-14"/>
        </w:rPr>
        <w:t xml:space="preserve"> </w:t>
      </w:r>
      <w:r>
        <w:t>probabilities</w:t>
      </w:r>
      <w:r>
        <w:rPr>
          <w:spacing w:val="-14"/>
        </w:rPr>
        <w:t xml:space="preserve"> </w:t>
      </w:r>
      <w:r>
        <w:t>of</w:t>
      </w:r>
      <w:r>
        <w:rPr>
          <w:spacing w:val="-13"/>
        </w:rPr>
        <w:t xml:space="preserve"> </w:t>
      </w:r>
      <w:r>
        <w:t>being</w:t>
      </w:r>
      <w:r>
        <w:rPr>
          <w:spacing w:val="-14"/>
        </w:rPr>
        <w:t xml:space="preserve"> </w:t>
      </w:r>
      <w:r>
        <w:t>in</w:t>
      </w:r>
      <w:r>
        <w:rPr>
          <w:spacing w:val="-13"/>
        </w:rPr>
        <w:t xml:space="preserve"> </w:t>
      </w:r>
      <w:r>
        <w:t>each</w:t>
      </w:r>
      <w:r>
        <w:rPr>
          <w:spacing w:val="-13"/>
        </w:rPr>
        <w:t xml:space="preserve"> </w:t>
      </w:r>
      <w:r>
        <w:t>regime</w:t>
      </w:r>
      <w:r>
        <w:rPr>
          <w:spacing w:val="-14"/>
        </w:rPr>
        <w:t xml:space="preserve"> </w:t>
      </w:r>
      <w:r>
        <w:t>can</w:t>
      </w:r>
      <w:r>
        <w:rPr>
          <w:spacing w:val="-14"/>
        </w:rPr>
        <w:t xml:space="preserve"> </w:t>
      </w:r>
      <w:r>
        <w:t>be</w:t>
      </w:r>
      <w:r>
        <w:rPr>
          <w:spacing w:val="-14"/>
        </w:rPr>
        <w:t xml:space="preserve"> </w:t>
      </w:r>
      <w:r>
        <w:t>generated</w:t>
      </w:r>
      <w:r>
        <w:rPr>
          <w:spacing w:val="-14"/>
        </w:rPr>
        <w:t xml:space="preserve"> </w:t>
      </w:r>
      <w:r>
        <w:t xml:space="preserve">using </w:t>
      </w:r>
      <w:r>
        <w:rPr>
          <w:spacing w:val="-2"/>
        </w:rPr>
        <w:t>the</w:t>
      </w:r>
      <w:r>
        <w:rPr>
          <w:spacing w:val="-10"/>
        </w:rPr>
        <w:t xml:space="preserve"> </w:t>
      </w:r>
      <w:r>
        <w:rPr>
          <w:spacing w:val="-2"/>
        </w:rPr>
        <w:t>Hamilton</w:t>
      </w:r>
      <w:r>
        <w:rPr>
          <w:spacing w:val="-10"/>
        </w:rPr>
        <w:t xml:space="preserve"> </w:t>
      </w:r>
      <w:r>
        <w:rPr>
          <w:spacing w:val="-2"/>
        </w:rPr>
        <w:t>filter</w:t>
      </w:r>
      <w:r>
        <w:rPr>
          <w:spacing w:val="-10"/>
        </w:rPr>
        <w:t xml:space="preserve"> </w:t>
      </w:r>
      <w:r>
        <w:rPr>
          <w:spacing w:val="-2"/>
        </w:rPr>
        <w:t>or</w:t>
      </w:r>
      <w:r>
        <w:rPr>
          <w:spacing w:val="-10"/>
        </w:rPr>
        <w:t xml:space="preserve"> </w:t>
      </w:r>
      <w:r>
        <w:rPr>
          <w:spacing w:val="-2"/>
        </w:rPr>
        <w:t>similar</w:t>
      </w:r>
      <w:r>
        <w:rPr>
          <w:spacing w:val="-10"/>
        </w:rPr>
        <w:t xml:space="preserve"> </w:t>
      </w:r>
      <w:r>
        <w:rPr>
          <w:spacing w:val="-2"/>
        </w:rPr>
        <w:t>smoothing</w:t>
      </w:r>
      <w:r>
        <w:rPr>
          <w:spacing w:val="-10"/>
        </w:rPr>
        <w:t xml:space="preserve"> </w:t>
      </w:r>
      <w:r>
        <w:rPr>
          <w:spacing w:val="-2"/>
        </w:rPr>
        <w:t>algorithms.</w:t>
      </w:r>
      <w:r>
        <w:rPr>
          <w:spacing w:val="16"/>
        </w:rPr>
        <w:t xml:space="preserve"> </w:t>
      </w:r>
      <w:r>
        <w:rPr>
          <w:spacing w:val="-2"/>
        </w:rPr>
        <w:t>These</w:t>
      </w:r>
      <w:r>
        <w:rPr>
          <w:spacing w:val="-10"/>
        </w:rPr>
        <w:t xml:space="preserve"> </w:t>
      </w:r>
      <w:r>
        <w:rPr>
          <w:spacing w:val="-2"/>
        </w:rPr>
        <w:t>probabilities</w:t>
      </w:r>
      <w:r>
        <w:rPr>
          <w:spacing w:val="-10"/>
        </w:rPr>
        <w:t xml:space="preserve"> </w:t>
      </w:r>
      <w:r>
        <w:rPr>
          <w:spacing w:val="-2"/>
        </w:rPr>
        <w:t xml:space="preserve">represent </w:t>
      </w:r>
      <w:r>
        <w:t>the likelihood that the system was in a particular regime at each point in time, given</w:t>
      </w:r>
      <w:r>
        <w:rPr>
          <w:spacing w:val="-10"/>
        </w:rPr>
        <w:t xml:space="preserve"> </w:t>
      </w:r>
      <w:r>
        <w:t>the</w:t>
      </w:r>
      <w:r>
        <w:rPr>
          <w:spacing w:val="-9"/>
        </w:rPr>
        <w:t xml:space="preserve"> </w:t>
      </w:r>
      <w:r>
        <w:t>entire</w:t>
      </w:r>
      <w:r>
        <w:rPr>
          <w:spacing w:val="-9"/>
        </w:rPr>
        <w:t xml:space="preserve"> </w:t>
      </w:r>
      <w:r>
        <w:t>dataset.</w:t>
      </w:r>
      <w:r>
        <w:rPr>
          <w:spacing w:val="13"/>
        </w:rPr>
        <w:t xml:space="preserve"> </w:t>
      </w:r>
      <w:r>
        <w:t>The</w:t>
      </w:r>
      <w:r>
        <w:rPr>
          <w:spacing w:val="-6"/>
        </w:rPr>
        <w:t xml:space="preserve"> </w:t>
      </w:r>
      <w:r>
        <w:t>smoothed</w:t>
      </w:r>
      <w:r>
        <w:rPr>
          <w:spacing w:val="-6"/>
        </w:rPr>
        <w:t xml:space="preserve"> </w:t>
      </w:r>
      <w:r>
        <w:t>probabilities,</w:t>
      </w:r>
      <w:r>
        <w:rPr>
          <w:spacing w:val="-5"/>
        </w:rPr>
        <w:t xml:space="preserve"> </w:t>
      </w:r>
      <w:r>
        <w:t>denoted</w:t>
      </w:r>
      <w:r>
        <w:rPr>
          <w:spacing w:val="-6"/>
        </w:rPr>
        <w:t xml:space="preserve"> </w:t>
      </w:r>
      <w:r>
        <w:t>as</w:t>
      </w:r>
      <w:r>
        <w:rPr>
          <w:spacing w:val="-7"/>
        </w:rPr>
        <w:t xml:space="preserve"> </w:t>
      </w:r>
      <w:r>
        <w:rPr>
          <w:i/>
        </w:rPr>
        <w:t>P</w:t>
      </w:r>
      <w:r>
        <w:rPr>
          <w:i/>
          <w:spacing w:val="-26"/>
        </w:rPr>
        <w:t xml:space="preserve"> </w:t>
      </w:r>
      <w:r>
        <w:t>(</w:t>
      </w:r>
      <w:r>
        <w:rPr>
          <w:i/>
        </w:rPr>
        <w:t>s</w:t>
      </w:r>
      <w:r>
        <w:rPr>
          <w:i/>
          <w:vertAlign w:val="subscript"/>
        </w:rPr>
        <w:t>t</w:t>
      </w:r>
      <w:r>
        <w:rPr>
          <w:i/>
          <w:spacing w:val="-5"/>
        </w:rPr>
        <w:t xml:space="preserve"> </w:t>
      </w:r>
      <w:r>
        <w:t>=</w:t>
      </w:r>
      <w:r>
        <w:rPr>
          <w:spacing w:val="-12"/>
        </w:rPr>
        <w:t xml:space="preserve"> </w:t>
      </w:r>
      <w:r>
        <w:rPr>
          <w:i/>
        </w:rPr>
        <w:t>j</w:t>
      </w:r>
      <w:r>
        <w:rPr>
          <w:rFonts w:ascii="Cambria"/>
        </w:rPr>
        <w:t>|</w:t>
      </w:r>
      <w:r>
        <w:rPr>
          <w:b/>
        </w:rPr>
        <w:t>x</w:t>
      </w:r>
      <w:r>
        <w:rPr>
          <w:i/>
          <w:vertAlign w:val="subscript"/>
        </w:rPr>
        <w:t>t</w:t>
      </w:r>
      <w:r>
        <w:t>),</w:t>
      </w:r>
      <w:r>
        <w:rPr>
          <w:spacing w:val="-5"/>
        </w:rPr>
        <w:t xml:space="preserve"> </w:t>
      </w:r>
      <w:r>
        <w:rPr>
          <w:spacing w:val="-4"/>
        </w:rPr>
        <w:t xml:space="preserve">take </w:t>
      </w:r>
      <w:r w:rsidRPr="00754207">
        <w:rPr>
          <w:spacing w:val="-4"/>
        </w:rPr>
        <w:t>into account both past and future observations to provide a more accurate estimate of regime transitions. This paper employs the reverse recursion algorithm of Kim (1994) to smooth filtered state probabilities.</w:t>
      </w:r>
    </w:p>
    <w:p w14:paraId="43D3C179" w14:textId="16FF082A" w:rsidR="00754207" w:rsidRPr="00486CEB" w:rsidRDefault="00754207" w:rsidP="00754207">
      <w:pPr>
        <w:rPr>
          <w:spacing w:val="-4"/>
        </w:rPr>
      </w:pPr>
      <w:r w:rsidRPr="00486CEB">
        <w:rPr>
          <w:spacing w:val="-4"/>
        </w:rPr>
        <w:lastRenderedPageBreak/>
        <w:t>Testing for regime switching in the MS-VECM framework is complicated by the presence of unidentified nuisance parameters (the elements of P) under the null hypothesis of no regime switching. We therefore follow Psaradakis and Spagnolo (2003), who estimate the linear (state</w:t>
      </w:r>
      <w:r w:rsidR="00174F7A">
        <w:rPr>
          <w:spacing w:val="-4"/>
        </w:rPr>
        <w:noBreakHyphen/>
      </w:r>
      <w:r w:rsidRPr="00486CEB">
        <w:rPr>
          <w:spacing w:val="-4"/>
        </w:rPr>
        <w:t>invariant) VECM and the MS-VECM. If the MS-VECM has a lower AIC, this provides evidence in support of regime switching.</w:t>
      </w:r>
    </w:p>
    <w:p w14:paraId="2EF8DCE0" w14:textId="2B497585" w:rsidR="00754207" w:rsidRDefault="00754207" w:rsidP="00754207">
      <w:pPr>
        <w:pStyle w:val="Heading2numbered"/>
      </w:pPr>
      <w:r>
        <w:t>Model selection via crossw-validation and out-of-sample forecasting</w:t>
      </w:r>
    </w:p>
    <w:p w14:paraId="7D48EEB2" w14:textId="77777777" w:rsidR="00754207" w:rsidRDefault="00754207" w:rsidP="00754207">
      <w:r>
        <w:t>When</w:t>
      </w:r>
      <w:r>
        <w:rPr>
          <w:spacing w:val="-15"/>
        </w:rPr>
        <w:t xml:space="preserve"> </w:t>
      </w:r>
      <w:r>
        <w:t>estimating</w:t>
      </w:r>
      <w:r>
        <w:rPr>
          <w:spacing w:val="-14"/>
        </w:rPr>
        <w:t xml:space="preserve"> </w:t>
      </w:r>
      <w:r>
        <w:t>the</w:t>
      </w:r>
      <w:r>
        <w:rPr>
          <w:spacing w:val="-15"/>
        </w:rPr>
        <w:t xml:space="preserve"> </w:t>
      </w:r>
      <w:r>
        <w:t>MS-VECM</w:t>
      </w:r>
      <w:r>
        <w:rPr>
          <w:spacing w:val="-14"/>
        </w:rPr>
        <w:t xml:space="preserve"> </w:t>
      </w:r>
      <w:r>
        <w:t>over</w:t>
      </w:r>
      <w:r>
        <w:rPr>
          <w:spacing w:val="-15"/>
        </w:rPr>
        <w:t xml:space="preserve"> </w:t>
      </w:r>
      <w:r>
        <w:t>the</w:t>
      </w:r>
      <w:r>
        <w:rPr>
          <w:spacing w:val="-14"/>
        </w:rPr>
        <w:t xml:space="preserve"> </w:t>
      </w:r>
      <w:r>
        <w:t>full</w:t>
      </w:r>
      <w:r>
        <w:rPr>
          <w:spacing w:val="-15"/>
        </w:rPr>
        <w:t xml:space="preserve"> </w:t>
      </w:r>
      <w:r>
        <w:t>sample</w:t>
      </w:r>
      <w:r>
        <w:rPr>
          <w:spacing w:val="-14"/>
        </w:rPr>
        <w:t xml:space="preserve"> </w:t>
      </w:r>
      <w:r>
        <w:t>(July</w:t>
      </w:r>
      <w:r>
        <w:rPr>
          <w:spacing w:val="-15"/>
        </w:rPr>
        <w:t xml:space="preserve"> </w:t>
      </w:r>
      <w:r>
        <w:t>1986</w:t>
      </w:r>
      <w:r>
        <w:rPr>
          <w:spacing w:val="-14"/>
        </w:rPr>
        <w:t xml:space="preserve"> </w:t>
      </w:r>
      <w:r>
        <w:t>to</w:t>
      </w:r>
      <w:r>
        <w:rPr>
          <w:spacing w:val="-15"/>
        </w:rPr>
        <w:t xml:space="preserve"> </w:t>
      </w:r>
      <w:r>
        <w:t>June</w:t>
      </w:r>
      <w:r>
        <w:rPr>
          <w:spacing w:val="-14"/>
        </w:rPr>
        <w:t xml:space="preserve"> </w:t>
      </w:r>
      <w:r>
        <w:t>2023),</w:t>
      </w:r>
      <w:r>
        <w:rPr>
          <w:spacing w:val="-15"/>
        </w:rPr>
        <w:t xml:space="preserve"> </w:t>
      </w:r>
      <w:r>
        <w:t>we use</w:t>
      </w:r>
      <w:r>
        <w:rPr>
          <w:spacing w:val="-7"/>
        </w:rPr>
        <w:t xml:space="preserve"> </w:t>
      </w:r>
      <w:r>
        <w:t>the</w:t>
      </w:r>
      <w:r>
        <w:rPr>
          <w:spacing w:val="-7"/>
        </w:rPr>
        <w:t xml:space="preserve"> </w:t>
      </w:r>
      <w:r>
        <w:t>SIC</w:t>
      </w:r>
      <w:r>
        <w:rPr>
          <w:spacing w:val="-7"/>
        </w:rPr>
        <w:t xml:space="preserve"> </w:t>
      </w:r>
      <w:r>
        <w:t>to</w:t>
      </w:r>
      <w:r>
        <w:rPr>
          <w:spacing w:val="-7"/>
        </w:rPr>
        <w:t xml:space="preserve"> </w:t>
      </w:r>
      <w:r>
        <w:t>determine</w:t>
      </w:r>
      <w:r>
        <w:rPr>
          <w:spacing w:val="-7"/>
        </w:rPr>
        <w:t xml:space="preserve"> </w:t>
      </w:r>
      <w:r>
        <w:t>the</w:t>
      </w:r>
      <w:r>
        <w:rPr>
          <w:spacing w:val="-7"/>
        </w:rPr>
        <w:t xml:space="preserve"> </w:t>
      </w:r>
      <w:r>
        <w:t>optimal</w:t>
      </w:r>
      <w:r>
        <w:rPr>
          <w:spacing w:val="-7"/>
        </w:rPr>
        <w:t xml:space="preserve"> </w:t>
      </w:r>
      <w:r>
        <w:t>number</w:t>
      </w:r>
      <w:r>
        <w:rPr>
          <w:spacing w:val="-7"/>
        </w:rPr>
        <w:t xml:space="preserve"> </w:t>
      </w:r>
      <w:r>
        <w:t>of</w:t>
      </w:r>
      <w:r>
        <w:rPr>
          <w:spacing w:val="-7"/>
        </w:rPr>
        <w:t xml:space="preserve"> </w:t>
      </w:r>
      <w:r>
        <w:t>lags.</w:t>
      </w:r>
      <w:r>
        <w:rPr>
          <w:spacing w:val="26"/>
        </w:rPr>
        <w:t xml:space="preserve"> </w:t>
      </w:r>
      <w:r>
        <w:t>However</w:t>
      </w:r>
      <w:r>
        <w:rPr>
          <w:spacing w:val="-7"/>
        </w:rPr>
        <w:t xml:space="preserve"> </w:t>
      </w:r>
      <w:r>
        <w:t>for</w:t>
      </w:r>
      <w:r>
        <w:rPr>
          <w:spacing w:val="-7"/>
        </w:rPr>
        <w:t xml:space="preserve"> </w:t>
      </w:r>
      <w:r>
        <w:t xml:space="preserve">out-of-sample </w:t>
      </w:r>
      <w:r>
        <w:rPr>
          <w:spacing w:val="-4"/>
        </w:rPr>
        <w:t>forecasting,</w:t>
      </w:r>
      <w:r>
        <w:rPr>
          <w:spacing w:val="-6"/>
        </w:rPr>
        <w:t xml:space="preserve"> </w:t>
      </w:r>
      <w:r>
        <w:rPr>
          <w:spacing w:val="-4"/>
        </w:rPr>
        <w:t>information</w:t>
      </w:r>
      <w:r>
        <w:rPr>
          <w:spacing w:val="-6"/>
        </w:rPr>
        <w:t xml:space="preserve"> </w:t>
      </w:r>
      <w:r>
        <w:rPr>
          <w:spacing w:val="-4"/>
        </w:rPr>
        <w:t>criteria</w:t>
      </w:r>
      <w:r>
        <w:rPr>
          <w:spacing w:val="-6"/>
        </w:rPr>
        <w:t xml:space="preserve"> </w:t>
      </w:r>
      <w:r>
        <w:rPr>
          <w:spacing w:val="-4"/>
        </w:rPr>
        <w:t>may</w:t>
      </w:r>
      <w:r>
        <w:rPr>
          <w:spacing w:val="-6"/>
        </w:rPr>
        <w:t xml:space="preserve"> </w:t>
      </w:r>
      <w:r>
        <w:rPr>
          <w:spacing w:val="-4"/>
        </w:rPr>
        <w:t>be</w:t>
      </w:r>
      <w:r>
        <w:rPr>
          <w:spacing w:val="-7"/>
        </w:rPr>
        <w:t xml:space="preserve"> </w:t>
      </w:r>
      <w:r>
        <w:rPr>
          <w:spacing w:val="-4"/>
        </w:rPr>
        <w:t>sub-optimal</w:t>
      </w:r>
      <w:r>
        <w:rPr>
          <w:spacing w:val="-6"/>
        </w:rPr>
        <w:t xml:space="preserve"> </w:t>
      </w:r>
      <w:r>
        <w:rPr>
          <w:spacing w:val="-4"/>
        </w:rPr>
        <w:t>(Krolzig,</w:t>
      </w:r>
      <w:r>
        <w:rPr>
          <w:spacing w:val="-6"/>
        </w:rPr>
        <w:t xml:space="preserve"> </w:t>
      </w:r>
      <w:hyperlink w:anchor="_bookmark59" w:history="1">
        <w:r>
          <w:rPr>
            <w:spacing w:val="-4"/>
          </w:rPr>
          <w:t>1997a).</w:t>
        </w:r>
      </w:hyperlink>
      <w:r>
        <w:rPr>
          <w:spacing w:val="16"/>
        </w:rPr>
        <w:t xml:space="preserve"> </w:t>
      </w:r>
      <w:r>
        <w:rPr>
          <w:spacing w:val="-4"/>
        </w:rPr>
        <w:t>We</w:t>
      </w:r>
      <w:r>
        <w:rPr>
          <w:spacing w:val="-6"/>
        </w:rPr>
        <w:t xml:space="preserve"> </w:t>
      </w:r>
      <w:r>
        <w:rPr>
          <w:spacing w:val="-4"/>
        </w:rPr>
        <w:t>therefore follow</w:t>
      </w:r>
      <w:r>
        <w:rPr>
          <w:spacing w:val="-11"/>
        </w:rPr>
        <w:t xml:space="preserve"> </w:t>
      </w:r>
      <w:r>
        <w:rPr>
          <w:spacing w:val="-4"/>
        </w:rPr>
        <w:t>Sarno</w:t>
      </w:r>
      <w:r>
        <w:rPr>
          <w:spacing w:val="-10"/>
        </w:rPr>
        <w:t xml:space="preserve"> </w:t>
      </w:r>
      <w:r>
        <w:rPr>
          <w:spacing w:val="-4"/>
        </w:rPr>
        <w:t>et</w:t>
      </w:r>
      <w:r>
        <w:rPr>
          <w:spacing w:val="-11"/>
        </w:rPr>
        <w:t xml:space="preserve"> </w:t>
      </w:r>
      <w:r>
        <w:rPr>
          <w:spacing w:val="-4"/>
        </w:rPr>
        <w:t>al</w:t>
      </w:r>
      <w:r>
        <w:rPr>
          <w:spacing w:val="-10"/>
        </w:rPr>
        <w:t xml:space="preserve"> </w:t>
      </w:r>
      <w:hyperlink w:anchor="_bookmark63" w:history="1">
        <w:r>
          <w:rPr>
            <w:spacing w:val="-4"/>
          </w:rPr>
          <w:t>(2004)</w:t>
        </w:r>
      </w:hyperlink>
      <w:r>
        <w:rPr>
          <w:spacing w:val="-11"/>
        </w:rPr>
        <w:t xml:space="preserve"> </w:t>
      </w:r>
      <w:r>
        <w:rPr>
          <w:spacing w:val="-4"/>
        </w:rPr>
        <w:t>and</w:t>
      </w:r>
      <w:r>
        <w:rPr>
          <w:spacing w:val="-10"/>
        </w:rPr>
        <w:t xml:space="preserve"> </w:t>
      </w:r>
      <w:r>
        <w:rPr>
          <w:spacing w:val="-4"/>
        </w:rPr>
        <w:t>use</w:t>
      </w:r>
      <w:r>
        <w:rPr>
          <w:spacing w:val="-11"/>
        </w:rPr>
        <w:t xml:space="preserve"> </w:t>
      </w:r>
      <w:r>
        <w:rPr>
          <w:spacing w:val="-4"/>
        </w:rPr>
        <w:t>cross-validation.</w:t>
      </w:r>
      <w:r>
        <w:rPr>
          <w:spacing w:val="-10"/>
        </w:rPr>
        <w:t xml:space="preserve"> </w:t>
      </w:r>
      <w:r>
        <w:rPr>
          <w:spacing w:val="-4"/>
        </w:rPr>
        <w:t>We</w:t>
      </w:r>
      <w:r>
        <w:rPr>
          <w:spacing w:val="-11"/>
        </w:rPr>
        <w:t xml:space="preserve"> </w:t>
      </w:r>
      <w:r>
        <w:rPr>
          <w:spacing w:val="-4"/>
        </w:rPr>
        <w:t>select</w:t>
      </w:r>
      <w:r>
        <w:rPr>
          <w:spacing w:val="-10"/>
        </w:rPr>
        <w:t xml:space="preserve"> </w:t>
      </w:r>
      <w:r>
        <w:rPr>
          <w:spacing w:val="-4"/>
        </w:rPr>
        <w:t>the</w:t>
      </w:r>
      <w:r>
        <w:rPr>
          <w:spacing w:val="-11"/>
        </w:rPr>
        <w:t xml:space="preserve"> </w:t>
      </w:r>
      <w:r>
        <w:rPr>
          <w:spacing w:val="-4"/>
        </w:rPr>
        <w:t>number</w:t>
      </w:r>
      <w:r>
        <w:rPr>
          <w:spacing w:val="-10"/>
        </w:rPr>
        <w:t xml:space="preserve"> </w:t>
      </w:r>
      <w:r>
        <w:rPr>
          <w:spacing w:val="-4"/>
        </w:rPr>
        <w:t>of</w:t>
      </w:r>
      <w:r>
        <w:rPr>
          <w:spacing w:val="-11"/>
        </w:rPr>
        <w:t xml:space="preserve"> </w:t>
      </w:r>
      <w:r>
        <w:rPr>
          <w:spacing w:val="-4"/>
        </w:rPr>
        <w:t>lags</w:t>
      </w:r>
      <w:r>
        <w:rPr>
          <w:spacing w:val="-10"/>
        </w:rPr>
        <w:t xml:space="preserve"> </w:t>
      </w:r>
      <w:r>
        <w:rPr>
          <w:spacing w:val="-4"/>
        </w:rPr>
        <w:t xml:space="preserve">that </w:t>
      </w:r>
      <w:r>
        <w:rPr>
          <w:spacing w:val="-6"/>
        </w:rPr>
        <w:t>minimise the forecast error over a training/cross-validation sample.</w:t>
      </w:r>
      <w:r>
        <w:rPr>
          <w:spacing w:val="23"/>
        </w:rPr>
        <w:t xml:space="preserve"> </w:t>
      </w:r>
      <w:r>
        <w:rPr>
          <w:spacing w:val="-6"/>
        </w:rPr>
        <w:t xml:space="preserve">We focus on the </w:t>
      </w:r>
      <w:r>
        <w:t>mean</w:t>
      </w:r>
      <w:r>
        <w:rPr>
          <w:spacing w:val="-10"/>
        </w:rPr>
        <w:t xml:space="preserve"> </w:t>
      </w:r>
      <w:r>
        <w:t>absolute</w:t>
      </w:r>
      <w:r>
        <w:rPr>
          <w:spacing w:val="-10"/>
        </w:rPr>
        <w:t xml:space="preserve"> </w:t>
      </w:r>
      <w:r>
        <w:t>percentage</w:t>
      </w:r>
      <w:r>
        <w:rPr>
          <w:spacing w:val="-10"/>
        </w:rPr>
        <w:t xml:space="preserve"> </w:t>
      </w:r>
      <w:r>
        <w:t>error</w:t>
      </w:r>
      <w:r>
        <w:rPr>
          <w:spacing w:val="-10"/>
        </w:rPr>
        <w:t xml:space="preserve"> </w:t>
      </w:r>
      <w:r>
        <w:t>(MAPE)</w:t>
      </w:r>
      <w:r>
        <w:rPr>
          <w:spacing w:val="-10"/>
        </w:rPr>
        <w:t xml:space="preserve"> </w:t>
      </w:r>
      <w:r>
        <w:t>for</w:t>
      </w:r>
      <w:r>
        <w:rPr>
          <w:spacing w:val="-10"/>
        </w:rPr>
        <w:t xml:space="preserve"> </w:t>
      </w:r>
      <w:r>
        <w:t>12-month</w:t>
      </w:r>
      <w:r>
        <w:rPr>
          <w:spacing w:val="-10"/>
        </w:rPr>
        <w:t xml:space="preserve"> </w:t>
      </w:r>
      <w:r>
        <w:t>ahead</w:t>
      </w:r>
      <w:r>
        <w:rPr>
          <w:spacing w:val="-10"/>
        </w:rPr>
        <w:t xml:space="preserve"> </w:t>
      </w:r>
      <w:r>
        <w:t>cumulative</w:t>
      </w:r>
      <w:r>
        <w:rPr>
          <w:spacing w:val="-10"/>
        </w:rPr>
        <w:t xml:space="preserve"> </w:t>
      </w:r>
      <w:r>
        <w:t>forecast errors. However,</w:t>
      </w:r>
      <w:r>
        <w:rPr>
          <w:spacing w:val="-14"/>
        </w:rPr>
        <w:t xml:space="preserve"> </w:t>
      </w:r>
      <w:r>
        <w:t>mean</w:t>
      </w:r>
      <w:r>
        <w:rPr>
          <w:spacing w:val="-15"/>
        </w:rPr>
        <w:t xml:space="preserve"> </w:t>
      </w:r>
      <w:r>
        <w:t>squared</w:t>
      </w:r>
      <w:r>
        <w:rPr>
          <w:spacing w:val="-14"/>
        </w:rPr>
        <w:t xml:space="preserve"> </w:t>
      </w:r>
      <w:r>
        <w:t>errors</w:t>
      </w:r>
      <w:r>
        <w:rPr>
          <w:spacing w:val="-15"/>
        </w:rPr>
        <w:t xml:space="preserve"> </w:t>
      </w:r>
      <w:r>
        <w:t>(MSE)</w:t>
      </w:r>
      <w:r>
        <w:rPr>
          <w:spacing w:val="-14"/>
        </w:rPr>
        <w:t xml:space="preserve"> </w:t>
      </w:r>
      <w:r>
        <w:t>are</w:t>
      </w:r>
      <w:r>
        <w:rPr>
          <w:spacing w:val="-15"/>
        </w:rPr>
        <w:t xml:space="preserve"> </w:t>
      </w:r>
      <w:r>
        <w:t>also</w:t>
      </w:r>
      <w:r>
        <w:rPr>
          <w:spacing w:val="-14"/>
        </w:rPr>
        <w:t xml:space="preserve"> </w:t>
      </w:r>
      <w:r>
        <w:t>included</w:t>
      </w:r>
      <w:r>
        <w:rPr>
          <w:spacing w:val="-15"/>
        </w:rPr>
        <w:t xml:space="preserve"> </w:t>
      </w:r>
      <w:r>
        <w:t>for</w:t>
      </w:r>
      <w:r>
        <w:rPr>
          <w:spacing w:val="-14"/>
        </w:rPr>
        <w:t xml:space="preserve"> </w:t>
      </w:r>
      <w:r>
        <w:t>robustness.</w:t>
      </w:r>
      <w:r>
        <w:rPr>
          <w:spacing w:val="-4"/>
        </w:rPr>
        <w:t xml:space="preserve"> </w:t>
      </w:r>
      <w:r>
        <w:t>The general</w:t>
      </w:r>
      <w:r>
        <w:rPr>
          <w:spacing w:val="-5"/>
        </w:rPr>
        <w:t xml:space="preserve"> </w:t>
      </w:r>
      <w:r>
        <w:rPr>
          <w:i/>
        </w:rPr>
        <w:t>h</w:t>
      </w:r>
      <w:r>
        <w:t>-step</w:t>
      </w:r>
      <w:r>
        <w:rPr>
          <w:spacing w:val="-4"/>
        </w:rPr>
        <w:t xml:space="preserve"> </w:t>
      </w:r>
      <w:r>
        <w:t>ahead</w:t>
      </w:r>
      <w:r>
        <w:rPr>
          <w:spacing w:val="-4"/>
        </w:rPr>
        <w:t xml:space="preserve"> </w:t>
      </w:r>
      <w:r>
        <w:t>cumulative</w:t>
      </w:r>
      <w:r>
        <w:rPr>
          <w:spacing w:val="-4"/>
        </w:rPr>
        <w:t xml:space="preserve"> </w:t>
      </w:r>
      <w:r>
        <w:t>forecast</w:t>
      </w:r>
      <w:r>
        <w:rPr>
          <w:spacing w:val="-4"/>
        </w:rPr>
        <w:t xml:space="preserve"> </w:t>
      </w:r>
      <w:r>
        <w:t>loss</w:t>
      </w:r>
      <w:r>
        <w:rPr>
          <w:spacing w:val="-4"/>
        </w:rPr>
        <w:t xml:space="preserve"> </w:t>
      </w:r>
      <w:r>
        <w:t>is:</w:t>
      </w:r>
    </w:p>
    <w:p w14:paraId="54FBC93F" w14:textId="7828571A" w:rsidR="00754207" w:rsidRPr="00754207" w:rsidRDefault="00754207" w:rsidP="00754207">
      <m:oMathPara>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e>
          </m:d>
          <m:r>
            <w:rPr>
              <w:rFonts w:ascii="Cambria Math" w:hAnsi="Cambria Math"/>
            </w:rPr>
            <m:t>=</m:t>
          </m:r>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h</m:t>
              </m:r>
              <m:ctrlPr>
                <w:rPr>
                  <w:rFonts w:ascii="Cambria Math" w:hAnsi="Cambria Math"/>
                  <w:i/>
                </w:rPr>
              </m:ctrlPr>
            </m:sup>
            <m:e>
              <m:acc>
                <m:accPr>
                  <m:ctrlPr>
                    <w:rPr>
                      <w:rFonts w:ascii="Cambria Math" w:hAnsi="Cambria Math"/>
                    </w:rPr>
                  </m:ctrlPr>
                </m:accPr>
                <m:e>
                  <m:sSub>
                    <m:sSubPr>
                      <m:ctrlPr>
                        <w:rPr>
                          <w:rFonts w:ascii="Cambria Math" w:hAnsi="Cambria Math"/>
                          <w:i/>
                        </w:rPr>
                      </m:ctrlPr>
                    </m:sSubPr>
                    <m:e>
                      <m:r>
                        <w:rPr>
                          <w:rFonts w:ascii="Cambria Math" w:hAnsi="Cambria Math"/>
                        </w:rPr>
                        <m:t>x</m:t>
                      </m:r>
                      <m:ctrlPr>
                        <w:rPr>
                          <w:rFonts w:ascii="Cambria Math" w:hAnsi="Cambria Math"/>
                        </w:rPr>
                      </m:ctrlPr>
                    </m:e>
                    <m:sub>
                      <m:r>
                        <w:rPr>
                          <w:rFonts w:ascii="Cambria Math" w:hAnsi="Cambria Math"/>
                        </w:rPr>
                        <m:t>t+k</m:t>
                      </m:r>
                    </m:sub>
                  </m:sSub>
                </m:e>
              </m:acc>
              <m:ctrlPr>
                <w:rPr>
                  <w:rFonts w:ascii="Cambria Math" w:hAnsi="Cambria Math"/>
                  <w:i/>
                </w:rPr>
              </m:ctrlPr>
            </m:e>
          </m:nary>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t+k</m:t>
              </m:r>
            </m:sub>
          </m:sSub>
        </m:oMath>
      </m:oMathPara>
    </w:p>
    <w:p w14:paraId="45924CF9" w14:textId="77777777" w:rsidR="00754207" w:rsidRDefault="00754207" w:rsidP="00754207">
      <w:pPr>
        <w:rPr>
          <w:spacing w:val="-5"/>
        </w:rPr>
      </w:pPr>
      <w:r>
        <w:t>and</w:t>
      </w:r>
      <w:r>
        <w:rPr>
          <w:spacing w:val="-8"/>
        </w:rPr>
        <w:t xml:space="preserve"> </w:t>
      </w:r>
      <w:r>
        <w:t>the</w:t>
      </w:r>
      <w:r>
        <w:rPr>
          <w:spacing w:val="-7"/>
        </w:rPr>
        <w:t xml:space="preserve"> </w:t>
      </w:r>
      <w:r>
        <w:rPr>
          <w:i/>
        </w:rPr>
        <w:t>h</w:t>
      </w:r>
      <w:r>
        <w:t>-step</w:t>
      </w:r>
      <w:r>
        <w:rPr>
          <w:spacing w:val="-7"/>
        </w:rPr>
        <w:t xml:space="preserve"> </w:t>
      </w:r>
      <w:r>
        <w:t>ahead</w:t>
      </w:r>
      <w:r>
        <w:rPr>
          <w:spacing w:val="-8"/>
        </w:rPr>
        <w:t xml:space="preserve"> </w:t>
      </w:r>
      <w:r>
        <w:t>cumulative</w:t>
      </w:r>
      <w:r>
        <w:rPr>
          <w:spacing w:val="-7"/>
        </w:rPr>
        <w:t xml:space="preserve"> </w:t>
      </w:r>
      <w:r>
        <w:t>MAPE</w:t>
      </w:r>
      <w:r>
        <w:rPr>
          <w:spacing w:val="-7"/>
        </w:rPr>
        <w:t xml:space="preserve"> </w:t>
      </w:r>
      <w:r>
        <w:t>over</w:t>
      </w:r>
      <w:r>
        <w:rPr>
          <w:spacing w:val="-7"/>
        </w:rPr>
        <w:t xml:space="preserve"> </w:t>
      </w:r>
      <w:r>
        <w:t>the</w:t>
      </w:r>
      <w:r>
        <w:rPr>
          <w:spacing w:val="-8"/>
        </w:rPr>
        <w:t xml:space="preserve"> </w:t>
      </w:r>
      <w:r>
        <w:t>forecasting</w:t>
      </w:r>
      <w:r>
        <w:rPr>
          <w:spacing w:val="-7"/>
        </w:rPr>
        <w:t xml:space="preserve"> </w:t>
      </w:r>
      <w:r>
        <w:t>period</w:t>
      </w:r>
      <w:r>
        <w:rPr>
          <w:spacing w:val="-6"/>
        </w:rPr>
        <w:t xml:space="preserve"> </w:t>
      </w:r>
      <w:r>
        <w:t>[</w:t>
      </w:r>
      <w:r>
        <w:rPr>
          <w:rFonts w:ascii="Courier New" w:hAnsi="Courier New" w:cs="Courier New"/>
          <w:i/>
        </w:rPr>
        <w:t>τ</w:t>
      </w:r>
      <w:r>
        <w:rPr>
          <w:i/>
        </w:rPr>
        <w:t>,</w:t>
      </w:r>
      <w:r>
        <w:rPr>
          <w:i/>
          <w:spacing w:val="-18"/>
        </w:rPr>
        <w:t xml:space="preserve"> </w:t>
      </w:r>
      <w:r>
        <w:rPr>
          <w:i/>
        </w:rPr>
        <w:t>T</w:t>
      </w:r>
      <w:r>
        <w:rPr>
          <w:i/>
          <w:spacing w:val="-26"/>
        </w:rPr>
        <w:t xml:space="preserve"> </w:t>
      </w:r>
      <w:r>
        <w:t>]</w:t>
      </w:r>
      <w:r>
        <w:rPr>
          <w:spacing w:val="-4"/>
        </w:rPr>
        <w:t xml:space="preserve"> </w:t>
      </w:r>
      <w:r>
        <w:rPr>
          <w:spacing w:val="-5"/>
        </w:rPr>
        <w:t>is:</w:t>
      </w:r>
    </w:p>
    <w:p w14:paraId="3047FCDE" w14:textId="77777777" w:rsidR="00754207" w:rsidRDefault="00754207" w:rsidP="00754207">
      <w:pPr>
        <w:rPr>
          <w:spacing w:val="-5"/>
        </w:rPr>
      </w:pPr>
    </w:p>
    <w:p w14:paraId="6C365A6A" w14:textId="4C3127E4" w:rsidR="00754207" w:rsidRPr="00754207" w:rsidRDefault="00754207" w:rsidP="00754207">
      <w:pPr>
        <w:pStyle w:val="BodyText"/>
      </w:pPr>
      <m:oMathPara>
        <m:oMath>
          <m:r>
            <w:rPr>
              <w:rFonts w:ascii="Cambria Math" w:hAnsi="Cambria Math"/>
            </w:rPr>
            <m:t>MAPE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r>
                <w:rPr>
                  <w:rFonts w:ascii="Cambria Math" w:hAnsi="Cambria Math"/>
                </w:rPr>
                <m:t>,</m:t>
              </m:r>
              <m:r>
                <m:rPr>
                  <m:sty m:val="p"/>
                </m:rPr>
                <w:rPr>
                  <w:rFonts w:ascii="Cambria Math" w:hAnsi="Cambria Math"/>
                </w:rPr>
                <m:t>τ</m:t>
              </m:r>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T-</m:t>
              </m:r>
              <m:r>
                <m:rPr>
                  <m:sty m:val="p"/>
                </m:rPr>
                <w:rPr>
                  <w:rFonts w:ascii="Cambria Math" w:hAnsi="Cambria Math"/>
                </w:rPr>
                <m:t>τ</m:t>
              </m:r>
              <m:r>
                <w:rPr>
                  <w:rFonts w:ascii="Cambria Math" w:hAnsi="Cambria Math"/>
                </w:rPr>
                <m:t>+1</m:t>
              </m:r>
              <m:ctrlPr>
                <w:rPr>
                  <w:rFonts w:ascii="Cambria Math" w:hAnsi="Cambria Math"/>
                  <w:i/>
                </w:rPr>
              </m:ctrlPr>
            </m:den>
          </m:f>
          <m:nary>
            <m:naryPr>
              <m:chr m:val="∑"/>
              <m:ctrlPr>
                <w:rPr>
                  <w:rFonts w:ascii="Cambria Math" w:hAnsi="Cambria Math"/>
                </w:rPr>
              </m:ctrlPr>
            </m:naryPr>
            <m:sub>
              <m:r>
                <w:rPr>
                  <w:rFonts w:ascii="Cambria Math" w:hAnsi="Cambria Math"/>
                </w:rPr>
                <m:t>t=</m:t>
              </m:r>
              <m:r>
                <m:rPr>
                  <m:sty m:val="p"/>
                </m:rPr>
                <w:rPr>
                  <w:rFonts w:ascii="Cambria Math" w:hAnsi="Cambria Math"/>
                </w:rPr>
                <m:t>τ</m:t>
              </m:r>
              <m:ctrlPr>
                <w:rPr>
                  <w:rFonts w:ascii="Cambria Math" w:hAnsi="Cambria Math"/>
                  <w:i/>
                </w:rPr>
              </m:ctrlPr>
            </m:sub>
            <m:sup>
              <m:r>
                <w:rPr>
                  <w:rFonts w:ascii="Cambria Math" w:hAnsi="Cambria Math"/>
                </w:rPr>
                <m:t>T</m:t>
              </m:r>
              <m:ctrlPr>
                <w:rPr>
                  <w:rFonts w:ascii="Cambria Math" w:hAnsi="Cambria Math"/>
                  <w:i/>
                </w:rPr>
              </m:ctrlPr>
            </m:sup>
            <m:e>
              <m:d>
                <m:dPr>
                  <m:begChr m:val="|"/>
                  <m:endChr m:val="|"/>
                  <m:ctrlPr>
                    <w:rPr>
                      <w:rFonts w:ascii="Cambria Math" w:hAnsi="Cambria Math"/>
                      <w:i/>
                    </w:rPr>
                  </m:ctrlPr>
                </m:dPr>
                <m:e>
                  <m:f>
                    <m:fPr>
                      <m:ctrlPr>
                        <w:rPr>
                          <w:rFonts w:ascii="Cambria Math" w:hAnsi="Cambria Math"/>
                        </w:rPr>
                      </m:ctrlPr>
                    </m:fPr>
                    <m:num>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e>
                      </m:d>
                      <m:ctrlPr>
                        <w:rPr>
                          <w:rFonts w:ascii="Cambria Math" w:hAnsi="Cambria Math"/>
                          <w:i/>
                        </w:rPr>
                      </m:ctrlPr>
                    </m:num>
                    <m:den>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h</m:t>
                          </m:r>
                          <m:ctrlPr>
                            <w:rPr>
                              <w:rFonts w:ascii="Cambria Math" w:hAnsi="Cambria Math"/>
                              <w:i/>
                            </w:rPr>
                          </m:ctrlPr>
                        </m:sup>
                        <m:e>
                          <m:sSub>
                            <m:sSubPr>
                              <m:ctrlPr>
                                <w:rPr>
                                  <w:rFonts w:ascii="Cambria Math" w:hAnsi="Cambria Math"/>
                                  <w:i/>
                                </w:rPr>
                              </m:ctrlPr>
                            </m:sSubPr>
                            <m:e>
                              <m:r>
                                <w:rPr>
                                  <w:rFonts w:ascii="Cambria Math" w:hAnsi="Cambria Math"/>
                                </w:rPr>
                                <m:t>x</m:t>
                              </m:r>
                            </m:e>
                            <m:sub>
                              <m:r>
                                <w:rPr>
                                  <w:rFonts w:ascii="Cambria Math" w:hAnsi="Cambria Math"/>
                                </w:rPr>
                                <m:t>t+k</m:t>
                              </m:r>
                            </m:sub>
                          </m:sSub>
                          <m:ctrlPr>
                            <w:rPr>
                              <w:rFonts w:ascii="Cambria Math" w:hAnsi="Cambria Math"/>
                              <w:i/>
                            </w:rPr>
                          </m:ctrlPr>
                        </m:e>
                      </m:nary>
                      <m:ctrlPr>
                        <w:rPr>
                          <w:rFonts w:ascii="Cambria Math" w:hAnsi="Cambria Math"/>
                          <w:i/>
                        </w:rPr>
                      </m:ctrlPr>
                    </m:den>
                  </m:f>
                </m:e>
              </m:d>
              <m:ctrlPr>
                <w:rPr>
                  <w:rFonts w:ascii="Cambria Math" w:hAnsi="Cambria Math"/>
                  <w:i/>
                </w:rPr>
              </m:ctrlPr>
            </m:e>
          </m:nary>
        </m:oMath>
      </m:oMathPara>
    </w:p>
    <w:p w14:paraId="3604E60E" w14:textId="77777777" w:rsidR="00754207" w:rsidRDefault="00754207" w:rsidP="00754207">
      <w:pPr>
        <w:pStyle w:val="BodyText"/>
        <w:rPr>
          <w:sz w:val="12"/>
        </w:rPr>
      </w:pPr>
    </w:p>
    <w:p w14:paraId="2CCAC2B8" w14:textId="77777777" w:rsidR="00754207" w:rsidRDefault="00754207" w:rsidP="00754207">
      <w:pPr>
        <w:rPr>
          <w:spacing w:val="-5"/>
        </w:rPr>
      </w:pPr>
      <w:r>
        <w:t>The</w:t>
      </w:r>
      <w:r>
        <w:rPr>
          <w:spacing w:val="-8"/>
        </w:rPr>
        <w:t xml:space="preserve"> </w:t>
      </w:r>
      <w:r>
        <w:rPr>
          <w:i/>
        </w:rPr>
        <w:t>h</w:t>
      </w:r>
      <w:r>
        <w:t>-step ahead</w:t>
      </w:r>
      <w:r>
        <w:rPr>
          <w:spacing w:val="3"/>
        </w:rPr>
        <w:t xml:space="preserve"> </w:t>
      </w:r>
      <w:r>
        <w:t>cumulative MSE</w:t>
      </w:r>
      <w:r>
        <w:rPr>
          <w:spacing w:val="3"/>
        </w:rPr>
        <w:t xml:space="preserve"> </w:t>
      </w:r>
      <w:r>
        <w:t>over the</w:t>
      </w:r>
      <w:r>
        <w:rPr>
          <w:spacing w:val="3"/>
        </w:rPr>
        <w:t xml:space="preserve"> </w:t>
      </w:r>
      <w:r>
        <w:t>forecasting period</w:t>
      </w:r>
      <w:r>
        <w:rPr>
          <w:spacing w:val="3"/>
        </w:rPr>
        <w:t xml:space="preserve"> </w:t>
      </w:r>
      <w:r>
        <w:t>[</w:t>
      </w:r>
      <w:r>
        <w:rPr>
          <w:rFonts w:ascii="Courier New" w:hAnsi="Courier New" w:cs="Courier New"/>
          <w:i/>
        </w:rPr>
        <w:t>τ</w:t>
      </w:r>
      <w:r>
        <w:rPr>
          <w:i/>
        </w:rPr>
        <w:t>,</w:t>
      </w:r>
      <w:r>
        <w:rPr>
          <w:i/>
          <w:spacing w:val="-18"/>
        </w:rPr>
        <w:t xml:space="preserve"> </w:t>
      </w:r>
      <w:r>
        <w:rPr>
          <w:i/>
        </w:rPr>
        <w:t>T</w:t>
      </w:r>
      <w:r>
        <w:rPr>
          <w:i/>
          <w:spacing w:val="-26"/>
        </w:rPr>
        <w:t xml:space="preserve"> </w:t>
      </w:r>
      <w:r>
        <w:t xml:space="preserve">] </w:t>
      </w:r>
      <w:r>
        <w:rPr>
          <w:spacing w:val="-5"/>
        </w:rPr>
        <w:t>is:</w:t>
      </w:r>
    </w:p>
    <w:p w14:paraId="4B1EC439" w14:textId="69997C81" w:rsidR="00754207" w:rsidRPr="00754207" w:rsidRDefault="00754207" w:rsidP="00754207">
      <w:pPr>
        <w:pStyle w:val="BodyText"/>
      </w:pPr>
      <m:oMathPara>
        <m:oMath>
          <m:r>
            <w:rPr>
              <w:rFonts w:ascii="Cambria Math" w:hAnsi="Cambria Math"/>
            </w:rPr>
            <m:t>MSE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r>
                <w:rPr>
                  <w:rFonts w:ascii="Cambria Math" w:hAnsi="Cambria Math"/>
                </w:rPr>
                <m:t>,</m:t>
              </m:r>
              <m:r>
                <m:rPr>
                  <m:sty m:val="p"/>
                </m:rPr>
                <w:rPr>
                  <w:rFonts w:ascii="Cambria Math" w:hAnsi="Cambria Math"/>
                </w:rPr>
                <m:t>τ</m:t>
              </m:r>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T-</m:t>
              </m:r>
              <m:r>
                <m:rPr>
                  <m:sty m:val="p"/>
                </m:rPr>
                <w:rPr>
                  <w:rFonts w:ascii="Cambria Math" w:hAnsi="Cambria Math"/>
                </w:rPr>
                <m:t>τ</m:t>
              </m:r>
              <m:r>
                <w:rPr>
                  <w:rFonts w:ascii="Cambria Math" w:hAnsi="Cambria Math"/>
                </w:rPr>
                <m:t>+1</m:t>
              </m:r>
              <m:ctrlPr>
                <w:rPr>
                  <w:rFonts w:ascii="Cambria Math" w:hAnsi="Cambria Math"/>
                  <w:i/>
                </w:rPr>
              </m:ctrlPr>
            </m:den>
          </m:f>
          <m:nary>
            <m:naryPr>
              <m:chr m:val="∑"/>
              <m:ctrlPr>
                <w:rPr>
                  <w:rFonts w:ascii="Cambria Math" w:hAnsi="Cambria Math"/>
                </w:rPr>
              </m:ctrlPr>
            </m:naryPr>
            <m:sub>
              <m:r>
                <w:rPr>
                  <w:rFonts w:ascii="Cambria Math" w:hAnsi="Cambria Math"/>
                </w:rPr>
                <m:t>t=</m:t>
              </m:r>
              <m:r>
                <m:rPr>
                  <m:sty m:val="p"/>
                </m:rPr>
                <w:rPr>
                  <w:rFonts w:ascii="Cambria Math" w:hAnsi="Cambria Math"/>
                </w:rPr>
                <m:t>τ</m:t>
              </m:r>
              <m:ctrlPr>
                <w:rPr>
                  <w:rFonts w:ascii="Cambria Math" w:hAnsi="Cambria Math"/>
                  <w:i/>
                </w:rPr>
              </m:ctrlPr>
            </m:sub>
            <m:sup>
              <m:r>
                <w:rPr>
                  <w:rFonts w:ascii="Cambria Math" w:hAnsi="Cambria Math"/>
                </w:rPr>
                <m:t>T</m:t>
              </m:r>
              <m:ctrlPr>
                <w:rPr>
                  <w:rFonts w:ascii="Cambria Math" w:hAnsi="Cambria Math"/>
                  <w:i/>
                </w:rPr>
              </m:ctrlPr>
            </m:sup>
            <m:e>
              <m:r>
                <w:rPr>
                  <w:rFonts w:ascii="Cambria Math" w:hAnsi="Cambria Math"/>
                </w:rPr>
                <m:t>e</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e>
                  </m:d>
                </m:e>
                <m:sup>
                  <m:r>
                    <w:rPr>
                      <w:rFonts w:ascii="Cambria Math" w:hAnsi="Cambria Math"/>
                    </w:rPr>
                    <m:t>2</m:t>
                  </m:r>
                </m:sup>
              </m:sSup>
              <m:ctrlPr>
                <w:rPr>
                  <w:rFonts w:ascii="Cambria Math" w:hAnsi="Cambria Math"/>
                  <w:i/>
                </w:rPr>
              </m:ctrlPr>
            </m:e>
          </m:nary>
        </m:oMath>
      </m:oMathPara>
    </w:p>
    <w:p w14:paraId="07817CF1" w14:textId="33491959" w:rsidR="00754207" w:rsidRDefault="00754207" w:rsidP="0065590C">
      <w:r>
        <w:rPr>
          <w:spacing w:val="-4"/>
        </w:rPr>
        <w:t>The</w:t>
      </w:r>
      <w:r>
        <w:rPr>
          <w:spacing w:val="-11"/>
        </w:rPr>
        <w:t xml:space="preserve"> </w:t>
      </w:r>
      <w:r>
        <w:rPr>
          <w:spacing w:val="-4"/>
        </w:rPr>
        <w:t>cross-validation</w:t>
      </w:r>
      <w:r>
        <w:rPr>
          <w:spacing w:val="-10"/>
        </w:rPr>
        <w:t xml:space="preserve"> </w:t>
      </w:r>
      <w:r>
        <w:rPr>
          <w:spacing w:val="-4"/>
        </w:rPr>
        <w:t>undertakes</w:t>
      </w:r>
      <w:r>
        <w:rPr>
          <w:spacing w:val="-11"/>
        </w:rPr>
        <w:t xml:space="preserve"> </w:t>
      </w:r>
      <w:r>
        <w:rPr>
          <w:spacing w:val="-4"/>
        </w:rPr>
        <w:t>a</w:t>
      </w:r>
      <w:r>
        <w:rPr>
          <w:spacing w:val="-10"/>
        </w:rPr>
        <w:t xml:space="preserve"> </w:t>
      </w:r>
      <w:r w:rsidRPr="00754207">
        <w:t xml:space="preserve">forecasting exercise through the training sample by estimating a model using data from time 1 to time </w:t>
      </w:r>
      <w:r w:rsidRPr="00754207">
        <w:rPr>
          <w:rFonts w:ascii="Courier New" w:hAnsi="Courier New" w:cs="Courier New"/>
        </w:rPr>
        <w:t>τ</w:t>
      </w:r>
      <w:r w:rsidRPr="00754207">
        <w:t xml:space="preserve"> , and calculating the conditional h</w:t>
      </w:r>
      <w:r w:rsidR="009D7BD5">
        <w:noBreakHyphen/>
      </w:r>
      <w:r w:rsidRPr="00754207">
        <w:t>month ahead forecast xˆ</w:t>
      </w:r>
      <w:r w:rsidRPr="00754207">
        <w:rPr>
          <w:rFonts w:ascii="Courier New" w:hAnsi="Courier New" w:cs="Courier New"/>
        </w:rPr>
        <w:t>τ</w:t>
      </w:r>
      <w:r w:rsidRPr="00754207">
        <w:t xml:space="preserve">+h. Then the window steps forward a sample (i.e. estimating from 2 to </w:t>
      </w:r>
      <w:r w:rsidRPr="00754207">
        <w:rPr>
          <w:rFonts w:ascii="Courier New" w:hAnsi="Courier New" w:cs="Courier New"/>
        </w:rPr>
        <w:t>τ</w:t>
      </w:r>
      <w:r w:rsidRPr="00754207">
        <w:t xml:space="preserve"> + 1) and forecasts xˆ(</w:t>
      </w:r>
      <w:r w:rsidRPr="00754207">
        <w:rPr>
          <w:rFonts w:ascii="Courier New" w:hAnsi="Courier New" w:cs="Courier New"/>
        </w:rPr>
        <w:t>τ</w:t>
      </w:r>
      <w:r w:rsidRPr="00754207">
        <w:t>+1)+h. This procedure</w:t>
      </w:r>
      <w:r>
        <w:rPr>
          <w:spacing w:val="-14"/>
        </w:rPr>
        <w:t xml:space="preserve"> </w:t>
      </w:r>
      <w:r>
        <w:t>iterates</w:t>
      </w:r>
      <w:r>
        <w:rPr>
          <w:spacing w:val="-15"/>
        </w:rPr>
        <w:t xml:space="preserve"> </w:t>
      </w:r>
      <w:r>
        <w:t xml:space="preserve">until </w:t>
      </w:r>
      <w:r>
        <w:rPr>
          <w:spacing w:val="-2"/>
        </w:rPr>
        <w:t>the</w:t>
      </w:r>
      <w:r>
        <w:rPr>
          <w:spacing w:val="-13"/>
        </w:rPr>
        <w:t xml:space="preserve"> </w:t>
      </w:r>
      <w:r>
        <w:rPr>
          <w:spacing w:val="-2"/>
        </w:rPr>
        <w:t>final</w:t>
      </w:r>
      <w:r>
        <w:rPr>
          <w:spacing w:val="-12"/>
        </w:rPr>
        <w:t xml:space="preserve"> </w:t>
      </w:r>
      <w:r>
        <w:rPr>
          <w:spacing w:val="-2"/>
        </w:rPr>
        <w:t>forecast</w:t>
      </w:r>
      <w:r>
        <w:rPr>
          <w:spacing w:val="-13"/>
        </w:rPr>
        <w:t xml:space="preserve"> </w:t>
      </w:r>
      <w:r>
        <w:rPr>
          <w:i/>
          <w:spacing w:val="-81"/>
          <w:w w:val="108"/>
        </w:rPr>
        <w:t>x</w:t>
      </w:r>
      <w:r>
        <w:rPr>
          <w:spacing w:val="38"/>
          <w:w w:val="95"/>
        </w:rPr>
        <w:t>ˆ</w:t>
      </w:r>
      <w:r>
        <w:rPr>
          <w:i/>
          <w:spacing w:val="37"/>
          <w:w w:val="97"/>
          <w:vertAlign w:val="subscript"/>
        </w:rPr>
        <w:t>T</w:t>
      </w:r>
      <w:r>
        <w:rPr>
          <w:i/>
          <w:spacing w:val="-12"/>
        </w:rPr>
        <w:t xml:space="preserve"> </w:t>
      </w:r>
      <w:r>
        <w:rPr>
          <w:spacing w:val="-2"/>
        </w:rPr>
        <w:t>has</w:t>
      </w:r>
      <w:r>
        <w:rPr>
          <w:spacing w:val="-13"/>
        </w:rPr>
        <w:t xml:space="preserve"> </w:t>
      </w:r>
      <w:r>
        <w:rPr>
          <w:spacing w:val="-2"/>
        </w:rPr>
        <w:t>been</w:t>
      </w:r>
      <w:r>
        <w:rPr>
          <w:spacing w:val="-12"/>
        </w:rPr>
        <w:t xml:space="preserve"> </w:t>
      </w:r>
      <w:r>
        <w:rPr>
          <w:spacing w:val="-2"/>
        </w:rPr>
        <w:t>computed.</w:t>
      </w:r>
      <w:r>
        <w:rPr>
          <w:spacing w:val="-11"/>
        </w:rPr>
        <w:t xml:space="preserve"> </w:t>
      </w:r>
      <w:r>
        <w:rPr>
          <w:spacing w:val="-2"/>
        </w:rPr>
        <w:t>The</w:t>
      </w:r>
      <w:r>
        <w:rPr>
          <w:spacing w:val="-13"/>
        </w:rPr>
        <w:t xml:space="preserve"> </w:t>
      </w:r>
      <w:r>
        <w:rPr>
          <w:spacing w:val="-2"/>
        </w:rPr>
        <w:t>cross-validation</w:t>
      </w:r>
      <w:r>
        <w:rPr>
          <w:spacing w:val="-12"/>
        </w:rPr>
        <w:t xml:space="preserve"> </w:t>
      </w:r>
      <w:r>
        <w:rPr>
          <w:spacing w:val="-2"/>
        </w:rPr>
        <w:t>repeats</w:t>
      </w:r>
      <w:r>
        <w:rPr>
          <w:spacing w:val="-13"/>
        </w:rPr>
        <w:t xml:space="preserve"> </w:t>
      </w:r>
      <w:r>
        <w:rPr>
          <w:spacing w:val="-2"/>
        </w:rPr>
        <w:t>this</w:t>
      </w:r>
      <w:r>
        <w:rPr>
          <w:spacing w:val="-12"/>
        </w:rPr>
        <w:t xml:space="preserve"> </w:t>
      </w:r>
      <w:r>
        <w:rPr>
          <w:spacing w:val="-2"/>
        </w:rPr>
        <w:t xml:space="preserve">exercise </w:t>
      </w:r>
      <w:r>
        <w:rPr>
          <w:spacing w:val="-4"/>
        </w:rPr>
        <w:t>for</w:t>
      </w:r>
      <w:r>
        <w:rPr>
          <w:spacing w:val="-6"/>
        </w:rPr>
        <w:t xml:space="preserve"> </w:t>
      </w:r>
      <w:r>
        <w:rPr>
          <w:spacing w:val="-4"/>
        </w:rPr>
        <w:t>every</w:t>
      </w:r>
      <w:r>
        <w:rPr>
          <w:spacing w:val="-6"/>
        </w:rPr>
        <w:t xml:space="preserve"> </w:t>
      </w:r>
      <w:r>
        <w:rPr>
          <w:spacing w:val="-4"/>
        </w:rPr>
        <w:t>lag</w:t>
      </w:r>
      <w:r>
        <w:rPr>
          <w:spacing w:val="-6"/>
        </w:rPr>
        <w:t xml:space="preserve"> </w:t>
      </w:r>
      <w:r>
        <w:rPr>
          <w:spacing w:val="-4"/>
        </w:rPr>
        <w:t>specification</w:t>
      </w:r>
      <w:r>
        <w:rPr>
          <w:spacing w:val="-6"/>
        </w:rPr>
        <w:t xml:space="preserve"> </w:t>
      </w:r>
      <w:r>
        <w:rPr>
          <w:spacing w:val="-4"/>
        </w:rPr>
        <w:t>and</w:t>
      </w:r>
      <w:r>
        <w:rPr>
          <w:spacing w:val="-6"/>
        </w:rPr>
        <w:t xml:space="preserve"> </w:t>
      </w:r>
      <w:r>
        <w:rPr>
          <w:spacing w:val="-4"/>
        </w:rPr>
        <w:t>chooses</w:t>
      </w:r>
      <w:r>
        <w:rPr>
          <w:spacing w:val="-6"/>
        </w:rPr>
        <w:t xml:space="preserve"> </w:t>
      </w:r>
      <w:r>
        <w:rPr>
          <w:spacing w:val="-4"/>
        </w:rPr>
        <w:t>the</w:t>
      </w:r>
      <w:r>
        <w:rPr>
          <w:spacing w:val="-6"/>
        </w:rPr>
        <w:t xml:space="preserve"> </w:t>
      </w:r>
      <w:r>
        <w:rPr>
          <w:spacing w:val="-4"/>
        </w:rPr>
        <w:t>model</w:t>
      </w:r>
      <w:r>
        <w:rPr>
          <w:spacing w:val="-6"/>
        </w:rPr>
        <w:t xml:space="preserve"> </w:t>
      </w:r>
      <w:r>
        <w:rPr>
          <w:spacing w:val="-4"/>
        </w:rPr>
        <w:t>which</w:t>
      </w:r>
      <w:r>
        <w:rPr>
          <w:spacing w:val="-6"/>
        </w:rPr>
        <w:t xml:space="preserve"> </w:t>
      </w:r>
      <w:r>
        <w:rPr>
          <w:spacing w:val="-4"/>
        </w:rPr>
        <w:t>minimises</w:t>
      </w:r>
      <w:r>
        <w:rPr>
          <w:spacing w:val="-6"/>
        </w:rPr>
        <w:t xml:space="preserve"> </w:t>
      </w:r>
      <w:r>
        <w:rPr>
          <w:spacing w:val="-4"/>
        </w:rPr>
        <w:t>the</w:t>
      </w:r>
      <w:r>
        <w:rPr>
          <w:spacing w:val="-7"/>
        </w:rPr>
        <w:t xml:space="preserve"> </w:t>
      </w:r>
      <w:r>
        <w:rPr>
          <w:i/>
          <w:spacing w:val="-4"/>
        </w:rPr>
        <w:t>h</w:t>
      </w:r>
      <w:r>
        <w:rPr>
          <w:spacing w:val="-4"/>
        </w:rPr>
        <w:t>-step</w:t>
      </w:r>
      <w:r>
        <w:rPr>
          <w:spacing w:val="-6"/>
        </w:rPr>
        <w:t xml:space="preserve"> </w:t>
      </w:r>
      <w:r>
        <w:rPr>
          <w:spacing w:val="-4"/>
        </w:rPr>
        <w:t xml:space="preserve">ahead </w:t>
      </w:r>
      <w:r>
        <w:t>cumulative MAPE:</w:t>
      </w:r>
    </w:p>
    <w:p w14:paraId="0DA2DD7B" w14:textId="77777777" w:rsidR="00754207" w:rsidRDefault="00CD633C" w:rsidP="00754207">
      <w:pPr>
        <w:pStyle w:val="BodyText"/>
        <w:spacing w:line="420" w:lineRule="auto"/>
        <w:ind w:left="100" w:right="277" w:firstLine="351"/>
        <w:jc w:val="both"/>
      </w:pPr>
      <m:oMathPara>
        <m:oMath>
          <m:sSub>
            <m:sSubPr>
              <m:ctrlPr>
                <w:rPr>
                  <w:rFonts w:ascii="Cambria Math" w:hAnsi="Cambria Math"/>
                  <w:i/>
                </w:rPr>
              </m:ctrlPr>
            </m:sSubPr>
            <m:e>
              <m:r>
                <w:rPr>
                  <w:rFonts w:ascii="Cambria Math" w:hAnsi="Cambria Math"/>
                </w:rPr>
                <m:t>argmin</m:t>
              </m:r>
            </m:e>
            <m:sub>
              <m:r>
                <w:rPr>
                  <w:rFonts w:ascii="Cambria Math" w:hAnsi="Cambria Math"/>
                </w:rPr>
                <m:t>p</m:t>
              </m:r>
            </m:sub>
          </m:sSub>
          <m:r>
            <w:rPr>
              <w:rFonts w:ascii="Cambria Math" w:hAnsi="Cambria Math"/>
            </w:rPr>
            <m:t>MAPE</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r>
                <w:rPr>
                  <w:rFonts w:ascii="Cambria Math" w:hAnsi="Cambria Math"/>
                </w:rPr>
                <m:t>,</m:t>
              </m:r>
              <m:r>
                <m:rPr>
                  <m:sty m:val="p"/>
                </m:rPr>
                <w:rPr>
                  <w:rFonts w:ascii="Cambria Math" w:hAnsi="Cambria Math"/>
                </w:rPr>
                <m:t>τ</m:t>
              </m:r>
              <m:r>
                <w:rPr>
                  <w:rFonts w:ascii="Cambria Math" w:hAnsi="Cambria Math"/>
                </w:rPr>
                <m:t>,T</m:t>
              </m:r>
            </m:e>
          </m:d>
        </m:oMath>
      </m:oMathPara>
    </w:p>
    <w:p w14:paraId="7EAD159B" w14:textId="77777777" w:rsidR="00754207" w:rsidRDefault="00754207" w:rsidP="00754207">
      <w:r>
        <w:t>where forecasts</w:t>
      </w:r>
      <w:r>
        <w:rPr>
          <w:spacing w:val="1"/>
        </w:rPr>
        <w:t xml:space="preserve"> </w:t>
      </w:r>
      <w:r>
        <w:rPr>
          <w:i/>
          <w:spacing w:val="-101"/>
        </w:rPr>
        <w:t>x</w:t>
      </w:r>
      <w:r>
        <w:rPr>
          <w:spacing w:val="21"/>
          <w:w w:val="87"/>
        </w:rPr>
        <w:t>ˆ</w:t>
      </w:r>
      <w:r>
        <w:rPr>
          <w:i/>
          <w:spacing w:val="19"/>
          <w:w w:val="99"/>
          <w:vertAlign w:val="subscript"/>
        </w:rPr>
        <w:t>t</w:t>
      </w:r>
      <w:r>
        <w:rPr>
          <w:spacing w:val="19"/>
          <w:w w:val="117"/>
          <w:vertAlign w:val="subscript"/>
        </w:rPr>
        <w:t>+</w:t>
      </w:r>
      <w:r>
        <w:rPr>
          <w:i/>
          <w:spacing w:val="19"/>
          <w:w w:val="97"/>
          <w:vertAlign w:val="subscript"/>
        </w:rPr>
        <w:t>h</w:t>
      </w:r>
      <w:r>
        <w:rPr>
          <w:i/>
          <w:spacing w:val="7"/>
        </w:rPr>
        <w:t xml:space="preserve"> </w:t>
      </w:r>
      <w:r>
        <w:t>are computed using</w:t>
      </w:r>
      <w:r>
        <w:rPr>
          <w:spacing w:val="1"/>
        </w:rPr>
        <w:t xml:space="preserve"> </w:t>
      </w:r>
      <w:r>
        <w:t>a linear or MS</w:t>
      </w:r>
      <w:r>
        <w:rPr>
          <w:spacing w:val="1"/>
        </w:rPr>
        <w:t xml:space="preserve"> </w:t>
      </w:r>
      <w:r>
        <w:t>model with lag</w:t>
      </w:r>
      <w:r>
        <w:rPr>
          <w:spacing w:val="1"/>
        </w:rPr>
        <w:t xml:space="preserve"> </w:t>
      </w:r>
      <w:r>
        <w:t>length</w:t>
      </w:r>
      <w:r>
        <w:rPr>
          <w:spacing w:val="-1"/>
        </w:rPr>
        <w:t xml:space="preserve"> </w:t>
      </w:r>
      <w:r>
        <w:rPr>
          <w:i/>
          <w:spacing w:val="-5"/>
        </w:rPr>
        <w:t>p</w:t>
      </w:r>
      <w:r>
        <w:rPr>
          <w:spacing w:val="-5"/>
        </w:rPr>
        <w:t>.</w:t>
      </w:r>
    </w:p>
    <w:p w14:paraId="5122CA80" w14:textId="77777777" w:rsidR="00754207" w:rsidRDefault="00754207" w:rsidP="00754207">
      <w:r>
        <w:lastRenderedPageBreak/>
        <w:t xml:space="preserve">Section </w:t>
      </w:r>
      <w:hyperlink w:anchor="_bookmark17" w:history="1">
        <w:r>
          <w:t>4</w:t>
        </w:r>
      </w:hyperlink>
      <w:r>
        <w:t xml:space="preserve"> selects models that minimise the 12-step-ahead cumulative MAPE over</w:t>
      </w:r>
      <w:r>
        <w:rPr>
          <w:spacing w:val="-1"/>
        </w:rPr>
        <w:t xml:space="preserve"> </w:t>
      </w:r>
      <w:r>
        <w:t>the</w:t>
      </w:r>
      <w:r>
        <w:rPr>
          <w:spacing w:val="-1"/>
        </w:rPr>
        <w:t xml:space="preserve"> </w:t>
      </w:r>
      <w:r>
        <w:t>training</w:t>
      </w:r>
      <w:r>
        <w:rPr>
          <w:spacing w:val="-1"/>
        </w:rPr>
        <w:t xml:space="preserve"> </w:t>
      </w:r>
      <w:r>
        <w:t>sample</w:t>
      </w:r>
      <w:r>
        <w:rPr>
          <w:spacing w:val="-1"/>
        </w:rPr>
        <w:t xml:space="preserve"> </w:t>
      </w:r>
      <w:r>
        <w:t>(</w:t>
      </w:r>
      <w:r>
        <w:rPr>
          <w:i/>
        </w:rPr>
        <w:t>h</w:t>
      </w:r>
      <w:r>
        <w:rPr>
          <w:i/>
          <w:spacing w:val="-3"/>
        </w:rPr>
        <w:t xml:space="preserve"> </w:t>
      </w:r>
      <w:r>
        <w:t>=</w:t>
      </w:r>
      <w:r>
        <w:rPr>
          <w:spacing w:val="-3"/>
        </w:rPr>
        <w:t xml:space="preserve"> </w:t>
      </w:r>
      <w:r>
        <w:t>12).</w:t>
      </w:r>
      <w:r>
        <w:rPr>
          <w:spacing w:val="31"/>
        </w:rPr>
        <w:t xml:space="preserve"> </w:t>
      </w:r>
      <w:r>
        <w:t>These</w:t>
      </w:r>
      <w:r>
        <w:rPr>
          <w:spacing w:val="-1"/>
        </w:rPr>
        <w:t xml:space="preserve"> </w:t>
      </w:r>
      <w:r>
        <w:t>optimal</w:t>
      </w:r>
      <w:r>
        <w:rPr>
          <w:spacing w:val="-1"/>
        </w:rPr>
        <w:t xml:space="preserve"> </w:t>
      </w:r>
      <w:r>
        <w:t>specifications</w:t>
      </w:r>
      <w:r>
        <w:rPr>
          <w:spacing w:val="-1"/>
        </w:rPr>
        <w:t xml:space="preserve"> </w:t>
      </w:r>
      <w:r>
        <w:t>are</w:t>
      </w:r>
      <w:r>
        <w:rPr>
          <w:spacing w:val="-1"/>
        </w:rPr>
        <w:t xml:space="preserve"> </w:t>
      </w:r>
      <w:r>
        <w:t>referred</w:t>
      </w:r>
      <w:r>
        <w:rPr>
          <w:spacing w:val="-1"/>
        </w:rPr>
        <w:t xml:space="preserve"> </w:t>
      </w:r>
      <w:r>
        <w:t>to</w:t>
      </w:r>
      <w:r>
        <w:rPr>
          <w:spacing w:val="-1"/>
        </w:rPr>
        <w:t xml:space="preserve"> </w:t>
      </w:r>
      <w:r>
        <w:t xml:space="preserve">as </w:t>
      </w:r>
      <w:r>
        <w:rPr>
          <w:spacing w:val="-2"/>
        </w:rPr>
        <w:t>the</w:t>
      </w:r>
      <w:r>
        <w:rPr>
          <w:spacing w:val="-7"/>
        </w:rPr>
        <w:t xml:space="preserve"> </w:t>
      </w:r>
      <w:r>
        <w:rPr>
          <w:spacing w:val="-2"/>
        </w:rPr>
        <w:t>CV(12)</w:t>
      </w:r>
      <w:r>
        <w:rPr>
          <w:spacing w:val="-7"/>
        </w:rPr>
        <w:t xml:space="preserve"> </w:t>
      </w:r>
      <w:r>
        <w:rPr>
          <w:spacing w:val="-2"/>
        </w:rPr>
        <w:t>models.</w:t>
      </w:r>
      <w:r>
        <w:rPr>
          <w:spacing w:val="16"/>
        </w:rPr>
        <w:t xml:space="preserve"> </w:t>
      </w:r>
      <w:r>
        <w:rPr>
          <w:spacing w:val="-2"/>
        </w:rPr>
        <w:t>For</w:t>
      </w:r>
      <w:r>
        <w:rPr>
          <w:spacing w:val="-7"/>
        </w:rPr>
        <w:t xml:space="preserve"> </w:t>
      </w:r>
      <w:r>
        <w:rPr>
          <w:spacing w:val="-2"/>
        </w:rPr>
        <w:t>robustness,</w:t>
      </w:r>
      <w:r>
        <w:rPr>
          <w:spacing w:val="-6"/>
        </w:rPr>
        <w:t xml:space="preserve"> </w:t>
      </w:r>
      <w:r>
        <w:rPr>
          <w:spacing w:val="-2"/>
        </w:rPr>
        <w:t>the</w:t>
      </w:r>
      <w:r>
        <w:rPr>
          <w:spacing w:val="-7"/>
        </w:rPr>
        <w:t xml:space="preserve"> </w:t>
      </w:r>
      <w:r>
        <w:rPr>
          <w:spacing w:val="-2"/>
        </w:rPr>
        <w:t>specifications</w:t>
      </w:r>
      <w:r>
        <w:rPr>
          <w:spacing w:val="-7"/>
        </w:rPr>
        <w:t xml:space="preserve"> </w:t>
      </w:r>
      <w:r>
        <w:rPr>
          <w:spacing w:val="-2"/>
        </w:rPr>
        <w:t>and</w:t>
      </w:r>
      <w:r>
        <w:rPr>
          <w:spacing w:val="-6"/>
        </w:rPr>
        <w:t xml:space="preserve"> </w:t>
      </w:r>
      <w:r>
        <w:rPr>
          <w:spacing w:val="-2"/>
        </w:rPr>
        <w:t>forecast</w:t>
      </w:r>
      <w:r>
        <w:rPr>
          <w:spacing w:val="-6"/>
        </w:rPr>
        <w:t xml:space="preserve"> </w:t>
      </w:r>
      <w:r>
        <w:rPr>
          <w:spacing w:val="-2"/>
        </w:rPr>
        <w:t>performance</w:t>
      </w:r>
      <w:r>
        <w:rPr>
          <w:spacing w:val="-7"/>
        </w:rPr>
        <w:t xml:space="preserve"> </w:t>
      </w:r>
      <w:r>
        <w:rPr>
          <w:spacing w:val="-2"/>
        </w:rPr>
        <w:t xml:space="preserve">of </w:t>
      </w:r>
      <w:r>
        <w:t>CV(3) models, which minimise the 3-step-ahead cumulative MAPE (</w:t>
      </w:r>
      <w:r>
        <w:rPr>
          <w:i/>
        </w:rPr>
        <w:t xml:space="preserve">h </w:t>
      </w:r>
      <w:r>
        <w:t xml:space="preserve">= 3), are provided in Appendix </w:t>
      </w:r>
      <w:hyperlink w:anchor="_bookmark69" w:history="1">
        <w:r>
          <w:t>A.</w:t>
        </w:r>
      </w:hyperlink>
    </w:p>
    <w:p w14:paraId="3EBF7F9E" w14:textId="77777777" w:rsidR="00754207" w:rsidRDefault="00754207" w:rsidP="00754207">
      <w:r>
        <w:t>Our</w:t>
      </w:r>
      <w:r>
        <w:rPr>
          <w:spacing w:val="-10"/>
        </w:rPr>
        <w:t xml:space="preserve"> </w:t>
      </w:r>
      <w:r>
        <w:t>initial</w:t>
      </w:r>
      <w:r>
        <w:rPr>
          <w:spacing w:val="-9"/>
        </w:rPr>
        <w:t xml:space="preserve"> </w:t>
      </w:r>
      <w:r>
        <w:t>estimation</w:t>
      </w:r>
      <w:r>
        <w:rPr>
          <w:spacing w:val="-9"/>
        </w:rPr>
        <w:t xml:space="preserve"> </w:t>
      </w:r>
      <w:r>
        <w:t>employs</w:t>
      </w:r>
      <w:r>
        <w:rPr>
          <w:spacing w:val="-10"/>
        </w:rPr>
        <w:t xml:space="preserve"> </w:t>
      </w:r>
      <w:r>
        <w:t>a</w:t>
      </w:r>
      <w:r>
        <w:rPr>
          <w:spacing w:val="-10"/>
        </w:rPr>
        <w:t xml:space="preserve"> </w:t>
      </w:r>
      <w:r>
        <w:t>25</w:t>
      </w:r>
      <w:r>
        <w:rPr>
          <w:spacing w:val="-10"/>
        </w:rPr>
        <w:t>-</w:t>
      </w:r>
      <w:r>
        <w:t>year</w:t>
      </w:r>
      <w:r>
        <w:rPr>
          <w:spacing w:val="-10"/>
        </w:rPr>
        <w:t xml:space="preserve"> </w:t>
      </w:r>
      <w:r>
        <w:t>window</w:t>
      </w:r>
      <w:r>
        <w:rPr>
          <w:spacing w:val="-10"/>
        </w:rPr>
        <w:t xml:space="preserve"> </w:t>
      </w:r>
      <w:r>
        <w:t>from</w:t>
      </w:r>
      <w:r>
        <w:rPr>
          <w:spacing w:val="-9"/>
        </w:rPr>
        <w:t xml:space="preserve"> </w:t>
      </w:r>
      <w:r>
        <w:t>July</w:t>
      </w:r>
      <w:r>
        <w:rPr>
          <w:spacing w:val="-10"/>
        </w:rPr>
        <w:t xml:space="preserve"> </w:t>
      </w:r>
      <w:r>
        <w:t>1986</w:t>
      </w:r>
      <w:r>
        <w:rPr>
          <w:spacing w:val="-10"/>
        </w:rPr>
        <w:t xml:space="preserve"> </w:t>
      </w:r>
      <w:r>
        <w:t>to</w:t>
      </w:r>
      <w:r>
        <w:rPr>
          <w:spacing w:val="-10"/>
        </w:rPr>
        <w:t xml:space="preserve"> </w:t>
      </w:r>
      <w:r>
        <w:t>June</w:t>
      </w:r>
      <w:r>
        <w:rPr>
          <w:spacing w:val="-10"/>
        </w:rPr>
        <w:t xml:space="preserve"> </w:t>
      </w:r>
      <w:r>
        <w:t>2011. The</w:t>
      </w:r>
      <w:r>
        <w:rPr>
          <w:spacing w:val="-11"/>
        </w:rPr>
        <w:t xml:space="preserve"> </w:t>
      </w:r>
      <w:r>
        <w:t>6</w:t>
      </w:r>
      <w:r>
        <w:rPr>
          <w:spacing w:val="-10"/>
        </w:rPr>
        <w:t xml:space="preserve"> </w:t>
      </w:r>
      <w:r>
        <w:t>years</w:t>
      </w:r>
      <w:r>
        <w:rPr>
          <w:spacing w:val="-11"/>
        </w:rPr>
        <w:t xml:space="preserve"> </w:t>
      </w:r>
      <w:r>
        <w:t>from</w:t>
      </w:r>
      <w:r>
        <w:rPr>
          <w:spacing w:val="-10"/>
        </w:rPr>
        <w:t xml:space="preserve"> </w:t>
      </w:r>
      <w:r>
        <w:t>July</w:t>
      </w:r>
      <w:r>
        <w:rPr>
          <w:spacing w:val="-11"/>
        </w:rPr>
        <w:t xml:space="preserve"> </w:t>
      </w:r>
      <w:r>
        <w:t>2011</w:t>
      </w:r>
      <w:r>
        <w:rPr>
          <w:spacing w:val="-10"/>
        </w:rPr>
        <w:t xml:space="preserve"> </w:t>
      </w:r>
      <w:r>
        <w:t>to</w:t>
      </w:r>
      <w:r>
        <w:rPr>
          <w:spacing w:val="-11"/>
        </w:rPr>
        <w:t xml:space="preserve"> </w:t>
      </w:r>
      <w:r>
        <w:t>June</w:t>
      </w:r>
      <w:r>
        <w:rPr>
          <w:spacing w:val="-10"/>
        </w:rPr>
        <w:t xml:space="preserve"> </w:t>
      </w:r>
      <w:r>
        <w:t>2017</w:t>
      </w:r>
      <w:r>
        <w:rPr>
          <w:spacing w:val="-11"/>
        </w:rPr>
        <w:t xml:space="preserve"> </w:t>
      </w:r>
      <w:r>
        <w:t>serve</w:t>
      </w:r>
      <w:r>
        <w:rPr>
          <w:spacing w:val="-10"/>
        </w:rPr>
        <w:t xml:space="preserve"> </w:t>
      </w:r>
      <w:r>
        <w:t>as</w:t>
      </w:r>
      <w:r>
        <w:rPr>
          <w:spacing w:val="-11"/>
        </w:rPr>
        <w:t xml:space="preserve"> </w:t>
      </w:r>
      <w:r>
        <w:t>the</w:t>
      </w:r>
      <w:r>
        <w:rPr>
          <w:spacing w:val="-10"/>
        </w:rPr>
        <w:t xml:space="preserve"> </w:t>
      </w:r>
      <w:r>
        <w:t>training</w:t>
      </w:r>
      <w:r>
        <w:rPr>
          <w:spacing w:val="-11"/>
        </w:rPr>
        <w:t xml:space="preserve"> </w:t>
      </w:r>
      <w:r>
        <w:t>sample.</w:t>
      </w:r>
      <w:r>
        <w:rPr>
          <w:spacing w:val="-10"/>
        </w:rPr>
        <w:t xml:space="preserve"> </w:t>
      </w:r>
      <w:r>
        <w:t>After</w:t>
      </w:r>
      <w:r>
        <w:rPr>
          <w:spacing w:val="-11"/>
        </w:rPr>
        <w:t xml:space="preserve"> </w:t>
      </w:r>
      <w:r>
        <w:t>selecting the</w:t>
      </w:r>
      <w:r>
        <w:rPr>
          <w:spacing w:val="-15"/>
        </w:rPr>
        <w:t xml:space="preserve"> </w:t>
      </w:r>
      <w:r>
        <w:t>number</w:t>
      </w:r>
      <w:r>
        <w:rPr>
          <w:spacing w:val="-14"/>
        </w:rPr>
        <w:t xml:space="preserve"> </w:t>
      </w:r>
      <w:r>
        <w:t>of</w:t>
      </w:r>
      <w:r>
        <w:rPr>
          <w:spacing w:val="-15"/>
        </w:rPr>
        <w:t xml:space="preserve"> </w:t>
      </w:r>
      <w:r>
        <w:t>lags,</w:t>
      </w:r>
      <w:r>
        <w:rPr>
          <w:spacing w:val="-14"/>
        </w:rPr>
        <w:t xml:space="preserve"> </w:t>
      </w:r>
      <w:r>
        <w:t>the</w:t>
      </w:r>
      <w:r>
        <w:rPr>
          <w:spacing w:val="-15"/>
        </w:rPr>
        <w:t xml:space="preserve"> </w:t>
      </w:r>
      <w:r>
        <w:t>model</w:t>
      </w:r>
      <w:r>
        <w:rPr>
          <w:spacing w:val="-14"/>
        </w:rPr>
        <w:t xml:space="preserve"> </w:t>
      </w:r>
      <w:r>
        <w:t>specifications</w:t>
      </w:r>
      <w:r>
        <w:rPr>
          <w:spacing w:val="-15"/>
        </w:rPr>
        <w:t xml:space="preserve"> </w:t>
      </w:r>
      <w:r>
        <w:t>are</w:t>
      </w:r>
      <w:r>
        <w:rPr>
          <w:spacing w:val="-14"/>
        </w:rPr>
        <w:t xml:space="preserve"> </w:t>
      </w:r>
      <w:r>
        <w:t>fixed.</w:t>
      </w:r>
      <w:r>
        <w:rPr>
          <w:spacing w:val="-15"/>
        </w:rPr>
        <w:t xml:space="preserve"> </w:t>
      </w:r>
      <w:r>
        <w:t>We</w:t>
      </w:r>
      <w:r>
        <w:rPr>
          <w:spacing w:val="-14"/>
        </w:rPr>
        <w:t xml:space="preserve"> </w:t>
      </w:r>
      <w:r>
        <w:t>then</w:t>
      </w:r>
      <w:r>
        <w:rPr>
          <w:spacing w:val="-15"/>
        </w:rPr>
        <w:t xml:space="preserve"> </w:t>
      </w:r>
      <w:r>
        <w:t>used</w:t>
      </w:r>
      <w:r>
        <w:rPr>
          <w:spacing w:val="-14"/>
        </w:rPr>
        <w:t xml:space="preserve"> </w:t>
      </w:r>
      <w:r>
        <w:t>the</w:t>
      </w:r>
      <w:r>
        <w:rPr>
          <w:spacing w:val="-15"/>
        </w:rPr>
        <w:t xml:space="preserve"> </w:t>
      </w:r>
      <w:r>
        <w:t>rest</w:t>
      </w:r>
      <w:r>
        <w:rPr>
          <w:spacing w:val="-14"/>
        </w:rPr>
        <w:t xml:space="preserve"> </w:t>
      </w:r>
      <w:r>
        <w:t>of</w:t>
      </w:r>
      <w:r>
        <w:rPr>
          <w:spacing w:val="-15"/>
        </w:rPr>
        <w:t xml:space="preserve"> </w:t>
      </w:r>
      <w:r>
        <w:t xml:space="preserve">the </w:t>
      </w:r>
      <w:r>
        <w:rPr>
          <w:spacing w:val="-6"/>
        </w:rPr>
        <w:t>sample</w:t>
      </w:r>
      <w:r>
        <w:rPr>
          <w:spacing w:val="-8"/>
        </w:rPr>
        <w:t xml:space="preserve"> </w:t>
      </w:r>
      <w:r>
        <w:rPr>
          <w:spacing w:val="-6"/>
        </w:rPr>
        <w:t>(July</w:t>
      </w:r>
      <w:r>
        <w:rPr>
          <w:spacing w:val="-7"/>
        </w:rPr>
        <w:t xml:space="preserve"> </w:t>
      </w:r>
      <w:r>
        <w:rPr>
          <w:spacing w:val="-6"/>
        </w:rPr>
        <w:t>2017</w:t>
      </w:r>
      <w:r>
        <w:rPr>
          <w:spacing w:val="-7"/>
        </w:rPr>
        <w:t xml:space="preserve"> </w:t>
      </w:r>
      <w:r>
        <w:rPr>
          <w:spacing w:val="-6"/>
        </w:rPr>
        <w:t>to</w:t>
      </w:r>
      <w:r>
        <w:rPr>
          <w:spacing w:val="-8"/>
        </w:rPr>
        <w:t xml:space="preserve"> </w:t>
      </w:r>
      <w:r>
        <w:rPr>
          <w:spacing w:val="-6"/>
        </w:rPr>
        <w:t>June</w:t>
      </w:r>
      <w:r>
        <w:rPr>
          <w:spacing w:val="-8"/>
        </w:rPr>
        <w:t xml:space="preserve"> </w:t>
      </w:r>
      <w:r>
        <w:rPr>
          <w:spacing w:val="-6"/>
        </w:rPr>
        <w:t>2023)</w:t>
      </w:r>
      <w:r>
        <w:rPr>
          <w:spacing w:val="-7"/>
        </w:rPr>
        <w:t xml:space="preserve"> </w:t>
      </w:r>
      <w:r>
        <w:rPr>
          <w:spacing w:val="-6"/>
        </w:rPr>
        <w:t>to</w:t>
      </w:r>
      <w:r>
        <w:rPr>
          <w:spacing w:val="-8"/>
        </w:rPr>
        <w:t xml:space="preserve"> </w:t>
      </w:r>
      <w:r>
        <w:rPr>
          <w:spacing w:val="-6"/>
        </w:rPr>
        <w:t>assess</w:t>
      </w:r>
      <w:r>
        <w:rPr>
          <w:spacing w:val="-8"/>
        </w:rPr>
        <w:t xml:space="preserve"> </w:t>
      </w:r>
      <w:r>
        <w:rPr>
          <w:spacing w:val="-6"/>
        </w:rPr>
        <w:t>the</w:t>
      </w:r>
      <w:r>
        <w:rPr>
          <w:spacing w:val="-7"/>
        </w:rPr>
        <w:t xml:space="preserve"> </w:t>
      </w:r>
      <w:r>
        <w:rPr>
          <w:spacing w:val="-6"/>
        </w:rPr>
        <w:t>out-of-sample</w:t>
      </w:r>
      <w:r>
        <w:rPr>
          <w:spacing w:val="-7"/>
        </w:rPr>
        <w:t xml:space="preserve"> </w:t>
      </w:r>
      <w:r>
        <w:rPr>
          <w:spacing w:val="-6"/>
        </w:rPr>
        <w:t>forecasts.</w:t>
      </w:r>
      <w:r>
        <w:rPr>
          <w:spacing w:val="21"/>
        </w:rPr>
        <w:t xml:space="preserve"> </w:t>
      </w:r>
      <w:r>
        <w:rPr>
          <w:spacing w:val="-6"/>
        </w:rPr>
        <w:t>Like</w:t>
      </w:r>
      <w:r>
        <w:rPr>
          <w:spacing w:val="-8"/>
        </w:rPr>
        <w:t xml:space="preserve"> </w:t>
      </w:r>
      <w:r>
        <w:rPr>
          <w:spacing w:val="-6"/>
        </w:rPr>
        <w:t>the</w:t>
      </w:r>
      <w:r>
        <w:rPr>
          <w:spacing w:val="-7"/>
        </w:rPr>
        <w:t xml:space="preserve"> </w:t>
      </w:r>
      <w:r>
        <w:rPr>
          <w:spacing w:val="-6"/>
        </w:rPr>
        <w:t>cross-validation</w:t>
      </w:r>
      <w:r>
        <w:rPr>
          <w:spacing w:val="-8"/>
        </w:rPr>
        <w:t xml:space="preserve"> </w:t>
      </w:r>
      <w:r>
        <w:rPr>
          <w:spacing w:val="-6"/>
        </w:rPr>
        <w:t>exercise, the</w:t>
      </w:r>
      <w:r>
        <w:rPr>
          <w:spacing w:val="-8"/>
        </w:rPr>
        <w:t xml:space="preserve"> </w:t>
      </w:r>
      <w:r>
        <w:rPr>
          <w:spacing w:val="-6"/>
        </w:rPr>
        <w:t>25</w:t>
      </w:r>
      <w:r>
        <w:rPr>
          <w:spacing w:val="-8"/>
        </w:rPr>
        <w:t>-</w:t>
      </w:r>
      <w:r>
        <w:rPr>
          <w:spacing w:val="-6"/>
        </w:rPr>
        <w:t>year</w:t>
      </w:r>
      <w:r>
        <w:rPr>
          <w:spacing w:val="-8"/>
        </w:rPr>
        <w:t xml:space="preserve"> </w:t>
      </w:r>
      <w:r>
        <w:rPr>
          <w:spacing w:val="-6"/>
        </w:rPr>
        <w:t>estimation</w:t>
      </w:r>
      <w:r>
        <w:rPr>
          <w:spacing w:val="-8"/>
        </w:rPr>
        <w:t xml:space="preserve"> </w:t>
      </w:r>
      <w:r>
        <w:rPr>
          <w:spacing w:val="-6"/>
        </w:rPr>
        <w:t>window</w:t>
      </w:r>
      <w:r>
        <w:rPr>
          <w:spacing w:val="-8"/>
        </w:rPr>
        <w:t xml:space="preserve"> </w:t>
      </w:r>
      <w:r>
        <w:rPr>
          <w:spacing w:val="-6"/>
        </w:rPr>
        <w:t>is</w:t>
      </w:r>
      <w:r>
        <w:rPr>
          <w:spacing w:val="-8"/>
        </w:rPr>
        <w:t xml:space="preserve"> </w:t>
      </w:r>
      <w:r>
        <w:rPr>
          <w:spacing w:val="-6"/>
        </w:rPr>
        <w:t>rolled</w:t>
      </w:r>
      <w:r>
        <w:rPr>
          <w:spacing w:val="-8"/>
        </w:rPr>
        <w:t xml:space="preserve"> </w:t>
      </w:r>
      <w:r>
        <w:rPr>
          <w:spacing w:val="-6"/>
        </w:rPr>
        <w:t>forward</w:t>
      </w:r>
      <w:r>
        <w:rPr>
          <w:spacing w:val="-8"/>
        </w:rPr>
        <w:t xml:space="preserve"> </w:t>
      </w:r>
      <w:r>
        <w:rPr>
          <w:spacing w:val="-6"/>
        </w:rPr>
        <w:t>each</w:t>
      </w:r>
      <w:r>
        <w:rPr>
          <w:spacing w:val="-8"/>
        </w:rPr>
        <w:t xml:space="preserve"> </w:t>
      </w:r>
      <w:r>
        <w:rPr>
          <w:spacing w:val="-6"/>
        </w:rPr>
        <w:t>period.</w:t>
      </w:r>
      <w:r>
        <w:rPr>
          <w:spacing w:val="26"/>
        </w:rPr>
        <w:t xml:space="preserve"> </w:t>
      </w:r>
      <w:r>
        <w:rPr>
          <w:spacing w:val="-6"/>
        </w:rPr>
        <w:t xml:space="preserve">The </w:t>
      </w:r>
      <w:r>
        <w:rPr>
          <w:spacing w:val="-8"/>
        </w:rPr>
        <w:t>model</w:t>
      </w:r>
      <w:r>
        <w:rPr>
          <w:spacing w:val="-1"/>
        </w:rPr>
        <w:t xml:space="preserve"> </w:t>
      </w:r>
      <w:r>
        <w:rPr>
          <w:spacing w:val="-8"/>
        </w:rPr>
        <w:t>is</w:t>
      </w:r>
      <w:r>
        <w:rPr>
          <w:spacing w:val="-1"/>
        </w:rPr>
        <w:t xml:space="preserve"> </w:t>
      </w:r>
      <w:r>
        <w:rPr>
          <w:spacing w:val="-8"/>
        </w:rPr>
        <w:t>re-estimated</w:t>
      </w:r>
      <w:r>
        <w:rPr>
          <w:spacing w:val="-1"/>
        </w:rPr>
        <w:t xml:space="preserve"> </w:t>
      </w:r>
      <w:r>
        <w:rPr>
          <w:spacing w:val="-8"/>
        </w:rPr>
        <w:t>and</w:t>
      </w:r>
      <w:r>
        <w:rPr>
          <w:spacing w:val="-1"/>
        </w:rPr>
        <w:t xml:space="preserve"> </w:t>
      </w:r>
      <w:r>
        <w:rPr>
          <w:spacing w:val="-8"/>
        </w:rPr>
        <w:t>forecasts</w:t>
      </w:r>
      <w:r>
        <w:rPr>
          <w:spacing w:val="-1"/>
        </w:rPr>
        <w:t xml:space="preserve"> </w:t>
      </w:r>
      <w:r>
        <w:rPr>
          <w:spacing w:val="-8"/>
        </w:rPr>
        <w:t>generated</w:t>
      </w:r>
      <w:r>
        <w:rPr>
          <w:spacing w:val="-1"/>
        </w:rPr>
        <w:t xml:space="preserve"> </w:t>
      </w:r>
      <w:r>
        <w:rPr>
          <w:spacing w:val="-8"/>
        </w:rPr>
        <w:t>recursively</w:t>
      </w:r>
      <w:r>
        <w:rPr>
          <w:spacing w:val="-1"/>
        </w:rPr>
        <w:t xml:space="preserve"> </w:t>
      </w:r>
      <w:r>
        <w:rPr>
          <w:spacing w:val="-8"/>
        </w:rPr>
        <w:t>over</w:t>
      </w:r>
      <w:r>
        <w:rPr>
          <w:spacing w:val="-1"/>
        </w:rPr>
        <w:t xml:space="preserve"> </w:t>
      </w:r>
      <w:r>
        <w:rPr>
          <w:spacing w:val="-8"/>
        </w:rPr>
        <w:t>1</w:t>
      </w:r>
      <w:r>
        <w:rPr>
          <w:spacing w:val="-1"/>
        </w:rPr>
        <w:t xml:space="preserve"> </w:t>
      </w:r>
      <w:r>
        <w:rPr>
          <w:spacing w:val="-8"/>
        </w:rPr>
        <w:t>to</w:t>
      </w:r>
      <w:r>
        <w:rPr>
          <w:spacing w:val="-1"/>
        </w:rPr>
        <w:t xml:space="preserve"> </w:t>
      </w:r>
      <w:r>
        <w:rPr>
          <w:spacing w:val="-8"/>
        </w:rPr>
        <w:t>12</w:t>
      </w:r>
      <w:r>
        <w:rPr>
          <w:spacing w:val="-1"/>
        </w:rPr>
        <w:t xml:space="preserve"> </w:t>
      </w:r>
      <w:r>
        <w:rPr>
          <w:spacing w:val="-8"/>
        </w:rPr>
        <w:t>month</w:t>
      </w:r>
      <w:r>
        <w:rPr>
          <w:spacing w:val="-1"/>
        </w:rPr>
        <w:t xml:space="preserve"> </w:t>
      </w:r>
      <w:r>
        <w:rPr>
          <w:spacing w:val="-8"/>
        </w:rPr>
        <w:t xml:space="preserve">horizons </w:t>
      </w:r>
      <w:r>
        <w:t>conditional on the information set.</w:t>
      </w:r>
    </w:p>
    <w:p w14:paraId="538FB88C" w14:textId="7EA854FC" w:rsidR="00754207" w:rsidRDefault="00754207" w:rsidP="00754207">
      <w:pPr>
        <w:pStyle w:val="BodyText"/>
        <w:spacing w:before="42"/>
        <w:ind w:left="100"/>
        <w:rPr>
          <w:spacing w:val="-2"/>
        </w:rPr>
      </w:pPr>
      <w:r>
        <w:t>Forecast performance is evaluated using the Model Confidence Set (MCS) of Hansen</w:t>
      </w:r>
      <w:r>
        <w:rPr>
          <w:spacing w:val="12"/>
        </w:rPr>
        <w:t xml:space="preserve"> </w:t>
      </w:r>
      <w:r>
        <w:t>et</w:t>
      </w:r>
      <w:r>
        <w:rPr>
          <w:spacing w:val="12"/>
        </w:rPr>
        <w:t xml:space="preserve"> </w:t>
      </w:r>
      <w:r>
        <w:t>al</w:t>
      </w:r>
      <w:r>
        <w:rPr>
          <w:spacing w:val="12"/>
        </w:rPr>
        <w:t xml:space="preserve"> </w:t>
      </w:r>
      <w:hyperlink w:anchor="_bookmark53" w:history="1">
        <w:r>
          <w:t>(2011).</w:t>
        </w:r>
      </w:hyperlink>
      <w:r>
        <w:rPr>
          <w:spacing w:val="65"/>
        </w:rPr>
        <w:t xml:space="preserve"> </w:t>
      </w:r>
      <w:r>
        <w:t>This</w:t>
      </w:r>
      <w:r>
        <w:rPr>
          <w:spacing w:val="12"/>
        </w:rPr>
        <w:t xml:space="preserve"> </w:t>
      </w:r>
      <w:r>
        <w:t>procedure</w:t>
      </w:r>
      <w:r>
        <w:rPr>
          <w:spacing w:val="12"/>
        </w:rPr>
        <w:t xml:space="preserve"> </w:t>
      </w:r>
      <w:r>
        <w:t>is</w:t>
      </w:r>
      <w:r>
        <w:rPr>
          <w:spacing w:val="12"/>
        </w:rPr>
        <w:t xml:space="preserve"> </w:t>
      </w:r>
      <w:r>
        <w:t>based</w:t>
      </w:r>
      <w:r>
        <w:rPr>
          <w:spacing w:val="12"/>
        </w:rPr>
        <w:t xml:space="preserve"> </w:t>
      </w:r>
      <w:r>
        <w:t>on</w:t>
      </w:r>
      <w:r>
        <w:rPr>
          <w:spacing w:val="13"/>
        </w:rPr>
        <w:t xml:space="preserve"> </w:t>
      </w:r>
      <w:r>
        <w:t>the</w:t>
      </w:r>
      <w:r>
        <w:rPr>
          <w:spacing w:val="12"/>
        </w:rPr>
        <w:t xml:space="preserve"> </w:t>
      </w:r>
      <w:r>
        <w:t>cumulative</w:t>
      </w:r>
      <w:r>
        <w:rPr>
          <w:spacing w:val="12"/>
        </w:rPr>
        <w:t xml:space="preserve"> </w:t>
      </w:r>
      <w:r>
        <w:t>loss</w:t>
      </w:r>
      <w:r>
        <w:rPr>
          <w:spacing w:val="12"/>
        </w:rPr>
        <w:t xml:space="preserve"> </w:t>
      </w:r>
      <w:r>
        <w:t xml:space="preserve">differential </w:t>
      </w:r>
      <w:r>
        <w:rPr>
          <w:i/>
        </w:rPr>
        <w:t>e</w:t>
      </w:r>
      <w:r>
        <w:t>(</w:t>
      </w:r>
      <w:r>
        <w:rPr>
          <w:i/>
        </w:rPr>
        <w:t>x</w:t>
      </w:r>
      <w:r>
        <w:rPr>
          <w:i/>
          <w:vertAlign w:val="subscript"/>
        </w:rPr>
        <w:t>t</w:t>
      </w:r>
      <w:r>
        <w:rPr>
          <w:vertAlign w:val="subscript"/>
        </w:rPr>
        <w:t>+</w:t>
      </w:r>
      <w:r>
        <w:rPr>
          <w:i/>
          <w:vertAlign w:val="subscript"/>
        </w:rPr>
        <w:t>h</w:t>
      </w:r>
      <w:r>
        <w:t>)</w:t>
      </w:r>
      <w:r>
        <w:rPr>
          <w:spacing w:val="10"/>
        </w:rPr>
        <w:t xml:space="preserve"> </w:t>
      </w:r>
      <w:r>
        <w:t>and</w:t>
      </w:r>
      <w:r>
        <w:rPr>
          <w:spacing w:val="10"/>
        </w:rPr>
        <w:t xml:space="preserve"> </w:t>
      </w:r>
      <w:r>
        <w:t>the</w:t>
      </w:r>
      <w:r>
        <w:rPr>
          <w:spacing w:val="10"/>
        </w:rPr>
        <w:t xml:space="preserve"> </w:t>
      </w:r>
      <w:r>
        <w:t>MAPE</w:t>
      </w:r>
      <w:r>
        <w:rPr>
          <w:spacing w:val="11"/>
        </w:rPr>
        <w:t xml:space="preserve"> </w:t>
      </w:r>
      <w:r>
        <w:t>associated</w:t>
      </w:r>
      <w:r>
        <w:rPr>
          <w:spacing w:val="10"/>
        </w:rPr>
        <w:t xml:space="preserve"> </w:t>
      </w:r>
      <w:r>
        <w:t>with</w:t>
      </w:r>
      <w:r>
        <w:rPr>
          <w:spacing w:val="10"/>
        </w:rPr>
        <w:t xml:space="preserve"> </w:t>
      </w:r>
      <w:r>
        <w:t>this</w:t>
      </w:r>
      <w:r>
        <w:rPr>
          <w:spacing w:val="11"/>
        </w:rPr>
        <w:t xml:space="preserve"> </w:t>
      </w:r>
      <w:r>
        <w:rPr>
          <w:spacing w:val="-2"/>
        </w:rPr>
        <w:t>loss:</w:t>
      </w:r>
    </w:p>
    <w:p w14:paraId="14C2A4AC" w14:textId="7575ED63" w:rsidR="007D204B" w:rsidRDefault="00CD633C" w:rsidP="00754207">
      <w:pPr>
        <w:pStyle w:val="BodyText"/>
        <w:spacing w:before="42"/>
        <w:ind w:left="100"/>
        <w:rPr>
          <w:spacing w:val="-2"/>
        </w:rPr>
      </w:pPr>
      <m:oMathPara>
        <m:oMath>
          <m:sSub>
            <m:sSubPr>
              <m:ctrlPr>
                <w:rPr>
                  <w:rFonts w:ascii="Cambria Math" w:hAnsi="Cambria Math"/>
                  <w:i/>
                </w:rPr>
              </m:ctrlPr>
            </m:sSubPr>
            <m:e>
              <m:r>
                <w:rPr>
                  <w:rFonts w:ascii="Cambria Math" w:hAnsi="Cambria Math"/>
                </w:rPr>
                <m:t>d</m:t>
              </m:r>
            </m:e>
            <m:sub>
              <m:r>
                <w:rPr>
                  <w:rFonts w:ascii="Cambria Math" w:hAnsi="Cambria Math"/>
                </w:rPr>
                <m:t>ij,t</m:t>
              </m:r>
            </m:sub>
          </m:sSub>
          <m:r>
            <w:rPr>
              <w:rFonts w:ascii="Cambria Math" w:hAnsi="Cambria Math"/>
            </w:rPr>
            <m:t>=</m:t>
          </m:r>
          <m:f>
            <m:fPr>
              <m:ctrlPr>
                <w:rPr>
                  <w:rFonts w:ascii="Cambria Math" w:hAnsi="Cambria Math"/>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t+h</m:t>
                          </m:r>
                        </m:sub>
                      </m:sSub>
                    </m:e>
                  </m:d>
                </m:e>
              </m:d>
              <m:ctrlPr>
                <w:rPr>
                  <w:rFonts w:ascii="Cambria Math" w:hAnsi="Cambria Math"/>
                  <w:i/>
                </w:rPr>
              </m:ctrlPr>
            </m:num>
            <m:den>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h</m:t>
                  </m:r>
                  <m:ctrlPr>
                    <w:rPr>
                      <w:rFonts w:ascii="Cambria Math" w:hAnsi="Cambria Math"/>
                      <w:i/>
                    </w:rPr>
                  </m:ctrlPr>
                </m:sup>
                <m:e>
                  <m:sSub>
                    <m:sSubPr>
                      <m:ctrlPr>
                        <w:rPr>
                          <w:rFonts w:ascii="Cambria Math" w:hAnsi="Cambria Math"/>
                          <w:i/>
                        </w:rPr>
                      </m:ctrlPr>
                    </m:sSubPr>
                    <m:e>
                      <m:r>
                        <w:rPr>
                          <w:rFonts w:ascii="Cambria Math" w:hAnsi="Cambria Math"/>
                        </w:rPr>
                        <m:t>x</m:t>
                      </m:r>
                    </m:e>
                    <m:sub>
                      <m:r>
                        <w:rPr>
                          <w:rFonts w:ascii="Cambria Math" w:hAnsi="Cambria Math"/>
                        </w:rPr>
                        <m:t>t</m:t>
                      </m:r>
                    </m:sub>
                  </m:sSub>
                  <m:ctrlPr>
                    <w:rPr>
                      <w:rFonts w:ascii="Cambria Math" w:hAnsi="Cambria Math"/>
                      <w:i/>
                    </w:rPr>
                  </m:ctrlPr>
                </m:e>
              </m:nary>
              <m:ctrlPr>
                <w:rPr>
                  <w:rFonts w:ascii="Cambria Math" w:hAnsi="Cambria Math"/>
                  <w:i/>
                </w:rPr>
              </m:ctrlPr>
            </m:den>
          </m:f>
        </m:oMath>
      </m:oMathPara>
    </w:p>
    <w:p w14:paraId="0A47A533" w14:textId="77777777" w:rsidR="007D204B" w:rsidRPr="00754207" w:rsidRDefault="007D204B" w:rsidP="00754207">
      <w:pPr>
        <w:pStyle w:val="BodyText"/>
        <w:spacing w:before="42"/>
        <w:ind w:left="100"/>
        <w:rPr>
          <w:spacing w:val="-2"/>
        </w:rPr>
      </w:pPr>
    </w:p>
    <w:p w14:paraId="3C3CE748" w14:textId="7DF67190" w:rsidR="00754207" w:rsidRDefault="00754207" w:rsidP="00F45F5D">
      <w:pPr>
        <w:rPr>
          <w:spacing w:val="-4"/>
        </w:rPr>
      </w:pPr>
      <w:r>
        <w:rPr>
          <w:noProof/>
        </w:rPr>
        <mc:AlternateContent>
          <mc:Choice Requires="wps">
            <w:drawing>
              <wp:anchor distT="0" distB="0" distL="0" distR="0" simplePos="0" relativeHeight="251658240" behindDoc="1" locked="0" layoutInCell="1" allowOverlap="1" wp14:anchorId="57C884F9" wp14:editId="42A227F6">
                <wp:simplePos x="0" y="0"/>
                <wp:positionH relativeFrom="page">
                  <wp:posOffset>2001431</wp:posOffset>
                </wp:positionH>
                <wp:positionV relativeFrom="paragraph">
                  <wp:posOffset>1537385</wp:posOffset>
                </wp:positionV>
                <wp:extent cx="69215" cy="1016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01600"/>
                        </a:xfrm>
                        <a:prstGeom prst="rect">
                          <a:avLst/>
                        </a:prstGeom>
                      </wps:spPr>
                      <wps:txbx>
                        <w:txbxContent>
                          <w:p w14:paraId="1631B7B6" w14:textId="77777777" w:rsidR="00754207" w:rsidRDefault="00754207" w:rsidP="00754207">
                            <w:pPr>
                              <w:spacing w:line="155" w:lineRule="exact"/>
                              <w:rPr>
                                <w:i/>
                                <w:sz w:val="16"/>
                              </w:rPr>
                            </w:pPr>
                            <w:r>
                              <w:rPr>
                                <w:i/>
                                <w:spacing w:val="-10"/>
                                <w:w w:val="110"/>
                                <w:sz w:val="16"/>
                              </w:rPr>
                              <w:t>α</w:t>
                            </w:r>
                          </w:p>
                        </w:txbxContent>
                      </wps:txbx>
                      <wps:bodyPr wrap="square" lIns="0" tIns="0" rIns="0" bIns="0" rtlCol="0">
                        <a:noAutofit/>
                      </wps:bodyPr>
                    </wps:wsp>
                  </a:graphicData>
                </a:graphic>
              </wp:anchor>
            </w:drawing>
          </mc:Choice>
          <mc:Fallback>
            <w:pict>
              <v:shapetype w14:anchorId="57C884F9" id="_x0000_t202" coordsize="21600,21600" o:spt="202" path="m,l,21600r21600,l21600,xe">
                <v:stroke joinstyle="miter"/>
                <v:path gradientshapeok="t" o:connecttype="rect"/>
              </v:shapetype>
              <v:shape id="Textbox 46" o:spid="_x0000_s1026" type="#_x0000_t202" style="position:absolute;margin-left:157.6pt;margin-top:121.05pt;width:5.45pt;height: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" filled="f" stroked="f">
                <v:textbox inset="0,0,0,0">
                  <w:txbxContent>
                    <w:p w14:paraId="1631B7B6" w14:textId="77777777" w:rsidR="00754207" w:rsidRDefault="00754207" w:rsidP="00754207">
                      <w:pPr>
                        <w:spacing w:line="155" w:lineRule="exact"/>
                        <w:rPr>
                          <w:i/>
                          <w:sz w:val="16"/>
                        </w:rPr>
                      </w:pPr>
                      <w:r>
                        <w:rPr>
                          <w:i/>
                          <w:spacing w:val="-10"/>
                          <w:w w:val="110"/>
                          <w:sz w:val="16"/>
                        </w:rPr>
                        <w:t>α</w:t>
                      </w:r>
                    </w:p>
                  </w:txbxContent>
                </v:textbox>
                <w10:wrap anchorx="page"/>
              </v:shape>
            </w:pict>
          </mc:Fallback>
        </mc:AlternateContent>
      </w:r>
      <w:r>
        <w:rPr>
          <w:noProof/>
        </w:rPr>
        <mc:AlternateContent>
          <mc:Choice Requires="wps">
            <w:drawing>
              <wp:anchor distT="0" distB="0" distL="0" distR="0" simplePos="0" relativeHeight="251658241" behindDoc="1" locked="0" layoutInCell="1" allowOverlap="1" wp14:anchorId="61E3EA99" wp14:editId="7FABCE70">
                <wp:simplePos x="0" y="0"/>
                <wp:positionH relativeFrom="page">
                  <wp:posOffset>3369030</wp:posOffset>
                </wp:positionH>
                <wp:positionV relativeFrom="paragraph">
                  <wp:posOffset>2448267</wp:posOffset>
                </wp:positionV>
                <wp:extent cx="69215" cy="1016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01600"/>
                        </a:xfrm>
                        <a:prstGeom prst="rect">
                          <a:avLst/>
                        </a:prstGeom>
                      </wps:spPr>
                      <wps:txbx>
                        <w:txbxContent>
                          <w:p w14:paraId="14A9CB76" w14:textId="77777777" w:rsidR="00754207" w:rsidRDefault="00754207" w:rsidP="00754207">
                            <w:pPr>
                              <w:spacing w:line="155" w:lineRule="exact"/>
                              <w:rPr>
                                <w:i/>
                                <w:sz w:val="16"/>
                              </w:rPr>
                            </w:pPr>
                            <w:r>
                              <w:rPr>
                                <w:i/>
                                <w:spacing w:val="-10"/>
                                <w:w w:val="110"/>
                                <w:sz w:val="16"/>
                              </w:rPr>
                              <w:t>α</w:t>
                            </w:r>
                          </w:p>
                        </w:txbxContent>
                      </wps:txbx>
                      <wps:bodyPr wrap="square" lIns="0" tIns="0" rIns="0" bIns="0" rtlCol="0">
                        <a:noAutofit/>
                      </wps:bodyPr>
                    </wps:wsp>
                  </a:graphicData>
                </a:graphic>
              </wp:anchor>
            </w:drawing>
          </mc:Choice>
          <mc:Fallback>
            <w:pict>
              <v:shape w14:anchorId="61E3EA99" id="Textbox 47" o:spid="_x0000_s1027" type="#_x0000_t202" style="position:absolute;margin-left:265.3pt;margin-top:192.8pt;width:5.45pt;height:8pt;z-index:-2516582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" filled="f" stroked="f">
                <v:textbox inset="0,0,0,0">
                  <w:txbxContent>
                    <w:p w14:paraId="14A9CB76" w14:textId="77777777" w:rsidR="00754207" w:rsidRDefault="00754207" w:rsidP="00754207">
                      <w:pPr>
                        <w:spacing w:line="155" w:lineRule="exact"/>
                        <w:rPr>
                          <w:i/>
                          <w:sz w:val="16"/>
                        </w:rPr>
                      </w:pPr>
                      <w:r>
                        <w:rPr>
                          <w:i/>
                          <w:spacing w:val="-10"/>
                          <w:w w:val="110"/>
                          <w:sz w:val="16"/>
                        </w:rPr>
                        <w:t>α</w:t>
                      </w:r>
                    </w:p>
                  </w:txbxContent>
                </v:textbox>
                <w10:wrap anchorx="page"/>
              </v:shape>
            </w:pict>
          </mc:Fallback>
        </mc:AlternateContent>
      </w:r>
      <w:r>
        <w:t>where</w:t>
      </w:r>
      <w:r>
        <w:rPr>
          <w:spacing w:val="-4"/>
        </w:rPr>
        <w:t xml:space="preserve"> </w:t>
      </w:r>
      <w:r>
        <w:rPr>
          <w:i/>
        </w:rPr>
        <w:t>e</w:t>
      </w:r>
      <w:r>
        <w:rPr>
          <w:i/>
          <w:vertAlign w:val="subscript"/>
        </w:rPr>
        <w:t>i</w:t>
      </w:r>
      <w:r>
        <w:rPr>
          <w:i/>
        </w:rPr>
        <w:t xml:space="preserve"> </w:t>
      </w:r>
      <w:r>
        <w:t>and</w:t>
      </w:r>
      <w:r>
        <w:rPr>
          <w:spacing w:val="-4"/>
        </w:rPr>
        <w:t xml:space="preserve"> </w:t>
      </w:r>
      <w:r>
        <w:rPr>
          <w:i/>
        </w:rPr>
        <w:t>e</w:t>
      </w:r>
      <w:r>
        <w:rPr>
          <w:i/>
          <w:vertAlign w:val="subscript"/>
        </w:rPr>
        <w:t>j</w:t>
      </w:r>
      <w:r>
        <w:rPr>
          <w:i/>
        </w:rPr>
        <w:t xml:space="preserve"> </w:t>
      </w:r>
      <w:r>
        <w:t>are</w:t>
      </w:r>
      <w:r>
        <w:rPr>
          <w:spacing w:val="-4"/>
        </w:rPr>
        <w:t xml:space="preserve"> </w:t>
      </w:r>
      <w:r>
        <w:t>the</w:t>
      </w:r>
      <w:r>
        <w:rPr>
          <w:spacing w:val="-4"/>
        </w:rPr>
        <w:t xml:space="preserve"> </w:t>
      </w:r>
      <w:r>
        <w:t>forecast</w:t>
      </w:r>
      <w:r>
        <w:rPr>
          <w:spacing w:val="-4"/>
        </w:rPr>
        <w:t xml:space="preserve"> </w:t>
      </w:r>
      <w:r>
        <w:t>errors</w:t>
      </w:r>
      <w:r>
        <w:rPr>
          <w:spacing w:val="-4"/>
        </w:rPr>
        <w:t xml:space="preserve"> </w:t>
      </w:r>
      <w:r>
        <w:t>from</w:t>
      </w:r>
      <w:r>
        <w:rPr>
          <w:spacing w:val="-4"/>
        </w:rPr>
        <w:t xml:space="preserve"> </w:t>
      </w:r>
      <w:r>
        <w:t>the</w:t>
      </w:r>
      <w:r>
        <w:rPr>
          <w:spacing w:val="-4"/>
        </w:rPr>
        <w:t xml:space="preserve"> </w:t>
      </w:r>
      <w:r>
        <w:t>competing</w:t>
      </w:r>
      <w:r>
        <w:rPr>
          <w:spacing w:val="-4"/>
        </w:rPr>
        <w:t xml:space="preserve"> </w:t>
      </w:r>
      <w:r>
        <w:t>models</w:t>
      </w:r>
      <w:r>
        <w:rPr>
          <w:spacing w:val="-4"/>
        </w:rPr>
        <w:t xml:space="preserve"> </w:t>
      </w:r>
      <w:r>
        <w:rPr>
          <w:i/>
        </w:rPr>
        <w:t>i</w:t>
      </w:r>
      <w:r>
        <w:rPr>
          <w:i/>
          <w:spacing w:val="-4"/>
        </w:rPr>
        <w:t xml:space="preserve"> </w:t>
      </w:r>
      <w:r>
        <w:t>and</w:t>
      </w:r>
      <w:r>
        <w:rPr>
          <w:spacing w:val="-4"/>
        </w:rPr>
        <w:t xml:space="preserve"> </w:t>
      </w:r>
      <w:r>
        <w:rPr>
          <w:i/>
        </w:rPr>
        <w:t>j</w:t>
      </w:r>
      <w:r>
        <w:t>,</w:t>
      </w:r>
      <w:r>
        <w:rPr>
          <w:spacing w:val="-4"/>
        </w:rPr>
        <w:t xml:space="preserve"> </w:t>
      </w:r>
      <w:r>
        <w:t>respectively. The</w:t>
      </w:r>
      <w:r>
        <w:rPr>
          <w:spacing w:val="-12"/>
        </w:rPr>
        <w:t xml:space="preserve"> </w:t>
      </w:r>
      <w:r>
        <w:t>MCS</w:t>
      </w:r>
      <w:r>
        <w:rPr>
          <w:spacing w:val="-12"/>
        </w:rPr>
        <w:t xml:space="preserve"> </w:t>
      </w:r>
      <w:r>
        <w:t>procedure</w:t>
      </w:r>
      <w:r>
        <w:rPr>
          <w:spacing w:val="-12"/>
        </w:rPr>
        <w:t xml:space="preserve"> </w:t>
      </w:r>
      <w:r>
        <w:t>identifies</w:t>
      </w:r>
      <w:r>
        <w:rPr>
          <w:spacing w:val="-12"/>
        </w:rPr>
        <w:t xml:space="preserve"> </w:t>
      </w:r>
      <w:r>
        <w:t>a</w:t>
      </w:r>
      <w:r>
        <w:rPr>
          <w:spacing w:val="-12"/>
        </w:rPr>
        <w:t xml:space="preserve"> </w:t>
      </w:r>
      <w:r>
        <w:t>set</w:t>
      </w:r>
      <w:r>
        <w:rPr>
          <w:spacing w:val="-12"/>
        </w:rPr>
        <w:t xml:space="preserve"> </w:t>
      </w:r>
      <w:r>
        <w:t>of</w:t>
      </w:r>
      <w:r>
        <w:rPr>
          <w:spacing w:val="-12"/>
        </w:rPr>
        <w:t xml:space="preserve"> </w:t>
      </w:r>
      <w:r>
        <w:t>models</w:t>
      </w:r>
      <w:r>
        <w:rPr>
          <w:spacing w:val="-12"/>
        </w:rPr>
        <w:t xml:space="preserve"> </w:t>
      </w:r>
      <w:r>
        <w:t>that</w:t>
      </w:r>
      <w:r>
        <w:rPr>
          <w:spacing w:val="-12"/>
        </w:rPr>
        <w:t xml:space="preserve"> </w:t>
      </w:r>
      <w:r>
        <w:t>are</w:t>
      </w:r>
      <w:r>
        <w:rPr>
          <w:spacing w:val="-12"/>
        </w:rPr>
        <w:t xml:space="preserve"> </w:t>
      </w:r>
      <w:r>
        <w:t>statistically</w:t>
      </w:r>
      <w:r>
        <w:rPr>
          <w:spacing w:val="-12"/>
        </w:rPr>
        <w:t xml:space="preserve"> </w:t>
      </w:r>
      <w:r>
        <w:t>indistinguishable</w:t>
      </w:r>
      <w:r>
        <w:rPr>
          <w:spacing w:val="-15"/>
        </w:rPr>
        <w:t xml:space="preserve"> </w:t>
      </w:r>
      <w:r>
        <w:t>from</w:t>
      </w:r>
      <w:r>
        <w:rPr>
          <w:spacing w:val="-14"/>
        </w:rPr>
        <w:t xml:space="preserve"> </w:t>
      </w:r>
      <w:r>
        <w:t>the</w:t>
      </w:r>
      <w:r>
        <w:rPr>
          <w:spacing w:val="-15"/>
        </w:rPr>
        <w:t xml:space="preserve"> </w:t>
      </w:r>
      <w:r>
        <w:t>‘best’</w:t>
      </w:r>
      <w:r>
        <w:rPr>
          <w:spacing w:val="-14"/>
        </w:rPr>
        <w:t xml:space="preserve"> </w:t>
      </w:r>
      <w:r>
        <w:t>model</w:t>
      </w:r>
      <w:r>
        <w:rPr>
          <w:spacing w:val="-15"/>
        </w:rPr>
        <w:t xml:space="preserve"> </w:t>
      </w:r>
      <w:r>
        <w:t>at</w:t>
      </w:r>
      <w:r>
        <w:rPr>
          <w:spacing w:val="-14"/>
        </w:rPr>
        <w:t xml:space="preserve"> </w:t>
      </w:r>
      <w:r>
        <w:t>a</w:t>
      </w:r>
      <w:r>
        <w:rPr>
          <w:spacing w:val="-15"/>
        </w:rPr>
        <w:t xml:space="preserve"> </w:t>
      </w:r>
      <w:r>
        <w:t>given</w:t>
      </w:r>
      <w:r>
        <w:rPr>
          <w:spacing w:val="-14"/>
        </w:rPr>
        <w:t xml:space="preserve"> </w:t>
      </w:r>
      <w:r>
        <w:t>confidence</w:t>
      </w:r>
      <w:r>
        <w:rPr>
          <w:spacing w:val="-15"/>
        </w:rPr>
        <w:t xml:space="preserve"> </w:t>
      </w:r>
      <w:r>
        <w:t>level. The</w:t>
      </w:r>
      <w:r>
        <w:rPr>
          <w:spacing w:val="-14"/>
        </w:rPr>
        <w:t xml:space="preserve"> </w:t>
      </w:r>
      <w:r>
        <w:t>MCS</w:t>
      </w:r>
      <w:r>
        <w:rPr>
          <w:spacing w:val="-15"/>
        </w:rPr>
        <w:t xml:space="preserve"> </w:t>
      </w:r>
      <w:r>
        <w:t>test</w:t>
      </w:r>
      <w:r>
        <w:rPr>
          <w:spacing w:val="-14"/>
        </w:rPr>
        <w:t xml:space="preserve"> </w:t>
      </w:r>
      <w:r>
        <w:t>statistic is</w:t>
      </w:r>
      <w:r>
        <w:rPr>
          <w:spacing w:val="-15"/>
        </w:rPr>
        <w:t xml:space="preserve"> </w:t>
      </w:r>
      <w:r>
        <w:t>based</w:t>
      </w:r>
      <w:r>
        <w:rPr>
          <w:spacing w:val="-13"/>
        </w:rPr>
        <w:t xml:space="preserve"> </w:t>
      </w:r>
      <w:r>
        <w:t>on</w:t>
      </w:r>
      <w:r>
        <w:rPr>
          <w:spacing w:val="-15"/>
        </w:rPr>
        <w:t xml:space="preserve"> </w:t>
      </w:r>
      <w:r>
        <w:t>the</w:t>
      </w:r>
      <w:r>
        <w:rPr>
          <w:spacing w:val="-14"/>
        </w:rPr>
        <w:t xml:space="preserve"> </w:t>
      </w:r>
      <w:r>
        <w:t>forecast</w:t>
      </w:r>
      <w:r>
        <w:rPr>
          <w:spacing w:val="-15"/>
        </w:rPr>
        <w:t xml:space="preserve"> </w:t>
      </w:r>
      <w:r>
        <w:t>errors</w:t>
      </w:r>
      <w:r>
        <w:rPr>
          <w:spacing w:val="-14"/>
        </w:rPr>
        <w:t xml:space="preserve"> </w:t>
      </w:r>
      <w:r>
        <w:t>of</w:t>
      </w:r>
      <w:r>
        <w:rPr>
          <w:spacing w:val="-14"/>
        </w:rPr>
        <w:t xml:space="preserve"> </w:t>
      </w:r>
      <w:r>
        <w:t>each</w:t>
      </w:r>
      <w:r>
        <w:rPr>
          <w:spacing w:val="-14"/>
        </w:rPr>
        <w:t xml:space="preserve"> </w:t>
      </w:r>
      <w:r>
        <w:t>model</w:t>
      </w:r>
      <w:r>
        <w:rPr>
          <w:spacing w:val="-15"/>
        </w:rPr>
        <w:t xml:space="preserve"> </w:t>
      </w:r>
      <w:r>
        <w:t>in</w:t>
      </w:r>
      <w:r>
        <w:rPr>
          <w:spacing w:val="-13"/>
        </w:rPr>
        <w:t xml:space="preserve"> </w:t>
      </w:r>
      <w:r>
        <w:t>the</w:t>
      </w:r>
      <w:r>
        <w:rPr>
          <w:spacing w:val="-15"/>
        </w:rPr>
        <w:t xml:space="preserve"> </w:t>
      </w:r>
      <w:r>
        <w:t>set</w:t>
      </w:r>
      <w:r>
        <w:rPr>
          <w:spacing w:val="-14"/>
        </w:rPr>
        <w:t xml:space="preserve"> </w:t>
      </w:r>
      <w:r>
        <w:rPr>
          <w:i/>
        </w:rPr>
        <w:t>M</w:t>
      </w:r>
      <w:r>
        <w:rPr>
          <w:i/>
          <w:spacing w:val="-1"/>
        </w:rPr>
        <w:t xml:space="preserve"> </w:t>
      </w:r>
      <w:r>
        <w:t>under</w:t>
      </w:r>
      <w:r>
        <w:rPr>
          <w:spacing w:val="-15"/>
        </w:rPr>
        <w:t xml:space="preserve"> </w:t>
      </w:r>
      <w:r>
        <w:t>investigation. The optimal</w:t>
      </w:r>
      <w:r>
        <w:rPr>
          <w:spacing w:val="-15"/>
        </w:rPr>
        <w:t xml:space="preserve"> </w:t>
      </w:r>
      <w:r>
        <w:t>set</w:t>
      </w:r>
      <w:r>
        <w:rPr>
          <w:spacing w:val="-14"/>
        </w:rPr>
        <w:t xml:space="preserve"> </w:t>
      </w:r>
      <w:r>
        <w:rPr>
          <w:i/>
        </w:rPr>
        <w:t>M</w:t>
      </w:r>
      <w:r>
        <w:rPr>
          <w:rFonts w:ascii="Meiryo UI" w:hAnsi="Meiryo UI"/>
          <w:i/>
          <w:vertAlign w:val="superscript"/>
        </w:rPr>
        <w:t>∗</w:t>
      </w:r>
      <w:r>
        <w:rPr>
          <w:rFonts w:ascii="Meiryo UI" w:hAnsi="Meiryo UI"/>
          <w:i/>
          <w:spacing w:val="-21"/>
        </w:rPr>
        <w:t xml:space="preserve"> </w:t>
      </w:r>
      <w:r>
        <w:rPr>
          <w:rFonts w:ascii="Cambria" w:hAnsi="Cambria"/>
        </w:rPr>
        <w:t>⊆</w:t>
      </w:r>
      <w:r>
        <w:rPr>
          <w:rFonts w:ascii="Cambria" w:hAnsi="Cambria"/>
          <w:spacing w:val="-13"/>
        </w:rPr>
        <w:t xml:space="preserve"> </w:t>
      </w:r>
      <w:r>
        <w:rPr>
          <w:i/>
        </w:rPr>
        <w:t>M</w:t>
      </w:r>
      <w:r>
        <w:rPr>
          <w:i/>
          <w:spacing w:val="-15"/>
        </w:rPr>
        <w:t xml:space="preserve"> </w:t>
      </w:r>
      <w:r>
        <w:t>includes</w:t>
      </w:r>
      <w:r>
        <w:rPr>
          <w:spacing w:val="-14"/>
        </w:rPr>
        <w:t xml:space="preserve"> </w:t>
      </w:r>
      <w:r>
        <w:t>the</w:t>
      </w:r>
      <w:r>
        <w:rPr>
          <w:spacing w:val="-14"/>
        </w:rPr>
        <w:t xml:space="preserve"> </w:t>
      </w:r>
      <w:r>
        <w:t>best</w:t>
      </w:r>
      <w:r>
        <w:rPr>
          <w:spacing w:val="-15"/>
        </w:rPr>
        <w:t xml:space="preserve"> </w:t>
      </w:r>
      <w:r>
        <w:t>performing</w:t>
      </w:r>
      <w:r>
        <w:rPr>
          <w:spacing w:val="-14"/>
        </w:rPr>
        <w:t xml:space="preserve"> </w:t>
      </w:r>
      <w:r>
        <w:t>models</w:t>
      </w:r>
      <w:r>
        <w:rPr>
          <w:spacing w:val="-15"/>
        </w:rPr>
        <w:t xml:space="preserve"> </w:t>
      </w:r>
      <w:r>
        <w:t>at</w:t>
      </w:r>
      <w:r>
        <w:rPr>
          <w:spacing w:val="-14"/>
        </w:rPr>
        <w:t xml:space="preserve"> </w:t>
      </w:r>
      <w:r>
        <w:t>the</w:t>
      </w:r>
      <w:r>
        <w:rPr>
          <w:spacing w:val="-15"/>
        </w:rPr>
        <w:t xml:space="preserve"> </w:t>
      </w:r>
      <w:r>
        <w:t>chosen</w:t>
      </w:r>
      <w:r>
        <w:rPr>
          <w:spacing w:val="-14"/>
        </w:rPr>
        <w:t xml:space="preserve"> </w:t>
      </w:r>
      <w:r>
        <w:t>confidence level</w:t>
      </w:r>
      <w:r>
        <w:rPr>
          <w:spacing w:val="-2"/>
        </w:rPr>
        <w:t xml:space="preserve"> </w:t>
      </w:r>
      <w:r>
        <w:rPr>
          <w:rFonts w:ascii="Courier New" w:hAnsi="Courier New" w:cs="Courier New"/>
          <w:i/>
        </w:rPr>
        <w:t>α</w:t>
      </w:r>
      <w:r>
        <w:t>.</w:t>
      </w:r>
      <w:r>
        <w:rPr>
          <w:spacing w:val="23"/>
        </w:rPr>
        <w:t xml:space="preserve"> </w:t>
      </w:r>
      <w:r>
        <w:t>By</w:t>
      </w:r>
      <w:r>
        <w:rPr>
          <w:spacing w:val="-2"/>
        </w:rPr>
        <w:t xml:space="preserve"> </w:t>
      </w:r>
      <w:r>
        <w:t>computing</w:t>
      </w:r>
      <w:r>
        <w:rPr>
          <w:spacing w:val="-2"/>
        </w:rPr>
        <w:t xml:space="preserve"> </w:t>
      </w:r>
      <w:r>
        <w:t>the</w:t>
      </w:r>
      <w:r>
        <w:rPr>
          <w:spacing w:val="-2"/>
        </w:rPr>
        <w:t xml:space="preserve"> </w:t>
      </w:r>
      <w:r>
        <w:t>test</w:t>
      </w:r>
      <w:r>
        <w:rPr>
          <w:spacing w:val="-2"/>
        </w:rPr>
        <w:t xml:space="preserve"> </w:t>
      </w:r>
      <w:r>
        <w:t>statistic</w:t>
      </w:r>
      <w:r>
        <w:rPr>
          <w:spacing w:val="-2"/>
        </w:rPr>
        <w:t xml:space="preserve"> </w:t>
      </w:r>
      <w:r>
        <w:t>and</w:t>
      </w:r>
      <w:r>
        <w:rPr>
          <w:spacing w:val="-2"/>
        </w:rPr>
        <w:t xml:space="preserve"> </w:t>
      </w:r>
      <w:r>
        <w:t>p-value</w:t>
      </w:r>
      <w:r>
        <w:rPr>
          <w:spacing w:val="-2"/>
        </w:rPr>
        <w:t xml:space="preserve"> </w:t>
      </w:r>
      <w:r>
        <w:t>for</w:t>
      </w:r>
      <w:r>
        <w:rPr>
          <w:spacing w:val="-2"/>
        </w:rPr>
        <w:t xml:space="preserve"> </w:t>
      </w:r>
      <w:r>
        <w:t>each</w:t>
      </w:r>
      <w:r>
        <w:rPr>
          <w:spacing w:val="-2"/>
        </w:rPr>
        <w:t xml:space="preserve"> </w:t>
      </w:r>
      <w:r>
        <w:t>model</w:t>
      </w:r>
      <w:r>
        <w:rPr>
          <w:spacing w:val="-2"/>
        </w:rPr>
        <w:t xml:space="preserve"> </w:t>
      </w:r>
      <w:r>
        <w:t>relative</w:t>
      </w:r>
      <w:r>
        <w:rPr>
          <w:spacing w:val="-2"/>
        </w:rPr>
        <w:t xml:space="preserve"> </w:t>
      </w:r>
      <w:r>
        <w:t>to</w:t>
      </w:r>
      <w:r>
        <w:rPr>
          <w:spacing w:val="-2"/>
        </w:rPr>
        <w:t xml:space="preserve"> </w:t>
      </w:r>
      <w:r>
        <w:t xml:space="preserve">the </w:t>
      </w:r>
      <w:r>
        <w:rPr>
          <w:spacing w:val="-4"/>
        </w:rPr>
        <w:t>‘best’</w:t>
      </w:r>
      <w:r>
        <w:rPr>
          <w:spacing w:val="-10"/>
        </w:rPr>
        <w:t xml:space="preserve"> </w:t>
      </w:r>
      <w:r>
        <w:rPr>
          <w:spacing w:val="-4"/>
        </w:rPr>
        <w:t>model,</w:t>
      </w:r>
      <w:r>
        <w:rPr>
          <w:spacing w:val="-7"/>
        </w:rPr>
        <w:t xml:space="preserve"> </w:t>
      </w:r>
      <w:r>
        <w:rPr>
          <w:spacing w:val="-4"/>
        </w:rPr>
        <w:t>models</w:t>
      </w:r>
      <w:r>
        <w:rPr>
          <w:spacing w:val="-10"/>
        </w:rPr>
        <w:t xml:space="preserve"> </w:t>
      </w:r>
      <w:r>
        <w:rPr>
          <w:spacing w:val="-4"/>
        </w:rPr>
        <w:t>are</w:t>
      </w:r>
      <w:r>
        <w:rPr>
          <w:spacing w:val="-10"/>
        </w:rPr>
        <w:t xml:space="preserve"> </w:t>
      </w:r>
      <w:r>
        <w:rPr>
          <w:spacing w:val="-4"/>
        </w:rPr>
        <w:t>iteratively</w:t>
      </w:r>
      <w:r>
        <w:rPr>
          <w:spacing w:val="-10"/>
        </w:rPr>
        <w:t xml:space="preserve"> </w:t>
      </w:r>
      <w:r>
        <w:rPr>
          <w:spacing w:val="-4"/>
        </w:rPr>
        <w:t>removed</w:t>
      </w:r>
      <w:r>
        <w:rPr>
          <w:spacing w:val="-9"/>
        </w:rPr>
        <w:t xml:space="preserve"> </w:t>
      </w:r>
      <w:r>
        <w:rPr>
          <w:spacing w:val="-4"/>
        </w:rPr>
        <w:t>from</w:t>
      </w:r>
      <w:r>
        <w:rPr>
          <w:spacing w:val="-9"/>
        </w:rPr>
        <w:t xml:space="preserve"> </w:t>
      </w:r>
      <w:r>
        <w:rPr>
          <w:spacing w:val="-4"/>
        </w:rPr>
        <w:t>the</w:t>
      </w:r>
      <w:r>
        <w:rPr>
          <w:spacing w:val="-10"/>
        </w:rPr>
        <w:t xml:space="preserve"> </w:t>
      </w:r>
      <w:r>
        <w:rPr>
          <w:spacing w:val="-4"/>
        </w:rPr>
        <w:t>set</w:t>
      </w:r>
      <w:r>
        <w:rPr>
          <w:spacing w:val="-10"/>
        </w:rPr>
        <w:t xml:space="preserve"> </w:t>
      </w:r>
      <w:r>
        <w:rPr>
          <w:spacing w:val="-4"/>
        </w:rPr>
        <w:t>if</w:t>
      </w:r>
      <w:r>
        <w:rPr>
          <w:spacing w:val="-9"/>
        </w:rPr>
        <w:t xml:space="preserve"> </w:t>
      </w:r>
      <w:r>
        <w:rPr>
          <w:spacing w:val="-4"/>
        </w:rPr>
        <w:t>their</w:t>
      </w:r>
      <w:r>
        <w:rPr>
          <w:spacing w:val="-10"/>
        </w:rPr>
        <w:t xml:space="preserve"> </w:t>
      </w:r>
      <w:r>
        <w:rPr>
          <w:spacing w:val="-4"/>
        </w:rPr>
        <w:t>p-value</w:t>
      </w:r>
      <w:r>
        <w:rPr>
          <w:spacing w:val="-9"/>
        </w:rPr>
        <w:t xml:space="preserve"> </w:t>
      </w:r>
      <w:r>
        <w:rPr>
          <w:spacing w:val="-4"/>
        </w:rPr>
        <w:t>falls</w:t>
      </w:r>
      <w:r>
        <w:rPr>
          <w:spacing w:val="-10"/>
        </w:rPr>
        <w:t xml:space="preserve"> </w:t>
      </w:r>
      <w:r>
        <w:rPr>
          <w:spacing w:val="-4"/>
        </w:rPr>
        <w:t xml:space="preserve">below </w:t>
      </w:r>
      <w:r>
        <w:rPr>
          <w:rFonts w:ascii="Courier New" w:hAnsi="Courier New" w:cs="Courier New"/>
          <w:i/>
          <w:spacing w:val="-2"/>
        </w:rPr>
        <w:t>α</w:t>
      </w:r>
      <w:r>
        <w:rPr>
          <w:spacing w:val="-2"/>
        </w:rPr>
        <w:t>.</w:t>
      </w:r>
      <w:r>
        <w:rPr>
          <w:rStyle w:val="FootnoteReference"/>
          <w:spacing w:val="-2"/>
        </w:rPr>
        <w:footnoteReference w:id="9"/>
      </w:r>
      <w:r>
        <w:rPr>
          <w:spacing w:val="27"/>
        </w:rPr>
        <w:t xml:space="preserve"> </w:t>
      </w:r>
      <w:r>
        <w:rPr>
          <w:spacing w:val="-2"/>
        </w:rPr>
        <w:t>If</w:t>
      </w:r>
      <w:r>
        <w:rPr>
          <w:spacing w:val="-3"/>
        </w:rPr>
        <w:t xml:space="preserve"> </w:t>
      </w:r>
      <w:r>
        <w:rPr>
          <w:spacing w:val="-2"/>
        </w:rPr>
        <w:t>multiple models</w:t>
      </w:r>
      <w:r>
        <w:rPr>
          <w:spacing w:val="-3"/>
        </w:rPr>
        <w:t xml:space="preserve"> </w:t>
      </w:r>
      <w:r>
        <w:rPr>
          <w:spacing w:val="-2"/>
        </w:rPr>
        <w:t>remain in</w:t>
      </w:r>
      <w:r>
        <w:rPr>
          <w:spacing w:val="-1"/>
        </w:rPr>
        <w:t xml:space="preserve"> </w:t>
      </w:r>
      <w:r>
        <w:rPr>
          <w:i/>
          <w:spacing w:val="-2"/>
        </w:rPr>
        <w:t>M</w:t>
      </w:r>
      <w:r>
        <w:rPr>
          <w:rFonts w:ascii="Meiryo UI" w:hAnsi="Meiryo UI"/>
          <w:i/>
          <w:spacing w:val="-2"/>
          <w:vertAlign w:val="superscript"/>
        </w:rPr>
        <w:t>∗</w:t>
      </w:r>
      <w:r>
        <w:rPr>
          <w:spacing w:val="-2"/>
        </w:rPr>
        <w:t>,</w:t>
      </w:r>
      <w:r>
        <w:rPr>
          <w:spacing w:val="-1"/>
        </w:rPr>
        <w:t xml:space="preserve"> </w:t>
      </w:r>
      <w:r>
        <w:rPr>
          <w:spacing w:val="-2"/>
        </w:rPr>
        <w:t>it</w:t>
      </w:r>
      <w:r>
        <w:rPr>
          <w:spacing w:val="-3"/>
        </w:rPr>
        <w:t xml:space="preserve"> </w:t>
      </w:r>
      <w:r>
        <w:rPr>
          <w:spacing w:val="-2"/>
        </w:rPr>
        <w:t>indicates failure</w:t>
      </w:r>
      <w:r>
        <w:rPr>
          <w:spacing w:val="-3"/>
        </w:rPr>
        <w:t xml:space="preserve"> </w:t>
      </w:r>
      <w:r>
        <w:rPr>
          <w:spacing w:val="-2"/>
        </w:rPr>
        <w:t>to</w:t>
      </w:r>
      <w:r>
        <w:rPr>
          <w:spacing w:val="-3"/>
        </w:rPr>
        <w:t xml:space="preserve"> </w:t>
      </w:r>
      <w:r>
        <w:rPr>
          <w:spacing w:val="-2"/>
        </w:rPr>
        <w:t>reject the</w:t>
      </w:r>
      <w:r>
        <w:rPr>
          <w:spacing w:val="-3"/>
        </w:rPr>
        <w:t xml:space="preserve"> </w:t>
      </w:r>
      <w:r>
        <w:rPr>
          <w:spacing w:val="-2"/>
        </w:rPr>
        <w:t xml:space="preserve">null that </w:t>
      </w:r>
      <w:r>
        <w:rPr>
          <w:spacing w:val="-4"/>
        </w:rPr>
        <w:t>they</w:t>
      </w:r>
      <w:r w:rsidR="00EE25B3">
        <w:rPr>
          <w:spacing w:val="-4"/>
        </w:rPr>
        <w:t xml:space="preserve"> </w:t>
      </w:r>
      <w:r>
        <w:rPr>
          <w:spacing w:val="-4"/>
        </w:rPr>
        <w:t>have equal</w:t>
      </w:r>
      <w:r>
        <w:rPr>
          <w:spacing w:val="-3"/>
        </w:rPr>
        <w:t xml:space="preserve"> </w:t>
      </w:r>
      <w:r>
        <w:rPr>
          <w:spacing w:val="-4"/>
        </w:rPr>
        <w:t>predictive ability.</w:t>
      </w:r>
    </w:p>
    <w:p w14:paraId="3E38466C" w14:textId="02A593BF" w:rsidR="00EE25B3" w:rsidRDefault="00EE25B3" w:rsidP="00EE25B3">
      <w:pPr>
        <w:pStyle w:val="Heading1numbered"/>
      </w:pPr>
      <w:r>
        <w:lastRenderedPageBreak/>
        <w:t>Results</w:t>
      </w:r>
    </w:p>
    <w:p w14:paraId="0F82F8A9" w14:textId="110CA42C" w:rsidR="00EE25B3" w:rsidRDefault="00EE25B3" w:rsidP="00EE25B3">
      <w:r w:rsidRPr="00EE25B3">
        <w:t>This section is divided into four parts: Section 4.1 studies the full sample estimation results for the MS-VECM. We then consider forecast performance. This commences in section 4.2 which performs the cross-validation, and is followed by the out of sample (OOS) forecasts in section 4.3. Finally, section 4.4 considers a subset of the out-of-sample period, focusing on the COVID-19 period and the ability of the model to identify regime switches in real</w:t>
      </w:r>
      <w:r w:rsidR="00C83B43">
        <w:t xml:space="preserve"> </w:t>
      </w:r>
      <w:r w:rsidRPr="00EE25B3">
        <w:t>time.</w:t>
      </w:r>
    </w:p>
    <w:p w14:paraId="1055E603" w14:textId="2AB58315" w:rsidR="00EE25B3" w:rsidRDefault="00EE25B3" w:rsidP="00EE25B3">
      <w:pPr>
        <w:pStyle w:val="Heading2numbered"/>
      </w:pPr>
      <w:r>
        <w:t>Full estimation results</w:t>
      </w:r>
    </w:p>
    <w:p w14:paraId="65BB2AC9" w14:textId="77777777" w:rsidR="00EE25B3" w:rsidRDefault="00EE25B3" w:rsidP="00EE25B3">
      <w:r>
        <w:t xml:space="preserve">Here we compare </w:t>
      </w:r>
      <w:r w:rsidRPr="00EE25B3">
        <w:t>estimation results from the VECM and MS-VECM. The linear VECM provides a useful baseline for comparison to the MS-VECM, which allows for state-dependent intercepts, speed of adjustment, auto-regressive lags and volatility. The estimated parameters for the two</w:t>
      </w:r>
      <w:r>
        <w:t xml:space="preserve"> models are presented in Table </w:t>
      </w:r>
      <w:hyperlink w:anchor="_bookmark21" w:history="1">
        <w:r>
          <w:t>3.</w:t>
        </w:r>
      </w:hyperlink>
    </w:p>
    <w:p w14:paraId="532B2963" w14:textId="77777777" w:rsidR="00867CB5" w:rsidRPr="00867CB5" w:rsidRDefault="00867CB5" w:rsidP="007D204B">
      <w:pPr>
        <w:pStyle w:val="Caption"/>
        <w:rPr>
          <w:lang w:val="en-GB"/>
        </w:rPr>
      </w:pPr>
      <w:r w:rsidRPr="00867CB5">
        <w:rPr>
          <w:lang w:val="en-GB"/>
        </w:rPr>
        <w:t>Table 3: Estimation results</w:t>
      </w:r>
    </w:p>
    <w:tbl>
      <w:tblPr>
        <w:tblStyle w:val="Financialtable"/>
        <w:tblW w:w="9616" w:type="dxa"/>
        <w:tblLayout w:type="fixed"/>
        <w:tblCellMar>
          <w:right w:w="86" w:type="dxa"/>
        </w:tblCellMar>
        <w:tblLook w:val="06A0" w:firstRow="1" w:lastRow="0" w:firstColumn="1" w:lastColumn="0" w:noHBand="1" w:noVBand="1"/>
      </w:tblPr>
      <w:tblGrid>
        <w:gridCol w:w="3402"/>
        <w:gridCol w:w="1035"/>
        <w:gridCol w:w="1036"/>
        <w:gridCol w:w="1036"/>
        <w:gridCol w:w="1036"/>
        <w:gridCol w:w="1035"/>
        <w:gridCol w:w="1036"/>
      </w:tblGrid>
      <w:tr w:rsidR="00C24B45" w:rsidRPr="007A4E19" w14:paraId="703869E5" w14:textId="77777777" w:rsidTr="007A4E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7FD80050" w14:textId="77777777" w:rsidR="00C24B45" w:rsidRPr="007A4E19" w:rsidRDefault="00C24B45" w:rsidP="00F04D01">
            <w:pPr>
              <w:spacing w:before="20" w:after="20" w:line="240" w:lineRule="auto"/>
              <w:rPr>
                <w:color w:val="auto"/>
                <w:lang w:val="en-US"/>
              </w:rPr>
            </w:pPr>
          </w:p>
        </w:tc>
        <w:tc>
          <w:tcPr>
            <w:tcW w:w="3107" w:type="dxa"/>
            <w:gridSpan w:val="3"/>
            <w:tcBorders>
              <w:top w:val="nil"/>
              <w:bottom w:val="single" w:sz="6" w:space="0" w:color="D9D9D9" w:themeColor="background1" w:themeShade="D9"/>
              <w:right w:val="single" w:sz="4" w:space="0" w:color="auto"/>
            </w:tcBorders>
          </w:tcPr>
          <w:p w14:paraId="04C22118" w14:textId="20D5D0CC" w:rsidR="00C24B45" w:rsidRPr="007A4E19" w:rsidRDefault="00C24B45" w:rsidP="00F04D01">
            <w:pPr>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7A4E19">
              <w:rPr>
                <w:rStyle w:val="MediumItalic"/>
                <w:rFonts w:cs="VIC"/>
                <w:i w:val="0"/>
                <w:iCs w:val="0"/>
                <w:caps/>
                <w:color w:val="FFFFFF"/>
                <w:szCs w:val="18"/>
              </w:rPr>
              <w:t>VECM(3)</w:t>
            </w:r>
          </w:p>
        </w:tc>
        <w:tc>
          <w:tcPr>
            <w:tcW w:w="3107" w:type="dxa"/>
            <w:gridSpan w:val="3"/>
            <w:tcBorders>
              <w:left w:val="single" w:sz="4" w:space="0" w:color="auto"/>
            </w:tcBorders>
          </w:tcPr>
          <w:p w14:paraId="4C944C1A" w14:textId="45B7E8C4" w:rsidR="00C24B45" w:rsidRPr="007A4E19" w:rsidRDefault="00C24B45" w:rsidP="00F04D01">
            <w:pPr>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7A4E19">
              <w:rPr>
                <w:rStyle w:val="MediumItalic"/>
                <w:rFonts w:cs="VIC"/>
                <w:i w:val="0"/>
                <w:iCs w:val="0"/>
                <w:caps/>
                <w:color w:val="FFFFFF"/>
                <w:szCs w:val="18"/>
              </w:rPr>
              <w:t>MS-VECM(1)</w:t>
            </w:r>
          </w:p>
        </w:tc>
      </w:tr>
      <w:tr w:rsidR="00C24B45" w:rsidRPr="007A4E19" w14:paraId="20840949" w14:textId="77777777" w:rsidTr="007A4E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2D0ED3B4" w14:textId="77777777" w:rsidR="00C24B45" w:rsidRPr="007A4E19" w:rsidRDefault="00C24B45" w:rsidP="00F04D01">
            <w:pPr>
              <w:spacing w:before="20" w:after="20" w:line="240" w:lineRule="auto"/>
              <w:rPr>
                <w:color w:val="auto"/>
                <w:lang w:val="en-US"/>
              </w:rPr>
            </w:pPr>
          </w:p>
        </w:tc>
        <w:tc>
          <w:tcPr>
            <w:tcW w:w="1035" w:type="dxa"/>
            <w:tcBorders>
              <w:top w:val="single" w:sz="6" w:space="0" w:color="D9D9D9" w:themeColor="background1" w:themeShade="D9"/>
              <w:bottom w:val="single" w:sz="6" w:space="0" w:color="D9D9D9" w:themeColor="background1" w:themeShade="D9"/>
            </w:tcBorders>
          </w:tcPr>
          <w:p w14:paraId="2CDC5CDC" w14:textId="2A415F9F"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LTD</w:t>
            </w:r>
            <w:r w:rsidRPr="007A4E19">
              <w:rPr>
                <w:rStyle w:val="MediumItalic"/>
                <w:rFonts w:cs="VIC SemiBold Italic"/>
                <w:color w:val="FFFFFF"/>
                <w:position w:val="-4"/>
                <w:sz w:val="14"/>
                <w:szCs w:val="14"/>
              </w:rPr>
              <w:t>t</w:t>
            </w:r>
          </w:p>
        </w:tc>
        <w:tc>
          <w:tcPr>
            <w:tcW w:w="1036" w:type="dxa"/>
            <w:tcBorders>
              <w:top w:val="single" w:sz="6" w:space="0" w:color="D9D9D9" w:themeColor="background1" w:themeShade="D9"/>
              <w:bottom w:val="single" w:sz="6" w:space="0" w:color="D9D9D9" w:themeColor="background1" w:themeShade="D9"/>
            </w:tcBorders>
          </w:tcPr>
          <w:p w14:paraId="1CE32DCE" w14:textId="28FE334D"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HV I</w:t>
            </w:r>
            <w:r w:rsidRPr="007A4E19">
              <w:rPr>
                <w:rStyle w:val="MediumItalic"/>
                <w:rFonts w:cs="VIC SemiBold Italic"/>
                <w:color w:val="FFFFFF"/>
                <w:position w:val="-4"/>
                <w:sz w:val="14"/>
                <w:szCs w:val="14"/>
              </w:rPr>
              <w:t>t</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260EF0F" w14:textId="3B02D0F6"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VOL</w:t>
            </w:r>
            <w:r w:rsidRPr="007A4E19">
              <w:rPr>
                <w:rStyle w:val="MediumItalic"/>
                <w:rFonts w:cs="VIC SemiBold Italic"/>
                <w:color w:val="FFFFFF"/>
                <w:position w:val="-4"/>
                <w:sz w:val="14"/>
                <w:szCs w:val="14"/>
              </w:rPr>
              <w:t>t</w:t>
            </w:r>
          </w:p>
        </w:tc>
        <w:tc>
          <w:tcPr>
            <w:tcW w:w="1036" w:type="dxa"/>
            <w:tcBorders>
              <w:left w:val="single" w:sz="4" w:space="0" w:color="auto"/>
            </w:tcBorders>
          </w:tcPr>
          <w:p w14:paraId="3C180D38" w14:textId="76174BD9"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LTD</w:t>
            </w:r>
            <w:r w:rsidRPr="007A4E19">
              <w:rPr>
                <w:rStyle w:val="MediumItalic"/>
                <w:rFonts w:cs="VIC SemiBold Italic"/>
                <w:color w:val="FFFFFF"/>
                <w:position w:val="-4"/>
                <w:sz w:val="14"/>
                <w:szCs w:val="14"/>
              </w:rPr>
              <w:t>t</w:t>
            </w:r>
          </w:p>
        </w:tc>
        <w:tc>
          <w:tcPr>
            <w:tcW w:w="1035" w:type="dxa"/>
          </w:tcPr>
          <w:p w14:paraId="01BFFE61" w14:textId="76C5C5E8"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HV I</w:t>
            </w:r>
            <w:r w:rsidRPr="007A4E19">
              <w:rPr>
                <w:rStyle w:val="MediumItalic"/>
                <w:rFonts w:cs="VIC SemiBold Italic"/>
                <w:color w:val="FFFFFF"/>
                <w:position w:val="-4"/>
                <w:sz w:val="14"/>
                <w:szCs w:val="14"/>
              </w:rPr>
              <w:t>t</w:t>
            </w:r>
          </w:p>
        </w:tc>
        <w:tc>
          <w:tcPr>
            <w:tcW w:w="1036" w:type="dxa"/>
          </w:tcPr>
          <w:p w14:paraId="3D8E8B55" w14:textId="1C463BB6" w:rsidR="00C24B45" w:rsidRPr="007A4E19" w:rsidRDefault="00C24B45" w:rsidP="00F04D01">
            <w:pPr>
              <w:spacing w:before="20" w:after="20" w:line="240" w:lineRule="auto"/>
              <w:cnfStyle w:val="100000000000" w:firstRow="1" w:lastRow="0" w:firstColumn="0" w:lastColumn="0" w:oddVBand="0" w:evenVBand="0" w:oddHBand="0" w:evenHBand="0" w:firstRowFirstColumn="0" w:firstRowLastColumn="0" w:lastRowFirstColumn="0" w:lastRowLastColumn="0"/>
            </w:pPr>
            <w:r w:rsidRPr="007A4E19">
              <w:rPr>
                <w:rFonts w:ascii="Cambria Math" w:hAnsi="Cambria Math" w:cs="Cambria Math"/>
                <w:caps/>
                <w:color w:val="FFFFFF"/>
                <w:szCs w:val="18"/>
                <w:lang w:val="en-GB"/>
              </w:rPr>
              <w:t>∆</w:t>
            </w:r>
            <w:r w:rsidRPr="007A4E19">
              <w:rPr>
                <w:rStyle w:val="MediumItalic"/>
                <w:rFonts w:cs="VIC SemiBold Italic"/>
                <w:caps/>
                <w:color w:val="FFFFFF"/>
                <w:szCs w:val="18"/>
              </w:rPr>
              <w:t>VOL</w:t>
            </w:r>
            <w:r w:rsidRPr="007A4E19">
              <w:rPr>
                <w:rStyle w:val="MediumItalic"/>
                <w:rFonts w:cs="VIC SemiBold Italic"/>
                <w:color w:val="FFFFFF"/>
                <w:position w:val="-4"/>
                <w:sz w:val="14"/>
                <w:szCs w:val="14"/>
              </w:rPr>
              <w:t>t</w:t>
            </w:r>
          </w:p>
        </w:tc>
      </w:tr>
      <w:tr w:rsidR="00C24B45" w:rsidRPr="00C25BF9" w14:paraId="63A8DA2C"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56C62231" w14:textId="77777777" w:rsidR="00C24B45" w:rsidRPr="00C25BF9" w:rsidRDefault="00C24B45" w:rsidP="007B23B7">
            <w:pPr>
              <w:spacing w:before="30" w:after="30" w:line="240" w:lineRule="auto"/>
              <w:rPr>
                <w:rFonts w:asciiTheme="majorHAnsi" w:hAnsiTheme="majorHAnsi"/>
                <w:lang w:val="en-US"/>
              </w:rPr>
            </w:pPr>
            <w:r w:rsidRPr="00C25BF9">
              <w:rPr>
                <w:rFonts w:asciiTheme="majorHAnsi" w:hAnsiTheme="majorHAnsi"/>
                <w:bCs/>
                <w:lang w:val="en-US"/>
              </w:rPr>
              <w:t>Regime dependent intercepts</w:t>
            </w:r>
          </w:p>
        </w:tc>
        <w:tc>
          <w:tcPr>
            <w:tcW w:w="1035" w:type="dxa"/>
            <w:tcBorders>
              <w:top w:val="single" w:sz="6" w:space="0" w:color="D9D9D9" w:themeColor="background1" w:themeShade="D9"/>
              <w:bottom w:val="single" w:sz="6" w:space="0" w:color="D9D9D9" w:themeColor="background1" w:themeShade="D9"/>
            </w:tcBorders>
          </w:tcPr>
          <w:p w14:paraId="0A1AA4A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3B2BF90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0FE6C2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5A8848D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395EF69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0B269ED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0D5C67D8"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5FC6C70A" w14:textId="77777777" w:rsidR="00C24B45" w:rsidRPr="00C25BF9" w:rsidRDefault="00C24B45" w:rsidP="007B23B7">
            <w:pPr>
              <w:spacing w:before="30" w:after="30" w:line="240" w:lineRule="auto"/>
              <w:rPr>
                <w:lang w:val="en-US"/>
              </w:rPr>
            </w:pPr>
            <w:r w:rsidRPr="00C25BF9">
              <w:rPr>
                <w:i/>
                <w:iCs/>
                <w:rtl/>
                <w:lang w:bidi="ar-YE"/>
              </w:rPr>
              <w:t>ν</w:t>
            </w:r>
            <w:r w:rsidRPr="00C25BF9">
              <w:rPr>
                <w:vertAlign w:val="subscript"/>
                <w:lang w:val="en-US"/>
              </w:rPr>
              <w:t>1</w:t>
            </w:r>
          </w:p>
        </w:tc>
        <w:tc>
          <w:tcPr>
            <w:tcW w:w="1035" w:type="dxa"/>
            <w:tcBorders>
              <w:top w:val="single" w:sz="6" w:space="0" w:color="D9D9D9" w:themeColor="background1" w:themeShade="D9"/>
              <w:bottom w:val="single" w:sz="6" w:space="0" w:color="D9D9D9" w:themeColor="background1" w:themeShade="D9"/>
            </w:tcBorders>
          </w:tcPr>
          <w:p w14:paraId="67CEAA8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2.269</w:t>
            </w:r>
          </w:p>
        </w:tc>
        <w:tc>
          <w:tcPr>
            <w:tcW w:w="1036" w:type="dxa"/>
            <w:tcBorders>
              <w:top w:val="single" w:sz="6" w:space="0" w:color="D9D9D9" w:themeColor="background1" w:themeShade="D9"/>
              <w:bottom w:val="single" w:sz="6" w:space="0" w:color="D9D9D9" w:themeColor="background1" w:themeShade="D9"/>
            </w:tcBorders>
          </w:tcPr>
          <w:p w14:paraId="7E715D2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0.003</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E0F860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0.697</w:t>
            </w:r>
          </w:p>
        </w:tc>
        <w:tc>
          <w:tcPr>
            <w:tcW w:w="1036" w:type="dxa"/>
            <w:tcBorders>
              <w:left w:val="single" w:sz="4" w:space="0" w:color="auto"/>
            </w:tcBorders>
          </w:tcPr>
          <w:p w14:paraId="40BF291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1.775</w:t>
            </w:r>
          </w:p>
        </w:tc>
        <w:tc>
          <w:tcPr>
            <w:tcW w:w="1035" w:type="dxa"/>
          </w:tcPr>
          <w:p w14:paraId="0099143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0.008</w:t>
            </w:r>
          </w:p>
        </w:tc>
        <w:tc>
          <w:tcPr>
            <w:tcW w:w="1036" w:type="dxa"/>
          </w:tcPr>
          <w:p w14:paraId="0BA9D4F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0.374</w:t>
            </w:r>
          </w:p>
        </w:tc>
      </w:tr>
      <w:tr w:rsidR="00C24B45" w:rsidRPr="00C25BF9" w14:paraId="1CCB055D"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2D089376"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3D0DEAB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(4.93)</w:t>
            </w:r>
          </w:p>
        </w:tc>
        <w:tc>
          <w:tcPr>
            <w:tcW w:w="1036" w:type="dxa"/>
            <w:tcBorders>
              <w:top w:val="single" w:sz="6" w:space="0" w:color="D9D9D9" w:themeColor="background1" w:themeShade="D9"/>
              <w:bottom w:val="single" w:sz="6" w:space="0" w:color="D9D9D9" w:themeColor="background1" w:themeShade="D9"/>
            </w:tcBorders>
          </w:tcPr>
          <w:p w14:paraId="59F29D0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(0.30)</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4B7EE13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(2.13)</w:t>
            </w:r>
          </w:p>
        </w:tc>
        <w:tc>
          <w:tcPr>
            <w:tcW w:w="1036" w:type="dxa"/>
            <w:tcBorders>
              <w:left w:val="single" w:sz="4" w:space="0" w:color="auto"/>
            </w:tcBorders>
          </w:tcPr>
          <w:p w14:paraId="6D5BAD7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(6.37)</w:t>
            </w:r>
          </w:p>
        </w:tc>
        <w:tc>
          <w:tcPr>
            <w:tcW w:w="1035" w:type="dxa"/>
          </w:tcPr>
          <w:p w14:paraId="711B423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(1.07)</w:t>
            </w:r>
          </w:p>
        </w:tc>
        <w:tc>
          <w:tcPr>
            <w:tcW w:w="1036" w:type="dxa"/>
          </w:tcPr>
          <w:p w14:paraId="3DC72B0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(2.58)</w:t>
            </w:r>
          </w:p>
        </w:tc>
      </w:tr>
      <w:tr w:rsidR="00C24B45" w:rsidRPr="00C25BF9" w14:paraId="5161E187"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3997563" w14:textId="77777777" w:rsidR="00C24B45" w:rsidRPr="00C25BF9" w:rsidRDefault="00C24B45" w:rsidP="007B23B7">
            <w:pPr>
              <w:spacing w:before="30" w:after="30" w:line="240" w:lineRule="auto"/>
              <w:rPr>
                <w:lang w:val="en-US"/>
              </w:rPr>
            </w:pPr>
            <w:r w:rsidRPr="00C25BF9">
              <w:rPr>
                <w:i/>
                <w:iCs/>
                <w:rtl/>
                <w:lang w:bidi="ar-YE"/>
              </w:rPr>
              <w:t>ν</w:t>
            </w:r>
            <w:r w:rsidRPr="00C25BF9">
              <w:rPr>
                <w:vertAlign w:val="subscript"/>
                <w:lang w:val="en-US"/>
              </w:rPr>
              <w:t>2</w:t>
            </w:r>
          </w:p>
        </w:tc>
        <w:tc>
          <w:tcPr>
            <w:tcW w:w="1035" w:type="dxa"/>
            <w:tcBorders>
              <w:top w:val="single" w:sz="6" w:space="0" w:color="D9D9D9" w:themeColor="background1" w:themeShade="D9"/>
              <w:bottom w:val="single" w:sz="6" w:space="0" w:color="D9D9D9" w:themeColor="background1" w:themeShade="D9"/>
            </w:tcBorders>
          </w:tcPr>
          <w:p w14:paraId="21391E1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274380D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3B28BF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1A55B6A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5.270</w:t>
            </w:r>
          </w:p>
        </w:tc>
        <w:tc>
          <w:tcPr>
            <w:tcW w:w="1035" w:type="dxa"/>
          </w:tcPr>
          <w:p w14:paraId="654C151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0.063</w:t>
            </w:r>
          </w:p>
        </w:tc>
        <w:tc>
          <w:tcPr>
            <w:tcW w:w="1036" w:type="dxa"/>
          </w:tcPr>
          <w:p w14:paraId="32D285C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-0.527</w:t>
            </w:r>
          </w:p>
        </w:tc>
      </w:tr>
      <w:tr w:rsidR="00C24B45" w:rsidRPr="00C25BF9" w14:paraId="50F3EAD9"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315DC86"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68B9CA6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3A96EDC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4B2D61C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610657F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(10.66)</w:t>
            </w:r>
          </w:p>
        </w:tc>
        <w:tc>
          <w:tcPr>
            <w:tcW w:w="1035" w:type="dxa"/>
          </w:tcPr>
          <w:p w14:paraId="4B68BD4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(5.86)</w:t>
            </w:r>
          </w:p>
        </w:tc>
        <w:tc>
          <w:tcPr>
            <w:tcW w:w="1036" w:type="dxa"/>
          </w:tcPr>
          <w:p w14:paraId="0C310E0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(-1.21)</w:t>
            </w:r>
          </w:p>
        </w:tc>
      </w:tr>
      <w:tr w:rsidR="00C24B45" w:rsidRPr="00C25BF9" w14:paraId="50B45F18"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8856B89" w14:textId="77777777" w:rsidR="00C24B45" w:rsidRPr="00C25BF9" w:rsidRDefault="00C24B45" w:rsidP="007B23B7">
            <w:pPr>
              <w:spacing w:before="30" w:after="30" w:line="240" w:lineRule="auto"/>
              <w:rPr>
                <w:rFonts w:asciiTheme="majorHAnsi" w:hAnsiTheme="majorHAnsi"/>
                <w:lang w:val="en-US"/>
              </w:rPr>
            </w:pPr>
            <w:r w:rsidRPr="00C25BF9">
              <w:rPr>
                <w:rFonts w:asciiTheme="majorHAnsi" w:hAnsiTheme="majorHAnsi"/>
                <w:bCs/>
                <w:lang w:val="en-US"/>
              </w:rPr>
              <w:t>Regime dependent error correction</w:t>
            </w:r>
          </w:p>
        </w:tc>
        <w:tc>
          <w:tcPr>
            <w:tcW w:w="1035" w:type="dxa"/>
            <w:tcBorders>
              <w:top w:val="single" w:sz="6" w:space="0" w:color="D9D9D9" w:themeColor="background1" w:themeShade="D9"/>
              <w:bottom w:val="single" w:sz="6" w:space="0" w:color="D9D9D9" w:themeColor="background1" w:themeShade="D9"/>
            </w:tcBorders>
          </w:tcPr>
          <w:p w14:paraId="717B45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21226A1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404BEC8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63357D7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161AAFD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18D8D01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56953BD5"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2B0F9E8" w14:textId="77777777" w:rsidR="00C24B45" w:rsidRPr="00C25BF9" w:rsidRDefault="00C24B45" w:rsidP="007B23B7">
            <w:pPr>
              <w:spacing w:before="30" w:after="30" w:line="240" w:lineRule="auto"/>
              <w:rPr>
                <w:lang w:val="en-GB"/>
              </w:rPr>
            </w:pPr>
            <w:r w:rsidRPr="00C25BF9">
              <w:rPr>
                <w:rtl/>
                <w:lang w:bidi="ar-YE"/>
              </w:rPr>
              <w:t>α</w:t>
            </w:r>
            <w:r w:rsidRPr="00C25BF9">
              <w:rPr>
                <w:vertAlign w:val="subscript"/>
                <w:lang w:val="en-GB"/>
              </w:rPr>
              <w:t>1</w:t>
            </w:r>
            <w:r w:rsidRPr="00C25BF9">
              <w:rPr>
                <w:lang w:val="en-GB"/>
              </w:rPr>
              <w:t>(×102)</w:t>
            </w:r>
          </w:p>
        </w:tc>
        <w:tc>
          <w:tcPr>
            <w:tcW w:w="1035" w:type="dxa"/>
            <w:tcBorders>
              <w:top w:val="single" w:sz="6" w:space="0" w:color="D9D9D9" w:themeColor="background1" w:themeShade="D9"/>
              <w:bottom w:val="single" w:sz="6" w:space="0" w:color="D9D9D9" w:themeColor="background1" w:themeShade="D9"/>
            </w:tcBorders>
          </w:tcPr>
          <w:p w14:paraId="4A6FF91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-2.644</w:t>
            </w:r>
          </w:p>
        </w:tc>
        <w:tc>
          <w:tcPr>
            <w:tcW w:w="1036" w:type="dxa"/>
            <w:tcBorders>
              <w:top w:val="single" w:sz="6" w:space="0" w:color="D9D9D9" w:themeColor="background1" w:themeShade="D9"/>
              <w:bottom w:val="single" w:sz="6" w:space="0" w:color="D9D9D9" w:themeColor="background1" w:themeShade="D9"/>
            </w:tcBorders>
          </w:tcPr>
          <w:p w14:paraId="44B4EAC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-0.003</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BA0EB2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-0.802</w:t>
            </w:r>
          </w:p>
        </w:tc>
        <w:tc>
          <w:tcPr>
            <w:tcW w:w="1036" w:type="dxa"/>
            <w:tcBorders>
              <w:left w:val="single" w:sz="4" w:space="0" w:color="auto"/>
            </w:tcBorders>
          </w:tcPr>
          <w:p w14:paraId="5CE1770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-2.802</w:t>
            </w:r>
          </w:p>
        </w:tc>
        <w:tc>
          <w:tcPr>
            <w:tcW w:w="1035" w:type="dxa"/>
          </w:tcPr>
          <w:p w14:paraId="50A09C0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-0.012</w:t>
            </w:r>
          </w:p>
        </w:tc>
        <w:tc>
          <w:tcPr>
            <w:tcW w:w="1036" w:type="dxa"/>
          </w:tcPr>
          <w:p w14:paraId="3C8F0A9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-0.587</w:t>
            </w:r>
          </w:p>
        </w:tc>
      </w:tr>
      <w:tr w:rsidR="00C24B45" w:rsidRPr="00C25BF9" w14:paraId="1DFA1FE3"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6254E72"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503F2CC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(-4.95)</w:t>
            </w:r>
          </w:p>
        </w:tc>
        <w:tc>
          <w:tcPr>
            <w:tcW w:w="1036" w:type="dxa"/>
            <w:tcBorders>
              <w:top w:val="single" w:sz="6" w:space="0" w:color="D9D9D9" w:themeColor="background1" w:themeShade="D9"/>
              <w:bottom w:val="single" w:sz="6" w:space="0" w:color="D9D9D9" w:themeColor="background1" w:themeShade="D9"/>
            </w:tcBorders>
          </w:tcPr>
          <w:p w14:paraId="22A4AA9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(-0.26)</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230A7A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(-2.11)</w:t>
            </w:r>
          </w:p>
        </w:tc>
        <w:tc>
          <w:tcPr>
            <w:tcW w:w="1036" w:type="dxa"/>
            <w:tcBorders>
              <w:left w:val="single" w:sz="4" w:space="0" w:color="auto"/>
            </w:tcBorders>
          </w:tcPr>
          <w:p w14:paraId="0205E61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(-6.38)</w:t>
            </w:r>
          </w:p>
        </w:tc>
        <w:tc>
          <w:tcPr>
            <w:tcW w:w="1035" w:type="dxa"/>
          </w:tcPr>
          <w:p w14:paraId="375957C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(-1.02)</w:t>
            </w:r>
          </w:p>
        </w:tc>
        <w:tc>
          <w:tcPr>
            <w:tcW w:w="1036" w:type="dxa"/>
          </w:tcPr>
          <w:p w14:paraId="7989291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(-2.57)</w:t>
            </w:r>
          </w:p>
        </w:tc>
      </w:tr>
      <w:tr w:rsidR="00C24B45" w:rsidRPr="00C25BF9" w14:paraId="27CE8846"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1FA61AB6" w14:textId="77777777" w:rsidR="00C24B45" w:rsidRPr="00C25BF9" w:rsidRDefault="00C24B45" w:rsidP="007B23B7">
            <w:pPr>
              <w:spacing w:before="30" w:after="30" w:line="240" w:lineRule="auto"/>
              <w:rPr>
                <w:lang w:val="en-GB"/>
              </w:rPr>
            </w:pPr>
            <w:r w:rsidRPr="00C25BF9">
              <w:rPr>
                <w:rtl/>
                <w:lang w:bidi="ar-YE"/>
              </w:rPr>
              <w:t>α</w:t>
            </w:r>
            <w:r w:rsidRPr="00C25BF9">
              <w:rPr>
                <w:vertAlign w:val="subscript"/>
                <w:lang w:val="en-GB"/>
              </w:rPr>
              <w:t>2</w:t>
            </w:r>
            <w:r w:rsidRPr="00C25BF9">
              <w:rPr>
                <w:lang w:val="en-GB"/>
              </w:rPr>
              <w:t>(×102)</w:t>
            </w:r>
          </w:p>
        </w:tc>
        <w:tc>
          <w:tcPr>
            <w:tcW w:w="1035" w:type="dxa"/>
            <w:tcBorders>
              <w:top w:val="single" w:sz="6" w:space="0" w:color="D9D9D9" w:themeColor="background1" w:themeShade="D9"/>
              <w:bottom w:val="single" w:sz="6" w:space="0" w:color="D9D9D9" w:themeColor="background1" w:themeShade="D9"/>
            </w:tcBorders>
          </w:tcPr>
          <w:p w14:paraId="425B8A6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4CD8E2B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77F404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387B127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-8.331</w:t>
            </w:r>
          </w:p>
        </w:tc>
        <w:tc>
          <w:tcPr>
            <w:tcW w:w="1035" w:type="dxa"/>
          </w:tcPr>
          <w:p w14:paraId="647F9B4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-0.099</w:t>
            </w:r>
          </w:p>
        </w:tc>
        <w:tc>
          <w:tcPr>
            <w:tcW w:w="1036" w:type="dxa"/>
          </w:tcPr>
          <w:p w14:paraId="0E74899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0.846</w:t>
            </w:r>
          </w:p>
        </w:tc>
      </w:tr>
      <w:tr w:rsidR="00C24B45" w:rsidRPr="00C25BF9" w14:paraId="6A74D2C8"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94E9DED"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180D654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54F399B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05C75B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6BDD668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(-10.69)</w:t>
            </w:r>
          </w:p>
        </w:tc>
        <w:tc>
          <w:tcPr>
            <w:tcW w:w="1035" w:type="dxa"/>
          </w:tcPr>
          <w:p w14:paraId="27B2C14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(-5.84)</w:t>
            </w:r>
          </w:p>
        </w:tc>
        <w:tc>
          <w:tcPr>
            <w:tcW w:w="1036" w:type="dxa"/>
          </w:tcPr>
          <w:p w14:paraId="0FAC924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(1.23)</w:t>
            </w:r>
          </w:p>
        </w:tc>
      </w:tr>
      <w:tr w:rsidR="00C24B45" w:rsidRPr="00C25BF9" w14:paraId="772CDF9C"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1EC741D0" w14:textId="77777777" w:rsidR="00C24B45" w:rsidRPr="00C25BF9" w:rsidRDefault="00C24B45" w:rsidP="007B23B7">
            <w:pPr>
              <w:spacing w:before="30" w:after="30" w:line="240" w:lineRule="auto"/>
              <w:rPr>
                <w:lang w:val="en-GB"/>
              </w:rPr>
            </w:pPr>
            <w:r w:rsidRPr="00C25BF9">
              <w:rPr>
                <w:rFonts w:ascii="Courier New" w:hAnsi="Courier New" w:cs="Courier New"/>
                <w:i/>
                <w:iCs/>
                <w:lang w:val="en-GB"/>
              </w:rPr>
              <w:t>β</w:t>
            </w:r>
          </w:p>
        </w:tc>
        <w:tc>
          <w:tcPr>
            <w:tcW w:w="1035" w:type="dxa"/>
            <w:tcBorders>
              <w:top w:val="single" w:sz="6" w:space="0" w:color="D9D9D9" w:themeColor="background1" w:themeShade="D9"/>
              <w:bottom w:val="single" w:sz="6" w:space="0" w:color="D9D9D9" w:themeColor="background1" w:themeShade="D9"/>
            </w:tcBorders>
          </w:tcPr>
          <w:p w14:paraId="5D3485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7.932</w:t>
            </w:r>
          </w:p>
        </w:tc>
        <w:tc>
          <w:tcPr>
            <w:tcW w:w="1036" w:type="dxa"/>
            <w:tcBorders>
              <w:top w:val="single" w:sz="6" w:space="0" w:color="D9D9D9" w:themeColor="background1" w:themeShade="D9"/>
              <w:bottom w:val="single" w:sz="6" w:space="0" w:color="D9D9D9" w:themeColor="background1" w:themeShade="D9"/>
            </w:tcBorders>
          </w:tcPr>
          <w:p w14:paraId="42EEAD2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-11.185</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975070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-1.909</w:t>
            </w:r>
          </w:p>
        </w:tc>
        <w:tc>
          <w:tcPr>
            <w:tcW w:w="1036" w:type="dxa"/>
            <w:tcBorders>
              <w:left w:val="single" w:sz="4" w:space="0" w:color="auto"/>
            </w:tcBorders>
          </w:tcPr>
          <w:p w14:paraId="08DEC1F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7.104</w:t>
            </w:r>
          </w:p>
        </w:tc>
        <w:tc>
          <w:tcPr>
            <w:tcW w:w="1035" w:type="dxa"/>
          </w:tcPr>
          <w:p w14:paraId="64C4CD9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-9.368</w:t>
            </w:r>
          </w:p>
        </w:tc>
        <w:tc>
          <w:tcPr>
            <w:tcW w:w="1036" w:type="dxa"/>
          </w:tcPr>
          <w:p w14:paraId="6D0F188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-3.566</w:t>
            </w:r>
          </w:p>
        </w:tc>
      </w:tr>
      <w:tr w:rsidR="00C24B45" w:rsidRPr="00C25BF9" w14:paraId="18333A7F"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0F8B6B85" w14:textId="77777777" w:rsidR="00C24B45" w:rsidRPr="00C25BF9" w:rsidRDefault="00C24B45" w:rsidP="007B23B7">
            <w:pPr>
              <w:spacing w:before="30" w:after="30" w:line="240" w:lineRule="auto"/>
              <w:rPr>
                <w:rFonts w:asciiTheme="majorHAnsi" w:hAnsiTheme="majorHAnsi"/>
                <w:lang w:val="en-US"/>
              </w:rPr>
            </w:pPr>
            <w:r w:rsidRPr="00C25BF9">
              <w:rPr>
                <w:rFonts w:asciiTheme="majorHAnsi" w:hAnsiTheme="majorHAnsi"/>
                <w:bCs/>
                <w:lang w:val="en-US"/>
              </w:rPr>
              <w:t>Regime 1 short-run dynamics</w:t>
            </w:r>
          </w:p>
        </w:tc>
        <w:tc>
          <w:tcPr>
            <w:tcW w:w="1035" w:type="dxa"/>
            <w:tcBorders>
              <w:top w:val="single" w:sz="6" w:space="0" w:color="D9D9D9" w:themeColor="background1" w:themeShade="D9"/>
              <w:bottom w:val="single" w:sz="6" w:space="0" w:color="D9D9D9" w:themeColor="background1" w:themeShade="D9"/>
            </w:tcBorders>
          </w:tcPr>
          <w:p w14:paraId="72A88CE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4733687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1A3B8D8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405F6B3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27A09BD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578804F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452632D3"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0057C78C"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 xml:space="preserve">LTD </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428EFC2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-0.669</w:t>
            </w:r>
          </w:p>
        </w:tc>
        <w:tc>
          <w:tcPr>
            <w:tcW w:w="1036" w:type="dxa"/>
            <w:tcBorders>
              <w:top w:val="single" w:sz="6" w:space="0" w:color="D9D9D9" w:themeColor="background1" w:themeShade="D9"/>
              <w:bottom w:val="single" w:sz="6" w:space="0" w:color="D9D9D9" w:themeColor="background1" w:themeShade="D9"/>
            </w:tcBorders>
          </w:tcPr>
          <w:p w14:paraId="026D650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0.001</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9C895A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0.050</w:t>
            </w:r>
          </w:p>
        </w:tc>
        <w:tc>
          <w:tcPr>
            <w:tcW w:w="1036" w:type="dxa"/>
            <w:tcBorders>
              <w:left w:val="single" w:sz="4" w:space="0" w:color="auto"/>
            </w:tcBorders>
          </w:tcPr>
          <w:p w14:paraId="13CEF1F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-0.346</w:t>
            </w:r>
          </w:p>
        </w:tc>
        <w:tc>
          <w:tcPr>
            <w:tcW w:w="1035" w:type="dxa"/>
          </w:tcPr>
          <w:p w14:paraId="05247F4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0.002</w:t>
            </w:r>
          </w:p>
        </w:tc>
        <w:tc>
          <w:tcPr>
            <w:tcW w:w="1036" w:type="dxa"/>
          </w:tcPr>
          <w:p w14:paraId="64344AC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-0.031</w:t>
            </w:r>
          </w:p>
        </w:tc>
      </w:tr>
      <w:tr w:rsidR="00C24B45" w:rsidRPr="00C25BF9" w14:paraId="65FC883A"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6578A3C3"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602F6B3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(-12.26)</w:t>
            </w:r>
          </w:p>
        </w:tc>
        <w:tc>
          <w:tcPr>
            <w:tcW w:w="1036" w:type="dxa"/>
            <w:tcBorders>
              <w:top w:val="single" w:sz="6" w:space="0" w:color="D9D9D9" w:themeColor="background1" w:themeShade="D9"/>
              <w:bottom w:val="single" w:sz="6" w:space="0" w:color="D9D9D9" w:themeColor="background1" w:themeShade="D9"/>
            </w:tcBorders>
          </w:tcPr>
          <w:p w14:paraId="16322FF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(0.54)</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1E662B8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(1.28)</w:t>
            </w:r>
          </w:p>
        </w:tc>
        <w:tc>
          <w:tcPr>
            <w:tcW w:w="1036" w:type="dxa"/>
            <w:tcBorders>
              <w:left w:val="single" w:sz="4" w:space="0" w:color="auto"/>
            </w:tcBorders>
          </w:tcPr>
          <w:p w14:paraId="23CD5D1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(-8.99)</w:t>
            </w:r>
          </w:p>
        </w:tc>
        <w:tc>
          <w:tcPr>
            <w:tcW w:w="1035" w:type="dxa"/>
          </w:tcPr>
          <w:p w14:paraId="1878092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(1.50)</w:t>
            </w:r>
          </w:p>
        </w:tc>
        <w:tc>
          <w:tcPr>
            <w:tcW w:w="1036" w:type="dxa"/>
          </w:tcPr>
          <w:p w14:paraId="5004DF6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(-1.56)</w:t>
            </w:r>
          </w:p>
        </w:tc>
      </w:tr>
      <w:tr w:rsidR="00C24B45" w:rsidRPr="00C25BF9" w14:paraId="091DE1A8"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24031049"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HV I</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2494739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6.721</w:t>
            </w:r>
          </w:p>
        </w:tc>
        <w:tc>
          <w:tcPr>
            <w:tcW w:w="1036" w:type="dxa"/>
            <w:tcBorders>
              <w:top w:val="single" w:sz="6" w:space="0" w:color="D9D9D9" w:themeColor="background1" w:themeShade="D9"/>
              <w:bottom w:val="single" w:sz="6" w:space="0" w:color="D9D9D9" w:themeColor="background1" w:themeShade="D9"/>
            </w:tcBorders>
          </w:tcPr>
          <w:p w14:paraId="6E246FF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0.903</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6E7D1A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5.791</w:t>
            </w:r>
          </w:p>
        </w:tc>
        <w:tc>
          <w:tcPr>
            <w:tcW w:w="1036" w:type="dxa"/>
            <w:tcBorders>
              <w:left w:val="single" w:sz="4" w:space="0" w:color="auto"/>
            </w:tcBorders>
          </w:tcPr>
          <w:p w14:paraId="7E6E660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3.174</w:t>
            </w:r>
          </w:p>
        </w:tc>
        <w:tc>
          <w:tcPr>
            <w:tcW w:w="1035" w:type="dxa"/>
          </w:tcPr>
          <w:p w14:paraId="6C4D4D8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0.953</w:t>
            </w:r>
          </w:p>
        </w:tc>
        <w:tc>
          <w:tcPr>
            <w:tcW w:w="1036" w:type="dxa"/>
          </w:tcPr>
          <w:p w14:paraId="6CA4CB7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0.212</w:t>
            </w:r>
          </w:p>
        </w:tc>
      </w:tr>
      <w:tr w:rsidR="00C24B45" w:rsidRPr="00C25BF9" w14:paraId="16F8D659"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5A66ACA4"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2FF9FBC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(3.44)</w:t>
            </w:r>
          </w:p>
        </w:tc>
        <w:tc>
          <w:tcPr>
            <w:tcW w:w="1036" w:type="dxa"/>
            <w:tcBorders>
              <w:top w:val="single" w:sz="6" w:space="0" w:color="D9D9D9" w:themeColor="background1" w:themeShade="D9"/>
              <w:bottom w:val="single" w:sz="6" w:space="0" w:color="D9D9D9" w:themeColor="background1" w:themeShade="D9"/>
            </w:tcBorders>
          </w:tcPr>
          <w:p w14:paraId="243CBFD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(18.86)</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4999281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(4.17)</w:t>
            </w:r>
          </w:p>
        </w:tc>
        <w:tc>
          <w:tcPr>
            <w:tcW w:w="1036" w:type="dxa"/>
            <w:tcBorders>
              <w:left w:val="single" w:sz="4" w:space="0" w:color="auto"/>
            </w:tcBorders>
          </w:tcPr>
          <w:p w14:paraId="1B14097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(5.74)</w:t>
            </w:r>
          </w:p>
        </w:tc>
        <w:tc>
          <w:tcPr>
            <w:tcW w:w="1035" w:type="dxa"/>
          </w:tcPr>
          <w:p w14:paraId="6ABBA92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(63.76)</w:t>
            </w:r>
          </w:p>
        </w:tc>
        <w:tc>
          <w:tcPr>
            <w:tcW w:w="1036" w:type="dxa"/>
          </w:tcPr>
          <w:p w14:paraId="3C54A98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(0.74)</w:t>
            </w:r>
          </w:p>
        </w:tc>
      </w:tr>
      <w:tr w:rsidR="00C24B45" w:rsidRPr="00C25BF9" w14:paraId="3F85B626"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6343C52F"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V OL</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39F0866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0.032</w:t>
            </w:r>
          </w:p>
        </w:tc>
        <w:tc>
          <w:tcPr>
            <w:tcW w:w="1036" w:type="dxa"/>
            <w:tcBorders>
              <w:top w:val="single" w:sz="6" w:space="0" w:color="D9D9D9" w:themeColor="background1" w:themeShade="D9"/>
              <w:bottom w:val="single" w:sz="6" w:space="0" w:color="D9D9D9" w:themeColor="background1" w:themeShade="D9"/>
            </w:tcBorders>
          </w:tcPr>
          <w:p w14:paraId="5B60C73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0.009</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AC7E38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-0.390</w:t>
            </w:r>
          </w:p>
        </w:tc>
        <w:tc>
          <w:tcPr>
            <w:tcW w:w="1036" w:type="dxa"/>
            <w:tcBorders>
              <w:left w:val="single" w:sz="4" w:space="0" w:color="auto"/>
            </w:tcBorders>
          </w:tcPr>
          <w:p w14:paraId="018ECDE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0.132</w:t>
            </w:r>
          </w:p>
        </w:tc>
        <w:tc>
          <w:tcPr>
            <w:tcW w:w="1035" w:type="dxa"/>
          </w:tcPr>
          <w:p w14:paraId="5E7E760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0.007</w:t>
            </w:r>
          </w:p>
        </w:tc>
        <w:tc>
          <w:tcPr>
            <w:tcW w:w="1036" w:type="dxa"/>
          </w:tcPr>
          <w:p w14:paraId="3483CE1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-0.170</w:t>
            </w:r>
          </w:p>
        </w:tc>
      </w:tr>
      <w:tr w:rsidR="00C24B45" w:rsidRPr="00C25BF9" w14:paraId="1A7AF18D"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07A9A454"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1211D9C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(0.48)</w:t>
            </w:r>
          </w:p>
        </w:tc>
        <w:tc>
          <w:tcPr>
            <w:tcW w:w="1036" w:type="dxa"/>
            <w:tcBorders>
              <w:top w:val="single" w:sz="6" w:space="0" w:color="D9D9D9" w:themeColor="background1" w:themeShade="D9"/>
              <w:bottom w:val="single" w:sz="6" w:space="0" w:color="D9D9D9" w:themeColor="background1" w:themeShade="D9"/>
            </w:tcBorders>
          </w:tcPr>
          <w:p w14:paraId="51DD323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(5.50)</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DDB356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(-8.15)</w:t>
            </w:r>
          </w:p>
        </w:tc>
        <w:tc>
          <w:tcPr>
            <w:tcW w:w="1036" w:type="dxa"/>
            <w:tcBorders>
              <w:left w:val="single" w:sz="4" w:space="0" w:color="auto"/>
            </w:tcBorders>
          </w:tcPr>
          <w:p w14:paraId="2CCCA0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(1.72)</w:t>
            </w:r>
          </w:p>
        </w:tc>
        <w:tc>
          <w:tcPr>
            <w:tcW w:w="1035" w:type="dxa"/>
          </w:tcPr>
          <w:p w14:paraId="41325E6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(3.20)</w:t>
            </w:r>
          </w:p>
        </w:tc>
        <w:tc>
          <w:tcPr>
            <w:tcW w:w="1036" w:type="dxa"/>
          </w:tcPr>
          <w:p w14:paraId="445C0D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(-4.24)</w:t>
            </w:r>
          </w:p>
        </w:tc>
      </w:tr>
      <w:tr w:rsidR="00C24B45" w:rsidRPr="00C25BF9" w14:paraId="5B8E0132"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79916C7C"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LTD</w:t>
            </w:r>
            <w:r w:rsidRPr="00C25BF9">
              <w:rPr>
                <w:i/>
                <w:iCs/>
                <w:lang w:val="en-US"/>
              </w:rPr>
              <w:t>t</w:t>
            </w:r>
            <w:r w:rsidRPr="00C25BF9">
              <w:rPr>
                <w:lang w:val="en-US"/>
              </w:rPr>
              <w:t>−2</w:t>
            </w:r>
          </w:p>
        </w:tc>
        <w:tc>
          <w:tcPr>
            <w:tcW w:w="1035" w:type="dxa"/>
            <w:tcBorders>
              <w:top w:val="single" w:sz="6" w:space="0" w:color="D9D9D9" w:themeColor="background1" w:themeShade="D9"/>
              <w:bottom w:val="single" w:sz="6" w:space="0" w:color="D9D9D9" w:themeColor="background1" w:themeShade="D9"/>
            </w:tcBorders>
          </w:tcPr>
          <w:p w14:paraId="5AFBCF1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-0.410</w:t>
            </w:r>
          </w:p>
        </w:tc>
        <w:tc>
          <w:tcPr>
            <w:tcW w:w="1036" w:type="dxa"/>
            <w:tcBorders>
              <w:top w:val="single" w:sz="6" w:space="0" w:color="D9D9D9" w:themeColor="background1" w:themeShade="D9"/>
              <w:bottom w:val="single" w:sz="6" w:space="0" w:color="D9D9D9" w:themeColor="background1" w:themeShade="D9"/>
            </w:tcBorders>
          </w:tcPr>
          <w:p w14:paraId="0943F9D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0.001</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FD3D90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0.088</w:t>
            </w:r>
          </w:p>
        </w:tc>
        <w:tc>
          <w:tcPr>
            <w:tcW w:w="1036" w:type="dxa"/>
            <w:tcBorders>
              <w:left w:val="single" w:sz="4" w:space="0" w:color="auto"/>
            </w:tcBorders>
          </w:tcPr>
          <w:p w14:paraId="477B1EA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5953C7B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7E2138D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6B8B1F49"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71D0AF75"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6DE8029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(-7.25)</w:t>
            </w:r>
          </w:p>
        </w:tc>
        <w:tc>
          <w:tcPr>
            <w:tcW w:w="1036" w:type="dxa"/>
            <w:tcBorders>
              <w:top w:val="single" w:sz="6" w:space="0" w:color="D9D9D9" w:themeColor="background1" w:themeShade="D9"/>
              <w:bottom w:val="single" w:sz="6" w:space="0" w:color="D9D9D9" w:themeColor="background1" w:themeShade="D9"/>
            </w:tcBorders>
          </w:tcPr>
          <w:p w14:paraId="78B8CBB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(0.60)</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46D5DB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(2.19)</w:t>
            </w:r>
          </w:p>
        </w:tc>
        <w:tc>
          <w:tcPr>
            <w:tcW w:w="1036" w:type="dxa"/>
            <w:tcBorders>
              <w:left w:val="single" w:sz="4" w:space="0" w:color="auto"/>
            </w:tcBorders>
          </w:tcPr>
          <w:p w14:paraId="48E8359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0F5DB40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18CF80C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7E3B916C"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533C360B"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HV I</w:t>
            </w:r>
            <w:r w:rsidRPr="00C25BF9">
              <w:rPr>
                <w:i/>
                <w:iCs/>
                <w:lang w:val="en-US"/>
              </w:rPr>
              <w:t>t</w:t>
            </w:r>
            <w:r w:rsidRPr="00C25BF9">
              <w:rPr>
                <w:lang w:val="en-US"/>
              </w:rPr>
              <w:t>−2</w:t>
            </w:r>
          </w:p>
        </w:tc>
        <w:tc>
          <w:tcPr>
            <w:tcW w:w="1035" w:type="dxa"/>
            <w:tcBorders>
              <w:top w:val="single" w:sz="6" w:space="0" w:color="D9D9D9" w:themeColor="background1" w:themeShade="D9"/>
              <w:bottom w:val="single" w:sz="6" w:space="0" w:color="D9D9D9" w:themeColor="background1" w:themeShade="D9"/>
            </w:tcBorders>
          </w:tcPr>
          <w:p w14:paraId="47F22E0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0.754</w:t>
            </w:r>
          </w:p>
        </w:tc>
        <w:tc>
          <w:tcPr>
            <w:tcW w:w="1036" w:type="dxa"/>
            <w:tcBorders>
              <w:top w:val="single" w:sz="6" w:space="0" w:color="D9D9D9" w:themeColor="background1" w:themeShade="D9"/>
              <w:bottom w:val="single" w:sz="6" w:space="0" w:color="D9D9D9" w:themeColor="background1" w:themeShade="D9"/>
            </w:tcBorders>
          </w:tcPr>
          <w:p w14:paraId="30DC507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0.190</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F08504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-2.246</w:t>
            </w:r>
          </w:p>
        </w:tc>
        <w:tc>
          <w:tcPr>
            <w:tcW w:w="1036" w:type="dxa"/>
            <w:tcBorders>
              <w:left w:val="single" w:sz="4" w:space="0" w:color="auto"/>
            </w:tcBorders>
          </w:tcPr>
          <w:p w14:paraId="14757C1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7A272FE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4C65F38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63140CD6"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4E46DC36"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0F7AE6C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(0.29)</w:t>
            </w:r>
          </w:p>
        </w:tc>
        <w:tc>
          <w:tcPr>
            <w:tcW w:w="1036" w:type="dxa"/>
            <w:tcBorders>
              <w:top w:val="single" w:sz="6" w:space="0" w:color="D9D9D9" w:themeColor="background1" w:themeShade="D9"/>
              <w:bottom w:val="single" w:sz="6" w:space="0" w:color="D9D9D9" w:themeColor="background1" w:themeShade="D9"/>
            </w:tcBorders>
          </w:tcPr>
          <w:p w14:paraId="78F3132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(3.02)</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032192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(-1.23)</w:t>
            </w:r>
          </w:p>
        </w:tc>
        <w:tc>
          <w:tcPr>
            <w:tcW w:w="1036" w:type="dxa"/>
            <w:tcBorders>
              <w:left w:val="single" w:sz="4" w:space="0" w:color="auto"/>
            </w:tcBorders>
          </w:tcPr>
          <w:p w14:paraId="49C85FD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2711B89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6DE41C0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1A5F549D"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133D54EC"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lastRenderedPageBreak/>
              <w:t>∆</w:t>
            </w:r>
            <w:r w:rsidRPr="00C25BF9">
              <w:rPr>
                <w:i/>
                <w:iCs/>
                <w:lang w:val="en-GB"/>
              </w:rPr>
              <w:t>V OL</w:t>
            </w:r>
            <w:r w:rsidRPr="00C25BF9">
              <w:rPr>
                <w:i/>
                <w:iCs/>
                <w:lang w:val="en-US"/>
              </w:rPr>
              <w:t>t</w:t>
            </w:r>
            <w:r w:rsidRPr="00C25BF9">
              <w:rPr>
                <w:lang w:val="en-US"/>
              </w:rPr>
              <w:t>−2</w:t>
            </w:r>
          </w:p>
        </w:tc>
        <w:tc>
          <w:tcPr>
            <w:tcW w:w="1035" w:type="dxa"/>
            <w:tcBorders>
              <w:top w:val="single" w:sz="6" w:space="0" w:color="D9D9D9" w:themeColor="background1" w:themeShade="D9"/>
              <w:bottom w:val="single" w:sz="6" w:space="0" w:color="D9D9D9" w:themeColor="background1" w:themeShade="D9"/>
            </w:tcBorders>
          </w:tcPr>
          <w:p w14:paraId="32EF99C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0.026</w:t>
            </w:r>
          </w:p>
        </w:tc>
        <w:tc>
          <w:tcPr>
            <w:tcW w:w="1036" w:type="dxa"/>
            <w:tcBorders>
              <w:top w:val="single" w:sz="6" w:space="0" w:color="D9D9D9" w:themeColor="background1" w:themeShade="D9"/>
              <w:bottom w:val="single" w:sz="6" w:space="0" w:color="D9D9D9" w:themeColor="background1" w:themeShade="D9"/>
            </w:tcBorders>
          </w:tcPr>
          <w:p w14:paraId="2CEB62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0.006</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D2ACD9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-0.350</w:t>
            </w:r>
          </w:p>
        </w:tc>
        <w:tc>
          <w:tcPr>
            <w:tcW w:w="1036" w:type="dxa"/>
            <w:tcBorders>
              <w:left w:val="single" w:sz="4" w:space="0" w:color="auto"/>
            </w:tcBorders>
          </w:tcPr>
          <w:p w14:paraId="01092B4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57CEB14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2F7443F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32C25281" w14:textId="77777777" w:rsidTr="007D204B">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D9D9D9" w:themeColor="background1" w:themeShade="D9"/>
            </w:tcBorders>
          </w:tcPr>
          <w:p w14:paraId="563DB944"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18F9425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(0.36)</w:t>
            </w:r>
          </w:p>
        </w:tc>
        <w:tc>
          <w:tcPr>
            <w:tcW w:w="1036" w:type="dxa"/>
            <w:tcBorders>
              <w:top w:val="single" w:sz="6" w:space="0" w:color="D9D9D9" w:themeColor="background1" w:themeShade="D9"/>
              <w:bottom w:val="single" w:sz="6" w:space="0" w:color="D9D9D9" w:themeColor="background1" w:themeShade="D9"/>
            </w:tcBorders>
          </w:tcPr>
          <w:p w14:paraId="2D71E46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(3.18)</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5535DF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(-6.90)</w:t>
            </w:r>
          </w:p>
        </w:tc>
        <w:tc>
          <w:tcPr>
            <w:tcW w:w="1036" w:type="dxa"/>
            <w:tcBorders>
              <w:left w:val="single" w:sz="4" w:space="0" w:color="auto"/>
              <w:bottom w:val="single" w:sz="6" w:space="0" w:color="D9D9D9" w:themeColor="background1" w:themeShade="D9"/>
            </w:tcBorders>
          </w:tcPr>
          <w:p w14:paraId="00813CD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Borders>
              <w:bottom w:val="single" w:sz="6" w:space="0" w:color="D9D9D9" w:themeColor="background1" w:themeShade="D9"/>
            </w:tcBorders>
          </w:tcPr>
          <w:p w14:paraId="7907883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bottom w:val="single" w:sz="6" w:space="0" w:color="D9D9D9" w:themeColor="background1" w:themeShade="D9"/>
            </w:tcBorders>
          </w:tcPr>
          <w:p w14:paraId="3101F28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0D6E211C" w14:textId="77777777" w:rsidTr="007D204B">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D9D9D9" w:themeColor="background1" w:themeShade="D9"/>
              <w:bottom w:val="single" w:sz="6" w:space="0" w:color="D9D9D9" w:themeColor="background1" w:themeShade="D9"/>
            </w:tcBorders>
          </w:tcPr>
          <w:p w14:paraId="63E3E572" w14:textId="77777777" w:rsidR="00C24B45" w:rsidRPr="00C25BF9" w:rsidRDefault="00C24B45" w:rsidP="007D204B">
            <w:pPr>
              <w:keepNext/>
              <w:spacing w:before="30" w:after="30" w:line="240" w:lineRule="auto"/>
              <w:rPr>
                <w:lang w:val="en-GB"/>
              </w:rPr>
            </w:pPr>
            <w:r w:rsidRPr="00C25BF9">
              <w:rPr>
                <w:rFonts w:ascii="Cambria Math" w:hAnsi="Cambria Math" w:cs="Cambria Math"/>
                <w:i/>
                <w:iCs/>
                <w:lang w:val="en-GB"/>
              </w:rPr>
              <w:t>∆</w:t>
            </w:r>
            <w:r w:rsidRPr="00C25BF9">
              <w:rPr>
                <w:i/>
                <w:iCs/>
                <w:lang w:val="en-GB"/>
              </w:rPr>
              <w:t>LTD</w:t>
            </w:r>
            <w:r w:rsidRPr="00C25BF9">
              <w:rPr>
                <w:i/>
                <w:iCs/>
                <w:lang w:val="en-US"/>
              </w:rPr>
              <w:t>t</w:t>
            </w:r>
            <w:r w:rsidRPr="00C25BF9">
              <w:rPr>
                <w:lang w:val="en-US"/>
              </w:rPr>
              <w:t>−3</w:t>
            </w:r>
          </w:p>
        </w:tc>
        <w:tc>
          <w:tcPr>
            <w:tcW w:w="1035" w:type="dxa"/>
            <w:tcBorders>
              <w:top w:val="single" w:sz="6" w:space="0" w:color="D9D9D9" w:themeColor="background1" w:themeShade="D9"/>
              <w:bottom w:val="single" w:sz="6" w:space="0" w:color="D9D9D9" w:themeColor="background1" w:themeShade="D9"/>
            </w:tcBorders>
          </w:tcPr>
          <w:p w14:paraId="38E6244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-0.118</w:t>
            </w:r>
          </w:p>
        </w:tc>
        <w:tc>
          <w:tcPr>
            <w:tcW w:w="1036" w:type="dxa"/>
            <w:tcBorders>
              <w:top w:val="single" w:sz="6" w:space="0" w:color="D9D9D9" w:themeColor="background1" w:themeShade="D9"/>
              <w:bottom w:val="single" w:sz="6" w:space="0" w:color="D9D9D9" w:themeColor="background1" w:themeShade="D9"/>
            </w:tcBorders>
          </w:tcPr>
          <w:p w14:paraId="700B684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0.001</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0AD3302"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0.122</w:t>
            </w:r>
          </w:p>
        </w:tc>
        <w:tc>
          <w:tcPr>
            <w:tcW w:w="1036" w:type="dxa"/>
            <w:tcBorders>
              <w:top w:val="single" w:sz="6" w:space="0" w:color="D9D9D9" w:themeColor="background1" w:themeShade="D9"/>
              <w:left w:val="single" w:sz="4" w:space="0" w:color="auto"/>
              <w:bottom w:val="single" w:sz="6" w:space="0" w:color="D9D9D9" w:themeColor="background1" w:themeShade="D9"/>
            </w:tcBorders>
          </w:tcPr>
          <w:p w14:paraId="51BF189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Borders>
              <w:top w:val="single" w:sz="6" w:space="0" w:color="D9D9D9" w:themeColor="background1" w:themeShade="D9"/>
              <w:bottom w:val="single" w:sz="6" w:space="0" w:color="D9D9D9" w:themeColor="background1" w:themeShade="D9"/>
            </w:tcBorders>
          </w:tcPr>
          <w:p w14:paraId="2B1E1F8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3DAC135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5F67BBFC" w14:textId="77777777" w:rsidTr="007D204B">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D9D9D9" w:themeColor="background1" w:themeShade="D9"/>
            </w:tcBorders>
          </w:tcPr>
          <w:p w14:paraId="54F8ED5D"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6CB6D97B"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(-2.57)</w:t>
            </w:r>
          </w:p>
        </w:tc>
        <w:tc>
          <w:tcPr>
            <w:tcW w:w="1036" w:type="dxa"/>
            <w:tcBorders>
              <w:top w:val="single" w:sz="6" w:space="0" w:color="D9D9D9" w:themeColor="background1" w:themeShade="D9"/>
              <w:bottom w:val="single" w:sz="6" w:space="0" w:color="D9D9D9" w:themeColor="background1" w:themeShade="D9"/>
            </w:tcBorders>
          </w:tcPr>
          <w:p w14:paraId="3DC2359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(1.22)</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E8E25D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(3.75)</w:t>
            </w:r>
          </w:p>
        </w:tc>
        <w:tc>
          <w:tcPr>
            <w:tcW w:w="1036" w:type="dxa"/>
            <w:tcBorders>
              <w:top w:val="single" w:sz="6" w:space="0" w:color="D9D9D9" w:themeColor="background1" w:themeShade="D9"/>
              <w:left w:val="single" w:sz="4" w:space="0" w:color="auto"/>
            </w:tcBorders>
          </w:tcPr>
          <w:p w14:paraId="722B104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Borders>
              <w:top w:val="single" w:sz="6" w:space="0" w:color="D9D9D9" w:themeColor="background1" w:themeShade="D9"/>
            </w:tcBorders>
          </w:tcPr>
          <w:p w14:paraId="791D608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tcBorders>
          </w:tcPr>
          <w:p w14:paraId="770D970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0F27A560"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29A3A7A9"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HV I</w:t>
            </w:r>
            <w:r w:rsidRPr="00C25BF9">
              <w:rPr>
                <w:i/>
                <w:iCs/>
                <w:lang w:val="en-US"/>
              </w:rPr>
              <w:t>t</w:t>
            </w:r>
            <w:r w:rsidRPr="00C25BF9">
              <w:rPr>
                <w:lang w:val="en-US"/>
              </w:rPr>
              <w:t>−3</w:t>
            </w:r>
          </w:p>
        </w:tc>
        <w:tc>
          <w:tcPr>
            <w:tcW w:w="1035" w:type="dxa"/>
            <w:tcBorders>
              <w:top w:val="single" w:sz="6" w:space="0" w:color="D9D9D9" w:themeColor="background1" w:themeShade="D9"/>
              <w:bottom w:val="single" w:sz="6" w:space="0" w:color="D9D9D9" w:themeColor="background1" w:themeShade="D9"/>
            </w:tcBorders>
          </w:tcPr>
          <w:p w14:paraId="0663D49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-1.010</w:t>
            </w:r>
          </w:p>
        </w:tc>
        <w:tc>
          <w:tcPr>
            <w:tcW w:w="1036" w:type="dxa"/>
            <w:tcBorders>
              <w:top w:val="single" w:sz="6" w:space="0" w:color="D9D9D9" w:themeColor="background1" w:themeShade="D9"/>
              <w:bottom w:val="single" w:sz="6" w:space="0" w:color="D9D9D9" w:themeColor="background1" w:themeShade="D9"/>
            </w:tcBorders>
          </w:tcPr>
          <w:p w14:paraId="3EDE6DC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-0.198</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76275B5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-4.283</w:t>
            </w:r>
          </w:p>
        </w:tc>
        <w:tc>
          <w:tcPr>
            <w:tcW w:w="1036" w:type="dxa"/>
            <w:tcBorders>
              <w:left w:val="single" w:sz="4" w:space="0" w:color="auto"/>
            </w:tcBorders>
          </w:tcPr>
          <w:p w14:paraId="048EC2A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73CF4601"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71BD886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2C0E9EFB"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7F001D60"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4273F35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(-0.52)</w:t>
            </w:r>
          </w:p>
        </w:tc>
        <w:tc>
          <w:tcPr>
            <w:tcW w:w="1036" w:type="dxa"/>
            <w:tcBorders>
              <w:top w:val="single" w:sz="6" w:space="0" w:color="D9D9D9" w:themeColor="background1" w:themeShade="D9"/>
              <w:bottom w:val="single" w:sz="6" w:space="0" w:color="D9D9D9" w:themeColor="background1" w:themeShade="D9"/>
            </w:tcBorders>
          </w:tcPr>
          <w:p w14:paraId="754B606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(-4.15)</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7BDCBF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(-3.10)</w:t>
            </w:r>
          </w:p>
        </w:tc>
        <w:tc>
          <w:tcPr>
            <w:tcW w:w="1036" w:type="dxa"/>
            <w:tcBorders>
              <w:left w:val="single" w:sz="4" w:space="0" w:color="auto"/>
            </w:tcBorders>
          </w:tcPr>
          <w:p w14:paraId="746B718F"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58F0616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18D4856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344428DB"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47F5BF80" w14:textId="77777777" w:rsidR="00C24B45" w:rsidRPr="00C25BF9" w:rsidRDefault="00C24B45" w:rsidP="007B23B7">
            <w:pPr>
              <w:spacing w:before="30" w:after="30" w:line="240" w:lineRule="auto"/>
              <w:rPr>
                <w:lang w:val="en-GB"/>
              </w:rPr>
            </w:pPr>
            <w:r w:rsidRPr="00C25BF9">
              <w:rPr>
                <w:rFonts w:ascii="Cambria Math" w:hAnsi="Cambria Math" w:cs="Cambria Math"/>
                <w:i/>
                <w:iCs/>
                <w:lang w:val="en-GB"/>
              </w:rPr>
              <w:t>∆</w:t>
            </w:r>
            <w:r w:rsidRPr="00C25BF9">
              <w:rPr>
                <w:i/>
                <w:iCs/>
                <w:lang w:val="en-GB"/>
              </w:rPr>
              <w:t>V OL</w:t>
            </w:r>
            <w:r w:rsidRPr="00C25BF9">
              <w:rPr>
                <w:i/>
                <w:iCs/>
                <w:lang w:val="en-US"/>
              </w:rPr>
              <w:t>t</w:t>
            </w:r>
            <w:r w:rsidRPr="00C25BF9">
              <w:rPr>
                <w:lang w:val="en-US"/>
              </w:rPr>
              <w:t>−3</w:t>
            </w:r>
          </w:p>
        </w:tc>
        <w:tc>
          <w:tcPr>
            <w:tcW w:w="1035" w:type="dxa"/>
            <w:tcBorders>
              <w:top w:val="single" w:sz="6" w:space="0" w:color="D9D9D9" w:themeColor="background1" w:themeShade="D9"/>
              <w:bottom w:val="single" w:sz="6" w:space="0" w:color="D9D9D9" w:themeColor="background1" w:themeShade="D9"/>
            </w:tcBorders>
          </w:tcPr>
          <w:p w14:paraId="39C073CE"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0.032</w:t>
            </w:r>
          </w:p>
        </w:tc>
        <w:tc>
          <w:tcPr>
            <w:tcW w:w="1036" w:type="dxa"/>
            <w:tcBorders>
              <w:top w:val="single" w:sz="6" w:space="0" w:color="D9D9D9" w:themeColor="background1" w:themeShade="D9"/>
              <w:bottom w:val="single" w:sz="6" w:space="0" w:color="D9D9D9" w:themeColor="background1" w:themeShade="D9"/>
            </w:tcBorders>
          </w:tcPr>
          <w:p w14:paraId="27278BA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0.003</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325CCD4"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-0.282</w:t>
            </w:r>
          </w:p>
        </w:tc>
        <w:tc>
          <w:tcPr>
            <w:tcW w:w="1036" w:type="dxa"/>
            <w:tcBorders>
              <w:left w:val="single" w:sz="4" w:space="0" w:color="auto"/>
            </w:tcBorders>
          </w:tcPr>
          <w:p w14:paraId="5CFB026C"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2498C0FA"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13300533"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383FB665"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35E01D4B" w14:textId="77777777" w:rsidR="00C24B45" w:rsidRPr="00C25BF9" w:rsidRDefault="00C24B45" w:rsidP="007B23B7">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71D0A7E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(0.47)</w:t>
            </w:r>
          </w:p>
        </w:tc>
        <w:tc>
          <w:tcPr>
            <w:tcW w:w="1036" w:type="dxa"/>
            <w:tcBorders>
              <w:top w:val="single" w:sz="6" w:space="0" w:color="D9D9D9" w:themeColor="background1" w:themeShade="D9"/>
              <w:bottom w:val="single" w:sz="6" w:space="0" w:color="D9D9D9" w:themeColor="background1" w:themeShade="D9"/>
            </w:tcBorders>
          </w:tcPr>
          <w:p w14:paraId="6CC5303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(1.55)</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3D780E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C25BF9">
              <w:rPr>
                <w:lang w:val="en-GB"/>
              </w:rPr>
              <w:t>(-5.79)</w:t>
            </w:r>
          </w:p>
        </w:tc>
        <w:tc>
          <w:tcPr>
            <w:tcW w:w="1036" w:type="dxa"/>
            <w:tcBorders>
              <w:left w:val="single" w:sz="4" w:space="0" w:color="auto"/>
            </w:tcBorders>
          </w:tcPr>
          <w:p w14:paraId="27B70CB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346E89F0"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0FAE9967"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C24B45" w:rsidRPr="00C25BF9" w14:paraId="77EADE23"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7F452072" w14:textId="77777777" w:rsidR="00C24B45" w:rsidRPr="00C25BF9" w:rsidRDefault="00C24B45" w:rsidP="007B23B7">
            <w:pPr>
              <w:spacing w:before="30" w:after="30" w:line="240" w:lineRule="auto"/>
              <w:rPr>
                <w:rFonts w:asciiTheme="majorHAnsi" w:hAnsiTheme="majorHAnsi"/>
                <w:lang w:val="en-US"/>
              </w:rPr>
            </w:pPr>
            <w:r w:rsidRPr="00C25BF9">
              <w:rPr>
                <w:rFonts w:asciiTheme="majorHAnsi" w:hAnsiTheme="majorHAnsi"/>
                <w:bCs/>
                <w:lang w:val="en-US"/>
              </w:rPr>
              <w:t>Regime 2 short-run dynamics</w:t>
            </w:r>
          </w:p>
        </w:tc>
        <w:tc>
          <w:tcPr>
            <w:tcW w:w="1035" w:type="dxa"/>
            <w:tcBorders>
              <w:top w:val="single" w:sz="6" w:space="0" w:color="D9D9D9" w:themeColor="background1" w:themeShade="D9"/>
              <w:bottom w:val="single" w:sz="6" w:space="0" w:color="D9D9D9" w:themeColor="background1" w:themeShade="D9"/>
            </w:tcBorders>
          </w:tcPr>
          <w:p w14:paraId="19FABADD"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42DF771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11E8A026"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5B1C5AB9"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5" w:type="dxa"/>
          </w:tcPr>
          <w:p w14:paraId="69D14318"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Pr>
          <w:p w14:paraId="1C07F265" w14:textId="77777777" w:rsidR="00C24B45" w:rsidRPr="00C25BF9" w:rsidRDefault="00C24B45"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0B5E9B" w:rsidRPr="00C25BF9" w14:paraId="1EC5F3BA"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0858CF91" w14:textId="77777777" w:rsidR="000B5E9B" w:rsidRPr="00C25BF9" w:rsidRDefault="000B5E9B" w:rsidP="000B5E9B">
            <w:pPr>
              <w:spacing w:before="30" w:after="30" w:line="240" w:lineRule="auto"/>
              <w:rPr>
                <w:lang w:val="en-GB"/>
              </w:rPr>
            </w:pPr>
            <w:r w:rsidRPr="00C25BF9">
              <w:rPr>
                <w:rFonts w:ascii="Cambria Math" w:hAnsi="Cambria Math" w:cs="Cambria Math"/>
                <w:i/>
                <w:iCs/>
                <w:lang w:val="en-GB"/>
              </w:rPr>
              <w:t>∆</w:t>
            </w:r>
            <w:r w:rsidRPr="00C25BF9">
              <w:rPr>
                <w:i/>
                <w:iCs/>
                <w:lang w:val="en-GB"/>
              </w:rPr>
              <w:t>LTD</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521FA20D"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2298A54A"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5509D62F"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15E7A8F8" w14:textId="4ED85F61"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-0.366</w:t>
            </w:r>
          </w:p>
        </w:tc>
        <w:tc>
          <w:tcPr>
            <w:tcW w:w="1035" w:type="dxa"/>
          </w:tcPr>
          <w:p w14:paraId="7349ED0F" w14:textId="5DCFDD7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0.004</w:t>
            </w:r>
          </w:p>
        </w:tc>
        <w:tc>
          <w:tcPr>
            <w:tcW w:w="1036" w:type="dxa"/>
          </w:tcPr>
          <w:p w14:paraId="761856C6" w14:textId="0A6FCDD0"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-0.046</w:t>
            </w:r>
          </w:p>
        </w:tc>
      </w:tr>
      <w:tr w:rsidR="000B5E9B" w:rsidRPr="00C25BF9" w14:paraId="78FEF9ED"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2B23DB8C" w14:textId="77777777" w:rsidR="000B5E9B" w:rsidRPr="00C25BF9" w:rsidRDefault="000B5E9B" w:rsidP="000B5E9B">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19AA4D73"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3569E21C"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A1421E4"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09D2DC3F" w14:textId="7E37652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(-7.87)</w:t>
            </w:r>
          </w:p>
        </w:tc>
        <w:tc>
          <w:tcPr>
            <w:tcW w:w="1035" w:type="dxa"/>
          </w:tcPr>
          <w:p w14:paraId="79581681" w14:textId="2E3052AD"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(3.83)</w:t>
            </w:r>
          </w:p>
        </w:tc>
        <w:tc>
          <w:tcPr>
            <w:tcW w:w="1036" w:type="dxa"/>
          </w:tcPr>
          <w:p w14:paraId="436446DA" w14:textId="0EE071AB"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(-1.13)</w:t>
            </w:r>
          </w:p>
        </w:tc>
      </w:tr>
      <w:tr w:rsidR="000B5E9B" w:rsidRPr="00C25BF9" w14:paraId="55282DBA"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68C6E60B" w14:textId="77777777" w:rsidR="000B5E9B" w:rsidRPr="00C25BF9" w:rsidRDefault="000B5E9B" w:rsidP="000B5E9B">
            <w:pPr>
              <w:spacing w:before="30" w:after="30" w:line="240" w:lineRule="auto"/>
              <w:rPr>
                <w:lang w:val="en-GB"/>
              </w:rPr>
            </w:pPr>
            <w:r w:rsidRPr="00C25BF9">
              <w:rPr>
                <w:rFonts w:ascii="Cambria Math" w:hAnsi="Cambria Math" w:cs="Cambria Math"/>
                <w:i/>
                <w:iCs/>
                <w:lang w:val="en-GB"/>
              </w:rPr>
              <w:t>∆</w:t>
            </w:r>
            <w:r w:rsidRPr="00C25BF9">
              <w:rPr>
                <w:i/>
                <w:iCs/>
                <w:lang w:val="en-GB"/>
              </w:rPr>
              <w:t>HV I</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31741208"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4CE4952C"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783B91C5"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5A93D112" w14:textId="5375772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5.116</w:t>
            </w:r>
          </w:p>
        </w:tc>
        <w:tc>
          <w:tcPr>
            <w:tcW w:w="1035" w:type="dxa"/>
          </w:tcPr>
          <w:p w14:paraId="73C88EE1" w14:textId="5C68D853"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0.828</w:t>
            </w:r>
          </w:p>
        </w:tc>
        <w:tc>
          <w:tcPr>
            <w:tcW w:w="1036" w:type="dxa"/>
          </w:tcPr>
          <w:p w14:paraId="701E4ACA" w14:textId="3D3FDB18"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-2.062</w:t>
            </w:r>
          </w:p>
        </w:tc>
      </w:tr>
      <w:tr w:rsidR="000B5E9B" w:rsidRPr="00C25BF9" w14:paraId="23E863F1" w14:textId="77777777" w:rsidTr="00F04D01">
        <w:tc>
          <w:tcPr>
            <w:cnfStyle w:val="001000000000" w:firstRow="0" w:lastRow="0" w:firstColumn="1" w:lastColumn="0" w:oddVBand="0" w:evenVBand="0" w:oddHBand="0" w:evenHBand="0" w:firstRowFirstColumn="0" w:firstRowLastColumn="0" w:lastRowFirstColumn="0" w:lastRowLastColumn="0"/>
            <w:tcW w:w="3402" w:type="dxa"/>
          </w:tcPr>
          <w:p w14:paraId="016F2CA3" w14:textId="77777777" w:rsidR="000B5E9B" w:rsidRPr="00C25BF9" w:rsidRDefault="000B5E9B" w:rsidP="000B5E9B">
            <w:pPr>
              <w:spacing w:before="30" w:after="30" w:line="240" w:lineRule="auto"/>
            </w:pPr>
          </w:p>
        </w:tc>
        <w:tc>
          <w:tcPr>
            <w:tcW w:w="1035" w:type="dxa"/>
            <w:tcBorders>
              <w:top w:val="single" w:sz="6" w:space="0" w:color="D9D9D9" w:themeColor="background1" w:themeShade="D9"/>
              <w:bottom w:val="single" w:sz="6" w:space="0" w:color="D9D9D9" w:themeColor="background1" w:themeShade="D9"/>
            </w:tcBorders>
          </w:tcPr>
          <w:p w14:paraId="21102A8E"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043D4C0D"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E9B521F"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0A1B13B9" w14:textId="55C4F39F"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(5.02)</w:t>
            </w:r>
          </w:p>
        </w:tc>
        <w:tc>
          <w:tcPr>
            <w:tcW w:w="1035" w:type="dxa"/>
          </w:tcPr>
          <w:p w14:paraId="4BD0619E" w14:textId="7FC2F4AC"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(37.20)</w:t>
            </w:r>
          </w:p>
        </w:tc>
        <w:tc>
          <w:tcPr>
            <w:tcW w:w="1036" w:type="dxa"/>
          </w:tcPr>
          <w:p w14:paraId="143DDA32" w14:textId="7531697C"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(-2.30)</w:t>
            </w:r>
          </w:p>
        </w:tc>
      </w:tr>
      <w:tr w:rsidR="000B5E9B" w:rsidRPr="00C25BF9" w14:paraId="4EDC6506"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D9D9D9" w:themeColor="background1" w:themeShade="D9"/>
            </w:tcBorders>
          </w:tcPr>
          <w:p w14:paraId="254EDBBC" w14:textId="77777777" w:rsidR="000B5E9B" w:rsidRPr="00C25BF9" w:rsidRDefault="000B5E9B" w:rsidP="000B5E9B">
            <w:pPr>
              <w:spacing w:before="30" w:after="30" w:line="240" w:lineRule="auto"/>
              <w:rPr>
                <w:lang w:val="en-GB"/>
              </w:rPr>
            </w:pPr>
            <w:r w:rsidRPr="00C25BF9">
              <w:rPr>
                <w:rFonts w:ascii="Cambria Math" w:hAnsi="Cambria Math" w:cs="Cambria Math"/>
                <w:i/>
                <w:iCs/>
                <w:lang w:val="en-GB"/>
              </w:rPr>
              <w:t>∆</w:t>
            </w:r>
            <w:r w:rsidRPr="00C25BF9">
              <w:rPr>
                <w:i/>
                <w:iCs/>
                <w:lang w:val="en-GB"/>
              </w:rPr>
              <w:t>V OL</w:t>
            </w:r>
            <w:r w:rsidRPr="00C25BF9">
              <w:rPr>
                <w:i/>
                <w:iCs/>
                <w:lang w:val="en-US"/>
              </w:rPr>
              <w:t>t</w:t>
            </w:r>
            <w:r w:rsidRPr="00C25BF9">
              <w:rPr>
                <w:lang w:val="en-US"/>
              </w:rPr>
              <w:t>−1</w:t>
            </w:r>
          </w:p>
        </w:tc>
        <w:tc>
          <w:tcPr>
            <w:tcW w:w="1035" w:type="dxa"/>
            <w:tcBorders>
              <w:top w:val="single" w:sz="6" w:space="0" w:color="D9D9D9" w:themeColor="background1" w:themeShade="D9"/>
              <w:bottom w:val="single" w:sz="6" w:space="0" w:color="D9D9D9" w:themeColor="background1" w:themeShade="D9"/>
            </w:tcBorders>
          </w:tcPr>
          <w:p w14:paraId="5D508433"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74EC8E9D"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2280111"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bottom w:val="single" w:sz="6" w:space="0" w:color="D9D9D9" w:themeColor="background1" w:themeShade="D9"/>
            </w:tcBorders>
          </w:tcPr>
          <w:p w14:paraId="5F03E3C0" w14:textId="03A8B5C2"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-0.204</w:t>
            </w:r>
          </w:p>
        </w:tc>
        <w:tc>
          <w:tcPr>
            <w:tcW w:w="1035" w:type="dxa"/>
            <w:tcBorders>
              <w:bottom w:val="single" w:sz="6" w:space="0" w:color="D9D9D9" w:themeColor="background1" w:themeShade="D9"/>
            </w:tcBorders>
          </w:tcPr>
          <w:p w14:paraId="33451371" w14:textId="7A5182C1"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0.005</w:t>
            </w:r>
          </w:p>
        </w:tc>
        <w:tc>
          <w:tcPr>
            <w:tcW w:w="1036" w:type="dxa"/>
            <w:tcBorders>
              <w:bottom w:val="single" w:sz="6" w:space="0" w:color="D9D9D9" w:themeColor="background1" w:themeShade="D9"/>
            </w:tcBorders>
          </w:tcPr>
          <w:p w14:paraId="7C07B5F5" w14:textId="2412178F"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-0.232</w:t>
            </w:r>
          </w:p>
        </w:tc>
      </w:tr>
      <w:tr w:rsidR="000B5E9B" w:rsidRPr="00C25BF9" w14:paraId="1F9217C1"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D9D9D9" w:themeColor="background1" w:themeShade="D9"/>
              <w:bottom w:val="nil"/>
            </w:tcBorders>
          </w:tcPr>
          <w:p w14:paraId="781C7C1B" w14:textId="77777777" w:rsidR="000B5E9B" w:rsidRPr="00C25BF9" w:rsidRDefault="000B5E9B" w:rsidP="000B5E9B">
            <w:pPr>
              <w:spacing w:before="30" w:after="30" w:line="240" w:lineRule="auto"/>
            </w:pPr>
          </w:p>
        </w:tc>
        <w:tc>
          <w:tcPr>
            <w:tcW w:w="1035" w:type="dxa"/>
            <w:tcBorders>
              <w:top w:val="single" w:sz="6" w:space="0" w:color="D9D9D9" w:themeColor="background1" w:themeShade="D9"/>
              <w:bottom w:val="nil"/>
            </w:tcBorders>
          </w:tcPr>
          <w:p w14:paraId="77D20B58"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nil"/>
            </w:tcBorders>
          </w:tcPr>
          <w:p w14:paraId="500A32C4"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nil"/>
              <w:right w:val="single" w:sz="4" w:space="0" w:color="auto"/>
            </w:tcBorders>
          </w:tcPr>
          <w:p w14:paraId="324A7686"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left w:val="single" w:sz="4" w:space="0" w:color="auto"/>
              <w:bottom w:val="nil"/>
            </w:tcBorders>
          </w:tcPr>
          <w:p w14:paraId="5913FB15" w14:textId="651E7CB9"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(-3.37)</w:t>
            </w:r>
          </w:p>
        </w:tc>
        <w:tc>
          <w:tcPr>
            <w:tcW w:w="1035" w:type="dxa"/>
            <w:tcBorders>
              <w:top w:val="single" w:sz="6" w:space="0" w:color="D9D9D9" w:themeColor="background1" w:themeShade="D9"/>
              <w:bottom w:val="nil"/>
            </w:tcBorders>
          </w:tcPr>
          <w:p w14:paraId="6E94379B" w14:textId="5DA3B2C0"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(3.58)</w:t>
            </w:r>
          </w:p>
        </w:tc>
        <w:tc>
          <w:tcPr>
            <w:tcW w:w="1036" w:type="dxa"/>
            <w:tcBorders>
              <w:top w:val="single" w:sz="6" w:space="0" w:color="D9D9D9" w:themeColor="background1" w:themeShade="D9"/>
              <w:bottom w:val="nil"/>
            </w:tcBorders>
          </w:tcPr>
          <w:p w14:paraId="4726337D" w14:textId="6C0D5F04"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(-4.35)</w:t>
            </w:r>
          </w:p>
        </w:tc>
      </w:tr>
      <w:tr w:rsidR="005F477A" w:rsidRPr="00C25BF9" w14:paraId="63F30901"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top w:val="nil"/>
            </w:tcBorders>
          </w:tcPr>
          <w:p w14:paraId="40BB2380" w14:textId="799D9ED2" w:rsidR="005F477A" w:rsidRPr="00C25BF9" w:rsidRDefault="005F477A" w:rsidP="007B23B7">
            <w:pPr>
              <w:keepNext/>
              <w:spacing w:before="30" w:after="30" w:line="240" w:lineRule="auto"/>
            </w:pPr>
            <w:r w:rsidRPr="007B23B7">
              <w:rPr>
                <w:rFonts w:asciiTheme="majorHAnsi" w:hAnsiTheme="majorHAnsi"/>
                <w:lang w:val="en-US"/>
              </w:rPr>
              <w:t>Regime 1 covariance (×10</w:t>
            </w:r>
            <w:r w:rsidRPr="000B5E9B">
              <w:rPr>
                <w:rFonts w:asciiTheme="majorHAnsi" w:hAnsiTheme="majorHAnsi"/>
                <w:vertAlign w:val="superscript"/>
                <w:lang w:val="en-US"/>
              </w:rPr>
              <w:t>2</w:t>
            </w:r>
            <w:r w:rsidRPr="007B23B7">
              <w:rPr>
                <w:rFonts w:asciiTheme="majorHAnsi" w:hAnsiTheme="majorHAnsi"/>
                <w:lang w:val="en-US"/>
              </w:rPr>
              <w:t>)</w:t>
            </w:r>
          </w:p>
        </w:tc>
        <w:tc>
          <w:tcPr>
            <w:tcW w:w="1035" w:type="dxa"/>
            <w:tcBorders>
              <w:top w:val="nil"/>
              <w:bottom w:val="single" w:sz="6" w:space="0" w:color="D9D9D9" w:themeColor="background1" w:themeShade="D9"/>
            </w:tcBorders>
          </w:tcPr>
          <w:p w14:paraId="664DB06D"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bottom w:val="single" w:sz="6" w:space="0" w:color="D9D9D9" w:themeColor="background1" w:themeShade="D9"/>
            </w:tcBorders>
          </w:tcPr>
          <w:p w14:paraId="4D763803"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bottom w:val="single" w:sz="6" w:space="0" w:color="D9D9D9" w:themeColor="background1" w:themeShade="D9"/>
              <w:right w:val="single" w:sz="4" w:space="0" w:color="auto"/>
            </w:tcBorders>
          </w:tcPr>
          <w:p w14:paraId="4B4FB2F1"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single" w:sz="4" w:space="0" w:color="auto"/>
            </w:tcBorders>
          </w:tcPr>
          <w:p w14:paraId="4B9097F3"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1035" w:type="dxa"/>
            <w:tcBorders>
              <w:top w:val="nil"/>
            </w:tcBorders>
          </w:tcPr>
          <w:p w14:paraId="05221B4D"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1036" w:type="dxa"/>
            <w:tcBorders>
              <w:top w:val="nil"/>
            </w:tcBorders>
          </w:tcPr>
          <w:p w14:paraId="087DFA2B" w14:textId="77777777" w:rsidR="005F477A" w:rsidRPr="00C25BF9" w:rsidRDefault="005F477A" w:rsidP="007B23B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0B5E9B" w:rsidRPr="00C25BF9" w14:paraId="190392AB" w14:textId="77777777" w:rsidTr="009A5A98">
        <w:tc>
          <w:tcPr>
            <w:cnfStyle w:val="001000000000" w:firstRow="0" w:lastRow="0" w:firstColumn="1" w:lastColumn="0" w:oddVBand="0" w:evenVBand="0" w:oddHBand="0" w:evenHBand="0" w:firstRowFirstColumn="0" w:firstRowLastColumn="0" w:lastRowFirstColumn="0" w:lastRowLastColumn="0"/>
            <w:tcW w:w="3402" w:type="dxa"/>
          </w:tcPr>
          <w:p w14:paraId="7CE9F725" w14:textId="2EE2E7A2" w:rsidR="000B5E9B" w:rsidRPr="00C25BF9" w:rsidRDefault="000B5E9B" w:rsidP="000B5E9B">
            <w:pPr>
              <w:keepNext/>
              <w:spacing w:before="30" w:after="30" w:line="240" w:lineRule="auto"/>
            </w:pPr>
            <w:r>
              <w:rPr>
                <w:rStyle w:val="Cambriaitalic"/>
              </w:rPr>
              <w:t>∆LTD</w:t>
            </w:r>
            <w:r>
              <w:rPr>
                <w:rStyle w:val="Cambriaitalic"/>
                <w:position w:val="-4"/>
                <w:sz w:val="12"/>
                <w:szCs w:val="12"/>
              </w:rPr>
              <w:t>t</w:t>
            </w:r>
          </w:p>
        </w:tc>
        <w:tc>
          <w:tcPr>
            <w:tcW w:w="1035" w:type="dxa"/>
            <w:tcBorders>
              <w:top w:val="single" w:sz="6" w:space="0" w:color="D9D9D9" w:themeColor="background1" w:themeShade="D9"/>
              <w:bottom w:val="single" w:sz="6" w:space="0" w:color="D9D9D9" w:themeColor="background1" w:themeShade="D9"/>
            </w:tcBorders>
          </w:tcPr>
          <w:p w14:paraId="36BB2E98" w14:textId="51DD09BE"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1.255</w:t>
            </w:r>
          </w:p>
        </w:tc>
        <w:tc>
          <w:tcPr>
            <w:tcW w:w="1036" w:type="dxa"/>
            <w:tcBorders>
              <w:top w:val="single" w:sz="6" w:space="0" w:color="D9D9D9" w:themeColor="background1" w:themeShade="D9"/>
              <w:bottom w:val="single" w:sz="6" w:space="0" w:color="D9D9D9" w:themeColor="background1" w:themeShade="D9"/>
            </w:tcBorders>
          </w:tcPr>
          <w:p w14:paraId="45F74347" w14:textId="27CB9A5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0.001</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39DCCE44" w14:textId="48ECA6B0"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0.070</w:t>
            </w:r>
          </w:p>
        </w:tc>
        <w:tc>
          <w:tcPr>
            <w:tcW w:w="1036" w:type="dxa"/>
            <w:tcBorders>
              <w:left w:val="single" w:sz="4" w:space="0" w:color="auto"/>
            </w:tcBorders>
          </w:tcPr>
          <w:p w14:paraId="66E1C784" w14:textId="1DE185EA"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0.822</w:t>
            </w:r>
          </w:p>
        </w:tc>
        <w:tc>
          <w:tcPr>
            <w:tcW w:w="1035" w:type="dxa"/>
          </w:tcPr>
          <w:p w14:paraId="7EAFF15C" w14:textId="6FDB1B2D"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0.003</w:t>
            </w:r>
          </w:p>
        </w:tc>
        <w:tc>
          <w:tcPr>
            <w:tcW w:w="1036" w:type="dxa"/>
          </w:tcPr>
          <w:p w14:paraId="3ECB5188" w14:textId="43AE7DE4"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0.068</w:t>
            </w:r>
          </w:p>
        </w:tc>
      </w:tr>
      <w:tr w:rsidR="000B5E9B" w:rsidRPr="00C25BF9" w14:paraId="3CF8516B"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D9D9D9" w:themeColor="background1" w:themeShade="D9"/>
            </w:tcBorders>
          </w:tcPr>
          <w:p w14:paraId="07271F53" w14:textId="0480F84E" w:rsidR="000B5E9B" w:rsidRPr="00C25BF9" w:rsidRDefault="000B5E9B" w:rsidP="000B5E9B">
            <w:pPr>
              <w:spacing w:before="30" w:after="30" w:line="240" w:lineRule="auto"/>
            </w:pPr>
            <w:r>
              <w:rPr>
                <w:rStyle w:val="Cambriaitalic"/>
              </w:rPr>
              <w:t>∆HV I</w:t>
            </w:r>
            <w:r>
              <w:rPr>
                <w:rStyle w:val="Cambriaitalic"/>
                <w:position w:val="-4"/>
                <w:sz w:val="12"/>
                <w:szCs w:val="12"/>
              </w:rPr>
              <w:t>t</w:t>
            </w:r>
          </w:p>
        </w:tc>
        <w:tc>
          <w:tcPr>
            <w:tcW w:w="1035" w:type="dxa"/>
            <w:tcBorders>
              <w:top w:val="single" w:sz="6" w:space="0" w:color="D9D9D9" w:themeColor="background1" w:themeShade="D9"/>
              <w:bottom w:val="single" w:sz="6" w:space="0" w:color="D9D9D9" w:themeColor="background1" w:themeShade="D9"/>
            </w:tcBorders>
          </w:tcPr>
          <w:p w14:paraId="02E96A28" w14:textId="62C27883"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0.001</w:t>
            </w:r>
          </w:p>
        </w:tc>
        <w:tc>
          <w:tcPr>
            <w:tcW w:w="1036" w:type="dxa"/>
            <w:tcBorders>
              <w:top w:val="single" w:sz="6" w:space="0" w:color="D9D9D9" w:themeColor="background1" w:themeShade="D9"/>
              <w:bottom w:val="single" w:sz="6" w:space="0" w:color="D9D9D9" w:themeColor="background1" w:themeShade="D9"/>
            </w:tcBorders>
          </w:tcPr>
          <w:p w14:paraId="4F9A3113" w14:textId="599631EC"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0.001</w:t>
            </w: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69598B75" w14:textId="72061FFF"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0.006</w:t>
            </w:r>
          </w:p>
        </w:tc>
        <w:tc>
          <w:tcPr>
            <w:tcW w:w="1036" w:type="dxa"/>
            <w:tcBorders>
              <w:left w:val="single" w:sz="4" w:space="0" w:color="auto"/>
              <w:bottom w:val="single" w:sz="6" w:space="0" w:color="D9D9D9" w:themeColor="background1" w:themeShade="D9"/>
            </w:tcBorders>
          </w:tcPr>
          <w:p w14:paraId="2B48047C" w14:textId="18206714"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0.003</w:t>
            </w:r>
          </w:p>
        </w:tc>
        <w:tc>
          <w:tcPr>
            <w:tcW w:w="1035" w:type="dxa"/>
            <w:tcBorders>
              <w:bottom w:val="single" w:sz="6" w:space="0" w:color="D9D9D9" w:themeColor="background1" w:themeShade="D9"/>
            </w:tcBorders>
          </w:tcPr>
          <w:p w14:paraId="04E0E1FE" w14:textId="2E1F162D"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0.001</w:t>
            </w:r>
          </w:p>
        </w:tc>
        <w:tc>
          <w:tcPr>
            <w:tcW w:w="1036" w:type="dxa"/>
            <w:tcBorders>
              <w:bottom w:val="single" w:sz="6" w:space="0" w:color="D9D9D9" w:themeColor="background1" w:themeShade="D9"/>
            </w:tcBorders>
          </w:tcPr>
          <w:p w14:paraId="424A71B0" w14:textId="79A280C1"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0.004</w:t>
            </w:r>
          </w:p>
        </w:tc>
      </w:tr>
      <w:tr w:rsidR="000B5E9B" w:rsidRPr="00C25BF9" w14:paraId="524381A7"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D9D9D9" w:themeColor="background1" w:themeShade="D9"/>
              <w:bottom w:val="nil"/>
            </w:tcBorders>
          </w:tcPr>
          <w:p w14:paraId="2248E561" w14:textId="1D8C5066" w:rsidR="000B5E9B" w:rsidRPr="00C25BF9" w:rsidRDefault="000B5E9B" w:rsidP="000B5E9B">
            <w:pPr>
              <w:spacing w:before="30" w:after="30" w:line="240" w:lineRule="auto"/>
            </w:pPr>
            <w:r>
              <w:rPr>
                <w:rStyle w:val="Cambriaitalic"/>
              </w:rPr>
              <w:t>∆V Ol</w:t>
            </w:r>
            <w:r>
              <w:rPr>
                <w:rStyle w:val="Cambriaitalic"/>
                <w:position w:val="-4"/>
                <w:sz w:val="12"/>
                <w:szCs w:val="12"/>
              </w:rPr>
              <w:t>t</w:t>
            </w:r>
          </w:p>
        </w:tc>
        <w:tc>
          <w:tcPr>
            <w:tcW w:w="1035" w:type="dxa"/>
            <w:tcBorders>
              <w:top w:val="single" w:sz="6" w:space="0" w:color="D9D9D9" w:themeColor="background1" w:themeShade="D9"/>
              <w:bottom w:val="nil"/>
            </w:tcBorders>
          </w:tcPr>
          <w:p w14:paraId="619476B4" w14:textId="40EBF8A2"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0.070</w:t>
            </w:r>
          </w:p>
        </w:tc>
        <w:tc>
          <w:tcPr>
            <w:tcW w:w="1036" w:type="dxa"/>
            <w:tcBorders>
              <w:top w:val="single" w:sz="6" w:space="0" w:color="D9D9D9" w:themeColor="background1" w:themeShade="D9"/>
              <w:bottom w:val="nil"/>
            </w:tcBorders>
          </w:tcPr>
          <w:p w14:paraId="179AC7A3" w14:textId="37AE36BE"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0.006</w:t>
            </w:r>
          </w:p>
        </w:tc>
        <w:tc>
          <w:tcPr>
            <w:tcW w:w="1036" w:type="dxa"/>
            <w:tcBorders>
              <w:top w:val="single" w:sz="6" w:space="0" w:color="D9D9D9" w:themeColor="background1" w:themeShade="D9"/>
              <w:bottom w:val="nil"/>
              <w:right w:val="single" w:sz="4" w:space="0" w:color="auto"/>
            </w:tcBorders>
          </w:tcPr>
          <w:p w14:paraId="27E96F70" w14:textId="3176F35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r>
              <w:t>0.635</w:t>
            </w:r>
          </w:p>
        </w:tc>
        <w:tc>
          <w:tcPr>
            <w:tcW w:w="1036" w:type="dxa"/>
            <w:tcBorders>
              <w:top w:val="single" w:sz="6" w:space="0" w:color="D9D9D9" w:themeColor="background1" w:themeShade="D9"/>
              <w:left w:val="single" w:sz="4" w:space="0" w:color="auto"/>
              <w:bottom w:val="nil"/>
            </w:tcBorders>
          </w:tcPr>
          <w:p w14:paraId="4164F082" w14:textId="6A326618"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0.068</w:t>
            </w:r>
          </w:p>
        </w:tc>
        <w:tc>
          <w:tcPr>
            <w:tcW w:w="1035" w:type="dxa"/>
            <w:tcBorders>
              <w:top w:val="single" w:sz="6" w:space="0" w:color="D9D9D9" w:themeColor="background1" w:themeShade="D9"/>
              <w:bottom w:val="nil"/>
            </w:tcBorders>
          </w:tcPr>
          <w:p w14:paraId="586B7661" w14:textId="2A839BD5"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0.004</w:t>
            </w:r>
          </w:p>
        </w:tc>
        <w:tc>
          <w:tcPr>
            <w:tcW w:w="1036" w:type="dxa"/>
            <w:tcBorders>
              <w:top w:val="single" w:sz="6" w:space="0" w:color="D9D9D9" w:themeColor="background1" w:themeShade="D9"/>
              <w:bottom w:val="nil"/>
            </w:tcBorders>
          </w:tcPr>
          <w:p w14:paraId="2DA94832" w14:textId="15FE108D"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0.222</w:t>
            </w:r>
          </w:p>
        </w:tc>
      </w:tr>
      <w:tr w:rsidR="000B5E9B" w:rsidRPr="00C25BF9" w14:paraId="1EAA285E" w14:textId="77777777" w:rsidTr="007B23B7">
        <w:tc>
          <w:tcPr>
            <w:cnfStyle w:val="001000000000" w:firstRow="0" w:lastRow="0" w:firstColumn="1" w:lastColumn="0" w:oddVBand="0" w:evenVBand="0" w:oddHBand="0" w:evenHBand="0" w:firstRowFirstColumn="0" w:firstRowLastColumn="0" w:lastRowFirstColumn="0" w:lastRowLastColumn="0"/>
            <w:tcW w:w="3402" w:type="dxa"/>
            <w:tcBorders>
              <w:top w:val="nil"/>
            </w:tcBorders>
          </w:tcPr>
          <w:p w14:paraId="63E72286" w14:textId="08A9EE9D" w:rsidR="000B5E9B" w:rsidRPr="00C25BF9" w:rsidRDefault="000B5E9B" w:rsidP="000B5E9B">
            <w:pPr>
              <w:keepNext/>
              <w:spacing w:before="30" w:after="30" w:line="240" w:lineRule="auto"/>
            </w:pPr>
            <w:r w:rsidRPr="007B23B7">
              <w:rPr>
                <w:rFonts w:asciiTheme="majorHAnsi" w:hAnsiTheme="majorHAnsi"/>
                <w:lang w:val="en-US"/>
              </w:rPr>
              <w:t>Regime 2 covariance (×10</w:t>
            </w:r>
            <w:r w:rsidRPr="000B5E9B">
              <w:rPr>
                <w:rFonts w:asciiTheme="majorHAnsi" w:hAnsiTheme="majorHAnsi"/>
                <w:vertAlign w:val="superscript"/>
                <w:lang w:val="en-US"/>
              </w:rPr>
              <w:t>2</w:t>
            </w:r>
            <w:r w:rsidRPr="007B23B7">
              <w:rPr>
                <w:rFonts w:asciiTheme="majorHAnsi" w:hAnsiTheme="majorHAnsi"/>
                <w:lang w:val="en-US"/>
              </w:rPr>
              <w:t>)</w:t>
            </w:r>
          </w:p>
        </w:tc>
        <w:tc>
          <w:tcPr>
            <w:tcW w:w="1035" w:type="dxa"/>
            <w:tcBorders>
              <w:top w:val="nil"/>
              <w:bottom w:val="single" w:sz="6" w:space="0" w:color="D9D9D9" w:themeColor="background1" w:themeShade="D9"/>
            </w:tcBorders>
          </w:tcPr>
          <w:p w14:paraId="352455B5"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bottom w:val="single" w:sz="6" w:space="0" w:color="D9D9D9" w:themeColor="background1" w:themeShade="D9"/>
            </w:tcBorders>
          </w:tcPr>
          <w:p w14:paraId="4DF8D13A"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bottom w:val="single" w:sz="6" w:space="0" w:color="D9D9D9" w:themeColor="background1" w:themeShade="D9"/>
              <w:right w:val="single" w:sz="4" w:space="0" w:color="auto"/>
            </w:tcBorders>
          </w:tcPr>
          <w:p w14:paraId="5D7F7B0E"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nil"/>
              <w:left w:val="single" w:sz="4" w:space="0" w:color="auto"/>
            </w:tcBorders>
          </w:tcPr>
          <w:p w14:paraId="7EA0B1E2"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1035" w:type="dxa"/>
            <w:tcBorders>
              <w:top w:val="nil"/>
            </w:tcBorders>
          </w:tcPr>
          <w:p w14:paraId="75D51738"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1036" w:type="dxa"/>
            <w:tcBorders>
              <w:top w:val="nil"/>
            </w:tcBorders>
          </w:tcPr>
          <w:p w14:paraId="0AE8C3BF"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0B5E9B" w:rsidRPr="00C25BF9" w14:paraId="3928C0FC" w14:textId="77777777" w:rsidTr="009A5A98">
        <w:tc>
          <w:tcPr>
            <w:cnfStyle w:val="001000000000" w:firstRow="0" w:lastRow="0" w:firstColumn="1" w:lastColumn="0" w:oddVBand="0" w:evenVBand="0" w:oddHBand="0" w:evenHBand="0" w:firstRowFirstColumn="0" w:firstRowLastColumn="0" w:lastRowFirstColumn="0" w:lastRowLastColumn="0"/>
            <w:tcW w:w="3402" w:type="dxa"/>
          </w:tcPr>
          <w:p w14:paraId="6480FD81" w14:textId="7A33A14C" w:rsidR="000B5E9B" w:rsidRPr="00C25BF9" w:rsidRDefault="000B5E9B" w:rsidP="000B5E9B">
            <w:pPr>
              <w:spacing w:before="30" w:after="30" w:line="240" w:lineRule="auto"/>
            </w:pPr>
            <w:r>
              <w:rPr>
                <w:rStyle w:val="Cambriaitalic"/>
              </w:rPr>
              <w:t>∆LTD</w:t>
            </w:r>
            <w:r>
              <w:rPr>
                <w:rStyle w:val="Cambriaitalic"/>
                <w:position w:val="-4"/>
                <w:sz w:val="12"/>
                <w:szCs w:val="12"/>
              </w:rPr>
              <w:t>t</w:t>
            </w:r>
          </w:p>
        </w:tc>
        <w:tc>
          <w:tcPr>
            <w:tcW w:w="1035" w:type="dxa"/>
            <w:tcBorders>
              <w:top w:val="single" w:sz="6" w:space="0" w:color="D9D9D9" w:themeColor="background1" w:themeShade="D9"/>
              <w:bottom w:val="single" w:sz="6" w:space="0" w:color="D9D9D9" w:themeColor="background1" w:themeShade="D9"/>
            </w:tcBorders>
          </w:tcPr>
          <w:p w14:paraId="438A2B2F"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26A78471"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039098C7"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tcBorders>
          </w:tcPr>
          <w:p w14:paraId="5D41C6D5" w14:textId="4ECDA05A"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2.915</w:t>
            </w:r>
          </w:p>
        </w:tc>
        <w:tc>
          <w:tcPr>
            <w:tcW w:w="1035" w:type="dxa"/>
          </w:tcPr>
          <w:p w14:paraId="3F75D097" w14:textId="418D8033"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-0.011</w:t>
            </w:r>
          </w:p>
        </w:tc>
        <w:tc>
          <w:tcPr>
            <w:tcW w:w="1036" w:type="dxa"/>
          </w:tcPr>
          <w:p w14:paraId="25D00A52" w14:textId="6C7C06C2"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0.221</w:t>
            </w:r>
          </w:p>
        </w:tc>
      </w:tr>
      <w:tr w:rsidR="000B5E9B" w:rsidRPr="00C25BF9" w14:paraId="57BB8724" w14:textId="77777777" w:rsidTr="005F477A">
        <w:tc>
          <w:tcPr>
            <w:cnfStyle w:val="001000000000" w:firstRow="0" w:lastRow="0" w:firstColumn="1" w:lastColumn="0" w:oddVBand="0" w:evenVBand="0" w:oddHBand="0" w:evenHBand="0" w:firstRowFirstColumn="0" w:firstRowLastColumn="0" w:lastRowFirstColumn="0" w:lastRowLastColumn="0"/>
            <w:tcW w:w="3402" w:type="dxa"/>
            <w:tcBorders>
              <w:bottom w:val="single" w:sz="6" w:space="0" w:color="D9D9D9" w:themeColor="background1" w:themeShade="D9"/>
            </w:tcBorders>
          </w:tcPr>
          <w:p w14:paraId="77C829EE" w14:textId="1D8E4CDF" w:rsidR="000B5E9B" w:rsidRPr="007B23B7" w:rsidRDefault="000B5E9B" w:rsidP="000B5E9B">
            <w:pPr>
              <w:spacing w:before="30" w:after="30" w:line="240" w:lineRule="auto"/>
            </w:pPr>
            <w:r w:rsidRPr="007B23B7">
              <w:rPr>
                <w:rStyle w:val="Cambriaitalic"/>
                <w:sz w:val="18"/>
                <w:szCs w:val="18"/>
              </w:rPr>
              <w:t>∆HV I</w:t>
            </w:r>
            <w:r w:rsidRPr="007B23B7">
              <w:rPr>
                <w:rStyle w:val="Cambriaitalic"/>
                <w:position w:val="-4"/>
                <w:sz w:val="12"/>
                <w:szCs w:val="12"/>
              </w:rPr>
              <w:t>t</w:t>
            </w:r>
          </w:p>
        </w:tc>
        <w:tc>
          <w:tcPr>
            <w:tcW w:w="1035" w:type="dxa"/>
            <w:tcBorders>
              <w:top w:val="single" w:sz="6" w:space="0" w:color="D9D9D9" w:themeColor="background1" w:themeShade="D9"/>
              <w:bottom w:val="single" w:sz="6" w:space="0" w:color="D9D9D9" w:themeColor="background1" w:themeShade="D9"/>
            </w:tcBorders>
          </w:tcPr>
          <w:p w14:paraId="54FD998E"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tcBorders>
          </w:tcPr>
          <w:p w14:paraId="1FF8AD70"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6" w:space="0" w:color="D9D9D9" w:themeColor="background1" w:themeShade="D9"/>
              <w:right w:val="single" w:sz="4" w:space="0" w:color="auto"/>
            </w:tcBorders>
          </w:tcPr>
          <w:p w14:paraId="222254CA"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left w:val="single" w:sz="4" w:space="0" w:color="auto"/>
              <w:bottom w:val="single" w:sz="6" w:space="0" w:color="D9D9D9" w:themeColor="background1" w:themeShade="D9"/>
            </w:tcBorders>
          </w:tcPr>
          <w:p w14:paraId="1A1B9E94" w14:textId="6D1C1F55"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-0.011</w:t>
            </w:r>
          </w:p>
        </w:tc>
        <w:tc>
          <w:tcPr>
            <w:tcW w:w="1035" w:type="dxa"/>
            <w:tcBorders>
              <w:bottom w:val="single" w:sz="6" w:space="0" w:color="D9D9D9" w:themeColor="background1" w:themeShade="D9"/>
            </w:tcBorders>
          </w:tcPr>
          <w:p w14:paraId="309F5B66" w14:textId="6AEAFE95"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0.001</w:t>
            </w:r>
          </w:p>
        </w:tc>
        <w:tc>
          <w:tcPr>
            <w:tcW w:w="1036" w:type="dxa"/>
            <w:tcBorders>
              <w:bottom w:val="single" w:sz="6" w:space="0" w:color="D9D9D9" w:themeColor="background1" w:themeShade="D9"/>
            </w:tcBorders>
          </w:tcPr>
          <w:p w14:paraId="6C822467" w14:textId="543579F6"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0.009</w:t>
            </w:r>
          </w:p>
        </w:tc>
      </w:tr>
      <w:tr w:rsidR="000B5E9B" w:rsidRPr="00C25BF9" w14:paraId="050B38F9" w14:textId="77777777" w:rsidTr="005F477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D9D9D9" w:themeColor="background1" w:themeShade="D9"/>
              <w:bottom w:val="single" w:sz="12" w:space="0" w:color="000000"/>
            </w:tcBorders>
          </w:tcPr>
          <w:p w14:paraId="5AEE7820" w14:textId="7D3DFA16" w:rsidR="000B5E9B" w:rsidRPr="007B23B7" w:rsidRDefault="000B5E9B" w:rsidP="000B5E9B">
            <w:pPr>
              <w:spacing w:before="30" w:after="30" w:line="240" w:lineRule="auto"/>
            </w:pPr>
            <w:r w:rsidRPr="007B23B7">
              <w:rPr>
                <w:rStyle w:val="Cambriaitalic"/>
                <w:sz w:val="18"/>
                <w:szCs w:val="18"/>
              </w:rPr>
              <w:t>∆V OL</w:t>
            </w:r>
            <w:r w:rsidRPr="007B23B7">
              <w:rPr>
                <w:rStyle w:val="Cambriaitalic"/>
                <w:position w:val="-4"/>
                <w:sz w:val="12"/>
                <w:szCs w:val="12"/>
              </w:rPr>
              <w:t>t</w:t>
            </w:r>
          </w:p>
        </w:tc>
        <w:tc>
          <w:tcPr>
            <w:tcW w:w="1035" w:type="dxa"/>
            <w:tcBorders>
              <w:top w:val="single" w:sz="6" w:space="0" w:color="D9D9D9" w:themeColor="background1" w:themeShade="D9"/>
              <w:bottom w:val="single" w:sz="12" w:space="0" w:color="000000"/>
            </w:tcBorders>
          </w:tcPr>
          <w:p w14:paraId="09835C90"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12" w:space="0" w:color="000000"/>
            </w:tcBorders>
          </w:tcPr>
          <w:p w14:paraId="0F82BA3C"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bottom w:val="single" w:sz="12" w:space="0" w:color="000000"/>
              <w:right w:val="single" w:sz="4" w:space="0" w:color="auto"/>
            </w:tcBorders>
          </w:tcPr>
          <w:p w14:paraId="252F52EF" w14:textId="7777777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036" w:type="dxa"/>
            <w:tcBorders>
              <w:top w:val="single" w:sz="6" w:space="0" w:color="D9D9D9" w:themeColor="background1" w:themeShade="D9"/>
              <w:left w:val="single" w:sz="4" w:space="0" w:color="auto"/>
              <w:bottom w:val="single" w:sz="12" w:space="0" w:color="000000"/>
            </w:tcBorders>
          </w:tcPr>
          <w:p w14:paraId="238D6B13" w14:textId="2294B87F"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0.221</w:t>
            </w:r>
          </w:p>
        </w:tc>
        <w:tc>
          <w:tcPr>
            <w:tcW w:w="1035" w:type="dxa"/>
            <w:tcBorders>
              <w:top w:val="single" w:sz="6" w:space="0" w:color="D9D9D9" w:themeColor="background1" w:themeShade="D9"/>
              <w:bottom w:val="single" w:sz="12" w:space="0" w:color="000000"/>
            </w:tcBorders>
          </w:tcPr>
          <w:p w14:paraId="03517FFD" w14:textId="3E76A9B7"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0.009</w:t>
            </w:r>
          </w:p>
        </w:tc>
        <w:tc>
          <w:tcPr>
            <w:tcW w:w="1036" w:type="dxa"/>
            <w:tcBorders>
              <w:top w:val="single" w:sz="6" w:space="0" w:color="D9D9D9" w:themeColor="background1" w:themeShade="D9"/>
              <w:bottom w:val="single" w:sz="12" w:space="0" w:color="000000"/>
            </w:tcBorders>
          </w:tcPr>
          <w:p w14:paraId="68A7B658" w14:textId="6959B98E" w:rsidR="000B5E9B" w:rsidRPr="00C25BF9" w:rsidRDefault="000B5E9B" w:rsidP="000B5E9B">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t>2.268</w:t>
            </w:r>
          </w:p>
        </w:tc>
      </w:tr>
    </w:tbl>
    <w:p w14:paraId="0A856F01" w14:textId="77777777" w:rsidR="00D11DE1" w:rsidRPr="00D11DE1" w:rsidRDefault="00D11DE1" w:rsidP="00D11DE1">
      <w:pPr>
        <w:pStyle w:val="Note"/>
      </w:pPr>
      <w:r w:rsidRPr="00D11DE1">
        <w:t>Note: Full sample model estimates. Lag selection is based on SIC. Markov switching model allows for state dependent constants, autoregressive terms, adjustment speed to equilibrium, and heteroskedasticity. Table 4 reports the diagnostics and regime dynamics.</w:t>
      </w:r>
    </w:p>
    <w:p w14:paraId="2761C734" w14:textId="77777777" w:rsidR="0010070E" w:rsidRDefault="00FE26C4" w:rsidP="00FE26C4">
      <w:r w:rsidRPr="00EE25B3">
        <w:t xml:space="preserve">We commence with an analysis of the VECM, where the speed of adjustment </w:t>
      </w:r>
      <w:r w:rsidRPr="00EE25B3">
        <w:rPr>
          <w:rFonts w:ascii="Courier New" w:hAnsi="Courier New" w:cs="Courier New"/>
        </w:rPr>
        <w:t>α</w:t>
      </w:r>
      <w:r w:rsidRPr="00EE25B3">
        <w:t>1 measures how the variables xt adjust to deviations from the long-run equilibrium. Our model estimates imply a long-run LTD growth rate of 0.673 per cent</w:t>
      </w:r>
      <w:r w:rsidRPr="00EE25B3" w:rsidDel="00810182">
        <w:t xml:space="preserve"> </w:t>
      </w:r>
      <w:r w:rsidRPr="00EE25B3">
        <w:t xml:space="preserve">every month. Generalised impulse response functions (GIRF) with 95 per cent confidence intervals are plotted in Figure </w:t>
      </w:r>
      <w:hyperlink w:anchor="_bookmark23" w:history="1">
        <w:r w:rsidRPr="00EE25B3">
          <w:t>3.</w:t>
        </w:r>
      </w:hyperlink>
      <w:r w:rsidRPr="00EE25B3">
        <w:t xml:space="preserve"> </w:t>
      </w:r>
    </w:p>
    <w:p w14:paraId="2AC99970" w14:textId="77777777" w:rsidR="0010070E" w:rsidRPr="0010070E" w:rsidRDefault="0010070E" w:rsidP="0010070E">
      <w:pPr>
        <w:pStyle w:val="Caption"/>
        <w:rPr>
          <w:lang w:val="en-GB"/>
        </w:rPr>
      </w:pPr>
      <w:r w:rsidRPr="0010070E">
        <w:rPr>
          <w:lang w:val="en-GB"/>
        </w:rPr>
        <w:lastRenderedPageBreak/>
        <w:t>Figure 3: VECM(3) GIRFs</w:t>
      </w:r>
    </w:p>
    <w:p w14:paraId="5097FAF0" w14:textId="71F7FB5F" w:rsidR="0010070E" w:rsidRDefault="0010070E" w:rsidP="00FE26C4">
      <w:r>
        <w:rPr>
          <w:noProof/>
        </w:rPr>
        <w:drawing>
          <wp:inline distT="0" distB="0" distL="0" distR="0" wp14:anchorId="51736485" wp14:editId="56D3D690">
            <wp:extent cx="5731510" cy="3820795"/>
            <wp:effectExtent l="0" t="0" r="0" b="0"/>
            <wp:docPr id="643898211" name="Graphic 5" descr="First image: Grid of VECM generalised impulse response functions with blue lines (responses) and red dashed lines (confidence bands) over 20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8211" name="Graphic 5" descr="First image: Grid of VECM generalised impulse response functions with blue lines (responses) and red dashed lines (confidence bands) over 20 periods."/>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820795"/>
                    </a:xfrm>
                    <a:prstGeom prst="rect">
                      <a:avLst/>
                    </a:prstGeom>
                  </pic:spPr>
                </pic:pic>
              </a:graphicData>
            </a:graphic>
          </wp:inline>
        </w:drawing>
      </w:r>
    </w:p>
    <w:p w14:paraId="1A379CF7" w14:textId="51D9B0D5" w:rsidR="00FE26C4" w:rsidRDefault="00FE26C4" w:rsidP="00FE26C4">
      <w:r w:rsidRPr="00EE25B3">
        <w:t>A shock to LTD causes a brief positive impact on LTD revenues, which quickly decays to zero. In contrast, shocks to HVI and VOL show much more persistent effects, with price and volume shocks increasing LTD revenues by around 6 per cent and 4</w:t>
      </w:r>
      <w:r>
        <w:t xml:space="preserve"> per cent</w:t>
      </w:r>
      <w:r>
        <w:rPr>
          <w:spacing w:val="-4"/>
        </w:rPr>
        <w:t>,</w:t>
      </w:r>
      <w:r>
        <w:rPr>
          <w:spacing w:val="-8"/>
        </w:rPr>
        <w:t xml:space="preserve"> </w:t>
      </w:r>
      <w:r>
        <w:rPr>
          <w:spacing w:val="-4"/>
        </w:rPr>
        <w:t>respectively,</w:t>
      </w:r>
      <w:r>
        <w:rPr>
          <w:spacing w:val="-8"/>
        </w:rPr>
        <w:t xml:space="preserve"> </w:t>
      </w:r>
      <w:r>
        <w:rPr>
          <w:spacing w:val="-4"/>
        </w:rPr>
        <w:t>lasting</w:t>
      </w:r>
      <w:r>
        <w:rPr>
          <w:spacing w:val="-10"/>
        </w:rPr>
        <w:t xml:space="preserve"> </w:t>
      </w:r>
      <w:r>
        <w:rPr>
          <w:spacing w:val="-4"/>
        </w:rPr>
        <w:t>for</w:t>
      </w:r>
      <w:r>
        <w:rPr>
          <w:spacing w:val="-10"/>
        </w:rPr>
        <w:t xml:space="preserve"> </w:t>
      </w:r>
      <w:r>
        <w:rPr>
          <w:spacing w:val="-4"/>
        </w:rPr>
        <w:t>over</w:t>
      </w:r>
      <w:r>
        <w:rPr>
          <w:spacing w:val="-10"/>
        </w:rPr>
        <w:t xml:space="preserve"> </w:t>
      </w:r>
      <w:r>
        <w:rPr>
          <w:spacing w:val="-4"/>
        </w:rPr>
        <w:t>24</w:t>
      </w:r>
      <w:r>
        <w:rPr>
          <w:spacing w:val="-10"/>
        </w:rPr>
        <w:t xml:space="preserve"> </w:t>
      </w:r>
      <w:r>
        <w:rPr>
          <w:spacing w:val="-4"/>
        </w:rPr>
        <w:t>months.</w:t>
      </w:r>
      <w:r>
        <w:rPr>
          <w:spacing w:val="15"/>
        </w:rPr>
        <w:t xml:space="preserve"> </w:t>
      </w:r>
      <w:r>
        <w:rPr>
          <w:spacing w:val="-4"/>
        </w:rPr>
        <w:t>This</w:t>
      </w:r>
      <w:r>
        <w:rPr>
          <w:spacing w:val="-10"/>
        </w:rPr>
        <w:t xml:space="preserve"> </w:t>
      </w:r>
      <w:r>
        <w:rPr>
          <w:spacing w:val="-4"/>
        </w:rPr>
        <w:t>suggests</w:t>
      </w:r>
      <w:r>
        <w:rPr>
          <w:spacing w:val="-10"/>
        </w:rPr>
        <w:t xml:space="preserve"> </w:t>
      </w:r>
      <w:r>
        <w:rPr>
          <w:spacing w:val="-4"/>
        </w:rPr>
        <w:t>that</w:t>
      </w:r>
      <w:r>
        <w:rPr>
          <w:spacing w:val="-10"/>
        </w:rPr>
        <w:t xml:space="preserve"> </w:t>
      </w:r>
      <w:r>
        <w:rPr>
          <w:spacing w:val="-4"/>
        </w:rPr>
        <w:t>price</w:t>
      </w:r>
      <w:r>
        <w:rPr>
          <w:spacing w:val="-10"/>
        </w:rPr>
        <w:t xml:space="preserve"> </w:t>
      </w:r>
      <w:r>
        <w:rPr>
          <w:spacing w:val="-4"/>
        </w:rPr>
        <w:t xml:space="preserve">shocks </w:t>
      </w:r>
      <w:r>
        <w:t>have</w:t>
      </w:r>
      <w:r>
        <w:rPr>
          <w:spacing w:val="-11"/>
        </w:rPr>
        <w:t xml:space="preserve"> </w:t>
      </w:r>
      <w:r>
        <w:t>a</w:t>
      </w:r>
      <w:r>
        <w:rPr>
          <w:spacing w:val="-11"/>
        </w:rPr>
        <w:t xml:space="preserve"> </w:t>
      </w:r>
      <w:r>
        <w:t>more</w:t>
      </w:r>
      <w:r>
        <w:rPr>
          <w:spacing w:val="-11"/>
        </w:rPr>
        <w:t xml:space="preserve"> </w:t>
      </w:r>
      <w:r>
        <w:t>substantial</w:t>
      </w:r>
      <w:r>
        <w:rPr>
          <w:spacing w:val="-11"/>
        </w:rPr>
        <w:t xml:space="preserve"> </w:t>
      </w:r>
      <w:r>
        <w:t>impact</w:t>
      </w:r>
      <w:r>
        <w:rPr>
          <w:spacing w:val="-11"/>
        </w:rPr>
        <w:t xml:space="preserve"> </w:t>
      </w:r>
      <w:r>
        <w:t>on</w:t>
      </w:r>
      <w:r>
        <w:rPr>
          <w:spacing w:val="-11"/>
        </w:rPr>
        <w:t xml:space="preserve"> </w:t>
      </w:r>
      <w:r>
        <w:t>LTD</w:t>
      </w:r>
      <w:r>
        <w:rPr>
          <w:spacing w:val="-11"/>
        </w:rPr>
        <w:t xml:space="preserve"> </w:t>
      </w:r>
      <w:r>
        <w:t>than</w:t>
      </w:r>
      <w:r>
        <w:rPr>
          <w:spacing w:val="-11"/>
        </w:rPr>
        <w:t xml:space="preserve"> </w:t>
      </w:r>
      <w:r>
        <w:t>volume</w:t>
      </w:r>
      <w:r>
        <w:rPr>
          <w:spacing w:val="-11"/>
        </w:rPr>
        <w:t xml:space="preserve"> </w:t>
      </w:r>
      <w:r>
        <w:t>shocks,</w:t>
      </w:r>
      <w:r>
        <w:rPr>
          <w:spacing w:val="-11"/>
        </w:rPr>
        <w:t xml:space="preserve"> </w:t>
      </w:r>
      <w:r>
        <w:t>aligning</w:t>
      </w:r>
      <w:r>
        <w:rPr>
          <w:spacing w:val="-11"/>
        </w:rPr>
        <w:t xml:space="preserve"> </w:t>
      </w:r>
      <w:r>
        <w:t>with</w:t>
      </w:r>
      <w:r>
        <w:rPr>
          <w:spacing w:val="-11"/>
        </w:rPr>
        <w:t xml:space="preserve"> </w:t>
      </w:r>
      <w:r>
        <w:t>the</w:t>
      </w:r>
      <w:r>
        <w:rPr>
          <w:spacing w:val="-11"/>
        </w:rPr>
        <w:t xml:space="preserve"> progressive </w:t>
      </w:r>
      <w:r>
        <w:t xml:space="preserve">tax </w:t>
      </w:r>
      <w:r>
        <w:rPr>
          <w:spacing w:val="-2"/>
        </w:rPr>
        <w:t>structure. The impulse responses show that</w:t>
      </w:r>
      <w:r>
        <w:rPr>
          <w:spacing w:val="12"/>
        </w:rPr>
        <w:t xml:space="preserve"> </w:t>
      </w:r>
      <w:r>
        <w:rPr>
          <w:spacing w:val="-2"/>
        </w:rPr>
        <w:t>LTD</w:t>
      </w:r>
      <w:r>
        <w:rPr>
          <w:spacing w:val="-9"/>
        </w:rPr>
        <w:t xml:space="preserve"> </w:t>
      </w:r>
      <w:r>
        <w:rPr>
          <w:spacing w:val="-2"/>
        </w:rPr>
        <w:t>shocks</w:t>
      </w:r>
      <w:r>
        <w:rPr>
          <w:spacing w:val="-9"/>
        </w:rPr>
        <w:t xml:space="preserve"> </w:t>
      </w:r>
      <w:r>
        <w:rPr>
          <w:spacing w:val="-2"/>
        </w:rPr>
        <w:t>have</w:t>
      </w:r>
      <w:r>
        <w:rPr>
          <w:spacing w:val="-9"/>
        </w:rPr>
        <w:t xml:space="preserve"> </w:t>
      </w:r>
      <w:r>
        <w:rPr>
          <w:spacing w:val="-2"/>
        </w:rPr>
        <w:t>no</w:t>
      </w:r>
      <w:r>
        <w:rPr>
          <w:spacing w:val="-9"/>
        </w:rPr>
        <w:t xml:space="preserve"> </w:t>
      </w:r>
      <w:r>
        <w:rPr>
          <w:spacing w:val="-2"/>
        </w:rPr>
        <w:t>significant</w:t>
      </w:r>
      <w:r>
        <w:rPr>
          <w:spacing w:val="-9"/>
        </w:rPr>
        <w:t xml:space="preserve"> </w:t>
      </w:r>
      <w:r>
        <w:rPr>
          <w:spacing w:val="-2"/>
        </w:rPr>
        <w:t>effect</w:t>
      </w:r>
      <w:r>
        <w:rPr>
          <w:spacing w:val="-11"/>
        </w:rPr>
        <w:t xml:space="preserve"> </w:t>
      </w:r>
      <w:r>
        <w:rPr>
          <w:spacing w:val="-2"/>
        </w:rPr>
        <w:t>on</w:t>
      </w:r>
      <w:r>
        <w:rPr>
          <w:spacing w:val="-11"/>
        </w:rPr>
        <w:t xml:space="preserve"> </w:t>
      </w:r>
      <w:r>
        <w:rPr>
          <w:spacing w:val="-2"/>
        </w:rPr>
        <w:t>property</w:t>
      </w:r>
      <w:r>
        <w:rPr>
          <w:spacing w:val="-11"/>
        </w:rPr>
        <w:t xml:space="preserve"> </w:t>
      </w:r>
      <w:r>
        <w:rPr>
          <w:spacing w:val="-2"/>
        </w:rPr>
        <w:t>prices</w:t>
      </w:r>
      <w:r>
        <w:rPr>
          <w:spacing w:val="-11"/>
        </w:rPr>
        <w:t xml:space="preserve"> </w:t>
      </w:r>
      <w:r>
        <w:rPr>
          <w:spacing w:val="-2"/>
        </w:rPr>
        <w:t>and</w:t>
      </w:r>
      <w:r>
        <w:rPr>
          <w:spacing w:val="-11"/>
        </w:rPr>
        <w:t xml:space="preserve"> </w:t>
      </w:r>
      <w:r>
        <w:rPr>
          <w:spacing w:val="-2"/>
        </w:rPr>
        <w:t>transaction</w:t>
      </w:r>
      <w:r>
        <w:rPr>
          <w:spacing w:val="-11"/>
        </w:rPr>
        <w:t xml:space="preserve"> </w:t>
      </w:r>
      <w:r>
        <w:rPr>
          <w:spacing w:val="-2"/>
        </w:rPr>
        <w:t>volumes.</w:t>
      </w:r>
      <w:r>
        <w:rPr>
          <w:spacing w:val="11"/>
        </w:rPr>
        <w:t xml:space="preserve"> </w:t>
      </w:r>
      <w:r>
        <w:rPr>
          <w:spacing w:val="-2"/>
        </w:rPr>
        <w:t>A</w:t>
      </w:r>
      <w:r>
        <w:rPr>
          <w:spacing w:val="-11"/>
        </w:rPr>
        <w:t xml:space="preserve"> </w:t>
      </w:r>
      <w:r>
        <w:rPr>
          <w:spacing w:val="-2"/>
        </w:rPr>
        <w:t>shock</w:t>
      </w:r>
      <w:r>
        <w:rPr>
          <w:spacing w:val="-11"/>
        </w:rPr>
        <w:t xml:space="preserve"> </w:t>
      </w:r>
      <w:r>
        <w:rPr>
          <w:spacing w:val="-2"/>
        </w:rPr>
        <w:t>to</w:t>
      </w:r>
      <w:r>
        <w:rPr>
          <w:spacing w:val="-11"/>
        </w:rPr>
        <w:t xml:space="preserve"> </w:t>
      </w:r>
      <w:r>
        <w:rPr>
          <w:spacing w:val="-2"/>
        </w:rPr>
        <w:t>HVI</w:t>
      </w:r>
      <w:r>
        <w:rPr>
          <w:spacing w:val="-11"/>
        </w:rPr>
        <w:t xml:space="preserve"> </w:t>
      </w:r>
      <w:r>
        <w:rPr>
          <w:spacing w:val="-2"/>
        </w:rPr>
        <w:t>also</w:t>
      </w:r>
      <w:r>
        <w:rPr>
          <w:spacing w:val="-11"/>
        </w:rPr>
        <w:t xml:space="preserve"> </w:t>
      </w:r>
      <w:r>
        <w:rPr>
          <w:spacing w:val="-2"/>
        </w:rPr>
        <w:t>has</w:t>
      </w:r>
      <w:r>
        <w:rPr>
          <w:spacing w:val="-11"/>
        </w:rPr>
        <w:t xml:space="preserve"> </w:t>
      </w:r>
      <w:r>
        <w:rPr>
          <w:spacing w:val="-2"/>
        </w:rPr>
        <w:t>a</w:t>
      </w:r>
      <w:r>
        <w:rPr>
          <w:spacing w:val="-11"/>
        </w:rPr>
        <w:t xml:space="preserve"> </w:t>
      </w:r>
      <w:r>
        <w:rPr>
          <w:spacing w:val="-2"/>
        </w:rPr>
        <w:t xml:space="preserve">positive </w:t>
      </w:r>
      <w:r>
        <w:t>short-term</w:t>
      </w:r>
      <w:r>
        <w:rPr>
          <w:spacing w:val="-5"/>
        </w:rPr>
        <w:t xml:space="preserve"> </w:t>
      </w:r>
      <w:r>
        <w:t>effect</w:t>
      </w:r>
      <w:r>
        <w:rPr>
          <w:spacing w:val="-5"/>
        </w:rPr>
        <w:t xml:space="preserve"> </w:t>
      </w:r>
      <w:r>
        <w:t>on</w:t>
      </w:r>
      <w:r>
        <w:rPr>
          <w:spacing w:val="-5"/>
        </w:rPr>
        <w:t xml:space="preserve"> </w:t>
      </w:r>
      <w:r>
        <w:t>VOL,</w:t>
      </w:r>
      <w:r>
        <w:rPr>
          <w:spacing w:val="-5"/>
        </w:rPr>
        <w:t xml:space="preserve"> </w:t>
      </w:r>
      <w:r>
        <w:t>potentially</w:t>
      </w:r>
      <w:r>
        <w:rPr>
          <w:spacing w:val="-5"/>
        </w:rPr>
        <w:t xml:space="preserve"> </w:t>
      </w:r>
      <w:r>
        <w:t>indicating</w:t>
      </w:r>
      <w:r>
        <w:rPr>
          <w:spacing w:val="-5"/>
        </w:rPr>
        <w:t xml:space="preserve"> </w:t>
      </w:r>
      <w:r>
        <w:t>a</w:t>
      </w:r>
      <w:r>
        <w:rPr>
          <w:spacing w:val="-5"/>
        </w:rPr>
        <w:t xml:space="preserve"> </w:t>
      </w:r>
      <w:r>
        <w:t>strong</w:t>
      </w:r>
      <w:r>
        <w:rPr>
          <w:spacing w:val="-5"/>
        </w:rPr>
        <w:t xml:space="preserve"> </w:t>
      </w:r>
      <w:r>
        <w:t>market</w:t>
      </w:r>
      <w:r>
        <w:rPr>
          <w:spacing w:val="-5"/>
        </w:rPr>
        <w:t xml:space="preserve"> </w:t>
      </w:r>
      <w:r>
        <w:t>that</w:t>
      </w:r>
      <w:r>
        <w:rPr>
          <w:spacing w:val="-5"/>
        </w:rPr>
        <w:t xml:space="preserve"> </w:t>
      </w:r>
      <w:r>
        <w:t>encourages speculative</w:t>
      </w:r>
      <w:r>
        <w:rPr>
          <w:spacing w:val="-15"/>
        </w:rPr>
        <w:t xml:space="preserve"> </w:t>
      </w:r>
      <w:r>
        <w:t>activity,</w:t>
      </w:r>
      <w:r>
        <w:rPr>
          <w:spacing w:val="-14"/>
        </w:rPr>
        <w:t xml:space="preserve"> </w:t>
      </w:r>
      <w:r>
        <w:t>and</w:t>
      </w:r>
      <w:r>
        <w:rPr>
          <w:spacing w:val="-15"/>
        </w:rPr>
        <w:t xml:space="preserve"> </w:t>
      </w:r>
      <w:r>
        <w:t>thus</w:t>
      </w:r>
      <w:r>
        <w:rPr>
          <w:spacing w:val="-14"/>
        </w:rPr>
        <w:t xml:space="preserve"> </w:t>
      </w:r>
      <w:r>
        <w:t>increased</w:t>
      </w:r>
      <w:r>
        <w:rPr>
          <w:spacing w:val="-15"/>
        </w:rPr>
        <w:t xml:space="preserve"> </w:t>
      </w:r>
      <w:r>
        <w:t>volume.</w:t>
      </w:r>
      <w:r>
        <w:rPr>
          <w:spacing w:val="-14"/>
        </w:rPr>
        <w:t xml:space="preserve"> </w:t>
      </w:r>
      <w:r>
        <w:t>Similarly,</w:t>
      </w:r>
      <w:r>
        <w:rPr>
          <w:spacing w:val="-15"/>
        </w:rPr>
        <w:t xml:space="preserve"> </w:t>
      </w:r>
      <w:r>
        <w:t>a</w:t>
      </w:r>
      <w:r>
        <w:rPr>
          <w:spacing w:val="-14"/>
        </w:rPr>
        <w:t xml:space="preserve"> </w:t>
      </w:r>
      <w:r>
        <w:t>shock</w:t>
      </w:r>
      <w:r>
        <w:rPr>
          <w:spacing w:val="-15"/>
        </w:rPr>
        <w:t xml:space="preserve"> </w:t>
      </w:r>
      <w:r>
        <w:t>to</w:t>
      </w:r>
      <w:r>
        <w:rPr>
          <w:spacing w:val="-14"/>
        </w:rPr>
        <w:t xml:space="preserve"> </w:t>
      </w:r>
      <w:r>
        <w:t>VOL</w:t>
      </w:r>
      <w:r>
        <w:rPr>
          <w:spacing w:val="-15"/>
        </w:rPr>
        <w:t xml:space="preserve"> </w:t>
      </w:r>
      <w:r>
        <w:t>leads</w:t>
      </w:r>
      <w:r>
        <w:rPr>
          <w:spacing w:val="-14"/>
        </w:rPr>
        <w:t xml:space="preserve"> </w:t>
      </w:r>
      <w:r>
        <w:t xml:space="preserve">to </w:t>
      </w:r>
      <w:r>
        <w:rPr>
          <w:spacing w:val="-6"/>
        </w:rPr>
        <w:t xml:space="preserve">a significant and lasting increase in HVI, suggesting volume shocks may signal rising </w:t>
      </w:r>
      <w:r>
        <w:t>demand that pushes prices higher.</w:t>
      </w:r>
    </w:p>
    <w:p w14:paraId="628D782F" w14:textId="72C5DAF4" w:rsidR="00FE26C4" w:rsidRDefault="00FE26C4" w:rsidP="00FE26C4">
      <w:r>
        <w:t>Model</w:t>
      </w:r>
      <w:r>
        <w:rPr>
          <w:spacing w:val="-14"/>
        </w:rPr>
        <w:t xml:space="preserve"> </w:t>
      </w:r>
      <w:r>
        <w:t>diagnostics</w:t>
      </w:r>
      <w:r>
        <w:rPr>
          <w:spacing w:val="-14"/>
        </w:rPr>
        <w:t xml:space="preserve"> </w:t>
      </w:r>
      <w:r>
        <w:t>in</w:t>
      </w:r>
      <w:r>
        <w:rPr>
          <w:spacing w:val="-14"/>
        </w:rPr>
        <w:t xml:space="preserve"> </w:t>
      </w:r>
      <w:r>
        <w:t>Table</w:t>
      </w:r>
      <w:r>
        <w:rPr>
          <w:spacing w:val="-14"/>
        </w:rPr>
        <w:t xml:space="preserve"> </w:t>
      </w:r>
      <w:hyperlink w:anchor="_bookmark22" w:history="1">
        <w:r>
          <w:t>4</w:t>
        </w:r>
      </w:hyperlink>
      <w:r>
        <w:rPr>
          <w:spacing w:val="-14"/>
        </w:rPr>
        <w:t xml:space="preserve"> </w:t>
      </w:r>
      <w:r>
        <w:t>demonstrate</w:t>
      </w:r>
      <w:r>
        <w:rPr>
          <w:spacing w:val="-14"/>
        </w:rPr>
        <w:t xml:space="preserve"> </w:t>
      </w:r>
      <w:r>
        <w:t>the</w:t>
      </w:r>
      <w:r>
        <w:rPr>
          <w:spacing w:val="-14"/>
        </w:rPr>
        <w:t xml:space="preserve"> </w:t>
      </w:r>
      <w:r>
        <w:t>MS-VECM’s</w:t>
      </w:r>
      <w:r>
        <w:rPr>
          <w:spacing w:val="-14"/>
        </w:rPr>
        <w:t xml:space="preserve"> </w:t>
      </w:r>
      <w:r>
        <w:t>substantially</w:t>
      </w:r>
      <w:r>
        <w:rPr>
          <w:spacing w:val="-14"/>
        </w:rPr>
        <w:t xml:space="preserve"> </w:t>
      </w:r>
      <w:r>
        <w:t>lower AIC, which provides evidence in favour of regime switching.</w:t>
      </w:r>
      <w:r>
        <w:rPr>
          <w:rStyle w:val="FootnoteReference"/>
        </w:rPr>
        <w:footnoteReference w:id="10"/>
      </w:r>
      <w:r>
        <w:rPr>
          <w:spacing w:val="40"/>
        </w:rPr>
        <w:t xml:space="preserve"> </w:t>
      </w:r>
      <w:r>
        <w:t>The MS-VECM identifies</w:t>
      </w:r>
      <w:r>
        <w:rPr>
          <w:spacing w:val="-11"/>
        </w:rPr>
        <w:t xml:space="preserve"> </w:t>
      </w:r>
      <w:r>
        <w:t>a</w:t>
      </w:r>
      <w:r>
        <w:rPr>
          <w:spacing w:val="-11"/>
        </w:rPr>
        <w:t xml:space="preserve"> </w:t>
      </w:r>
      <w:r>
        <w:t>persistent,</w:t>
      </w:r>
      <w:r>
        <w:rPr>
          <w:spacing w:val="-10"/>
        </w:rPr>
        <w:t xml:space="preserve"> </w:t>
      </w:r>
      <w:r>
        <w:t>low-volatility</w:t>
      </w:r>
      <w:r>
        <w:rPr>
          <w:spacing w:val="-11"/>
        </w:rPr>
        <w:t xml:space="preserve"> </w:t>
      </w:r>
      <w:r>
        <w:t>state</w:t>
      </w:r>
      <w:r>
        <w:rPr>
          <w:spacing w:val="-11"/>
        </w:rPr>
        <w:t xml:space="preserve"> </w:t>
      </w:r>
      <w:r>
        <w:t>with</w:t>
      </w:r>
      <w:r>
        <w:rPr>
          <w:spacing w:val="-11"/>
        </w:rPr>
        <w:t xml:space="preserve"> </w:t>
      </w:r>
      <w:r>
        <w:t>steady</w:t>
      </w:r>
      <w:r>
        <w:rPr>
          <w:spacing w:val="-11"/>
        </w:rPr>
        <w:t xml:space="preserve"> </w:t>
      </w:r>
      <w:r>
        <w:t>state</w:t>
      </w:r>
      <w:r>
        <w:rPr>
          <w:spacing w:val="-11"/>
        </w:rPr>
        <w:t xml:space="preserve"> </w:t>
      </w:r>
      <w:r>
        <w:t>LTD</w:t>
      </w:r>
      <w:r>
        <w:rPr>
          <w:spacing w:val="-11"/>
        </w:rPr>
        <w:t xml:space="preserve"> </w:t>
      </w:r>
      <w:r>
        <w:t>growth</w:t>
      </w:r>
      <w:r>
        <w:rPr>
          <w:spacing w:val="-11"/>
        </w:rPr>
        <w:t xml:space="preserve"> </w:t>
      </w:r>
      <w:r>
        <w:t>of</w:t>
      </w:r>
      <w:r>
        <w:rPr>
          <w:spacing w:val="-11"/>
        </w:rPr>
        <w:t xml:space="preserve"> </w:t>
      </w:r>
      <w:r>
        <w:t>1.078</w:t>
      </w:r>
      <w:r>
        <w:rPr>
          <w:rFonts w:ascii="Calibri" w:hAnsi="Calibri" w:cs="Calibri"/>
        </w:rPr>
        <w:t> </w:t>
      </w:r>
      <w:r>
        <w:t>per cent</w:t>
      </w:r>
      <w:r w:rsidDel="303693C1">
        <w:t xml:space="preserve"> </w:t>
      </w:r>
      <w:r>
        <w:t>every month (state one) and a less persistent, high-volatility state with slower LTD growth</w:t>
      </w:r>
      <w:r>
        <w:rPr>
          <w:spacing w:val="-9"/>
        </w:rPr>
        <w:t xml:space="preserve"> </w:t>
      </w:r>
      <w:r>
        <w:t>of</w:t>
      </w:r>
      <w:r>
        <w:rPr>
          <w:spacing w:val="-10"/>
        </w:rPr>
        <w:t xml:space="preserve"> </w:t>
      </w:r>
      <w:r>
        <w:t>0.451 per cent every</w:t>
      </w:r>
      <w:r w:rsidDel="303693C1">
        <w:rPr>
          <w:spacing w:val="-10"/>
        </w:rPr>
        <w:t xml:space="preserve"> </w:t>
      </w:r>
      <w:r>
        <w:t>month</w:t>
      </w:r>
      <w:r>
        <w:rPr>
          <w:spacing w:val="-9"/>
        </w:rPr>
        <w:t xml:space="preserve"> </w:t>
      </w:r>
      <w:r>
        <w:t>(state</w:t>
      </w:r>
      <w:r>
        <w:rPr>
          <w:spacing w:val="-10"/>
        </w:rPr>
        <w:t xml:space="preserve"> </w:t>
      </w:r>
      <w:r>
        <w:t>two).</w:t>
      </w:r>
      <w:r>
        <w:rPr>
          <w:spacing w:val="9"/>
        </w:rPr>
        <w:t xml:space="preserve"> </w:t>
      </w:r>
      <w:r>
        <w:t>The</w:t>
      </w:r>
      <w:r>
        <w:rPr>
          <w:spacing w:val="-10"/>
        </w:rPr>
        <w:t xml:space="preserve"> </w:t>
      </w:r>
      <w:r>
        <w:t>volatility</w:t>
      </w:r>
      <w:r>
        <w:rPr>
          <w:spacing w:val="-10"/>
        </w:rPr>
        <w:t xml:space="preserve"> </w:t>
      </w:r>
      <w:r>
        <w:t>of</w:t>
      </w:r>
      <w:r>
        <w:rPr>
          <w:spacing w:val="-10"/>
        </w:rPr>
        <w:t xml:space="preserve"> </w:t>
      </w:r>
      <w:r>
        <w:t>LTD</w:t>
      </w:r>
      <w:r>
        <w:rPr>
          <w:spacing w:val="-10"/>
        </w:rPr>
        <w:t xml:space="preserve"> </w:t>
      </w:r>
      <w:r>
        <w:t>and</w:t>
      </w:r>
      <w:r>
        <w:rPr>
          <w:spacing w:val="-9"/>
        </w:rPr>
        <w:t xml:space="preserve"> </w:t>
      </w:r>
      <w:r>
        <w:t>VOL</w:t>
      </w:r>
      <w:r>
        <w:rPr>
          <w:spacing w:val="-10"/>
        </w:rPr>
        <w:t xml:space="preserve"> </w:t>
      </w:r>
      <w:r>
        <w:t>in</w:t>
      </w:r>
      <w:r>
        <w:rPr>
          <w:spacing w:val="-9"/>
        </w:rPr>
        <w:t xml:space="preserve"> </w:t>
      </w:r>
      <w:r>
        <w:t xml:space="preserve">regime </w:t>
      </w:r>
      <w:r>
        <w:rPr>
          <w:spacing w:val="-2"/>
        </w:rPr>
        <w:t>two</w:t>
      </w:r>
      <w:r>
        <w:rPr>
          <w:spacing w:val="-6"/>
        </w:rPr>
        <w:t xml:space="preserve"> </w:t>
      </w:r>
      <w:r>
        <w:rPr>
          <w:spacing w:val="-2"/>
        </w:rPr>
        <w:t>is</w:t>
      </w:r>
      <w:r>
        <w:rPr>
          <w:spacing w:val="-4"/>
        </w:rPr>
        <w:t xml:space="preserve"> </w:t>
      </w:r>
      <w:r>
        <w:rPr>
          <w:spacing w:val="-2"/>
        </w:rPr>
        <w:t>higher</w:t>
      </w:r>
      <w:r>
        <w:rPr>
          <w:spacing w:val="-5"/>
        </w:rPr>
        <w:t xml:space="preserve"> </w:t>
      </w:r>
      <w:r>
        <w:rPr>
          <w:spacing w:val="-2"/>
        </w:rPr>
        <w:t>than</w:t>
      </w:r>
      <w:r>
        <w:rPr>
          <w:spacing w:val="-4"/>
        </w:rPr>
        <w:t xml:space="preserve"> </w:t>
      </w:r>
      <w:r>
        <w:rPr>
          <w:spacing w:val="-2"/>
        </w:rPr>
        <w:t>regime</w:t>
      </w:r>
      <w:r>
        <w:rPr>
          <w:spacing w:val="-5"/>
        </w:rPr>
        <w:t xml:space="preserve"> </w:t>
      </w:r>
      <w:r>
        <w:rPr>
          <w:spacing w:val="-2"/>
        </w:rPr>
        <w:t>one</w:t>
      </w:r>
      <w:r>
        <w:rPr>
          <w:spacing w:val="-5"/>
        </w:rPr>
        <w:t xml:space="preserve"> </w:t>
      </w:r>
      <w:r>
        <w:rPr>
          <w:spacing w:val="-2"/>
        </w:rPr>
        <w:t>by</w:t>
      </w:r>
      <w:r>
        <w:rPr>
          <w:spacing w:val="-5"/>
        </w:rPr>
        <w:t xml:space="preserve"> </w:t>
      </w:r>
      <w:r>
        <w:rPr>
          <w:spacing w:val="-2"/>
        </w:rPr>
        <w:t>over</w:t>
      </w:r>
      <w:r>
        <w:rPr>
          <w:spacing w:val="-4"/>
        </w:rPr>
        <w:t xml:space="preserve"> </w:t>
      </w:r>
      <w:r>
        <w:rPr>
          <w:spacing w:val="-2"/>
        </w:rPr>
        <w:t>4</w:t>
      </w:r>
      <w:r>
        <w:rPr>
          <w:spacing w:val="-5"/>
        </w:rPr>
        <w:t xml:space="preserve"> </w:t>
      </w:r>
      <w:r>
        <w:rPr>
          <w:spacing w:val="-2"/>
        </w:rPr>
        <w:t>and</w:t>
      </w:r>
      <w:r>
        <w:rPr>
          <w:spacing w:val="-5"/>
        </w:rPr>
        <w:t xml:space="preserve"> </w:t>
      </w:r>
      <w:r>
        <w:rPr>
          <w:spacing w:val="-2"/>
        </w:rPr>
        <w:t>10</w:t>
      </w:r>
      <w:r>
        <w:rPr>
          <w:spacing w:val="-4"/>
        </w:rPr>
        <w:t xml:space="preserve"> </w:t>
      </w:r>
      <w:r>
        <w:rPr>
          <w:spacing w:val="-2"/>
        </w:rPr>
        <w:t>times</w:t>
      </w:r>
      <w:r>
        <w:rPr>
          <w:spacing w:val="-6"/>
        </w:rPr>
        <w:t xml:space="preserve"> </w:t>
      </w:r>
      <w:r>
        <w:t>respectively.</w:t>
      </w:r>
      <w:r w:rsidR="00045186">
        <w:t xml:space="preserve"> </w:t>
      </w:r>
      <w:r w:rsidR="00045186">
        <w:rPr>
          <w:spacing w:val="-2"/>
        </w:rPr>
        <w:t>The</w:t>
      </w:r>
      <w:r w:rsidR="00045186">
        <w:rPr>
          <w:spacing w:val="-4"/>
        </w:rPr>
        <w:t xml:space="preserve"> </w:t>
      </w:r>
      <w:r w:rsidR="00045186">
        <w:rPr>
          <w:spacing w:val="-2"/>
        </w:rPr>
        <w:t>MS-</w:t>
      </w:r>
      <w:r w:rsidR="00045186">
        <w:rPr>
          <w:spacing w:val="-4"/>
        </w:rPr>
        <w:t xml:space="preserve">VECM </w:t>
      </w:r>
      <w:r w:rsidR="00045186">
        <w:t xml:space="preserve">estimate of </w:t>
      </w:r>
      <w:r w:rsidR="00045186">
        <w:rPr>
          <w:rFonts w:ascii="Times New Roman" w:hAnsi="Times New Roman"/>
          <w:b/>
          <w:i/>
        </w:rPr>
        <w:t>α</w:t>
      </w:r>
      <w:r w:rsidR="00045186">
        <w:rPr>
          <w:vertAlign w:val="subscript"/>
        </w:rPr>
        <w:t>1</w:t>
      </w:r>
      <w:r w:rsidR="00045186">
        <w:t xml:space="preserve"> aligns closely with the VECM estimate.</w:t>
      </w:r>
      <w:r w:rsidR="00045186">
        <w:rPr>
          <w:spacing w:val="40"/>
        </w:rPr>
        <w:t xml:space="preserve"> </w:t>
      </w:r>
      <w:r w:rsidR="00045186">
        <w:t xml:space="preserve">However, </w:t>
      </w:r>
      <w:r w:rsidR="00045186">
        <w:rPr>
          <w:rFonts w:ascii="Times New Roman" w:hAnsi="Times New Roman"/>
          <w:b/>
          <w:i/>
        </w:rPr>
        <w:t>α</w:t>
      </w:r>
      <w:r w:rsidR="00045186">
        <w:rPr>
          <w:vertAlign w:val="subscript"/>
        </w:rPr>
        <w:t>2</w:t>
      </w:r>
      <w:r w:rsidR="00045186">
        <w:t xml:space="preserve"> suggests a faster return to equilibrium in the contractionary state.</w:t>
      </w:r>
    </w:p>
    <w:p w14:paraId="40E61B01" w14:textId="77777777" w:rsidR="00FD71D2" w:rsidRPr="00FD71D2" w:rsidRDefault="00FD71D2" w:rsidP="00FD71D2">
      <w:pPr>
        <w:pStyle w:val="Caption"/>
        <w:rPr>
          <w:lang w:val="en-GB"/>
        </w:rPr>
      </w:pPr>
      <w:r w:rsidRPr="00FD71D2">
        <w:rPr>
          <w:lang w:val="en-GB"/>
        </w:rPr>
        <w:lastRenderedPageBreak/>
        <w:t>Table 4: Model diagnostics</w:t>
      </w:r>
    </w:p>
    <w:tbl>
      <w:tblPr>
        <w:tblStyle w:val="Financialtable"/>
        <w:tblW w:w="0" w:type="auto"/>
        <w:tblLayout w:type="fixed"/>
        <w:tblLook w:val="06A0" w:firstRow="1" w:lastRow="0" w:firstColumn="1" w:lastColumn="0" w:noHBand="1" w:noVBand="1"/>
      </w:tblPr>
      <w:tblGrid>
        <w:gridCol w:w="1346"/>
        <w:gridCol w:w="1670"/>
        <w:gridCol w:w="1473"/>
      </w:tblGrid>
      <w:tr w:rsidR="00AD5A18" w:rsidRPr="00AD5A18" w14:paraId="55D35CEE" w14:textId="77777777" w:rsidTr="00AD5A18">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1346" w:type="dxa"/>
          </w:tcPr>
          <w:p w14:paraId="17806A65" w14:textId="77777777" w:rsidR="00AD5A18" w:rsidRPr="00AD5A18" w:rsidRDefault="00AD5A18" w:rsidP="00AD5A18">
            <w:pPr>
              <w:spacing w:before="30" w:after="30"/>
              <w:rPr>
                <w:lang w:val="en-GB"/>
              </w:rPr>
            </w:pPr>
          </w:p>
        </w:tc>
        <w:tc>
          <w:tcPr>
            <w:tcW w:w="1670" w:type="dxa"/>
          </w:tcPr>
          <w:p w14:paraId="347E51CD" w14:textId="4FFCFBAD" w:rsidR="00AD5A18" w:rsidRPr="00AD5A18" w:rsidRDefault="00AD5A18" w:rsidP="00AD5A18">
            <w:pPr>
              <w:spacing w:before="30" w:after="30"/>
              <w:cnfStyle w:val="100000000000" w:firstRow="1" w:lastRow="0" w:firstColumn="0" w:lastColumn="0" w:oddVBand="0" w:evenVBand="0" w:oddHBand="0" w:evenHBand="0" w:firstRowFirstColumn="0" w:firstRowLastColumn="0" w:lastRowFirstColumn="0" w:lastRowLastColumn="0"/>
              <w:rPr>
                <w:lang w:val="en-GB"/>
              </w:rPr>
            </w:pPr>
            <w:r>
              <w:t>VECM(3)</w:t>
            </w:r>
          </w:p>
        </w:tc>
        <w:tc>
          <w:tcPr>
            <w:tcW w:w="1473" w:type="dxa"/>
          </w:tcPr>
          <w:p w14:paraId="6D14E649" w14:textId="37500CB1" w:rsidR="00AD5A18" w:rsidRPr="00AD5A18" w:rsidRDefault="00AD5A18" w:rsidP="00AD5A18">
            <w:pPr>
              <w:spacing w:before="30" w:after="30"/>
              <w:cnfStyle w:val="100000000000" w:firstRow="1" w:lastRow="0" w:firstColumn="0" w:lastColumn="0" w:oddVBand="0" w:evenVBand="0" w:oddHBand="0" w:evenHBand="0" w:firstRowFirstColumn="0" w:firstRowLastColumn="0" w:lastRowFirstColumn="0" w:lastRowLastColumn="0"/>
              <w:rPr>
                <w:lang w:val="en-GB"/>
              </w:rPr>
            </w:pPr>
            <w:r>
              <w:t>MS-VECM(1)</w:t>
            </w:r>
          </w:p>
        </w:tc>
      </w:tr>
      <w:tr w:rsidR="00AD5A18" w:rsidRPr="00AD5A18" w14:paraId="5667DCC1"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107ABC7C" w14:textId="77777777" w:rsidR="00AD5A18" w:rsidRPr="00AD5A18" w:rsidRDefault="00AD5A18" w:rsidP="00AD5A18">
            <w:pPr>
              <w:spacing w:before="30" w:after="30" w:line="276" w:lineRule="auto"/>
              <w:rPr>
                <w:lang w:val="en-GB"/>
              </w:rPr>
            </w:pPr>
            <w:r w:rsidRPr="00AD5A18">
              <w:rPr>
                <w:lang w:val="en-GB"/>
              </w:rPr>
              <w:t>SIC</w:t>
            </w:r>
          </w:p>
        </w:tc>
        <w:tc>
          <w:tcPr>
            <w:tcW w:w="1670" w:type="dxa"/>
          </w:tcPr>
          <w:p w14:paraId="4F9D8FF4"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-5417.86</w:t>
            </w:r>
          </w:p>
        </w:tc>
        <w:tc>
          <w:tcPr>
            <w:tcW w:w="1473" w:type="dxa"/>
          </w:tcPr>
          <w:p w14:paraId="6AA8523D"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-5602.24</w:t>
            </w:r>
          </w:p>
        </w:tc>
      </w:tr>
      <w:tr w:rsidR="00AD5A18" w:rsidRPr="00AD5A18" w14:paraId="188F9FEA"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698CB5D9" w14:textId="77777777" w:rsidR="00AD5A18" w:rsidRPr="00AD5A18" w:rsidRDefault="00AD5A18" w:rsidP="00AD5A18">
            <w:pPr>
              <w:spacing w:before="30" w:after="30" w:line="276" w:lineRule="auto"/>
              <w:rPr>
                <w:lang w:val="en-GB"/>
              </w:rPr>
            </w:pPr>
            <w:r w:rsidRPr="00AD5A18">
              <w:rPr>
                <w:lang w:val="en-GB"/>
              </w:rPr>
              <w:t>AIC</w:t>
            </w:r>
          </w:p>
        </w:tc>
        <w:tc>
          <w:tcPr>
            <w:tcW w:w="1670" w:type="dxa"/>
          </w:tcPr>
          <w:p w14:paraId="56292896"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-5564.98</w:t>
            </w:r>
          </w:p>
        </w:tc>
        <w:tc>
          <w:tcPr>
            <w:tcW w:w="1473" w:type="dxa"/>
          </w:tcPr>
          <w:p w14:paraId="0406EBC5"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-5724.98</w:t>
            </w:r>
          </w:p>
        </w:tc>
      </w:tr>
      <w:tr w:rsidR="00AD5A18" w:rsidRPr="00AD5A18" w14:paraId="3A94326C"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58F68216" w14:textId="77777777" w:rsidR="00AD5A18" w:rsidRPr="00AD5A18" w:rsidRDefault="00AD5A18" w:rsidP="00AD5A18">
            <w:pPr>
              <w:spacing w:before="30" w:after="30" w:line="276" w:lineRule="auto"/>
              <w:rPr>
                <w:lang w:val="en-GB"/>
              </w:rPr>
            </w:pPr>
            <w:r w:rsidRPr="00AD5A18">
              <w:rPr>
                <w:lang w:val="en-GB"/>
              </w:rPr>
              <w:t>LL</w:t>
            </w:r>
          </w:p>
        </w:tc>
        <w:tc>
          <w:tcPr>
            <w:tcW w:w="1670" w:type="dxa"/>
          </w:tcPr>
          <w:p w14:paraId="03E97B09"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2818.49</w:t>
            </w:r>
          </w:p>
        </w:tc>
        <w:tc>
          <w:tcPr>
            <w:tcW w:w="1473" w:type="dxa"/>
          </w:tcPr>
          <w:p w14:paraId="2F21B11B"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2892.49</w:t>
            </w:r>
          </w:p>
        </w:tc>
      </w:tr>
      <w:tr w:rsidR="00AD5A18" w:rsidRPr="00AD5A18" w14:paraId="378FEC31"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625F3C5D" w14:textId="77777777" w:rsidR="00AD5A18" w:rsidRPr="00AD5A18" w:rsidRDefault="00AD5A18" w:rsidP="00AD5A18">
            <w:pPr>
              <w:spacing w:before="30" w:after="30" w:line="276" w:lineRule="auto"/>
              <w:rPr>
                <w:lang w:val="en-GB"/>
              </w:rPr>
            </w:pPr>
            <w:r w:rsidRPr="00AD5A18">
              <w:rPr>
                <w:lang w:val="en-GB"/>
              </w:rPr>
              <w:t>ADF</w:t>
            </w:r>
          </w:p>
        </w:tc>
        <w:tc>
          <w:tcPr>
            <w:tcW w:w="1670" w:type="dxa"/>
          </w:tcPr>
          <w:p w14:paraId="7A9BA189"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-21.1457**</w:t>
            </w:r>
          </w:p>
        </w:tc>
        <w:tc>
          <w:tcPr>
            <w:tcW w:w="1473" w:type="dxa"/>
          </w:tcPr>
          <w:p w14:paraId="3F90F83C"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-23.7975**</w:t>
            </w:r>
          </w:p>
        </w:tc>
      </w:tr>
      <w:tr w:rsidR="00AD5A18" w:rsidRPr="00AD5A18" w14:paraId="433AD4CC"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2764D7D6" w14:textId="77777777" w:rsidR="00AD5A18" w:rsidRPr="00AD5A18" w:rsidRDefault="00AD5A18" w:rsidP="00AD5A18">
            <w:pPr>
              <w:spacing w:before="30" w:after="30" w:line="276" w:lineRule="auto"/>
              <w:rPr>
                <w:lang w:val="en-GB"/>
              </w:rPr>
            </w:pPr>
            <w:r w:rsidRPr="00AD5A18">
              <w:rPr>
                <w:rFonts w:ascii="Cambria Math" w:hAnsi="Cambria Math" w:cs="Cambria Math"/>
                <w:lang w:val="en-GB"/>
              </w:rPr>
              <w:t>∆</w:t>
            </w:r>
            <w:r w:rsidRPr="00AD5A18">
              <w:rPr>
                <w:i/>
                <w:iCs/>
                <w:lang w:val="en-GB"/>
              </w:rPr>
              <w:t>LTD</w:t>
            </w:r>
            <w:r w:rsidRPr="00AD5A18">
              <w:rPr>
                <w:lang w:val="en-GB"/>
              </w:rPr>
              <w:t>1</w:t>
            </w:r>
          </w:p>
        </w:tc>
        <w:tc>
          <w:tcPr>
            <w:tcW w:w="1670" w:type="dxa"/>
          </w:tcPr>
          <w:p w14:paraId="62B903E2"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0.673%</w:t>
            </w:r>
          </w:p>
        </w:tc>
        <w:tc>
          <w:tcPr>
            <w:tcW w:w="1473" w:type="dxa"/>
          </w:tcPr>
          <w:p w14:paraId="6ED6D874"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1.078%</w:t>
            </w:r>
          </w:p>
        </w:tc>
      </w:tr>
      <w:tr w:rsidR="00AD5A18" w:rsidRPr="00AD5A18" w14:paraId="01080771"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43027D49" w14:textId="77777777" w:rsidR="00AD5A18" w:rsidRPr="00AD5A18" w:rsidRDefault="00AD5A18" w:rsidP="00AD5A18">
            <w:pPr>
              <w:spacing w:before="30" w:after="30" w:line="276" w:lineRule="auto"/>
              <w:rPr>
                <w:lang w:val="en-GB"/>
              </w:rPr>
            </w:pPr>
            <w:r w:rsidRPr="00AD5A18">
              <w:rPr>
                <w:rFonts w:ascii="Cambria Math" w:hAnsi="Cambria Math" w:cs="Cambria Math"/>
                <w:lang w:val="en-GB"/>
              </w:rPr>
              <w:t>∆</w:t>
            </w:r>
            <w:r w:rsidRPr="00AD5A18">
              <w:rPr>
                <w:i/>
                <w:iCs/>
                <w:lang w:val="en-GB"/>
              </w:rPr>
              <w:t>LTD</w:t>
            </w:r>
            <w:r w:rsidRPr="00AD5A18">
              <w:rPr>
                <w:lang w:val="en-GB"/>
              </w:rPr>
              <w:t>2</w:t>
            </w:r>
          </w:p>
        </w:tc>
        <w:tc>
          <w:tcPr>
            <w:tcW w:w="1670" w:type="dxa"/>
          </w:tcPr>
          <w:p w14:paraId="518D37EE"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pPr>
          </w:p>
        </w:tc>
        <w:tc>
          <w:tcPr>
            <w:tcW w:w="1473" w:type="dxa"/>
          </w:tcPr>
          <w:p w14:paraId="31A77A35"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0.451%</w:t>
            </w:r>
          </w:p>
        </w:tc>
      </w:tr>
      <w:tr w:rsidR="00AD5A18" w:rsidRPr="00AD5A18" w14:paraId="30CED1D7"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2C1238C4" w14:textId="77777777" w:rsidR="00AD5A18" w:rsidRPr="00AD5A18" w:rsidRDefault="00AD5A18" w:rsidP="00AD5A18">
            <w:pPr>
              <w:spacing w:before="30" w:after="30" w:line="276" w:lineRule="auto"/>
              <w:rPr>
                <w:lang w:val="en-GB"/>
              </w:rPr>
            </w:pPr>
            <w:r w:rsidRPr="00AD5A18">
              <w:rPr>
                <w:i/>
                <w:iCs/>
                <w:lang w:val="en-GB"/>
              </w:rPr>
              <w:t>p</w:t>
            </w:r>
            <w:r w:rsidRPr="00AD5A18">
              <w:rPr>
                <w:lang w:val="en-GB"/>
              </w:rPr>
              <w:t>11</w:t>
            </w:r>
          </w:p>
        </w:tc>
        <w:tc>
          <w:tcPr>
            <w:tcW w:w="1670" w:type="dxa"/>
          </w:tcPr>
          <w:p w14:paraId="52189251"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pPr>
          </w:p>
        </w:tc>
        <w:tc>
          <w:tcPr>
            <w:tcW w:w="1473" w:type="dxa"/>
          </w:tcPr>
          <w:p w14:paraId="13B20DF9"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0.9183</w:t>
            </w:r>
          </w:p>
        </w:tc>
      </w:tr>
      <w:tr w:rsidR="00AD5A18" w:rsidRPr="00AD5A18" w14:paraId="5DCB6EC4" w14:textId="77777777" w:rsidTr="00AD5A18">
        <w:trPr>
          <w:trHeight w:val="366"/>
        </w:trPr>
        <w:tc>
          <w:tcPr>
            <w:cnfStyle w:val="001000000000" w:firstRow="0" w:lastRow="0" w:firstColumn="1" w:lastColumn="0" w:oddVBand="0" w:evenVBand="0" w:oddHBand="0" w:evenHBand="0" w:firstRowFirstColumn="0" w:firstRowLastColumn="0" w:lastRowFirstColumn="0" w:lastRowLastColumn="0"/>
            <w:tcW w:w="1346" w:type="dxa"/>
          </w:tcPr>
          <w:p w14:paraId="0954EA6B" w14:textId="77777777" w:rsidR="00AD5A18" w:rsidRPr="00AD5A18" w:rsidRDefault="00AD5A18" w:rsidP="00AD5A18">
            <w:pPr>
              <w:spacing w:before="30" w:after="30" w:line="276" w:lineRule="auto"/>
              <w:rPr>
                <w:lang w:val="en-GB"/>
              </w:rPr>
            </w:pPr>
            <w:r w:rsidRPr="00AD5A18">
              <w:rPr>
                <w:i/>
                <w:iCs/>
                <w:lang w:val="en-GB"/>
              </w:rPr>
              <w:t>p</w:t>
            </w:r>
            <w:r w:rsidRPr="00AD5A18">
              <w:rPr>
                <w:lang w:val="en-GB"/>
              </w:rPr>
              <w:t>22</w:t>
            </w:r>
          </w:p>
        </w:tc>
        <w:tc>
          <w:tcPr>
            <w:tcW w:w="1670" w:type="dxa"/>
          </w:tcPr>
          <w:p w14:paraId="19B1BF06"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pPr>
          </w:p>
        </w:tc>
        <w:tc>
          <w:tcPr>
            <w:tcW w:w="1473" w:type="dxa"/>
          </w:tcPr>
          <w:p w14:paraId="52FA0CD7" w14:textId="77777777" w:rsidR="00AD5A18" w:rsidRPr="00AD5A18" w:rsidRDefault="00AD5A18" w:rsidP="00AD5A18">
            <w:pPr>
              <w:spacing w:before="30" w:after="30" w:line="276" w:lineRule="auto"/>
              <w:cnfStyle w:val="000000000000" w:firstRow="0" w:lastRow="0" w:firstColumn="0" w:lastColumn="0" w:oddVBand="0" w:evenVBand="0" w:oddHBand="0" w:evenHBand="0" w:firstRowFirstColumn="0" w:firstRowLastColumn="0" w:lastRowFirstColumn="0" w:lastRowLastColumn="0"/>
              <w:rPr>
                <w:lang w:val="en-GB"/>
              </w:rPr>
            </w:pPr>
            <w:r w:rsidRPr="00AD5A18">
              <w:rPr>
                <w:lang w:val="en-GB"/>
              </w:rPr>
              <w:t>0.7429</w:t>
            </w:r>
          </w:p>
        </w:tc>
      </w:tr>
    </w:tbl>
    <w:p w14:paraId="31E80A5A" w14:textId="77777777" w:rsidR="003E6E9D" w:rsidRPr="003E6E9D" w:rsidRDefault="003E6E9D" w:rsidP="003E6E9D">
      <w:pPr>
        <w:pStyle w:val="Note"/>
      </w:pPr>
      <w:r w:rsidRPr="003E6E9D">
        <w:t xml:space="preserve">Note: Model lag and threshold variable selection chosen by SIC. Markov switching model allows for state dependent constants, autoregressive terms, adjustment speed to equilibrium, and heteroskedasticity. The ADF tests are run on model residuals. Indicators * and ** represent the rejection of the null hypothesis at the 5 per cent and 1 per cent levels, respectively. </w:t>
      </w:r>
      <w:r w:rsidRPr="003E6E9D">
        <w:rPr>
          <w:rFonts w:ascii="Cambria Math" w:hAnsi="Cambria Math" w:cs="Cambria Math"/>
        </w:rPr>
        <w:t>∆</w:t>
      </w:r>
      <w:r w:rsidRPr="003E6E9D">
        <w:rPr>
          <w:i/>
          <w:iCs/>
        </w:rPr>
        <w:t>LTD</w:t>
      </w:r>
      <w:r w:rsidRPr="003E6E9D">
        <w:rPr>
          <w:i/>
          <w:iCs/>
          <w:vertAlign w:val="subscript"/>
        </w:rPr>
        <w:t>k</w:t>
      </w:r>
      <w:r w:rsidRPr="003E6E9D">
        <w:t xml:space="preserve"> represents the long</w:t>
      </w:r>
      <w:r w:rsidRPr="003E6E9D">
        <w:noBreakHyphen/>
        <w:t xml:space="preserve">run LTD growth rate of the model in state </w:t>
      </w:r>
      <w:r w:rsidRPr="003E6E9D">
        <w:rPr>
          <w:i/>
          <w:iCs/>
        </w:rPr>
        <w:t>k</w:t>
      </w:r>
      <w:r w:rsidRPr="003E6E9D">
        <w:t>.</w:t>
      </w:r>
    </w:p>
    <w:p w14:paraId="4782D24D" w14:textId="77777777" w:rsidR="00EE25B3" w:rsidRDefault="00EE25B3" w:rsidP="00EE25B3">
      <w:r>
        <w:rPr>
          <w:spacing w:val="-2"/>
        </w:rPr>
        <w:t>The</w:t>
      </w:r>
      <w:r>
        <w:rPr>
          <w:spacing w:val="-13"/>
        </w:rPr>
        <w:t xml:space="preserve"> </w:t>
      </w:r>
      <w:r>
        <w:rPr>
          <w:spacing w:val="-2"/>
        </w:rPr>
        <w:t>transition</w:t>
      </w:r>
      <w:r>
        <w:rPr>
          <w:spacing w:val="-12"/>
        </w:rPr>
        <w:t xml:space="preserve"> </w:t>
      </w:r>
      <w:r>
        <w:rPr>
          <w:spacing w:val="-2"/>
        </w:rPr>
        <w:t>matrix</w:t>
      </w:r>
      <w:r>
        <w:rPr>
          <w:spacing w:val="-13"/>
        </w:rPr>
        <w:t xml:space="preserve"> </w:t>
      </w:r>
      <w:r>
        <w:rPr>
          <w:spacing w:val="-2"/>
        </w:rPr>
        <w:t>suggests</w:t>
      </w:r>
      <w:r>
        <w:rPr>
          <w:spacing w:val="-12"/>
        </w:rPr>
        <w:t xml:space="preserve"> </w:t>
      </w:r>
      <w:r>
        <w:rPr>
          <w:spacing w:val="-2"/>
        </w:rPr>
        <w:t>that</w:t>
      </w:r>
      <w:r>
        <w:rPr>
          <w:spacing w:val="-13"/>
        </w:rPr>
        <w:t xml:space="preserve"> </w:t>
      </w:r>
      <w:r>
        <w:rPr>
          <w:spacing w:val="-2"/>
        </w:rPr>
        <w:t>state</w:t>
      </w:r>
      <w:r>
        <w:rPr>
          <w:spacing w:val="-12"/>
        </w:rPr>
        <w:t xml:space="preserve"> </w:t>
      </w:r>
      <w:r>
        <w:rPr>
          <w:spacing w:val="-2"/>
        </w:rPr>
        <w:t>one</w:t>
      </w:r>
      <w:r>
        <w:rPr>
          <w:spacing w:val="-13"/>
        </w:rPr>
        <w:t xml:space="preserve"> </w:t>
      </w:r>
      <w:r>
        <w:rPr>
          <w:spacing w:val="-2"/>
        </w:rPr>
        <w:t>-</w:t>
      </w:r>
      <w:r>
        <w:rPr>
          <w:spacing w:val="-12"/>
        </w:rPr>
        <w:t xml:space="preserve"> </w:t>
      </w:r>
      <w:r>
        <w:rPr>
          <w:spacing w:val="-2"/>
        </w:rPr>
        <w:t>the</w:t>
      </w:r>
      <w:r>
        <w:rPr>
          <w:spacing w:val="-13"/>
        </w:rPr>
        <w:t xml:space="preserve"> </w:t>
      </w:r>
      <w:r>
        <w:rPr>
          <w:spacing w:val="-2"/>
        </w:rPr>
        <w:t>expansion</w:t>
      </w:r>
      <w:r>
        <w:rPr>
          <w:spacing w:val="-12"/>
        </w:rPr>
        <w:t xml:space="preserve"> </w:t>
      </w:r>
      <w:r>
        <w:rPr>
          <w:spacing w:val="-2"/>
        </w:rPr>
        <w:t>state</w:t>
      </w:r>
      <w:r>
        <w:rPr>
          <w:spacing w:val="-13"/>
        </w:rPr>
        <w:t xml:space="preserve"> </w:t>
      </w:r>
      <w:r>
        <w:rPr>
          <w:spacing w:val="-2"/>
        </w:rPr>
        <w:t>-</w:t>
      </w:r>
      <w:r>
        <w:rPr>
          <w:spacing w:val="-12"/>
        </w:rPr>
        <w:t xml:space="preserve"> </w:t>
      </w:r>
      <w:r>
        <w:rPr>
          <w:spacing w:val="-2"/>
        </w:rPr>
        <w:t>is</w:t>
      </w:r>
      <w:r>
        <w:rPr>
          <w:spacing w:val="-13"/>
        </w:rPr>
        <w:t xml:space="preserve"> </w:t>
      </w:r>
      <w:r>
        <w:rPr>
          <w:spacing w:val="-2"/>
        </w:rPr>
        <w:t>more</w:t>
      </w:r>
      <w:r>
        <w:rPr>
          <w:spacing w:val="-12"/>
        </w:rPr>
        <w:t xml:space="preserve"> </w:t>
      </w:r>
      <w:r>
        <w:rPr>
          <w:spacing w:val="-2"/>
        </w:rPr>
        <w:t>per</w:t>
      </w:r>
      <w:r>
        <w:t>sistent</w:t>
      </w:r>
      <w:r>
        <w:rPr>
          <w:spacing w:val="-14"/>
        </w:rPr>
        <w:t xml:space="preserve"> </w:t>
      </w:r>
      <w:r>
        <w:t>than</w:t>
      </w:r>
      <w:r>
        <w:rPr>
          <w:spacing w:val="-14"/>
        </w:rPr>
        <w:t xml:space="preserve"> </w:t>
      </w:r>
      <w:r>
        <w:t>state</w:t>
      </w:r>
      <w:r>
        <w:rPr>
          <w:spacing w:val="-14"/>
        </w:rPr>
        <w:t xml:space="preserve"> </w:t>
      </w:r>
      <w:r>
        <w:t>two.</w:t>
      </w:r>
      <w:r>
        <w:rPr>
          <w:spacing w:val="4"/>
        </w:rPr>
        <w:t xml:space="preserve"> </w:t>
      </w:r>
      <w:r>
        <w:t>The</w:t>
      </w:r>
      <w:r>
        <w:rPr>
          <w:spacing w:val="-15"/>
        </w:rPr>
        <w:t xml:space="preserve"> </w:t>
      </w:r>
      <w:r>
        <w:t>MS-VECM</w:t>
      </w:r>
      <w:r>
        <w:rPr>
          <w:spacing w:val="-13"/>
        </w:rPr>
        <w:t xml:space="preserve"> </w:t>
      </w:r>
      <w:r>
        <w:t>is</w:t>
      </w:r>
      <w:r>
        <w:rPr>
          <w:spacing w:val="-15"/>
        </w:rPr>
        <w:t xml:space="preserve"> </w:t>
      </w:r>
      <w:r>
        <w:t>expected</w:t>
      </w:r>
      <w:r>
        <w:rPr>
          <w:spacing w:val="-13"/>
        </w:rPr>
        <w:t xml:space="preserve"> </w:t>
      </w:r>
      <w:r>
        <w:t>to</w:t>
      </w:r>
      <w:r>
        <w:rPr>
          <w:spacing w:val="-14"/>
        </w:rPr>
        <w:t xml:space="preserve"> </w:t>
      </w:r>
      <w:r>
        <w:t>enter</w:t>
      </w:r>
      <w:r>
        <w:rPr>
          <w:spacing w:val="-14"/>
        </w:rPr>
        <w:t xml:space="preserve"> </w:t>
      </w:r>
      <w:r>
        <w:t>a</w:t>
      </w:r>
      <w:r>
        <w:rPr>
          <w:spacing w:val="-15"/>
        </w:rPr>
        <w:t xml:space="preserve"> </w:t>
      </w:r>
      <w:r>
        <w:t>contractionary</w:t>
      </w:r>
      <w:r>
        <w:rPr>
          <w:spacing w:val="-13"/>
        </w:rPr>
        <w:t xml:space="preserve"> </w:t>
      </w:r>
      <w:r>
        <w:t xml:space="preserve">phase </w:t>
      </w:r>
      <w:r>
        <w:rPr>
          <w:spacing w:val="-2"/>
        </w:rPr>
        <w:t>every</w:t>
      </w:r>
      <w:r>
        <w:rPr>
          <w:spacing w:val="-12"/>
        </w:rPr>
        <w:t xml:space="preserve"> </w:t>
      </w:r>
      <w:r>
        <w:rPr>
          <w:spacing w:val="-2"/>
        </w:rPr>
        <w:t>12.24</w:t>
      </w:r>
      <w:r>
        <w:rPr>
          <w:spacing w:val="-12"/>
        </w:rPr>
        <w:t xml:space="preserve"> </w:t>
      </w:r>
      <w:r>
        <w:rPr>
          <w:spacing w:val="-2"/>
        </w:rPr>
        <w:t>months,</w:t>
      </w:r>
      <w:r>
        <w:rPr>
          <w:spacing w:val="-11"/>
        </w:rPr>
        <w:t xml:space="preserve"> </w:t>
      </w:r>
      <w:r>
        <w:rPr>
          <w:spacing w:val="-2"/>
        </w:rPr>
        <w:t>with</w:t>
      </w:r>
      <w:r>
        <w:rPr>
          <w:spacing w:val="-12"/>
        </w:rPr>
        <w:t xml:space="preserve"> </w:t>
      </w:r>
      <w:r>
        <w:rPr>
          <w:spacing w:val="-2"/>
        </w:rPr>
        <w:t>each</w:t>
      </w:r>
      <w:r>
        <w:rPr>
          <w:spacing w:val="-12"/>
        </w:rPr>
        <w:t xml:space="preserve"> </w:t>
      </w:r>
      <w:r>
        <w:rPr>
          <w:spacing w:val="-2"/>
        </w:rPr>
        <w:t>contraction</w:t>
      </w:r>
      <w:r>
        <w:rPr>
          <w:spacing w:val="-12"/>
        </w:rPr>
        <w:t xml:space="preserve"> </w:t>
      </w:r>
      <w:r>
        <w:rPr>
          <w:spacing w:val="-2"/>
        </w:rPr>
        <w:t>lasting</w:t>
      </w:r>
      <w:r>
        <w:rPr>
          <w:spacing w:val="-12"/>
        </w:rPr>
        <w:t xml:space="preserve"> </w:t>
      </w:r>
      <w:r>
        <w:rPr>
          <w:spacing w:val="-2"/>
        </w:rPr>
        <w:t>3.89</w:t>
      </w:r>
      <w:r>
        <w:rPr>
          <w:spacing w:val="-12"/>
        </w:rPr>
        <w:t xml:space="preserve"> </w:t>
      </w:r>
      <w:r>
        <w:rPr>
          <w:spacing w:val="-2"/>
        </w:rPr>
        <w:t>months</w:t>
      </w:r>
      <w:r>
        <w:rPr>
          <w:spacing w:val="-12"/>
        </w:rPr>
        <w:t xml:space="preserve"> </w:t>
      </w:r>
      <w:r>
        <w:rPr>
          <w:spacing w:val="-2"/>
        </w:rPr>
        <w:t>on</w:t>
      </w:r>
      <w:r>
        <w:rPr>
          <w:spacing w:val="-12"/>
        </w:rPr>
        <w:t xml:space="preserve"> </w:t>
      </w:r>
      <w:r>
        <w:rPr>
          <w:spacing w:val="-2"/>
        </w:rPr>
        <w:t>average.</w:t>
      </w:r>
      <w:r>
        <w:rPr>
          <w:spacing w:val="4"/>
        </w:rPr>
        <w:t xml:space="preserve"> </w:t>
      </w:r>
      <w:r>
        <w:rPr>
          <w:spacing w:val="-2"/>
        </w:rPr>
        <w:t>The</w:t>
      </w:r>
      <w:r>
        <w:rPr>
          <w:spacing w:val="-12"/>
        </w:rPr>
        <w:t xml:space="preserve"> </w:t>
      </w:r>
      <w:r>
        <w:rPr>
          <w:spacing w:val="-2"/>
        </w:rPr>
        <w:t>ergodic</w:t>
      </w:r>
      <w:r>
        <w:rPr>
          <w:spacing w:val="-13"/>
        </w:rPr>
        <w:t xml:space="preserve"> </w:t>
      </w:r>
      <w:r>
        <w:rPr>
          <w:spacing w:val="-2"/>
        </w:rPr>
        <w:t>(steady</w:t>
      </w:r>
      <w:r>
        <w:rPr>
          <w:spacing w:val="-12"/>
        </w:rPr>
        <w:t xml:space="preserve"> </w:t>
      </w:r>
      <w:r>
        <w:rPr>
          <w:spacing w:val="-2"/>
        </w:rPr>
        <w:t>state)</w:t>
      </w:r>
      <w:r>
        <w:rPr>
          <w:spacing w:val="-13"/>
        </w:rPr>
        <w:t xml:space="preserve"> </w:t>
      </w:r>
      <w:r>
        <w:rPr>
          <w:spacing w:val="-2"/>
        </w:rPr>
        <w:t>probabilities,</w:t>
      </w:r>
      <w:r>
        <w:rPr>
          <w:spacing w:val="-12"/>
        </w:rPr>
        <w:t xml:space="preserve"> </w:t>
      </w:r>
      <w:r>
        <w:rPr>
          <w:spacing w:val="-2"/>
        </w:rPr>
        <w:t>which</w:t>
      </w:r>
      <w:r>
        <w:rPr>
          <w:spacing w:val="-13"/>
        </w:rPr>
        <w:t xml:space="preserve"> </w:t>
      </w:r>
      <w:r>
        <w:rPr>
          <w:spacing w:val="-2"/>
        </w:rPr>
        <w:t>represent</w:t>
      </w:r>
      <w:r>
        <w:rPr>
          <w:spacing w:val="-12"/>
        </w:rPr>
        <w:t xml:space="preserve"> </w:t>
      </w:r>
      <w:r>
        <w:rPr>
          <w:spacing w:val="-2"/>
        </w:rPr>
        <w:t>the</w:t>
      </w:r>
      <w:r>
        <w:rPr>
          <w:spacing w:val="-13"/>
        </w:rPr>
        <w:t xml:space="preserve"> </w:t>
      </w:r>
      <w:r>
        <w:rPr>
          <w:spacing w:val="-2"/>
        </w:rPr>
        <w:t>expected</w:t>
      </w:r>
      <w:r>
        <w:rPr>
          <w:spacing w:val="-12"/>
        </w:rPr>
        <w:t xml:space="preserve"> </w:t>
      </w:r>
      <w:r>
        <w:rPr>
          <w:spacing w:val="-2"/>
        </w:rPr>
        <w:t>long-run</w:t>
      </w:r>
      <w:r>
        <w:rPr>
          <w:spacing w:val="-13"/>
        </w:rPr>
        <w:t xml:space="preserve"> </w:t>
      </w:r>
      <w:r>
        <w:rPr>
          <w:spacing w:val="-2"/>
        </w:rPr>
        <w:t xml:space="preserve">frequency </w:t>
      </w:r>
      <w:r>
        <w:t>of</w:t>
      </w:r>
      <w:r>
        <w:rPr>
          <w:spacing w:val="-14"/>
        </w:rPr>
        <w:t xml:space="preserve"> </w:t>
      </w:r>
      <w:r>
        <w:t xml:space="preserve">being in each regime, are calculated as: </w:t>
      </w:r>
      <w:r>
        <w:rPr>
          <w:rFonts w:ascii="Times New Roman" w:hAnsi="Times New Roman"/>
          <w:b/>
          <w:i/>
        </w:rPr>
        <w:t>π</w:t>
      </w:r>
      <w:r>
        <w:rPr>
          <w:i/>
        </w:rPr>
        <w:t xml:space="preserve">P </w:t>
      </w:r>
      <w:r>
        <w:t xml:space="preserve">= </w:t>
      </w:r>
      <w:r>
        <w:rPr>
          <w:rFonts w:ascii="Times New Roman" w:hAnsi="Times New Roman"/>
          <w:b/>
          <w:i/>
        </w:rPr>
        <w:t>π</w:t>
      </w:r>
      <w:r>
        <w:rPr>
          <w:i/>
        </w:rPr>
        <w:t>,</w:t>
      </w:r>
      <w:r>
        <w:rPr>
          <w:i/>
          <w:spacing w:val="80"/>
        </w:rPr>
        <w:t xml:space="preserve"> </w:t>
      </w:r>
      <w:r>
        <w:rPr>
          <w:rFonts w:ascii="Times New Roman" w:hAnsi="Times New Roman"/>
          <w:b/>
          <w:i/>
        </w:rPr>
        <w:t xml:space="preserve">π </w:t>
      </w:r>
      <w:r>
        <w:t>= [</w:t>
      </w:r>
      <w:r>
        <w:rPr>
          <w:rFonts w:ascii="Courier New" w:hAnsi="Courier New" w:cs="Courier New"/>
          <w:i/>
        </w:rPr>
        <w:t>π</w:t>
      </w:r>
      <w:r>
        <w:rPr>
          <w:vertAlign w:val="subscript"/>
        </w:rPr>
        <w:t>1</w:t>
      </w:r>
      <w:r>
        <w:rPr>
          <w:i/>
        </w:rPr>
        <w:t>,</w:t>
      </w:r>
      <w:r>
        <w:rPr>
          <w:i/>
          <w:spacing w:val="-15"/>
        </w:rPr>
        <w:t xml:space="preserve"> </w:t>
      </w:r>
      <w:r>
        <w:rPr>
          <w:rFonts w:ascii="Courier New" w:hAnsi="Courier New" w:cs="Courier New"/>
          <w:i/>
        </w:rPr>
        <w:t>π</w:t>
      </w:r>
      <w:r>
        <w:rPr>
          <w:vertAlign w:val="subscript"/>
        </w:rPr>
        <w:t>2</w:t>
      </w:r>
      <w:r>
        <w:t>] = [0</w:t>
      </w:r>
      <w:r>
        <w:rPr>
          <w:i/>
        </w:rPr>
        <w:t>.</w:t>
      </w:r>
      <w:r>
        <w:t>759</w:t>
      </w:r>
      <w:r>
        <w:rPr>
          <w:i/>
        </w:rPr>
        <w:t>,</w:t>
      </w:r>
      <w:r>
        <w:rPr>
          <w:i/>
          <w:spacing w:val="-15"/>
        </w:rPr>
        <w:t xml:space="preserve"> </w:t>
      </w:r>
      <w:r>
        <w:t>0</w:t>
      </w:r>
      <w:r>
        <w:rPr>
          <w:i/>
        </w:rPr>
        <w:t>.</w:t>
      </w:r>
      <w:r>
        <w:t>241]</w:t>
      </w:r>
      <w:r>
        <w:rPr>
          <w:i/>
        </w:rPr>
        <w:t xml:space="preserve">. </w:t>
      </w:r>
      <w:r>
        <w:t>Thus, the housing market is expected to be in the first state 75.9</w:t>
      </w:r>
      <w:r>
        <w:rPr>
          <w:rFonts w:ascii="Calibri" w:hAnsi="Calibri" w:cs="Calibri"/>
        </w:rPr>
        <w:t> </w:t>
      </w:r>
      <w:r>
        <w:t>per cent of the time.</w:t>
      </w:r>
    </w:p>
    <w:p w14:paraId="474635B4" w14:textId="7BF7AD5E" w:rsidR="00EE25B3" w:rsidRDefault="00EE25B3" w:rsidP="00EE25B3">
      <w:r>
        <w:rPr>
          <w:spacing w:val="-2"/>
        </w:rPr>
        <w:t>The</w:t>
      </w:r>
      <w:r>
        <w:rPr>
          <w:spacing w:val="-12"/>
        </w:rPr>
        <w:t xml:space="preserve"> </w:t>
      </w:r>
      <w:r>
        <w:rPr>
          <w:spacing w:val="-2"/>
        </w:rPr>
        <w:t>smoothed</w:t>
      </w:r>
      <w:r>
        <w:rPr>
          <w:spacing w:val="-12"/>
        </w:rPr>
        <w:t xml:space="preserve"> </w:t>
      </w:r>
      <w:r>
        <w:rPr>
          <w:spacing w:val="-2"/>
        </w:rPr>
        <w:t>and</w:t>
      </w:r>
      <w:r>
        <w:rPr>
          <w:spacing w:val="-12"/>
        </w:rPr>
        <w:t xml:space="preserve"> </w:t>
      </w:r>
      <w:r>
        <w:rPr>
          <w:spacing w:val="-2"/>
        </w:rPr>
        <w:t>filtered</w:t>
      </w:r>
      <w:r>
        <w:rPr>
          <w:spacing w:val="-12"/>
        </w:rPr>
        <w:t xml:space="preserve"> </w:t>
      </w:r>
      <w:r>
        <w:rPr>
          <w:spacing w:val="-2"/>
        </w:rPr>
        <w:t>probability</w:t>
      </w:r>
      <w:r>
        <w:rPr>
          <w:spacing w:val="-12"/>
        </w:rPr>
        <w:t xml:space="preserve"> </w:t>
      </w:r>
      <w:r>
        <w:rPr>
          <w:spacing w:val="-2"/>
        </w:rPr>
        <w:t>plot</w:t>
      </w:r>
      <w:r>
        <w:rPr>
          <w:spacing w:val="-12"/>
        </w:rPr>
        <w:t xml:space="preserve"> </w:t>
      </w:r>
      <w:r>
        <w:rPr>
          <w:spacing w:val="-2"/>
        </w:rPr>
        <w:t>for</w:t>
      </w:r>
      <w:r>
        <w:rPr>
          <w:spacing w:val="-12"/>
        </w:rPr>
        <w:t xml:space="preserve"> </w:t>
      </w:r>
      <w:r>
        <w:rPr>
          <w:spacing w:val="-2"/>
        </w:rPr>
        <w:t>regime</w:t>
      </w:r>
      <w:r>
        <w:rPr>
          <w:spacing w:val="-12"/>
        </w:rPr>
        <w:t xml:space="preserve"> </w:t>
      </w:r>
      <w:r>
        <w:rPr>
          <w:spacing w:val="-2"/>
        </w:rPr>
        <w:t>one</w:t>
      </w:r>
      <w:r>
        <w:rPr>
          <w:spacing w:val="-12"/>
        </w:rPr>
        <w:t xml:space="preserve"> </w:t>
      </w:r>
      <w:r>
        <w:rPr>
          <w:spacing w:val="-2"/>
        </w:rPr>
        <w:t>over</w:t>
      </w:r>
      <w:r>
        <w:rPr>
          <w:spacing w:val="-12"/>
        </w:rPr>
        <w:t xml:space="preserve"> </w:t>
      </w:r>
      <w:r>
        <w:rPr>
          <w:spacing w:val="-2"/>
        </w:rPr>
        <w:t>the</w:t>
      </w:r>
      <w:r>
        <w:rPr>
          <w:spacing w:val="-12"/>
        </w:rPr>
        <w:t xml:space="preserve"> </w:t>
      </w:r>
      <w:r>
        <w:rPr>
          <w:spacing w:val="-2"/>
        </w:rPr>
        <w:t>last</w:t>
      </w:r>
      <w:r>
        <w:rPr>
          <w:spacing w:val="-12"/>
        </w:rPr>
        <w:t xml:space="preserve"> </w:t>
      </w:r>
      <w:r>
        <w:rPr>
          <w:spacing w:val="-2"/>
        </w:rPr>
        <w:t>20</w:t>
      </w:r>
      <w:r>
        <w:rPr>
          <w:spacing w:val="-12"/>
        </w:rPr>
        <w:t xml:space="preserve"> </w:t>
      </w:r>
      <w:r>
        <w:rPr>
          <w:spacing w:val="-2"/>
        </w:rPr>
        <w:t xml:space="preserve">years </w:t>
      </w:r>
      <w:r>
        <w:t xml:space="preserve">of the sample is shown in Figure </w:t>
      </w:r>
      <w:hyperlink w:anchor="_bookmark26" w:history="1">
        <w:r>
          <w:t>5.</w:t>
        </w:r>
      </w:hyperlink>
      <w:r>
        <w:rPr>
          <w:spacing w:val="40"/>
        </w:rPr>
        <w:t xml:space="preserve"> </w:t>
      </w:r>
      <w:r>
        <w:t>Switches into the low-growth high-volatility state (state 2) are evident during the Australian recession in the early 1990s, the Global Financial Crisis</w:t>
      </w:r>
      <w:r>
        <w:rPr>
          <w:spacing w:val="-14"/>
        </w:rPr>
        <w:t xml:space="preserve"> </w:t>
      </w:r>
      <w:r>
        <w:t>in</w:t>
      </w:r>
      <w:r>
        <w:rPr>
          <w:spacing w:val="-14"/>
        </w:rPr>
        <w:t xml:space="preserve"> </w:t>
      </w:r>
      <w:r>
        <w:t>2008,</w:t>
      </w:r>
      <w:r>
        <w:rPr>
          <w:spacing w:val="-14"/>
        </w:rPr>
        <w:t xml:space="preserve"> </w:t>
      </w:r>
      <w:r>
        <w:t>and</w:t>
      </w:r>
      <w:r>
        <w:rPr>
          <w:spacing w:val="-14"/>
        </w:rPr>
        <w:t xml:space="preserve"> </w:t>
      </w:r>
      <w:r>
        <w:t>the</w:t>
      </w:r>
      <w:r>
        <w:rPr>
          <w:spacing w:val="-14"/>
        </w:rPr>
        <w:t xml:space="preserve"> </w:t>
      </w:r>
      <w:r>
        <w:t>COVID-19</w:t>
      </w:r>
      <w:r>
        <w:rPr>
          <w:spacing w:val="-14"/>
        </w:rPr>
        <w:t xml:space="preserve"> </w:t>
      </w:r>
      <w:r>
        <w:t>pandemic</w:t>
      </w:r>
      <w:r>
        <w:rPr>
          <w:spacing w:val="-14"/>
        </w:rPr>
        <w:t xml:space="preserve"> </w:t>
      </w:r>
      <w:r>
        <w:t>in</w:t>
      </w:r>
      <w:r>
        <w:rPr>
          <w:spacing w:val="-14"/>
        </w:rPr>
        <w:t xml:space="preserve"> </w:t>
      </w:r>
      <w:r>
        <w:t>2020. It</w:t>
      </w:r>
      <w:r>
        <w:rPr>
          <w:spacing w:val="-14"/>
        </w:rPr>
        <w:t xml:space="preserve"> </w:t>
      </w:r>
      <w:r>
        <w:t>is</w:t>
      </w:r>
      <w:r>
        <w:rPr>
          <w:spacing w:val="-14"/>
        </w:rPr>
        <w:t xml:space="preserve"> </w:t>
      </w:r>
      <w:r>
        <w:t>worth</w:t>
      </w:r>
      <w:r>
        <w:rPr>
          <w:spacing w:val="-14"/>
        </w:rPr>
        <w:t xml:space="preserve"> </w:t>
      </w:r>
      <w:r>
        <w:t>noting</w:t>
      </w:r>
      <w:r>
        <w:rPr>
          <w:spacing w:val="-14"/>
        </w:rPr>
        <w:t xml:space="preserve"> </w:t>
      </w:r>
      <w:r>
        <w:t>that</w:t>
      </w:r>
      <w:r>
        <w:rPr>
          <w:spacing w:val="-14"/>
        </w:rPr>
        <w:t xml:space="preserve"> </w:t>
      </w:r>
      <w:r>
        <w:t>during COVID-19, the model remains in state 2 for an unprecedented 9-month period, nearly</w:t>
      </w:r>
      <w:r>
        <w:rPr>
          <w:spacing w:val="-2"/>
        </w:rPr>
        <w:t xml:space="preserve"> </w:t>
      </w:r>
      <w:r>
        <w:t>three</w:t>
      </w:r>
      <w:r>
        <w:rPr>
          <w:spacing w:val="-2"/>
        </w:rPr>
        <w:t xml:space="preserve"> </w:t>
      </w:r>
      <w:r>
        <w:t>times</w:t>
      </w:r>
      <w:r>
        <w:rPr>
          <w:spacing w:val="-2"/>
        </w:rPr>
        <w:t xml:space="preserve"> </w:t>
      </w:r>
      <w:r>
        <w:t>longer</w:t>
      </w:r>
      <w:r>
        <w:rPr>
          <w:spacing w:val="-2"/>
        </w:rPr>
        <w:t xml:space="preserve"> </w:t>
      </w:r>
      <w:r>
        <w:t>than</w:t>
      </w:r>
      <w:r>
        <w:rPr>
          <w:spacing w:val="-2"/>
        </w:rPr>
        <w:t xml:space="preserve"> </w:t>
      </w:r>
      <w:r>
        <w:t>expected</w:t>
      </w:r>
      <w:r>
        <w:rPr>
          <w:spacing w:val="-2"/>
        </w:rPr>
        <w:t xml:space="preserve"> </w:t>
      </w:r>
      <w:r>
        <w:t>from the transition matrix.</w:t>
      </w:r>
    </w:p>
    <w:p w14:paraId="1E9B9AD9" w14:textId="77777777" w:rsidR="00363378" w:rsidRPr="00363378" w:rsidRDefault="00363378" w:rsidP="00363378">
      <w:pPr>
        <w:pStyle w:val="Caption"/>
        <w:rPr>
          <w:lang w:val="en-GB"/>
        </w:rPr>
      </w:pPr>
      <w:r w:rsidRPr="00363378">
        <w:rPr>
          <w:lang w:val="en-GB"/>
        </w:rPr>
        <w:lastRenderedPageBreak/>
        <w:t>Figure 4: State 1 probabilities</w:t>
      </w:r>
    </w:p>
    <w:p w14:paraId="391C40DB" w14:textId="1E29A2B6" w:rsidR="00363378" w:rsidRDefault="00211671" w:rsidP="00EE25B3">
      <w:r>
        <w:rPr>
          <w:noProof/>
        </w:rPr>
        <w:drawing>
          <wp:inline distT="0" distB="0" distL="0" distR="0" wp14:anchorId="3E53F204" wp14:editId="18D3F1F5">
            <wp:extent cx="5137920" cy="3248168"/>
            <wp:effectExtent l="0" t="0" r="5715" b="9525"/>
            <wp:docPr id="1721920193" name="Picture 6" descr="Time series plot of smoothed and filtered regime 1 probabilities from 1985 to 2023, oscillating sharply between 0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20193" name="Picture 6" descr="Time series plot of smoothed and filtered regime 1 probabilities from 1985 to 2023, oscillating sharply between 0 and 1."/>
                    <pic:cNvPicPr/>
                  </pic:nvPicPr>
                  <pic:blipFill rotWithShape="1">
                    <a:blip r:embed="rId19" cstate="print">
                      <a:extLst>
                        <a:ext uri="{28A0092B-C50C-407E-A947-70E740481C1C}">
                          <a14:useLocalDpi xmlns:a14="http://schemas.microsoft.com/office/drawing/2010/main" val="0"/>
                        </a:ext>
                      </a:extLst>
                    </a:blip>
                    <a:srcRect l="3692" t="10944" r="6657" b="8911"/>
                    <a:stretch>
                      <a:fillRect/>
                    </a:stretch>
                  </pic:blipFill>
                  <pic:spPr bwMode="auto">
                    <a:xfrm>
                      <a:off x="0" y="0"/>
                      <a:ext cx="5138364" cy="3248449"/>
                    </a:xfrm>
                    <a:prstGeom prst="rect">
                      <a:avLst/>
                    </a:prstGeom>
                    <a:ln>
                      <a:noFill/>
                    </a:ln>
                    <a:extLst>
                      <a:ext uri="{53640926-AAD7-44D8-BBD7-CCE9431645EC}">
                        <a14:shadowObscured xmlns:a14="http://schemas.microsoft.com/office/drawing/2010/main"/>
                      </a:ext>
                    </a:extLst>
                  </pic:spPr>
                </pic:pic>
              </a:graphicData>
            </a:graphic>
          </wp:inline>
        </w:drawing>
      </w:r>
    </w:p>
    <w:p w14:paraId="41A9B870" w14:textId="595AAFA3" w:rsidR="00EE25B3" w:rsidRDefault="00EE25B3" w:rsidP="00EE25B3">
      <w:r>
        <w:rPr>
          <w:spacing w:val="-4"/>
        </w:rPr>
        <w:t>Finally,</w:t>
      </w:r>
      <w:r>
        <w:rPr>
          <w:spacing w:val="-6"/>
        </w:rPr>
        <w:t xml:space="preserve"> </w:t>
      </w:r>
      <w:r>
        <w:rPr>
          <w:spacing w:val="-4"/>
        </w:rPr>
        <w:t>Figures</w:t>
      </w:r>
      <w:r>
        <w:rPr>
          <w:spacing w:val="-8"/>
        </w:rPr>
        <w:t xml:space="preserve"> </w:t>
      </w:r>
      <w:hyperlink w:anchor="_bookmark25" w:history="1">
        <w:r w:rsidR="00A27711">
          <w:rPr>
            <w:spacing w:val="-4"/>
          </w:rPr>
          <w:t>5</w:t>
        </w:r>
        <w:r>
          <w:rPr>
            <w:spacing w:val="-4"/>
          </w:rPr>
          <w:t>a</w:t>
        </w:r>
      </w:hyperlink>
      <w:r>
        <w:rPr>
          <w:spacing w:val="-8"/>
        </w:rPr>
        <w:t xml:space="preserve"> </w:t>
      </w:r>
      <w:r>
        <w:rPr>
          <w:spacing w:val="-4"/>
        </w:rPr>
        <w:t>and</w:t>
      </w:r>
      <w:r>
        <w:rPr>
          <w:spacing w:val="-8"/>
        </w:rPr>
        <w:t xml:space="preserve"> </w:t>
      </w:r>
      <w:r w:rsidR="00A27711">
        <w:rPr>
          <w:spacing w:val="-8"/>
        </w:rPr>
        <w:t>5</w:t>
      </w:r>
      <w:hyperlink w:anchor="_bookmark25" w:history="1">
        <w:r w:rsidR="003A404D">
          <w:rPr>
            <w:spacing w:val="-4"/>
          </w:rPr>
          <w:t>b</w:t>
        </w:r>
      </w:hyperlink>
      <w:r>
        <w:rPr>
          <w:spacing w:val="-8"/>
        </w:rPr>
        <w:t xml:space="preserve"> </w:t>
      </w:r>
      <w:r>
        <w:rPr>
          <w:spacing w:val="-4"/>
        </w:rPr>
        <w:t>display</w:t>
      </w:r>
      <w:r>
        <w:rPr>
          <w:spacing w:val="-8"/>
        </w:rPr>
        <w:t xml:space="preserve"> </w:t>
      </w:r>
      <w:r>
        <w:rPr>
          <w:spacing w:val="-4"/>
        </w:rPr>
        <w:t>the</w:t>
      </w:r>
      <w:r>
        <w:rPr>
          <w:spacing w:val="-8"/>
        </w:rPr>
        <w:t xml:space="preserve"> </w:t>
      </w:r>
      <w:r>
        <w:rPr>
          <w:spacing w:val="-4"/>
        </w:rPr>
        <w:t>24-step-ahead</w:t>
      </w:r>
      <w:r>
        <w:rPr>
          <w:spacing w:val="-8"/>
        </w:rPr>
        <w:t xml:space="preserve"> </w:t>
      </w:r>
      <w:r>
        <w:rPr>
          <w:spacing w:val="-4"/>
        </w:rPr>
        <w:t>GIRFs</w:t>
      </w:r>
      <w:r>
        <w:rPr>
          <w:spacing w:val="-8"/>
        </w:rPr>
        <w:t xml:space="preserve"> </w:t>
      </w:r>
      <w:r>
        <w:rPr>
          <w:spacing w:val="-4"/>
        </w:rPr>
        <w:t>and</w:t>
      </w:r>
      <w:r>
        <w:rPr>
          <w:spacing w:val="-8"/>
        </w:rPr>
        <w:t xml:space="preserve"> </w:t>
      </w:r>
      <w:r>
        <w:rPr>
          <w:spacing w:val="-4"/>
        </w:rPr>
        <w:t>95</w:t>
      </w:r>
      <w:r>
        <w:rPr>
          <w:rFonts w:ascii="Calibri" w:hAnsi="Calibri" w:cs="Calibri"/>
          <w:spacing w:val="-4"/>
        </w:rPr>
        <w:t> </w:t>
      </w:r>
      <w:r>
        <w:rPr>
          <w:spacing w:val="-4"/>
        </w:rPr>
        <w:t>per cent</w:t>
      </w:r>
      <w:r>
        <w:rPr>
          <w:spacing w:val="-8"/>
        </w:rPr>
        <w:t xml:space="preserve"> </w:t>
      </w:r>
      <w:r>
        <w:rPr>
          <w:spacing w:val="-4"/>
        </w:rPr>
        <w:t xml:space="preserve">confidence </w:t>
      </w:r>
      <w:r>
        <w:t>bands</w:t>
      </w:r>
      <w:r>
        <w:rPr>
          <w:spacing w:val="-11"/>
        </w:rPr>
        <w:t xml:space="preserve"> </w:t>
      </w:r>
      <w:r>
        <w:t>for</w:t>
      </w:r>
      <w:r>
        <w:rPr>
          <w:spacing w:val="-10"/>
        </w:rPr>
        <w:t xml:space="preserve"> </w:t>
      </w:r>
      <w:r>
        <w:t>the</w:t>
      </w:r>
      <w:r>
        <w:rPr>
          <w:spacing w:val="-11"/>
        </w:rPr>
        <w:t xml:space="preserve"> </w:t>
      </w:r>
      <w:r>
        <w:t>two</w:t>
      </w:r>
      <w:r>
        <w:rPr>
          <w:spacing w:val="-10"/>
        </w:rPr>
        <w:t xml:space="preserve"> </w:t>
      </w:r>
      <w:r>
        <w:t>MS-VECM</w:t>
      </w:r>
      <w:r>
        <w:rPr>
          <w:spacing w:val="-11"/>
        </w:rPr>
        <w:t xml:space="preserve"> </w:t>
      </w:r>
      <w:r>
        <w:t>states.</w:t>
      </w:r>
      <w:r>
        <w:rPr>
          <w:spacing w:val="9"/>
        </w:rPr>
        <w:t xml:space="preserve"> </w:t>
      </w:r>
      <w:r>
        <w:t>In</w:t>
      </w:r>
      <w:r>
        <w:rPr>
          <w:spacing w:val="-10"/>
        </w:rPr>
        <w:t xml:space="preserve"> </w:t>
      </w:r>
      <w:r>
        <w:t>regime</w:t>
      </w:r>
      <w:r>
        <w:rPr>
          <w:spacing w:val="-10"/>
        </w:rPr>
        <w:t xml:space="preserve"> </w:t>
      </w:r>
      <w:r>
        <w:t>one,</w:t>
      </w:r>
      <w:r>
        <w:rPr>
          <w:spacing w:val="-10"/>
        </w:rPr>
        <w:t xml:space="preserve"> </w:t>
      </w:r>
      <w:r>
        <w:t>price</w:t>
      </w:r>
      <w:r>
        <w:rPr>
          <w:spacing w:val="-11"/>
        </w:rPr>
        <w:t xml:space="preserve"> </w:t>
      </w:r>
      <w:r>
        <w:t>and</w:t>
      </w:r>
      <w:r>
        <w:rPr>
          <w:spacing w:val="-10"/>
        </w:rPr>
        <w:t xml:space="preserve"> </w:t>
      </w:r>
      <w:r>
        <w:t>volume</w:t>
      </w:r>
      <w:r>
        <w:rPr>
          <w:spacing w:val="-11"/>
        </w:rPr>
        <w:t xml:space="preserve"> </w:t>
      </w:r>
      <w:r>
        <w:t>shocks</w:t>
      </w:r>
      <w:r>
        <w:rPr>
          <w:spacing w:val="-10"/>
        </w:rPr>
        <w:t xml:space="preserve"> </w:t>
      </w:r>
      <w:r>
        <w:t>have persistent impacts on LTD revenues, similar to the VECM. Prices respond positively</w:t>
      </w:r>
      <w:r>
        <w:rPr>
          <w:spacing w:val="-7"/>
        </w:rPr>
        <w:t xml:space="preserve"> </w:t>
      </w:r>
      <w:r>
        <w:t>to</w:t>
      </w:r>
      <w:r>
        <w:rPr>
          <w:spacing w:val="-7"/>
        </w:rPr>
        <w:t xml:space="preserve"> </w:t>
      </w:r>
      <w:r>
        <w:t>volume</w:t>
      </w:r>
      <w:r>
        <w:rPr>
          <w:spacing w:val="-7"/>
        </w:rPr>
        <w:t xml:space="preserve"> </w:t>
      </w:r>
      <w:r>
        <w:t>shocks,</w:t>
      </w:r>
      <w:r>
        <w:rPr>
          <w:spacing w:val="-5"/>
        </w:rPr>
        <w:t xml:space="preserve"> </w:t>
      </w:r>
      <w:r>
        <w:t>indicating</w:t>
      </w:r>
      <w:r>
        <w:rPr>
          <w:spacing w:val="-7"/>
        </w:rPr>
        <w:t xml:space="preserve"> </w:t>
      </w:r>
      <w:r>
        <w:t>a</w:t>
      </w:r>
      <w:r>
        <w:rPr>
          <w:spacing w:val="-7"/>
        </w:rPr>
        <w:t xml:space="preserve"> </w:t>
      </w:r>
      <w:r>
        <w:t>strong</w:t>
      </w:r>
      <w:r>
        <w:rPr>
          <w:spacing w:val="-7"/>
        </w:rPr>
        <w:t xml:space="preserve"> </w:t>
      </w:r>
      <w:r>
        <w:t>market</w:t>
      </w:r>
      <w:r>
        <w:rPr>
          <w:spacing w:val="-7"/>
        </w:rPr>
        <w:t xml:space="preserve"> </w:t>
      </w:r>
      <w:r>
        <w:t>during</w:t>
      </w:r>
      <w:r>
        <w:rPr>
          <w:spacing w:val="-7"/>
        </w:rPr>
        <w:t xml:space="preserve"> </w:t>
      </w:r>
      <w:r>
        <w:t>expansionary</w:t>
      </w:r>
      <w:r>
        <w:rPr>
          <w:spacing w:val="-7"/>
        </w:rPr>
        <w:t xml:space="preserve"> </w:t>
      </w:r>
      <w:r>
        <w:t xml:space="preserve">periods, </w:t>
      </w:r>
      <w:r>
        <w:rPr>
          <w:spacing w:val="-2"/>
        </w:rPr>
        <w:t>which</w:t>
      </w:r>
      <w:r>
        <w:rPr>
          <w:spacing w:val="-13"/>
        </w:rPr>
        <w:t xml:space="preserve"> </w:t>
      </w:r>
      <w:r>
        <w:rPr>
          <w:spacing w:val="-2"/>
        </w:rPr>
        <w:t>encourages</w:t>
      </w:r>
      <w:r>
        <w:rPr>
          <w:spacing w:val="-12"/>
        </w:rPr>
        <w:t xml:space="preserve"> </w:t>
      </w:r>
      <w:r>
        <w:rPr>
          <w:spacing w:val="-2"/>
        </w:rPr>
        <w:t>speculation</w:t>
      </w:r>
      <w:r>
        <w:rPr>
          <w:spacing w:val="-13"/>
        </w:rPr>
        <w:t xml:space="preserve"> </w:t>
      </w:r>
      <w:r>
        <w:rPr>
          <w:spacing w:val="-2"/>
        </w:rPr>
        <w:t>and</w:t>
      </w:r>
      <w:r>
        <w:rPr>
          <w:spacing w:val="-12"/>
        </w:rPr>
        <w:t xml:space="preserve"> </w:t>
      </w:r>
      <w:r>
        <w:rPr>
          <w:spacing w:val="-2"/>
        </w:rPr>
        <w:t>increases</w:t>
      </w:r>
      <w:r>
        <w:rPr>
          <w:spacing w:val="-13"/>
        </w:rPr>
        <w:t xml:space="preserve"> </w:t>
      </w:r>
      <w:r>
        <w:rPr>
          <w:spacing w:val="-2"/>
        </w:rPr>
        <w:t>volume.</w:t>
      </w:r>
      <w:r>
        <w:rPr>
          <w:spacing w:val="1"/>
        </w:rPr>
        <w:t xml:space="preserve"> </w:t>
      </w:r>
      <w:r>
        <w:rPr>
          <w:spacing w:val="-2"/>
        </w:rPr>
        <w:t>The</w:t>
      </w:r>
      <w:r>
        <w:rPr>
          <w:spacing w:val="-12"/>
        </w:rPr>
        <w:t xml:space="preserve"> </w:t>
      </w:r>
      <w:r>
        <w:rPr>
          <w:spacing w:val="-2"/>
        </w:rPr>
        <w:t>short-run</w:t>
      </w:r>
      <w:r>
        <w:rPr>
          <w:spacing w:val="-13"/>
        </w:rPr>
        <w:t xml:space="preserve"> </w:t>
      </w:r>
      <w:r>
        <w:rPr>
          <w:spacing w:val="-2"/>
        </w:rPr>
        <w:t>dynamics</w:t>
      </w:r>
      <w:r>
        <w:rPr>
          <w:spacing w:val="-12"/>
        </w:rPr>
        <w:t xml:space="preserve"> </w:t>
      </w:r>
      <w:r>
        <w:rPr>
          <w:spacing w:val="-2"/>
        </w:rPr>
        <w:t xml:space="preserve">shift </w:t>
      </w:r>
      <w:r>
        <w:t>in</w:t>
      </w:r>
      <w:r>
        <w:rPr>
          <w:spacing w:val="-15"/>
        </w:rPr>
        <w:t xml:space="preserve"> </w:t>
      </w:r>
      <w:r>
        <w:t>regime</w:t>
      </w:r>
      <w:r>
        <w:rPr>
          <w:spacing w:val="-14"/>
        </w:rPr>
        <w:t xml:space="preserve"> </w:t>
      </w:r>
      <w:r>
        <w:t>two,</w:t>
      </w:r>
      <w:r>
        <w:rPr>
          <w:spacing w:val="-15"/>
        </w:rPr>
        <w:t xml:space="preserve"> </w:t>
      </w:r>
      <w:r>
        <w:t>where</w:t>
      </w:r>
      <w:r>
        <w:rPr>
          <w:spacing w:val="-14"/>
        </w:rPr>
        <w:t xml:space="preserve"> </w:t>
      </w:r>
      <w:r>
        <w:t>LTD</w:t>
      </w:r>
      <w:r>
        <w:rPr>
          <w:spacing w:val="-15"/>
        </w:rPr>
        <w:t xml:space="preserve"> </w:t>
      </w:r>
      <w:r>
        <w:t>reacts</w:t>
      </w:r>
      <w:r>
        <w:rPr>
          <w:spacing w:val="-14"/>
        </w:rPr>
        <w:t xml:space="preserve"> </w:t>
      </w:r>
      <w:r>
        <w:t>more</w:t>
      </w:r>
      <w:r>
        <w:rPr>
          <w:spacing w:val="-15"/>
        </w:rPr>
        <w:t xml:space="preserve"> </w:t>
      </w:r>
      <w:r>
        <w:t>quickly</w:t>
      </w:r>
      <w:r>
        <w:rPr>
          <w:spacing w:val="-14"/>
        </w:rPr>
        <w:t xml:space="preserve"> </w:t>
      </w:r>
      <w:r>
        <w:t>to</w:t>
      </w:r>
      <w:r>
        <w:rPr>
          <w:spacing w:val="-15"/>
        </w:rPr>
        <w:t xml:space="preserve"> </w:t>
      </w:r>
      <w:r>
        <w:t>volume</w:t>
      </w:r>
      <w:r>
        <w:rPr>
          <w:spacing w:val="-14"/>
        </w:rPr>
        <w:t xml:space="preserve"> </w:t>
      </w:r>
      <w:r>
        <w:t>and</w:t>
      </w:r>
      <w:r>
        <w:rPr>
          <w:spacing w:val="-15"/>
        </w:rPr>
        <w:t xml:space="preserve"> </w:t>
      </w:r>
      <w:r>
        <w:t>price</w:t>
      </w:r>
      <w:r>
        <w:rPr>
          <w:spacing w:val="-14"/>
        </w:rPr>
        <w:t xml:space="preserve"> </w:t>
      </w:r>
      <w:r>
        <w:t>shocks,</w:t>
      </w:r>
      <w:r>
        <w:rPr>
          <w:spacing w:val="-15"/>
        </w:rPr>
        <w:t xml:space="preserve"> </w:t>
      </w:r>
      <w:r>
        <w:t>though with</w:t>
      </w:r>
      <w:r>
        <w:rPr>
          <w:spacing w:val="-8"/>
        </w:rPr>
        <w:t xml:space="preserve"> </w:t>
      </w:r>
      <w:r>
        <w:t>similar</w:t>
      </w:r>
      <w:r>
        <w:rPr>
          <w:spacing w:val="-8"/>
        </w:rPr>
        <w:t xml:space="preserve"> </w:t>
      </w:r>
      <w:r>
        <w:t>magnitude.</w:t>
      </w:r>
      <w:r>
        <w:rPr>
          <w:spacing w:val="22"/>
        </w:rPr>
        <w:t xml:space="preserve"> </w:t>
      </w:r>
      <w:r>
        <w:t>Notably,</w:t>
      </w:r>
      <w:r>
        <w:rPr>
          <w:spacing w:val="-5"/>
        </w:rPr>
        <w:t xml:space="preserve"> </w:t>
      </w:r>
      <w:r>
        <w:t>an</w:t>
      </w:r>
      <w:r>
        <w:rPr>
          <w:spacing w:val="-8"/>
        </w:rPr>
        <w:t xml:space="preserve"> </w:t>
      </w:r>
      <w:r>
        <w:t>LTD</w:t>
      </w:r>
      <w:r>
        <w:rPr>
          <w:spacing w:val="-8"/>
        </w:rPr>
        <w:t xml:space="preserve"> </w:t>
      </w:r>
      <w:r>
        <w:t>shock</w:t>
      </w:r>
      <w:r>
        <w:rPr>
          <w:spacing w:val="-8"/>
        </w:rPr>
        <w:t xml:space="preserve"> </w:t>
      </w:r>
      <w:r>
        <w:t>causes</w:t>
      </w:r>
      <w:r>
        <w:rPr>
          <w:spacing w:val="-8"/>
        </w:rPr>
        <w:t xml:space="preserve"> </w:t>
      </w:r>
      <w:r>
        <w:t>a</w:t>
      </w:r>
      <w:r>
        <w:rPr>
          <w:spacing w:val="-8"/>
        </w:rPr>
        <w:t xml:space="preserve"> </w:t>
      </w:r>
      <w:r>
        <w:t>significant</w:t>
      </w:r>
      <w:r>
        <w:rPr>
          <w:spacing w:val="-8"/>
        </w:rPr>
        <w:t xml:space="preserve"> </w:t>
      </w:r>
      <w:r>
        <w:t>price</w:t>
      </w:r>
      <w:r>
        <w:rPr>
          <w:spacing w:val="-8"/>
        </w:rPr>
        <w:t xml:space="preserve"> </w:t>
      </w:r>
      <w:r>
        <w:t>decline and volume increase, suggesting there may be greater sensitivity of the housing market</w:t>
      </w:r>
      <w:r>
        <w:rPr>
          <w:spacing w:val="-1"/>
        </w:rPr>
        <w:t xml:space="preserve"> </w:t>
      </w:r>
      <w:r>
        <w:t>to</w:t>
      </w:r>
      <w:r>
        <w:rPr>
          <w:spacing w:val="-1"/>
        </w:rPr>
        <w:t xml:space="preserve"> </w:t>
      </w:r>
      <w:r>
        <w:t>policy</w:t>
      </w:r>
      <w:r>
        <w:rPr>
          <w:spacing w:val="-1"/>
        </w:rPr>
        <w:t xml:space="preserve"> </w:t>
      </w:r>
      <w:r>
        <w:t>changes</w:t>
      </w:r>
      <w:r>
        <w:rPr>
          <w:spacing w:val="-1"/>
        </w:rPr>
        <w:t xml:space="preserve"> </w:t>
      </w:r>
      <w:r>
        <w:t>during</w:t>
      </w:r>
      <w:r>
        <w:rPr>
          <w:spacing w:val="-1"/>
        </w:rPr>
        <w:t xml:space="preserve"> </w:t>
      </w:r>
      <w:r>
        <w:t>contractions.</w:t>
      </w:r>
    </w:p>
    <w:p w14:paraId="73F7F084" w14:textId="77777777" w:rsidR="003A404D" w:rsidRPr="003A404D" w:rsidRDefault="003A404D" w:rsidP="003A404D">
      <w:pPr>
        <w:pStyle w:val="Caption"/>
        <w:rPr>
          <w:lang w:val="en-GB"/>
        </w:rPr>
      </w:pPr>
      <w:r w:rsidRPr="003A404D">
        <w:rPr>
          <w:lang w:val="en-GB"/>
        </w:rPr>
        <w:lastRenderedPageBreak/>
        <w:t>Figure 5: MS-VECM(1) GIRFs</w:t>
      </w:r>
    </w:p>
    <w:p w14:paraId="3D0ED1AB" w14:textId="77777777" w:rsidR="003A404D" w:rsidRPr="003A404D" w:rsidRDefault="003A404D" w:rsidP="00FF131D">
      <w:pPr>
        <w:pStyle w:val="Caption"/>
        <w:tabs>
          <w:tab w:val="left" w:pos="4410"/>
        </w:tabs>
        <w:rPr>
          <w:sz w:val="16"/>
          <w:lang w:val="en-GB"/>
        </w:rPr>
      </w:pPr>
      <w:r w:rsidRPr="003A404D">
        <w:rPr>
          <w:sz w:val="16"/>
          <w:lang w:val="en-GB"/>
        </w:rPr>
        <w:t>(a) State 1: high growth, low volatility</w:t>
      </w:r>
    </w:p>
    <w:p w14:paraId="19FF89CA" w14:textId="631EFAAD" w:rsidR="00A27711" w:rsidRDefault="00FF131D" w:rsidP="00EE25B3">
      <w:r>
        <w:rPr>
          <w:noProof/>
        </w:rPr>
        <w:drawing>
          <wp:inline distT="0" distB="0" distL="0" distR="0" wp14:anchorId="3683995D" wp14:editId="0075853F">
            <wp:extent cx="5731510" cy="3820795"/>
            <wp:effectExtent l="0" t="0" r="0" b="0"/>
            <wp:docPr id="259090962" name="Graphic 7" descr="Grid of MS-VECM regime 1 generalised impulse response functions and confidence bands shown over 20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0962" name="Graphic 7" descr="Grid of MS-VECM regime 1 generalised impulse response functions and confidence bands shown over 20 periods."/>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820795"/>
                    </a:xfrm>
                    <a:prstGeom prst="rect">
                      <a:avLst/>
                    </a:prstGeom>
                  </pic:spPr>
                </pic:pic>
              </a:graphicData>
            </a:graphic>
          </wp:inline>
        </w:drawing>
      </w:r>
    </w:p>
    <w:p w14:paraId="05C9DCE7" w14:textId="77777777" w:rsidR="004D4A74" w:rsidRPr="004D4A74" w:rsidRDefault="004D4A74" w:rsidP="004D4A74">
      <w:pPr>
        <w:pStyle w:val="Caption"/>
        <w:tabs>
          <w:tab w:val="left" w:pos="4410"/>
        </w:tabs>
        <w:rPr>
          <w:sz w:val="16"/>
          <w:lang w:val="en-GB"/>
        </w:rPr>
      </w:pPr>
      <w:r w:rsidRPr="004D4A74">
        <w:rPr>
          <w:sz w:val="16"/>
          <w:lang w:val="en-GB"/>
        </w:rPr>
        <w:lastRenderedPageBreak/>
        <w:t>(b) State 2: low growth, high volatility</w:t>
      </w:r>
    </w:p>
    <w:p w14:paraId="42C68B32" w14:textId="536B09B2" w:rsidR="00FF131D" w:rsidRDefault="004D4A74" w:rsidP="00EE25B3">
      <w:r>
        <w:rPr>
          <w:noProof/>
        </w:rPr>
        <w:drawing>
          <wp:inline distT="0" distB="0" distL="0" distR="0" wp14:anchorId="4C5FCB34" wp14:editId="6ACD5FA0">
            <wp:extent cx="5731510" cy="3820795"/>
            <wp:effectExtent l="0" t="0" r="0" b="0"/>
            <wp:docPr id="1303079869" name="Graphic 8" descr="Grid of MS-VECM regime 2 generalised impulse response functions and confidence bands shown over 20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79869" name="Graphic 8" descr="Grid of MS-VECM regime 2 generalised impulse response functions and confidence bands shown over 20 periods."/>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820795"/>
                    </a:xfrm>
                    <a:prstGeom prst="rect">
                      <a:avLst/>
                    </a:prstGeom>
                  </pic:spPr>
                </pic:pic>
              </a:graphicData>
            </a:graphic>
          </wp:inline>
        </w:drawing>
      </w:r>
    </w:p>
    <w:p w14:paraId="41815EAF" w14:textId="77777777" w:rsidR="004D4A74" w:rsidRDefault="004D4A74" w:rsidP="00EE25B3"/>
    <w:p w14:paraId="271585EB" w14:textId="77777777" w:rsidR="00EE25B3" w:rsidRDefault="00EE25B3" w:rsidP="00EE25B3">
      <w:r>
        <w:t>In summary, the MS-VECM provides a plausible characterisation of the dy</w:t>
      </w:r>
      <w:r>
        <w:rPr>
          <w:spacing w:val="-2"/>
        </w:rPr>
        <w:t>namics,</w:t>
      </w:r>
      <w:r>
        <w:rPr>
          <w:spacing w:val="-9"/>
        </w:rPr>
        <w:t xml:space="preserve"> </w:t>
      </w:r>
      <w:r>
        <w:rPr>
          <w:spacing w:val="-2"/>
        </w:rPr>
        <w:t>identifying</w:t>
      </w:r>
      <w:r>
        <w:rPr>
          <w:spacing w:val="-10"/>
        </w:rPr>
        <w:t xml:space="preserve"> </w:t>
      </w:r>
      <w:r>
        <w:rPr>
          <w:spacing w:val="-2"/>
        </w:rPr>
        <w:t>switches</w:t>
      </w:r>
      <w:r>
        <w:rPr>
          <w:spacing w:val="-10"/>
        </w:rPr>
        <w:t xml:space="preserve"> </w:t>
      </w:r>
      <w:r>
        <w:rPr>
          <w:spacing w:val="-2"/>
        </w:rPr>
        <w:t>between</w:t>
      </w:r>
      <w:r>
        <w:rPr>
          <w:spacing w:val="-10"/>
        </w:rPr>
        <w:t xml:space="preserve"> </w:t>
      </w:r>
      <w:r>
        <w:rPr>
          <w:spacing w:val="-2"/>
        </w:rPr>
        <w:t>a</w:t>
      </w:r>
      <w:r>
        <w:rPr>
          <w:spacing w:val="-10"/>
        </w:rPr>
        <w:t xml:space="preserve"> </w:t>
      </w:r>
      <w:r>
        <w:rPr>
          <w:spacing w:val="-2"/>
        </w:rPr>
        <w:t>high-LTD</w:t>
      </w:r>
      <w:r>
        <w:rPr>
          <w:spacing w:val="-10"/>
        </w:rPr>
        <w:t>-</w:t>
      </w:r>
      <w:r>
        <w:rPr>
          <w:spacing w:val="-2"/>
        </w:rPr>
        <w:t>growth low-volatility</w:t>
      </w:r>
      <w:r>
        <w:rPr>
          <w:spacing w:val="-10"/>
        </w:rPr>
        <w:t xml:space="preserve"> </w:t>
      </w:r>
      <w:r>
        <w:rPr>
          <w:spacing w:val="-2"/>
        </w:rPr>
        <w:t>state</w:t>
      </w:r>
      <w:r>
        <w:rPr>
          <w:spacing w:val="-10"/>
        </w:rPr>
        <w:t xml:space="preserve"> </w:t>
      </w:r>
      <w:r>
        <w:rPr>
          <w:spacing w:val="-2"/>
        </w:rPr>
        <w:t>and</w:t>
      </w:r>
      <w:r>
        <w:rPr>
          <w:spacing w:val="-10"/>
        </w:rPr>
        <w:t xml:space="preserve"> </w:t>
      </w:r>
      <w:r>
        <w:rPr>
          <w:spacing w:val="-2"/>
        </w:rPr>
        <w:t xml:space="preserve">a </w:t>
      </w:r>
      <w:r>
        <w:rPr>
          <w:spacing w:val="-4"/>
        </w:rPr>
        <w:t>low-LTD</w:t>
      </w:r>
      <w:r>
        <w:rPr>
          <w:spacing w:val="-6"/>
        </w:rPr>
        <w:t>-</w:t>
      </w:r>
      <w:r>
        <w:rPr>
          <w:spacing w:val="-4"/>
        </w:rPr>
        <w:t>growth high-volatility</w:t>
      </w:r>
      <w:r>
        <w:rPr>
          <w:spacing w:val="-6"/>
        </w:rPr>
        <w:t xml:space="preserve"> </w:t>
      </w:r>
      <w:r>
        <w:rPr>
          <w:spacing w:val="-4"/>
        </w:rPr>
        <w:t>state.</w:t>
      </w:r>
      <w:r>
        <w:rPr>
          <w:spacing w:val="19"/>
        </w:rPr>
        <w:t xml:space="preserve"> </w:t>
      </w:r>
      <w:r>
        <w:rPr>
          <w:spacing w:val="-4"/>
        </w:rPr>
        <w:t>The</w:t>
      </w:r>
      <w:r>
        <w:rPr>
          <w:spacing w:val="-6"/>
        </w:rPr>
        <w:t xml:space="preserve"> </w:t>
      </w:r>
      <w:r>
        <w:rPr>
          <w:spacing w:val="-4"/>
        </w:rPr>
        <w:t>next</w:t>
      </w:r>
      <w:r>
        <w:rPr>
          <w:spacing w:val="-6"/>
        </w:rPr>
        <w:t xml:space="preserve"> </w:t>
      </w:r>
      <w:r>
        <w:rPr>
          <w:spacing w:val="-4"/>
        </w:rPr>
        <w:t>three</w:t>
      </w:r>
      <w:r>
        <w:rPr>
          <w:spacing w:val="-6"/>
        </w:rPr>
        <w:t xml:space="preserve"> </w:t>
      </w:r>
      <w:r>
        <w:rPr>
          <w:spacing w:val="-4"/>
        </w:rPr>
        <w:t>sections</w:t>
      </w:r>
      <w:r>
        <w:rPr>
          <w:spacing w:val="-6"/>
        </w:rPr>
        <w:t xml:space="preserve"> </w:t>
      </w:r>
      <w:r>
        <w:rPr>
          <w:spacing w:val="-4"/>
        </w:rPr>
        <w:t>will</w:t>
      </w:r>
      <w:r>
        <w:rPr>
          <w:spacing w:val="-6"/>
        </w:rPr>
        <w:t xml:space="preserve"> </w:t>
      </w:r>
      <w:r>
        <w:rPr>
          <w:spacing w:val="-4"/>
        </w:rPr>
        <w:t>examine</w:t>
      </w:r>
      <w:r>
        <w:rPr>
          <w:spacing w:val="-6"/>
        </w:rPr>
        <w:t xml:space="preserve"> </w:t>
      </w:r>
      <w:r>
        <w:rPr>
          <w:spacing w:val="-4"/>
        </w:rPr>
        <w:t xml:space="preserve">whether </w:t>
      </w:r>
      <w:r>
        <w:t>allowing</w:t>
      </w:r>
      <w:r>
        <w:rPr>
          <w:spacing w:val="-8"/>
        </w:rPr>
        <w:t xml:space="preserve"> </w:t>
      </w:r>
      <w:r>
        <w:t>for</w:t>
      </w:r>
      <w:r>
        <w:rPr>
          <w:spacing w:val="-7"/>
        </w:rPr>
        <w:t xml:space="preserve"> </w:t>
      </w:r>
      <w:r>
        <w:t>regime</w:t>
      </w:r>
      <w:r>
        <w:rPr>
          <w:spacing w:val="-7"/>
        </w:rPr>
        <w:t xml:space="preserve"> </w:t>
      </w:r>
      <w:r>
        <w:t>switches</w:t>
      </w:r>
      <w:r>
        <w:rPr>
          <w:spacing w:val="-8"/>
        </w:rPr>
        <w:t xml:space="preserve"> </w:t>
      </w:r>
      <w:r>
        <w:t>improves</w:t>
      </w:r>
      <w:r>
        <w:rPr>
          <w:spacing w:val="-7"/>
        </w:rPr>
        <w:t xml:space="preserve"> </w:t>
      </w:r>
      <w:r>
        <w:t>LTD</w:t>
      </w:r>
      <w:r>
        <w:rPr>
          <w:spacing w:val="-7"/>
        </w:rPr>
        <w:t xml:space="preserve"> </w:t>
      </w:r>
      <w:r>
        <w:t>forecasts.</w:t>
      </w:r>
    </w:p>
    <w:p w14:paraId="372FB91E" w14:textId="35C36A53" w:rsidR="00EE25B3" w:rsidRDefault="00EE25B3" w:rsidP="00EE25B3">
      <w:pPr>
        <w:pStyle w:val="Heading2numbered"/>
      </w:pPr>
      <w:r>
        <w:t>Cross-validation</w:t>
      </w:r>
    </w:p>
    <w:p w14:paraId="45B09FE4" w14:textId="5DD74258" w:rsidR="003B6D14" w:rsidRDefault="00EE25B3" w:rsidP="00EE25B3">
      <w:r>
        <w:rPr>
          <w:spacing w:val="-2"/>
        </w:rPr>
        <w:t>Our</w:t>
      </w:r>
      <w:r>
        <w:t xml:space="preserve"> </w:t>
      </w:r>
      <w:r>
        <w:rPr>
          <w:spacing w:val="-2"/>
        </w:rPr>
        <w:t>primary</w:t>
      </w:r>
      <w:r>
        <w:t xml:space="preserve"> </w:t>
      </w:r>
      <w:r>
        <w:rPr>
          <w:spacing w:val="-2"/>
        </w:rPr>
        <w:t>goal</w:t>
      </w:r>
      <w:r>
        <w:t xml:space="preserve"> </w:t>
      </w:r>
      <w:r>
        <w:rPr>
          <w:spacing w:val="-2"/>
        </w:rPr>
        <w:t>is</w:t>
      </w:r>
      <w:r>
        <w:t xml:space="preserve"> </w:t>
      </w:r>
      <w:r>
        <w:rPr>
          <w:spacing w:val="-2"/>
        </w:rPr>
        <w:t>to</w:t>
      </w:r>
      <w:r>
        <w:t xml:space="preserve"> </w:t>
      </w:r>
      <w:r>
        <w:rPr>
          <w:spacing w:val="-2"/>
        </w:rPr>
        <w:t>produce</w:t>
      </w:r>
      <w:r>
        <w:t xml:space="preserve"> </w:t>
      </w:r>
      <w:r>
        <w:rPr>
          <w:spacing w:val="-2"/>
        </w:rPr>
        <w:t>accurate</w:t>
      </w:r>
      <w:r>
        <w:t xml:space="preserve"> </w:t>
      </w:r>
      <w:r>
        <w:rPr>
          <w:spacing w:val="-2"/>
        </w:rPr>
        <w:t>and</w:t>
      </w:r>
      <w:r>
        <w:t xml:space="preserve"> </w:t>
      </w:r>
      <w:r>
        <w:rPr>
          <w:spacing w:val="-2"/>
        </w:rPr>
        <w:t>reliable</w:t>
      </w:r>
      <w:r>
        <w:t xml:space="preserve"> </w:t>
      </w:r>
      <w:r>
        <w:rPr>
          <w:spacing w:val="-2"/>
        </w:rPr>
        <w:t>forecasts</w:t>
      </w:r>
      <w:r>
        <w:t xml:space="preserve"> </w:t>
      </w:r>
      <w:r>
        <w:rPr>
          <w:spacing w:val="-2"/>
        </w:rPr>
        <w:t>of</w:t>
      </w:r>
      <w:r>
        <w:t xml:space="preserve"> </w:t>
      </w:r>
      <w:r>
        <w:rPr>
          <w:spacing w:val="-2"/>
        </w:rPr>
        <w:t>LTD.</w:t>
      </w:r>
      <w:r>
        <w:t xml:space="preserve"> </w:t>
      </w:r>
      <w:r>
        <w:rPr>
          <w:spacing w:val="-2"/>
        </w:rPr>
        <w:t>To</w:t>
      </w:r>
      <w:r>
        <w:t xml:space="preserve"> </w:t>
      </w:r>
      <w:r>
        <w:rPr>
          <w:spacing w:val="-2"/>
        </w:rPr>
        <w:t xml:space="preserve">evaluate </w:t>
      </w:r>
      <w:r>
        <w:t>forecast</w:t>
      </w:r>
      <w:r>
        <w:rPr>
          <w:spacing w:val="6"/>
        </w:rPr>
        <w:t xml:space="preserve"> </w:t>
      </w:r>
      <w:r>
        <w:t>performance</w:t>
      </w:r>
      <w:r>
        <w:rPr>
          <w:spacing w:val="6"/>
        </w:rPr>
        <w:t xml:space="preserve"> </w:t>
      </w:r>
      <w:r>
        <w:t>of</w:t>
      </w:r>
      <w:r>
        <w:rPr>
          <w:spacing w:val="6"/>
        </w:rPr>
        <w:t xml:space="preserve"> </w:t>
      </w:r>
      <w:r>
        <w:t>the</w:t>
      </w:r>
      <w:r>
        <w:rPr>
          <w:spacing w:val="7"/>
        </w:rPr>
        <w:t xml:space="preserve"> </w:t>
      </w:r>
      <w:r>
        <w:t>MS-VECM</w:t>
      </w:r>
      <w:r>
        <w:rPr>
          <w:spacing w:val="6"/>
        </w:rPr>
        <w:t xml:space="preserve"> </w:t>
      </w:r>
      <w:r>
        <w:t>model,</w:t>
      </w:r>
      <w:r>
        <w:rPr>
          <w:spacing w:val="9"/>
        </w:rPr>
        <w:t xml:space="preserve"> </w:t>
      </w:r>
      <w:r>
        <w:t>we</w:t>
      </w:r>
      <w:r>
        <w:rPr>
          <w:spacing w:val="6"/>
        </w:rPr>
        <w:t xml:space="preserve"> </w:t>
      </w:r>
      <w:r>
        <w:t>perform</w:t>
      </w:r>
      <w:r>
        <w:rPr>
          <w:spacing w:val="6"/>
        </w:rPr>
        <w:t xml:space="preserve"> </w:t>
      </w:r>
      <w:r>
        <w:t>a</w:t>
      </w:r>
      <w:r>
        <w:rPr>
          <w:spacing w:val="7"/>
        </w:rPr>
        <w:t xml:space="preserve"> </w:t>
      </w:r>
      <w:r>
        <w:t>comprehensive</w:t>
      </w:r>
      <w:r>
        <w:rPr>
          <w:spacing w:val="6"/>
        </w:rPr>
        <w:t xml:space="preserve"> ‘</w:t>
      </w:r>
      <w:r>
        <w:t>horse race’ between the following models:</w:t>
      </w:r>
      <w:r>
        <w:rPr>
          <w:spacing w:val="39"/>
        </w:rPr>
        <w:t xml:space="preserve"> </w:t>
      </w:r>
      <w:r>
        <w:t>VECM, VAR (in levels), dVAR (VAR in first differences), dAR (univariate AR in first differences), MS-VECM, MSAI-VECM, MS-VAR</w:t>
      </w:r>
      <w:r>
        <w:rPr>
          <w:spacing w:val="-2"/>
        </w:rPr>
        <w:t xml:space="preserve"> </w:t>
      </w:r>
      <w:r>
        <w:t>(in</w:t>
      </w:r>
      <w:r>
        <w:rPr>
          <w:spacing w:val="-2"/>
        </w:rPr>
        <w:t xml:space="preserve"> </w:t>
      </w:r>
      <w:r>
        <w:t>levels),</w:t>
      </w:r>
      <w:r>
        <w:rPr>
          <w:spacing w:val="-2"/>
        </w:rPr>
        <w:t xml:space="preserve"> </w:t>
      </w:r>
      <w:r>
        <w:t>MS-dVAR</w:t>
      </w:r>
      <w:r>
        <w:rPr>
          <w:spacing w:val="-2"/>
        </w:rPr>
        <w:t xml:space="preserve"> </w:t>
      </w:r>
      <w:r>
        <w:t>(first</w:t>
      </w:r>
      <w:r>
        <w:rPr>
          <w:spacing w:val="-2"/>
        </w:rPr>
        <w:t xml:space="preserve"> </w:t>
      </w:r>
      <w:r>
        <w:t>differences),</w:t>
      </w:r>
      <w:r>
        <w:rPr>
          <w:spacing w:val="-2"/>
        </w:rPr>
        <w:t xml:space="preserve"> </w:t>
      </w:r>
      <w:r>
        <w:t>and</w:t>
      </w:r>
      <w:r>
        <w:rPr>
          <w:spacing w:val="-2"/>
        </w:rPr>
        <w:t xml:space="preserve"> </w:t>
      </w:r>
      <w:r>
        <w:t>MS-dAR</w:t>
      </w:r>
      <w:r>
        <w:rPr>
          <w:spacing w:val="-2"/>
        </w:rPr>
        <w:t xml:space="preserve"> </w:t>
      </w:r>
      <w:r>
        <w:t>(univariate).</w:t>
      </w:r>
    </w:p>
    <w:p w14:paraId="051ED07C" w14:textId="21E19C9B" w:rsidR="00EE25B3" w:rsidRDefault="00EE25B3" w:rsidP="00EE25B3">
      <w:r>
        <w:lastRenderedPageBreak/>
        <w:t>All</w:t>
      </w:r>
      <w:r>
        <w:rPr>
          <w:spacing w:val="-15"/>
        </w:rPr>
        <w:t xml:space="preserve"> </w:t>
      </w:r>
      <w:r>
        <w:t>models</w:t>
      </w:r>
      <w:r>
        <w:rPr>
          <w:spacing w:val="-14"/>
        </w:rPr>
        <w:t xml:space="preserve"> </w:t>
      </w:r>
      <w:r>
        <w:t>require</w:t>
      </w:r>
      <w:r>
        <w:rPr>
          <w:spacing w:val="-15"/>
        </w:rPr>
        <w:t xml:space="preserve"> </w:t>
      </w:r>
      <w:r>
        <w:t>lag</w:t>
      </w:r>
      <w:r>
        <w:rPr>
          <w:spacing w:val="-14"/>
        </w:rPr>
        <w:t xml:space="preserve"> </w:t>
      </w:r>
      <w:r>
        <w:t>length</w:t>
      </w:r>
      <w:r>
        <w:rPr>
          <w:spacing w:val="-15"/>
        </w:rPr>
        <w:t xml:space="preserve"> </w:t>
      </w:r>
      <w:r>
        <w:t>selection</w:t>
      </w:r>
      <w:r>
        <w:rPr>
          <w:spacing w:val="-14"/>
        </w:rPr>
        <w:t xml:space="preserve"> </w:t>
      </w:r>
      <w:r>
        <w:t>and,</w:t>
      </w:r>
      <w:r>
        <w:rPr>
          <w:spacing w:val="-15"/>
        </w:rPr>
        <w:t xml:space="preserve"> </w:t>
      </w:r>
      <w:r>
        <w:t>as</w:t>
      </w:r>
      <w:r>
        <w:rPr>
          <w:spacing w:val="-14"/>
        </w:rPr>
        <w:t xml:space="preserve"> </w:t>
      </w:r>
      <w:r>
        <w:t>discussed</w:t>
      </w:r>
      <w:r>
        <w:rPr>
          <w:spacing w:val="-15"/>
        </w:rPr>
        <w:t xml:space="preserve"> </w:t>
      </w:r>
      <w:r>
        <w:t>above,</w:t>
      </w:r>
      <w:r>
        <w:rPr>
          <w:spacing w:val="-14"/>
        </w:rPr>
        <w:t xml:space="preserve"> </w:t>
      </w:r>
      <w:r>
        <w:t>traditional</w:t>
      </w:r>
      <w:r>
        <w:rPr>
          <w:spacing w:val="-14"/>
        </w:rPr>
        <w:t xml:space="preserve"> </w:t>
      </w:r>
      <w:r>
        <w:t>criteria</w:t>
      </w:r>
      <w:r>
        <w:rPr>
          <w:spacing w:val="-11"/>
        </w:rPr>
        <w:t xml:space="preserve"> </w:t>
      </w:r>
      <w:r>
        <w:t>such</w:t>
      </w:r>
      <w:r>
        <w:rPr>
          <w:spacing w:val="-10"/>
        </w:rPr>
        <w:t xml:space="preserve"> </w:t>
      </w:r>
      <w:r>
        <w:t>as</w:t>
      </w:r>
      <w:r>
        <w:rPr>
          <w:spacing w:val="-12"/>
        </w:rPr>
        <w:t xml:space="preserve"> </w:t>
      </w:r>
      <w:r>
        <w:t>SIC</w:t>
      </w:r>
      <w:r>
        <w:rPr>
          <w:spacing w:val="-11"/>
        </w:rPr>
        <w:t xml:space="preserve"> </w:t>
      </w:r>
      <w:r>
        <w:t>may</w:t>
      </w:r>
      <w:r>
        <w:rPr>
          <w:spacing w:val="-10"/>
        </w:rPr>
        <w:t xml:space="preserve"> </w:t>
      </w:r>
      <w:r>
        <w:t>not</w:t>
      </w:r>
      <w:r>
        <w:rPr>
          <w:spacing w:val="-11"/>
        </w:rPr>
        <w:t xml:space="preserve"> </w:t>
      </w:r>
      <w:r>
        <w:t>yield</w:t>
      </w:r>
      <w:r>
        <w:rPr>
          <w:spacing w:val="-11"/>
        </w:rPr>
        <w:t xml:space="preserve"> </w:t>
      </w:r>
      <w:r>
        <w:t>optimal</w:t>
      </w:r>
      <w:r>
        <w:rPr>
          <w:spacing w:val="-11"/>
        </w:rPr>
        <w:t xml:space="preserve"> </w:t>
      </w:r>
      <w:r>
        <w:t>forecasts</w:t>
      </w:r>
      <w:r>
        <w:rPr>
          <w:spacing w:val="-11"/>
        </w:rPr>
        <w:t xml:space="preserve"> </w:t>
      </w:r>
      <w:r>
        <w:t>over</w:t>
      </w:r>
      <w:r>
        <w:rPr>
          <w:spacing w:val="-11"/>
        </w:rPr>
        <w:t xml:space="preserve"> </w:t>
      </w:r>
      <w:r>
        <w:t>longer</w:t>
      </w:r>
      <w:r>
        <w:rPr>
          <w:spacing w:val="-11"/>
        </w:rPr>
        <w:t xml:space="preserve"> </w:t>
      </w:r>
      <w:r>
        <w:t>horizons.</w:t>
      </w:r>
      <w:r>
        <w:rPr>
          <w:spacing w:val="9"/>
        </w:rPr>
        <w:t xml:space="preserve"> </w:t>
      </w:r>
      <w:r>
        <w:t>To</w:t>
      </w:r>
      <w:r>
        <w:rPr>
          <w:spacing w:val="-12"/>
        </w:rPr>
        <w:t xml:space="preserve"> </w:t>
      </w:r>
      <w:r>
        <w:t xml:space="preserve">address </w:t>
      </w:r>
      <w:r w:rsidRPr="00EE25B3">
        <w:t>this, the cross-validation (CV) approach in Section 3.3 is implemented. We use a 25-year estimation window, a 6 year training period (July 2011 to June 2017) and the last 6-year period (July 2017 to June 2023) for out-of-sample (OOS) forecasting. Experimentation revealed that a 25</w:t>
      </w:r>
      <w:r>
        <w:t>-</w:t>
      </w:r>
      <w:r w:rsidRPr="00EE25B3">
        <w:t>year estimation window is essential for the MS models to identify regime switches. We are therefore limited to small sample sizes for the CV and OOS periods, which may affect our ability to statistically detect differences between models.</w:t>
      </w:r>
      <w:r>
        <w:rPr>
          <w:rStyle w:val="FootnoteReference"/>
        </w:rPr>
        <w:footnoteReference w:id="11"/>
      </w:r>
      <w:r w:rsidRPr="00EE25B3">
        <w:t xml:space="preserve"> Our CV analysis optimises lag length by considering lags of 1 to 10 for the linear models and 1 to 4 for the MS models (as the additional regime increases each models’ dimensionality).</w:t>
      </w:r>
    </w:p>
    <w:p w14:paraId="393055C8" w14:textId="5A1B88D7" w:rsidR="00EE25B3" w:rsidRDefault="00EE25B3" w:rsidP="00EE25B3">
      <w:r w:rsidRPr="00EE25B3">
        <w:t xml:space="preserve">The optimal model specifications selected via CV are outlined in Table 5. Cross validation typically favours fewer lags for models in levels, while selecting </w:t>
      </w:r>
      <w:r>
        <w:t>more lags for those in first differences, as demonstrated by the linear VAR and dVAR results. This pattern contrasts with AIC/SIC, which tends to select the same number of lags across model types and restricts lag length to a maximum of 4. The benchmark model used for performance comparison is the VECM(4), commonly adopted by the Department of Treasury and Finance (DTF) due to its consistent out-of-sample accuracy.</w:t>
      </w:r>
      <w:r w:rsidR="003B6D14">
        <w:rPr>
          <w:rStyle w:val="FootnoteReference"/>
        </w:rPr>
        <w:footnoteReference w:id="12"/>
      </w:r>
    </w:p>
    <w:p w14:paraId="4EE959E9" w14:textId="77777777" w:rsidR="004B04C6" w:rsidRPr="004B04C6" w:rsidRDefault="004B04C6" w:rsidP="00AB6159">
      <w:pPr>
        <w:pStyle w:val="Caption"/>
        <w:pageBreakBefore/>
        <w:rPr>
          <w:lang w:val="en-GB"/>
        </w:rPr>
      </w:pPr>
      <w:r w:rsidRPr="004B04C6">
        <w:rPr>
          <w:lang w:val="en-GB"/>
        </w:rPr>
        <w:lastRenderedPageBreak/>
        <w:t>Table 5: Cross validation results</w:t>
      </w:r>
    </w:p>
    <w:tbl>
      <w:tblPr>
        <w:tblStyle w:val="Financialtable"/>
        <w:tblW w:w="9187" w:type="dxa"/>
        <w:tblLayout w:type="fixed"/>
        <w:tblLook w:val="06A0" w:firstRow="1" w:lastRow="0" w:firstColumn="1" w:lastColumn="0" w:noHBand="1" w:noVBand="1"/>
      </w:tblPr>
      <w:tblGrid>
        <w:gridCol w:w="2790"/>
        <w:gridCol w:w="1280"/>
        <w:gridCol w:w="1279"/>
        <w:gridCol w:w="1279"/>
        <w:gridCol w:w="1279"/>
        <w:gridCol w:w="1280"/>
      </w:tblGrid>
      <w:tr w:rsidR="009B6E8A" w:rsidRPr="007E3590" w14:paraId="58071287" w14:textId="77777777" w:rsidTr="00F1715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790" w:type="dxa"/>
          </w:tcPr>
          <w:p w14:paraId="46D0ED8E" w14:textId="77777777" w:rsidR="009B6E8A" w:rsidRPr="007E3590" w:rsidRDefault="009B6E8A" w:rsidP="00F1715A">
            <w:pPr>
              <w:spacing w:before="30" w:after="30" w:line="240" w:lineRule="auto"/>
              <w:rPr>
                <w:b/>
                <w:bCs/>
                <w:lang w:val="en-GB"/>
              </w:rPr>
            </w:pPr>
          </w:p>
        </w:tc>
        <w:tc>
          <w:tcPr>
            <w:tcW w:w="6397" w:type="dxa"/>
            <w:gridSpan w:val="5"/>
          </w:tcPr>
          <w:p w14:paraId="3A0B213E" w14:textId="3E0DD569" w:rsidR="009B6E8A" w:rsidRPr="009B6E8A" w:rsidRDefault="009B6E8A" w:rsidP="00F1715A">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b/>
                <w:bCs/>
                <w:lang w:val="en-GB"/>
              </w:rPr>
            </w:pPr>
            <w:r w:rsidRPr="009B6E8A">
              <w:rPr>
                <w:b/>
                <w:bCs/>
                <w:lang w:val="en-GB"/>
              </w:rPr>
              <w:t>STATE DEPENDENT:</w:t>
            </w:r>
          </w:p>
        </w:tc>
      </w:tr>
      <w:tr w:rsidR="00F1715A" w:rsidRPr="007E3590" w14:paraId="72A6FF39" w14:textId="77777777" w:rsidTr="00F1715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790" w:type="dxa"/>
          </w:tcPr>
          <w:p w14:paraId="1A3F31CC" w14:textId="4377954F" w:rsidR="00F1715A" w:rsidRPr="007E3590" w:rsidRDefault="00F1715A" w:rsidP="00F1715A">
            <w:pPr>
              <w:spacing w:before="30" w:after="30" w:line="240" w:lineRule="auto"/>
              <w:rPr>
                <w:b/>
                <w:bCs/>
                <w:lang w:val="en-GB"/>
              </w:rPr>
            </w:pPr>
            <w:r>
              <w:t>Specification</w:t>
            </w:r>
          </w:p>
        </w:tc>
        <w:tc>
          <w:tcPr>
            <w:tcW w:w="1280" w:type="dxa"/>
          </w:tcPr>
          <w:p w14:paraId="056630A3" w14:textId="5DA7BF54" w:rsidR="00F1715A" w:rsidRPr="007E3590" w:rsidRDefault="00F1715A" w:rsidP="00F1715A">
            <w:pPr>
              <w:spacing w:before="30" w:after="30" w:line="240" w:lineRule="auto"/>
              <w:cnfStyle w:val="100000000000" w:firstRow="1" w:lastRow="0" w:firstColumn="0" w:lastColumn="0" w:oddVBand="0" w:evenVBand="0" w:oddHBand="0" w:evenHBand="0" w:firstRowFirstColumn="0" w:firstRowLastColumn="0" w:lastRowFirstColumn="0" w:lastRowLastColumn="0"/>
            </w:pPr>
            <w:r>
              <w:t>Lags</w:t>
            </w:r>
          </w:p>
        </w:tc>
        <w:tc>
          <w:tcPr>
            <w:tcW w:w="1279" w:type="dxa"/>
          </w:tcPr>
          <w:p w14:paraId="3C64824E" w14:textId="0763EC3C" w:rsidR="00F1715A" w:rsidRPr="007E3590" w:rsidRDefault="00F1715A" w:rsidP="00F1715A">
            <w:pPr>
              <w:spacing w:before="30" w:after="30" w:line="240" w:lineRule="auto"/>
              <w:cnfStyle w:val="100000000000" w:firstRow="1" w:lastRow="0" w:firstColumn="0" w:lastColumn="0" w:oddVBand="0" w:evenVBand="0" w:oddHBand="0" w:evenHBand="0" w:firstRowFirstColumn="0" w:firstRowLastColumn="0" w:lastRowFirstColumn="0" w:lastRowLastColumn="0"/>
            </w:pPr>
            <w:r>
              <w:rPr>
                <w:rStyle w:val="Cambriaitalic"/>
                <w:b/>
                <w:bCs/>
                <w:caps/>
                <w:sz w:val="20"/>
                <w:szCs w:val="20"/>
              </w:rPr>
              <w:t>ν</w:t>
            </w:r>
          </w:p>
        </w:tc>
        <w:tc>
          <w:tcPr>
            <w:tcW w:w="1279" w:type="dxa"/>
          </w:tcPr>
          <w:p w14:paraId="76E7C0CD" w14:textId="1F6A70CC" w:rsidR="00F1715A" w:rsidRPr="007E3590" w:rsidRDefault="00F1715A" w:rsidP="00F1715A">
            <w:pPr>
              <w:spacing w:before="30" w:after="30" w:line="240" w:lineRule="auto"/>
              <w:cnfStyle w:val="100000000000" w:firstRow="1" w:lastRow="0" w:firstColumn="0" w:lastColumn="0" w:oddVBand="0" w:evenVBand="0" w:oddHBand="0" w:evenHBand="0" w:firstRowFirstColumn="0" w:firstRowLastColumn="0" w:lastRowFirstColumn="0" w:lastRowLastColumn="0"/>
            </w:pPr>
            <w:r>
              <w:rPr>
                <w:rFonts w:ascii="Cambria" w:hAnsi="Cambria" w:cs="Cambria"/>
                <w:b/>
                <w:bCs/>
                <w:caps/>
                <w:sz w:val="20"/>
                <w:szCs w:val="20"/>
              </w:rPr>
              <w:t>α</w:t>
            </w:r>
          </w:p>
        </w:tc>
        <w:tc>
          <w:tcPr>
            <w:tcW w:w="1279" w:type="dxa"/>
          </w:tcPr>
          <w:p w14:paraId="33DC69D7" w14:textId="51760206" w:rsidR="00F1715A" w:rsidRPr="007E3590" w:rsidRDefault="00F1715A" w:rsidP="00F1715A">
            <w:pPr>
              <w:spacing w:before="30" w:after="30" w:line="240" w:lineRule="auto"/>
              <w:cnfStyle w:val="100000000000" w:firstRow="1" w:lastRow="0" w:firstColumn="0" w:lastColumn="0" w:oddVBand="0" w:evenVBand="0" w:oddHBand="0" w:evenHBand="0" w:firstRowFirstColumn="0" w:firstRowLastColumn="0" w:lastRowFirstColumn="0" w:lastRowLastColumn="0"/>
            </w:pPr>
            <w:r>
              <w:rPr>
                <w:rFonts w:ascii="Cambria" w:hAnsi="Cambria" w:cs="Cambria"/>
                <w:b/>
                <w:bCs/>
                <w:caps/>
                <w:sz w:val="20"/>
                <w:szCs w:val="20"/>
              </w:rPr>
              <w:t>Γ</w:t>
            </w:r>
            <w:r>
              <w:rPr>
                <w:rStyle w:val="Cambriaitalic"/>
                <w:b/>
                <w:bCs/>
                <w:caps/>
                <w:position w:val="4"/>
                <w:sz w:val="20"/>
                <w:szCs w:val="20"/>
                <w:vertAlign w:val="subscript"/>
              </w:rPr>
              <w:t>k</w:t>
            </w:r>
          </w:p>
        </w:tc>
        <w:tc>
          <w:tcPr>
            <w:tcW w:w="1280" w:type="dxa"/>
          </w:tcPr>
          <w:p w14:paraId="29D53034" w14:textId="373877B2" w:rsidR="00F1715A" w:rsidRPr="007E3590" w:rsidRDefault="00F1715A" w:rsidP="00F1715A">
            <w:pPr>
              <w:spacing w:before="30" w:after="30" w:line="240" w:lineRule="auto"/>
              <w:cnfStyle w:val="100000000000" w:firstRow="1" w:lastRow="0" w:firstColumn="0" w:lastColumn="0" w:oddVBand="0" w:evenVBand="0" w:oddHBand="0" w:evenHBand="0" w:firstRowFirstColumn="0" w:firstRowLastColumn="0" w:lastRowFirstColumn="0" w:lastRowLastColumn="0"/>
            </w:pPr>
            <w:r>
              <w:rPr>
                <w:rFonts w:ascii="Cambria" w:hAnsi="Cambria" w:cs="Cambria"/>
                <w:b/>
                <w:bCs/>
                <w:caps/>
                <w:sz w:val="20"/>
                <w:szCs w:val="20"/>
              </w:rPr>
              <w:t>Σ</w:t>
            </w:r>
          </w:p>
        </w:tc>
      </w:tr>
      <w:tr w:rsidR="007E3590" w:rsidRPr="007E3590" w14:paraId="20ACE8BB"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5820FFEA" w14:textId="77777777" w:rsidR="007E3590" w:rsidRPr="007E3590" w:rsidRDefault="007E3590" w:rsidP="00F1715A">
            <w:pPr>
              <w:spacing w:before="30" w:after="30" w:line="240" w:lineRule="auto"/>
              <w:rPr>
                <w:lang w:val="en-GB"/>
              </w:rPr>
            </w:pPr>
            <w:r w:rsidRPr="007E3590">
              <w:rPr>
                <w:b/>
                <w:bCs/>
                <w:lang w:val="en-GB"/>
              </w:rPr>
              <w:t>Selected models</w:t>
            </w:r>
          </w:p>
        </w:tc>
        <w:tc>
          <w:tcPr>
            <w:tcW w:w="1280" w:type="dxa"/>
          </w:tcPr>
          <w:p w14:paraId="05068FA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67C18C6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07340EA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73220DB4"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7C749CB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16B8603A"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24691617" w14:textId="77777777" w:rsidR="007E3590" w:rsidRPr="007E3590" w:rsidRDefault="007E3590" w:rsidP="00F1715A">
            <w:pPr>
              <w:spacing w:before="30" w:after="30" w:line="240" w:lineRule="auto"/>
              <w:rPr>
                <w:lang w:val="en-GB"/>
              </w:rPr>
            </w:pPr>
            <w:r w:rsidRPr="007E3590">
              <w:rPr>
                <w:lang w:val="en-GB"/>
              </w:rPr>
              <w:t>VECM</w:t>
            </w:r>
          </w:p>
        </w:tc>
        <w:tc>
          <w:tcPr>
            <w:tcW w:w="1280" w:type="dxa"/>
          </w:tcPr>
          <w:p w14:paraId="6E81471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4</w:t>
            </w:r>
          </w:p>
        </w:tc>
        <w:tc>
          <w:tcPr>
            <w:tcW w:w="1279" w:type="dxa"/>
          </w:tcPr>
          <w:p w14:paraId="70925723"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3925C2B1"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78AAC63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4A82CB2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4739C1CB"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3A50485E" w14:textId="77777777" w:rsidR="007E3590" w:rsidRPr="007E3590" w:rsidRDefault="007E3590" w:rsidP="00F1715A">
            <w:pPr>
              <w:spacing w:before="30" w:after="30" w:line="240" w:lineRule="auto"/>
              <w:rPr>
                <w:lang w:val="en-GB"/>
              </w:rPr>
            </w:pPr>
            <w:r w:rsidRPr="007E3590">
              <w:rPr>
                <w:lang w:val="en-GB"/>
              </w:rPr>
              <w:t>VAR</w:t>
            </w:r>
          </w:p>
        </w:tc>
        <w:tc>
          <w:tcPr>
            <w:tcW w:w="1280" w:type="dxa"/>
          </w:tcPr>
          <w:p w14:paraId="34F519F0"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2</w:t>
            </w:r>
          </w:p>
        </w:tc>
        <w:tc>
          <w:tcPr>
            <w:tcW w:w="1279" w:type="dxa"/>
          </w:tcPr>
          <w:p w14:paraId="39F0D33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66E3ECAC"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50FB80D0"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5B898ED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513166D2"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0DCC73F9" w14:textId="77777777" w:rsidR="007E3590" w:rsidRPr="007E3590" w:rsidRDefault="007E3590" w:rsidP="00F1715A">
            <w:pPr>
              <w:spacing w:before="30" w:after="30" w:line="240" w:lineRule="auto"/>
              <w:rPr>
                <w:lang w:val="en-GB"/>
              </w:rPr>
            </w:pPr>
            <w:r w:rsidRPr="007E3590">
              <w:rPr>
                <w:lang w:val="en-GB"/>
              </w:rPr>
              <w:t>dVAR</w:t>
            </w:r>
          </w:p>
        </w:tc>
        <w:tc>
          <w:tcPr>
            <w:tcW w:w="1280" w:type="dxa"/>
          </w:tcPr>
          <w:p w14:paraId="7789C82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9</w:t>
            </w:r>
          </w:p>
        </w:tc>
        <w:tc>
          <w:tcPr>
            <w:tcW w:w="1279" w:type="dxa"/>
          </w:tcPr>
          <w:p w14:paraId="7BD0A94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0EFB07A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4F6132B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5EE34DED"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546C6A29"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6F426B71" w14:textId="77777777" w:rsidR="007E3590" w:rsidRPr="007E3590" w:rsidRDefault="007E3590" w:rsidP="00F1715A">
            <w:pPr>
              <w:spacing w:before="30" w:after="30" w:line="240" w:lineRule="auto"/>
              <w:rPr>
                <w:lang w:val="en-GB"/>
              </w:rPr>
            </w:pPr>
            <w:r w:rsidRPr="007E3590">
              <w:rPr>
                <w:lang w:val="en-GB"/>
              </w:rPr>
              <w:t>dAR</w:t>
            </w:r>
          </w:p>
        </w:tc>
        <w:tc>
          <w:tcPr>
            <w:tcW w:w="1280" w:type="dxa"/>
          </w:tcPr>
          <w:p w14:paraId="6220B021"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12</w:t>
            </w:r>
          </w:p>
        </w:tc>
        <w:tc>
          <w:tcPr>
            <w:tcW w:w="1279" w:type="dxa"/>
          </w:tcPr>
          <w:p w14:paraId="1B11D95A"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16CC12BC"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2DF78340"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0B72F6A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0AEE85E4"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5E318168" w14:textId="77777777" w:rsidR="007E3590" w:rsidRPr="007E3590" w:rsidRDefault="007E3590" w:rsidP="00F1715A">
            <w:pPr>
              <w:spacing w:before="30" w:after="30" w:line="240" w:lineRule="auto"/>
              <w:rPr>
                <w:lang w:val="en-GB"/>
              </w:rPr>
            </w:pPr>
            <w:r w:rsidRPr="007E3590">
              <w:rPr>
                <w:lang w:val="en-GB"/>
              </w:rPr>
              <w:t>MS-VECM</w:t>
            </w:r>
          </w:p>
        </w:tc>
        <w:tc>
          <w:tcPr>
            <w:tcW w:w="1280" w:type="dxa"/>
          </w:tcPr>
          <w:p w14:paraId="2C3E5CCE"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3</w:t>
            </w:r>
          </w:p>
        </w:tc>
        <w:tc>
          <w:tcPr>
            <w:tcW w:w="1279" w:type="dxa"/>
          </w:tcPr>
          <w:p w14:paraId="6F7B257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625A711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42B19E94"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80" w:type="dxa"/>
          </w:tcPr>
          <w:p w14:paraId="331D6D1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r>
      <w:tr w:rsidR="007E3590" w:rsidRPr="007E3590" w14:paraId="240109B1"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7B932556" w14:textId="77777777" w:rsidR="007E3590" w:rsidRPr="007E3590" w:rsidRDefault="007E3590" w:rsidP="00F1715A">
            <w:pPr>
              <w:spacing w:before="30" w:after="30" w:line="240" w:lineRule="auto"/>
              <w:rPr>
                <w:lang w:val="en-GB"/>
              </w:rPr>
            </w:pPr>
            <w:r w:rsidRPr="007E3590">
              <w:rPr>
                <w:lang w:val="en-GB"/>
              </w:rPr>
              <w:t>MSAI-VECM</w:t>
            </w:r>
          </w:p>
        </w:tc>
        <w:tc>
          <w:tcPr>
            <w:tcW w:w="1280" w:type="dxa"/>
          </w:tcPr>
          <w:p w14:paraId="570C463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4</w:t>
            </w:r>
          </w:p>
        </w:tc>
        <w:tc>
          <w:tcPr>
            <w:tcW w:w="1279" w:type="dxa"/>
          </w:tcPr>
          <w:p w14:paraId="0CEE43BC"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2BA94D0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18FCD53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No</w:t>
            </w:r>
          </w:p>
        </w:tc>
        <w:tc>
          <w:tcPr>
            <w:tcW w:w="1280" w:type="dxa"/>
          </w:tcPr>
          <w:p w14:paraId="368B95DD"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r>
      <w:tr w:rsidR="007E3590" w:rsidRPr="007E3590" w14:paraId="5C7160C3"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56DD8CF0" w14:textId="77777777" w:rsidR="007E3590" w:rsidRPr="007E3590" w:rsidRDefault="007E3590" w:rsidP="00F1715A">
            <w:pPr>
              <w:spacing w:before="30" w:after="30" w:line="240" w:lineRule="auto"/>
              <w:rPr>
                <w:lang w:val="en-GB"/>
              </w:rPr>
            </w:pPr>
            <w:r w:rsidRPr="007E3590">
              <w:rPr>
                <w:lang w:val="en-GB"/>
              </w:rPr>
              <w:t>MS-VAR</w:t>
            </w:r>
          </w:p>
        </w:tc>
        <w:tc>
          <w:tcPr>
            <w:tcW w:w="1280" w:type="dxa"/>
          </w:tcPr>
          <w:p w14:paraId="0C74B18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2</w:t>
            </w:r>
          </w:p>
        </w:tc>
        <w:tc>
          <w:tcPr>
            <w:tcW w:w="1279" w:type="dxa"/>
          </w:tcPr>
          <w:p w14:paraId="73CB2F74"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54E863C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7249E0FA"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80" w:type="dxa"/>
          </w:tcPr>
          <w:p w14:paraId="1748BC6D"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r>
      <w:tr w:rsidR="007E3590" w:rsidRPr="007E3590" w14:paraId="3A8A650B"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0499F767" w14:textId="77777777" w:rsidR="007E3590" w:rsidRPr="007E3590" w:rsidRDefault="007E3590" w:rsidP="00F1715A">
            <w:pPr>
              <w:spacing w:before="30" w:after="30" w:line="240" w:lineRule="auto"/>
              <w:rPr>
                <w:lang w:val="en-GB"/>
              </w:rPr>
            </w:pPr>
            <w:r w:rsidRPr="007E3590">
              <w:rPr>
                <w:lang w:val="en-GB"/>
              </w:rPr>
              <w:t>MS-dVAR</w:t>
            </w:r>
          </w:p>
        </w:tc>
        <w:tc>
          <w:tcPr>
            <w:tcW w:w="1280" w:type="dxa"/>
          </w:tcPr>
          <w:p w14:paraId="21B4E6BD"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4</w:t>
            </w:r>
          </w:p>
        </w:tc>
        <w:tc>
          <w:tcPr>
            <w:tcW w:w="1279" w:type="dxa"/>
          </w:tcPr>
          <w:p w14:paraId="34049C9B"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2FF8A5C6"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70FC70F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80" w:type="dxa"/>
          </w:tcPr>
          <w:p w14:paraId="1F87DF33"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r>
      <w:tr w:rsidR="007E3590" w:rsidRPr="007E3590" w14:paraId="4D13772F"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6A5335B4" w14:textId="77777777" w:rsidR="007E3590" w:rsidRPr="007E3590" w:rsidRDefault="007E3590" w:rsidP="00F1715A">
            <w:pPr>
              <w:spacing w:before="30" w:after="30" w:line="240" w:lineRule="auto"/>
              <w:rPr>
                <w:lang w:val="en-GB"/>
              </w:rPr>
            </w:pPr>
            <w:r w:rsidRPr="007E3590">
              <w:rPr>
                <w:lang w:val="en-GB"/>
              </w:rPr>
              <w:t>MS-dAR</w:t>
            </w:r>
          </w:p>
        </w:tc>
        <w:tc>
          <w:tcPr>
            <w:tcW w:w="1280" w:type="dxa"/>
          </w:tcPr>
          <w:p w14:paraId="15402B03"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6</w:t>
            </w:r>
          </w:p>
        </w:tc>
        <w:tc>
          <w:tcPr>
            <w:tcW w:w="1279" w:type="dxa"/>
          </w:tcPr>
          <w:p w14:paraId="59BEC5CA"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06B6BCF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79" w:type="dxa"/>
          </w:tcPr>
          <w:p w14:paraId="2B7BF66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c>
          <w:tcPr>
            <w:tcW w:w="1280" w:type="dxa"/>
          </w:tcPr>
          <w:p w14:paraId="4DA8500A"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7E3590">
              <w:rPr>
                <w:lang w:val="en-GB"/>
              </w:rPr>
              <w:t>Yes</w:t>
            </w:r>
          </w:p>
        </w:tc>
      </w:tr>
      <w:tr w:rsidR="007E3590" w:rsidRPr="007E3590" w14:paraId="4C559C0A"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7ED020F5" w14:textId="77777777" w:rsidR="007E3590" w:rsidRPr="007E3590" w:rsidRDefault="007E3590" w:rsidP="00F1715A">
            <w:pPr>
              <w:keepNext/>
              <w:spacing w:before="30" w:after="30" w:line="240" w:lineRule="auto"/>
              <w:rPr>
                <w:lang w:val="en-GB"/>
              </w:rPr>
            </w:pPr>
            <w:r w:rsidRPr="007E3590">
              <w:rPr>
                <w:b/>
                <w:bCs/>
                <w:lang w:val="en-GB"/>
              </w:rPr>
              <w:t>Model combinations</w:t>
            </w:r>
          </w:p>
        </w:tc>
        <w:tc>
          <w:tcPr>
            <w:tcW w:w="1280" w:type="dxa"/>
          </w:tcPr>
          <w:p w14:paraId="118D63D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783D2811"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5D370E0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24214A0E"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2C22C11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14D5C50E"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0B5016EF" w14:textId="77777777" w:rsidR="007E3590" w:rsidRPr="007E3590" w:rsidRDefault="007E3590" w:rsidP="00F1715A">
            <w:pPr>
              <w:keepNext/>
              <w:spacing w:before="30" w:after="30" w:line="240" w:lineRule="auto"/>
              <w:rPr>
                <w:lang w:val="en-GB"/>
              </w:rPr>
            </w:pPr>
            <w:r w:rsidRPr="007E3590">
              <w:rPr>
                <w:lang w:val="en-GB"/>
              </w:rPr>
              <w:t>AVG-3 (10%)</w:t>
            </w:r>
          </w:p>
        </w:tc>
        <w:tc>
          <w:tcPr>
            <w:tcW w:w="1280" w:type="dxa"/>
          </w:tcPr>
          <w:p w14:paraId="1A8C8680"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1C108E6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4233DE3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5AE07A7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70C6C739"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4F602521"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67F55A90" w14:textId="77777777" w:rsidR="007E3590" w:rsidRPr="007E3590" w:rsidRDefault="007E3590" w:rsidP="00F1715A">
            <w:pPr>
              <w:spacing w:before="30" w:after="30" w:line="240" w:lineRule="auto"/>
              <w:rPr>
                <w:lang w:val="en-GB"/>
              </w:rPr>
            </w:pPr>
            <w:r w:rsidRPr="007E3590">
              <w:rPr>
                <w:lang w:val="en-GB"/>
              </w:rPr>
              <w:t>AVG-12 (10%)</w:t>
            </w:r>
          </w:p>
        </w:tc>
        <w:tc>
          <w:tcPr>
            <w:tcW w:w="1280" w:type="dxa"/>
          </w:tcPr>
          <w:p w14:paraId="4AA0342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7EFDC74E"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68D4074D"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2928FA81"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241EDF10"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245FAACF"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367D454C" w14:textId="77777777" w:rsidR="007E3590" w:rsidRPr="007E3590" w:rsidRDefault="007E3590" w:rsidP="00F1715A">
            <w:pPr>
              <w:spacing w:before="30" w:after="30" w:line="240" w:lineRule="auto"/>
              <w:rPr>
                <w:lang w:val="en-GB"/>
              </w:rPr>
            </w:pPr>
            <w:r w:rsidRPr="007E3590">
              <w:rPr>
                <w:lang w:val="en-GB"/>
              </w:rPr>
              <w:t>AVG-3 (25%)</w:t>
            </w:r>
          </w:p>
        </w:tc>
        <w:tc>
          <w:tcPr>
            <w:tcW w:w="1280" w:type="dxa"/>
          </w:tcPr>
          <w:p w14:paraId="7ED8341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475290F9"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459072CE"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5191143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45C1517B"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12221CAB"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052899D9" w14:textId="77777777" w:rsidR="007E3590" w:rsidRPr="007E3590" w:rsidRDefault="007E3590" w:rsidP="00F1715A">
            <w:pPr>
              <w:spacing w:before="30" w:after="30" w:line="240" w:lineRule="auto"/>
              <w:rPr>
                <w:lang w:val="en-GB"/>
              </w:rPr>
            </w:pPr>
            <w:r w:rsidRPr="007E3590">
              <w:rPr>
                <w:lang w:val="en-GB"/>
              </w:rPr>
              <w:t>AVG-12 (25%)</w:t>
            </w:r>
          </w:p>
        </w:tc>
        <w:tc>
          <w:tcPr>
            <w:tcW w:w="1280" w:type="dxa"/>
          </w:tcPr>
          <w:p w14:paraId="01A2DAB9"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5FADAA38"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24681D5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493A15E7"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5467187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r w:rsidR="007E3590" w:rsidRPr="007E3590" w14:paraId="3B0FBF72" w14:textId="77777777" w:rsidTr="00F1715A">
        <w:trPr>
          <w:cantSplit/>
        </w:trPr>
        <w:tc>
          <w:tcPr>
            <w:cnfStyle w:val="001000000000" w:firstRow="0" w:lastRow="0" w:firstColumn="1" w:lastColumn="0" w:oddVBand="0" w:evenVBand="0" w:oddHBand="0" w:evenHBand="0" w:firstRowFirstColumn="0" w:firstRowLastColumn="0" w:lastRowFirstColumn="0" w:lastRowLastColumn="0"/>
            <w:tcW w:w="2790" w:type="dxa"/>
          </w:tcPr>
          <w:p w14:paraId="41B28FA2" w14:textId="77777777" w:rsidR="007E3590" w:rsidRPr="007E3590" w:rsidRDefault="007E3590" w:rsidP="00F1715A">
            <w:pPr>
              <w:spacing w:before="30" w:after="30" w:line="240" w:lineRule="auto"/>
              <w:rPr>
                <w:lang w:val="en-GB"/>
              </w:rPr>
            </w:pPr>
            <w:r w:rsidRPr="007E3590">
              <w:rPr>
                <w:lang w:val="en-GB"/>
              </w:rPr>
              <w:t>MS-Combo</w:t>
            </w:r>
          </w:p>
        </w:tc>
        <w:tc>
          <w:tcPr>
            <w:tcW w:w="1280" w:type="dxa"/>
          </w:tcPr>
          <w:p w14:paraId="7A3D0693"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1232359C"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2B3F4D0F"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79" w:type="dxa"/>
          </w:tcPr>
          <w:p w14:paraId="367BF272"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1280" w:type="dxa"/>
          </w:tcPr>
          <w:p w14:paraId="4C10C985" w14:textId="77777777" w:rsidR="007E3590" w:rsidRPr="007E3590" w:rsidRDefault="007E3590" w:rsidP="00F1715A">
            <w:pPr>
              <w:spacing w:before="30" w:after="30" w:line="240" w:lineRule="auto"/>
              <w:cnfStyle w:val="000000000000" w:firstRow="0" w:lastRow="0" w:firstColumn="0" w:lastColumn="0" w:oddVBand="0" w:evenVBand="0" w:oddHBand="0" w:evenHBand="0" w:firstRowFirstColumn="0" w:firstRowLastColumn="0" w:lastRowFirstColumn="0" w:lastRowLastColumn="0"/>
            </w:pPr>
          </w:p>
        </w:tc>
      </w:tr>
    </w:tbl>
    <w:p w14:paraId="7DD8527C" w14:textId="37251E1D" w:rsidR="004B04C6" w:rsidRDefault="00875A66" w:rsidP="00875A66">
      <w:pPr>
        <w:pStyle w:val="Note"/>
      </w:pPr>
      <w:r w:rsidRPr="00875A66">
        <w:t>Note: Forecasting models specification determined by cross</w:t>
      </w:r>
      <w:r w:rsidRPr="00875A66">
        <w:noBreakHyphen/>
        <w:t>validation approach, choosing the number of lags which minimise a model’s 12-month ahead cumulative MAPE over the training sample (7/2011-6/2017). Linear and MS models consider up to 12 and 6 lags, respectively. AVG-</w:t>
      </w:r>
      <w:r w:rsidRPr="00875A66">
        <w:rPr>
          <w:i/>
          <w:iCs/>
        </w:rPr>
        <w:t xml:space="preserve">n </w:t>
      </w:r>
      <w:r w:rsidRPr="00875A66">
        <w:t>(10</w:t>
      </w:r>
      <w:r w:rsidRPr="00875A66">
        <w:rPr>
          <w:rFonts w:ascii="Calibri" w:hAnsi="Calibri" w:cs="Calibri"/>
        </w:rPr>
        <w:t> </w:t>
      </w:r>
      <w:r w:rsidRPr="00875A66">
        <w:t>per cent) and AVG-</w:t>
      </w:r>
      <w:r w:rsidRPr="00875A66">
        <w:rPr>
          <w:i/>
          <w:iCs/>
        </w:rPr>
        <w:t>n</w:t>
      </w:r>
      <w:r w:rsidRPr="00875A66">
        <w:t xml:space="preserve"> (25</w:t>
      </w:r>
      <w:r w:rsidRPr="00875A66">
        <w:rPr>
          <w:rFonts w:ascii="Calibri" w:hAnsi="Calibri" w:cs="Calibri"/>
        </w:rPr>
        <w:t> </w:t>
      </w:r>
      <w:r w:rsidRPr="00875A66">
        <w:t xml:space="preserve">per cent) models refer to model averages for the </w:t>
      </w:r>
      <w:r w:rsidRPr="00875A66">
        <w:rPr>
          <w:i/>
          <w:iCs/>
        </w:rPr>
        <w:t>n</w:t>
      </w:r>
      <w:r w:rsidRPr="00875A66">
        <w:t xml:space="preserve">-horizon </w:t>
      </w:r>
      <w:r w:rsidRPr="00875A66">
        <w:rPr>
          <w:i/>
          <w:iCs/>
        </w:rPr>
        <w:t xml:space="preserve"> </w:t>
      </w:r>
      <w:r w:rsidRPr="00875A66">
        <w:t>and , respectively, determined during the training sample (7/2011-6/2017). MS-Combo is the average of the best performing regime switching models during the training sample (7/2011</w:t>
      </w:r>
      <w:r w:rsidRPr="00875A66">
        <w:noBreakHyphen/>
        <w:t>6/2017) determined by the MCS. See Appendix A for a list of models in each combination.</w:t>
      </w:r>
    </w:p>
    <w:p w14:paraId="0A30E603" w14:textId="14869BBD" w:rsidR="00EE25B3" w:rsidRDefault="00EE25B3" w:rsidP="00EE25B3">
      <w:r>
        <w:t>Our CV exercise also considers model combination forecasts. The AVG-n (10 per cent) and AVG-n (25 per cent) models are simple average forecast combinations, including models from the 10 per cent and 25 per cent MCS for the respective n-month horizon. Additionally, the MS-Combo model represents a simple average of the best performing regime switching models identified by the MCS during the training sample. Independent of the confidence level or forecast horizon, the same three models are consistently selected (MS</w:t>
      </w:r>
      <w:r w:rsidR="00875A66">
        <w:noBreakHyphen/>
      </w:r>
      <w:r>
        <w:t>VECM, MSAI-VECM and MS-VAR). Further details are provided in Appendix A.</w:t>
      </w:r>
    </w:p>
    <w:p w14:paraId="1DB95FEA" w14:textId="49FB85DA" w:rsidR="003B6D14" w:rsidRDefault="003B6D14" w:rsidP="003B6D14">
      <w:pPr>
        <w:pStyle w:val="Heading2numbered"/>
      </w:pPr>
      <w:r>
        <w:t>Forecast performance</w:t>
      </w:r>
    </w:p>
    <w:p w14:paraId="132D8AC2" w14:textId="042B7CC6" w:rsidR="00EE25B3" w:rsidRDefault="003B6D14" w:rsidP="003B6D14">
      <w:r w:rsidRPr="003B6D14">
        <w:t>Table 6 provides the cumulative MAPE and MSE for the selected models and model combinations determined via cross validation. The best model for each horizon is underlined. Forecast performance varies significantly, with 12-month MAPEs ranging from 18.72 per cent for the least accurate model (MS-dVAR) to 10.25 per cent for the best performing model (MS-VECM).</w:t>
      </w:r>
    </w:p>
    <w:p w14:paraId="67B9DAB8" w14:textId="77777777" w:rsidR="00346A4B" w:rsidRPr="00346A4B" w:rsidRDefault="00346A4B" w:rsidP="00346A4B">
      <w:pPr>
        <w:pStyle w:val="Caption"/>
        <w:rPr>
          <w:lang w:val="en-GB"/>
        </w:rPr>
      </w:pPr>
      <w:r w:rsidRPr="00346A4B">
        <w:rPr>
          <w:lang w:val="en-GB"/>
        </w:rPr>
        <w:lastRenderedPageBreak/>
        <w:t>Table 6: Forecast evaluation (7/2017-6/2023)</w:t>
      </w:r>
    </w:p>
    <w:tbl>
      <w:tblPr>
        <w:tblStyle w:val="Financialtable"/>
        <w:tblW w:w="9855" w:type="dxa"/>
        <w:tblLayout w:type="fixed"/>
        <w:tblLook w:val="06A0" w:firstRow="1" w:lastRow="0" w:firstColumn="1" w:lastColumn="0" w:noHBand="1" w:noVBand="1"/>
      </w:tblPr>
      <w:tblGrid>
        <w:gridCol w:w="2075"/>
        <w:gridCol w:w="927"/>
        <w:gridCol w:w="927"/>
        <w:gridCol w:w="927"/>
        <w:gridCol w:w="927"/>
        <w:gridCol w:w="215"/>
        <w:gridCol w:w="936"/>
        <w:gridCol w:w="936"/>
        <w:gridCol w:w="936"/>
        <w:gridCol w:w="1049"/>
      </w:tblGrid>
      <w:tr w:rsidR="00485A26" w:rsidRPr="00346A4B" w14:paraId="223B1871" w14:textId="77777777" w:rsidTr="00B76219">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100" w:firstRow="0" w:lastRow="0" w:firstColumn="1" w:lastColumn="0" w:oddVBand="0" w:evenVBand="0" w:oddHBand="0" w:evenHBand="0" w:firstRowFirstColumn="1" w:firstRowLastColumn="0" w:lastRowFirstColumn="0" w:lastRowLastColumn="0"/>
            <w:tcW w:w="2075" w:type="dxa"/>
          </w:tcPr>
          <w:p w14:paraId="1C909938" w14:textId="77777777" w:rsidR="00485A26" w:rsidRPr="00346A4B" w:rsidRDefault="00485A26" w:rsidP="007D204B">
            <w:pPr>
              <w:spacing w:before="30" w:after="30" w:line="240" w:lineRule="auto"/>
              <w:rPr>
                <w:lang w:val="en-GB"/>
              </w:rPr>
            </w:pPr>
          </w:p>
        </w:tc>
        <w:tc>
          <w:tcPr>
            <w:tcW w:w="3708" w:type="dxa"/>
            <w:gridSpan w:val="4"/>
          </w:tcPr>
          <w:p w14:paraId="5E677103" w14:textId="673E177E" w:rsidR="00485A26" w:rsidRPr="00346A4B" w:rsidRDefault="00485A26" w:rsidP="00485A26">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lang w:val="en-GB"/>
              </w:rPr>
            </w:pPr>
            <w:r>
              <w:t>MAPE (%)</w:t>
            </w:r>
          </w:p>
        </w:tc>
        <w:tc>
          <w:tcPr>
            <w:tcW w:w="215" w:type="dxa"/>
          </w:tcPr>
          <w:p w14:paraId="41675C40" w14:textId="77777777" w:rsidR="00485A26" w:rsidRPr="00346A4B" w:rsidRDefault="00485A26" w:rsidP="00485A26">
            <w:pPr>
              <w:spacing w:before="30" w:after="30" w:line="240" w:lineRule="auto"/>
              <w:jc w:val="center"/>
              <w:cnfStyle w:val="100000000000" w:firstRow="1" w:lastRow="0" w:firstColumn="0" w:lastColumn="0" w:oddVBand="0" w:evenVBand="0" w:oddHBand="0" w:evenHBand="0" w:firstRowFirstColumn="0" w:firstRowLastColumn="0" w:lastRowFirstColumn="0" w:lastRowLastColumn="0"/>
            </w:pPr>
          </w:p>
        </w:tc>
        <w:tc>
          <w:tcPr>
            <w:tcW w:w="3857" w:type="dxa"/>
            <w:gridSpan w:val="4"/>
          </w:tcPr>
          <w:p w14:paraId="6D1D9070" w14:textId="541828E5" w:rsidR="00485A26" w:rsidRPr="00346A4B" w:rsidRDefault="00485A26" w:rsidP="00485A26">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lang w:val="en-GB"/>
              </w:rPr>
            </w:pPr>
            <w:r>
              <w:t>MSE (×10</w:t>
            </w:r>
            <w:r>
              <w:rPr>
                <w:vertAlign w:val="superscript"/>
              </w:rPr>
              <w:t>−16</w:t>
            </w:r>
            <w:r>
              <w:t>)</w:t>
            </w:r>
          </w:p>
        </w:tc>
      </w:tr>
      <w:tr w:rsidR="00485A26" w:rsidRPr="00346A4B" w14:paraId="392835F4" w14:textId="77777777" w:rsidTr="002E1BD0">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100" w:firstRow="0" w:lastRow="0" w:firstColumn="1" w:lastColumn="0" w:oddVBand="0" w:evenVBand="0" w:oddHBand="0" w:evenHBand="0" w:firstRowFirstColumn="1" w:firstRowLastColumn="0" w:lastRowFirstColumn="0" w:lastRowLastColumn="0"/>
            <w:tcW w:w="2075" w:type="dxa"/>
          </w:tcPr>
          <w:p w14:paraId="7DF1A046" w14:textId="6079DAFD" w:rsidR="00485A26" w:rsidRPr="00346A4B" w:rsidRDefault="00485A26" w:rsidP="007D204B">
            <w:pPr>
              <w:spacing w:before="30" w:after="30" w:line="240" w:lineRule="auto"/>
              <w:rPr>
                <w:lang w:val="en-GB"/>
              </w:rPr>
            </w:pPr>
            <w:r>
              <w:t>Horizon</w:t>
            </w:r>
          </w:p>
        </w:tc>
        <w:tc>
          <w:tcPr>
            <w:tcW w:w="927" w:type="dxa"/>
          </w:tcPr>
          <w:p w14:paraId="399E904C" w14:textId="3DD3063C"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3</w:t>
            </w:r>
          </w:p>
        </w:tc>
        <w:tc>
          <w:tcPr>
            <w:tcW w:w="927" w:type="dxa"/>
          </w:tcPr>
          <w:p w14:paraId="1312789F" w14:textId="63A2FBF8"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6</w:t>
            </w:r>
          </w:p>
        </w:tc>
        <w:tc>
          <w:tcPr>
            <w:tcW w:w="927" w:type="dxa"/>
          </w:tcPr>
          <w:p w14:paraId="46AA2A67" w14:textId="7EA94091"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9</w:t>
            </w:r>
          </w:p>
        </w:tc>
        <w:tc>
          <w:tcPr>
            <w:tcW w:w="927" w:type="dxa"/>
          </w:tcPr>
          <w:p w14:paraId="09298591" w14:textId="3E1EF4F6"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12</w:t>
            </w:r>
          </w:p>
        </w:tc>
        <w:tc>
          <w:tcPr>
            <w:tcW w:w="215" w:type="dxa"/>
          </w:tcPr>
          <w:p w14:paraId="18F5BE7B" w14:textId="77777777"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pPr>
          </w:p>
        </w:tc>
        <w:tc>
          <w:tcPr>
            <w:tcW w:w="936" w:type="dxa"/>
          </w:tcPr>
          <w:p w14:paraId="26992E01" w14:textId="44A845A0"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3</w:t>
            </w:r>
          </w:p>
        </w:tc>
        <w:tc>
          <w:tcPr>
            <w:tcW w:w="936" w:type="dxa"/>
          </w:tcPr>
          <w:p w14:paraId="5D86B47A" w14:textId="0683F72D"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6</w:t>
            </w:r>
          </w:p>
        </w:tc>
        <w:tc>
          <w:tcPr>
            <w:tcW w:w="936" w:type="dxa"/>
          </w:tcPr>
          <w:p w14:paraId="13C69D8A" w14:textId="0FAE29FB"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9</w:t>
            </w:r>
          </w:p>
        </w:tc>
        <w:tc>
          <w:tcPr>
            <w:tcW w:w="1049" w:type="dxa"/>
          </w:tcPr>
          <w:p w14:paraId="45967C37" w14:textId="278D313E" w:rsidR="00485A26" w:rsidRPr="00346A4B" w:rsidRDefault="00485A26" w:rsidP="00485A26">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12</w:t>
            </w:r>
          </w:p>
        </w:tc>
      </w:tr>
      <w:tr w:rsidR="002E1BD0" w:rsidRPr="00346A4B" w14:paraId="22089A23" w14:textId="77777777" w:rsidTr="002E1BD0">
        <w:trPr>
          <w:trHeight w:val="281"/>
        </w:trPr>
        <w:tc>
          <w:tcPr>
            <w:cnfStyle w:val="001000000000" w:firstRow="0" w:lastRow="0" w:firstColumn="1" w:lastColumn="0" w:oddVBand="0" w:evenVBand="0" w:oddHBand="0" w:evenHBand="0" w:firstRowFirstColumn="0" w:firstRowLastColumn="0" w:lastRowFirstColumn="0" w:lastRowLastColumn="0"/>
            <w:tcW w:w="2075" w:type="dxa"/>
          </w:tcPr>
          <w:p w14:paraId="57CA3A82" w14:textId="77777777" w:rsidR="00346A4B" w:rsidRPr="00346A4B" w:rsidRDefault="00346A4B" w:rsidP="007D204B">
            <w:pPr>
              <w:keepNext/>
              <w:spacing w:before="30" w:after="30" w:line="240" w:lineRule="auto"/>
              <w:rPr>
                <w:lang w:val="en-GB"/>
              </w:rPr>
            </w:pPr>
            <w:r w:rsidRPr="00346A4B">
              <w:rPr>
                <w:lang w:val="en-GB"/>
              </w:rPr>
              <w:t>VECM</w:t>
            </w:r>
          </w:p>
        </w:tc>
        <w:tc>
          <w:tcPr>
            <w:tcW w:w="927" w:type="dxa"/>
          </w:tcPr>
          <w:p w14:paraId="0433610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7.34*</w:t>
            </w:r>
          </w:p>
        </w:tc>
        <w:tc>
          <w:tcPr>
            <w:tcW w:w="927" w:type="dxa"/>
          </w:tcPr>
          <w:p w14:paraId="421CF35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8.12*</w:t>
            </w:r>
          </w:p>
        </w:tc>
        <w:tc>
          <w:tcPr>
            <w:tcW w:w="927" w:type="dxa"/>
          </w:tcPr>
          <w:p w14:paraId="6BAF851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10.15**</w:t>
            </w:r>
          </w:p>
        </w:tc>
        <w:tc>
          <w:tcPr>
            <w:tcW w:w="927" w:type="dxa"/>
          </w:tcPr>
          <w:p w14:paraId="4791268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11.53*</w:t>
            </w:r>
          </w:p>
        </w:tc>
        <w:tc>
          <w:tcPr>
            <w:tcW w:w="215" w:type="dxa"/>
          </w:tcPr>
          <w:p w14:paraId="267F25C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76D8903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29.45*</w:t>
            </w:r>
          </w:p>
        </w:tc>
        <w:tc>
          <w:tcPr>
            <w:tcW w:w="936" w:type="dxa"/>
          </w:tcPr>
          <w:p w14:paraId="6D20864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134.12**</w:t>
            </w:r>
          </w:p>
        </w:tc>
        <w:tc>
          <w:tcPr>
            <w:tcW w:w="936" w:type="dxa"/>
          </w:tcPr>
          <w:p w14:paraId="13CC7A4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456.09**</w:t>
            </w:r>
          </w:p>
        </w:tc>
        <w:tc>
          <w:tcPr>
            <w:tcW w:w="1049" w:type="dxa"/>
          </w:tcPr>
          <w:p w14:paraId="267CEFC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1 092.85**</w:t>
            </w:r>
          </w:p>
        </w:tc>
      </w:tr>
      <w:tr w:rsidR="002E1BD0" w:rsidRPr="00346A4B" w14:paraId="13B17876"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3F0E048F" w14:textId="77777777" w:rsidR="00346A4B" w:rsidRPr="00346A4B" w:rsidRDefault="00346A4B" w:rsidP="007D204B">
            <w:pPr>
              <w:keepNext/>
              <w:spacing w:before="30" w:after="30" w:line="240" w:lineRule="auto"/>
              <w:rPr>
                <w:lang w:val="en-GB"/>
              </w:rPr>
            </w:pPr>
            <w:r w:rsidRPr="00346A4B">
              <w:rPr>
                <w:lang w:val="en-GB"/>
              </w:rPr>
              <w:t>VAR</w:t>
            </w:r>
          </w:p>
        </w:tc>
        <w:tc>
          <w:tcPr>
            <w:tcW w:w="927" w:type="dxa"/>
          </w:tcPr>
          <w:p w14:paraId="17D1C59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7.36**</w:t>
            </w:r>
          </w:p>
        </w:tc>
        <w:tc>
          <w:tcPr>
            <w:tcW w:w="927" w:type="dxa"/>
          </w:tcPr>
          <w:p w14:paraId="6596951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8.43**</w:t>
            </w:r>
          </w:p>
        </w:tc>
        <w:tc>
          <w:tcPr>
            <w:tcW w:w="927" w:type="dxa"/>
          </w:tcPr>
          <w:p w14:paraId="5CE3502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9.92**</w:t>
            </w:r>
          </w:p>
        </w:tc>
        <w:tc>
          <w:tcPr>
            <w:tcW w:w="927" w:type="dxa"/>
          </w:tcPr>
          <w:p w14:paraId="1786C11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11.24**</w:t>
            </w:r>
          </w:p>
        </w:tc>
        <w:tc>
          <w:tcPr>
            <w:tcW w:w="215" w:type="dxa"/>
          </w:tcPr>
          <w:p w14:paraId="27AB19F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6A0F63C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31.45**</w:t>
            </w:r>
          </w:p>
        </w:tc>
        <w:tc>
          <w:tcPr>
            <w:tcW w:w="936" w:type="dxa"/>
          </w:tcPr>
          <w:p w14:paraId="6B72D33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147.31**</w:t>
            </w:r>
          </w:p>
        </w:tc>
        <w:tc>
          <w:tcPr>
            <w:tcW w:w="936" w:type="dxa"/>
          </w:tcPr>
          <w:p w14:paraId="2F1D67E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433.31**</w:t>
            </w:r>
          </w:p>
        </w:tc>
        <w:tc>
          <w:tcPr>
            <w:tcW w:w="1049" w:type="dxa"/>
          </w:tcPr>
          <w:p w14:paraId="1627E60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987.09**</w:t>
            </w:r>
          </w:p>
        </w:tc>
      </w:tr>
      <w:tr w:rsidR="002E1BD0" w:rsidRPr="00346A4B" w14:paraId="5D7E4A7D"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1A670463" w14:textId="77777777" w:rsidR="00346A4B" w:rsidRPr="00346A4B" w:rsidRDefault="00346A4B" w:rsidP="007D204B">
            <w:pPr>
              <w:keepNext/>
              <w:spacing w:before="30" w:after="30" w:line="240" w:lineRule="auto"/>
              <w:rPr>
                <w:lang w:val="en-GB"/>
              </w:rPr>
            </w:pPr>
            <w:r w:rsidRPr="00346A4B">
              <w:rPr>
                <w:lang w:val="en-GB"/>
              </w:rPr>
              <w:t>dVAR</w:t>
            </w:r>
          </w:p>
        </w:tc>
        <w:tc>
          <w:tcPr>
            <w:tcW w:w="927" w:type="dxa"/>
          </w:tcPr>
          <w:p w14:paraId="7D20024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7.47*</w:t>
            </w:r>
          </w:p>
        </w:tc>
        <w:tc>
          <w:tcPr>
            <w:tcW w:w="927" w:type="dxa"/>
          </w:tcPr>
          <w:p w14:paraId="5005815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8.43**</w:t>
            </w:r>
          </w:p>
        </w:tc>
        <w:tc>
          <w:tcPr>
            <w:tcW w:w="927" w:type="dxa"/>
          </w:tcPr>
          <w:p w14:paraId="7E3EDA9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11.52</w:t>
            </w:r>
          </w:p>
        </w:tc>
        <w:tc>
          <w:tcPr>
            <w:tcW w:w="927" w:type="dxa"/>
          </w:tcPr>
          <w:p w14:paraId="4C53B3D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13.79</w:t>
            </w:r>
          </w:p>
        </w:tc>
        <w:tc>
          <w:tcPr>
            <w:tcW w:w="215" w:type="dxa"/>
          </w:tcPr>
          <w:p w14:paraId="4227C7F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0B2F9F7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31.43</w:t>
            </w:r>
          </w:p>
        </w:tc>
        <w:tc>
          <w:tcPr>
            <w:tcW w:w="936" w:type="dxa"/>
          </w:tcPr>
          <w:p w14:paraId="3D060D7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153.48*</w:t>
            </w:r>
          </w:p>
        </w:tc>
        <w:tc>
          <w:tcPr>
            <w:tcW w:w="936" w:type="dxa"/>
          </w:tcPr>
          <w:p w14:paraId="2C3FA1FE"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571.5*</w:t>
            </w:r>
          </w:p>
        </w:tc>
        <w:tc>
          <w:tcPr>
            <w:tcW w:w="1049" w:type="dxa"/>
          </w:tcPr>
          <w:p w14:paraId="2036483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1 423.0*</w:t>
            </w:r>
          </w:p>
        </w:tc>
      </w:tr>
      <w:tr w:rsidR="002E1BD0" w:rsidRPr="00346A4B" w14:paraId="1AD09C2C"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50FC80B0" w14:textId="77777777" w:rsidR="00346A4B" w:rsidRPr="00346A4B" w:rsidRDefault="00346A4B" w:rsidP="007D204B">
            <w:pPr>
              <w:keepNext/>
              <w:spacing w:before="30" w:after="30" w:line="240" w:lineRule="auto"/>
              <w:rPr>
                <w:lang w:val="en-GB"/>
              </w:rPr>
            </w:pPr>
            <w:r w:rsidRPr="00346A4B">
              <w:rPr>
                <w:lang w:val="en-GB"/>
              </w:rPr>
              <w:t>dAR</w:t>
            </w:r>
          </w:p>
        </w:tc>
        <w:tc>
          <w:tcPr>
            <w:tcW w:w="927" w:type="dxa"/>
          </w:tcPr>
          <w:p w14:paraId="01E1D3A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10.9</w:t>
            </w:r>
          </w:p>
        </w:tc>
        <w:tc>
          <w:tcPr>
            <w:tcW w:w="927" w:type="dxa"/>
          </w:tcPr>
          <w:p w14:paraId="4F808C5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12.71</w:t>
            </w:r>
          </w:p>
        </w:tc>
        <w:tc>
          <w:tcPr>
            <w:tcW w:w="927" w:type="dxa"/>
          </w:tcPr>
          <w:p w14:paraId="1195096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15.15</w:t>
            </w:r>
          </w:p>
        </w:tc>
        <w:tc>
          <w:tcPr>
            <w:tcW w:w="927" w:type="dxa"/>
          </w:tcPr>
          <w:p w14:paraId="1D96817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16.52</w:t>
            </w:r>
          </w:p>
        </w:tc>
        <w:tc>
          <w:tcPr>
            <w:tcW w:w="215" w:type="dxa"/>
          </w:tcPr>
          <w:p w14:paraId="31F0C1C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7C463D6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54.94</w:t>
            </w:r>
          </w:p>
        </w:tc>
        <w:tc>
          <w:tcPr>
            <w:tcW w:w="936" w:type="dxa"/>
          </w:tcPr>
          <w:p w14:paraId="2DAE003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299.48</w:t>
            </w:r>
          </w:p>
        </w:tc>
        <w:tc>
          <w:tcPr>
            <w:tcW w:w="936" w:type="dxa"/>
          </w:tcPr>
          <w:p w14:paraId="074B249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996.84</w:t>
            </w:r>
          </w:p>
        </w:tc>
        <w:tc>
          <w:tcPr>
            <w:tcW w:w="1049" w:type="dxa"/>
          </w:tcPr>
          <w:p w14:paraId="68C64EF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22 99.15*</w:t>
            </w:r>
          </w:p>
        </w:tc>
      </w:tr>
      <w:tr w:rsidR="002E1BD0" w:rsidRPr="00346A4B" w14:paraId="34747A7B"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5004052C" w14:textId="77777777" w:rsidR="00346A4B" w:rsidRPr="00346A4B" w:rsidRDefault="00346A4B" w:rsidP="002E1BD0">
            <w:pPr>
              <w:spacing w:before="30" w:after="30" w:line="240" w:lineRule="auto"/>
              <w:rPr>
                <w:lang w:val="en-GB"/>
              </w:rPr>
            </w:pPr>
            <w:r w:rsidRPr="00346A4B">
              <w:rPr>
                <w:lang w:val="en-GB"/>
              </w:rPr>
              <w:t>MS-VECM</w:t>
            </w:r>
          </w:p>
        </w:tc>
        <w:tc>
          <w:tcPr>
            <w:tcW w:w="927" w:type="dxa"/>
          </w:tcPr>
          <w:p w14:paraId="454743D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7.11**</w:t>
            </w:r>
          </w:p>
        </w:tc>
        <w:tc>
          <w:tcPr>
            <w:tcW w:w="927" w:type="dxa"/>
          </w:tcPr>
          <w:p w14:paraId="5A03A88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7.88**</w:t>
            </w:r>
          </w:p>
        </w:tc>
        <w:tc>
          <w:tcPr>
            <w:tcW w:w="927" w:type="dxa"/>
          </w:tcPr>
          <w:p w14:paraId="5964960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u w:val="thick"/>
                <w:lang w:val="en-GB"/>
              </w:rPr>
              <w:t>9.16</w:t>
            </w:r>
            <w:r w:rsidRPr="00346A4B">
              <w:rPr>
                <w:lang w:val="en-GB"/>
              </w:rPr>
              <w:t>**</w:t>
            </w:r>
          </w:p>
        </w:tc>
        <w:tc>
          <w:tcPr>
            <w:tcW w:w="927" w:type="dxa"/>
          </w:tcPr>
          <w:p w14:paraId="02DBC49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u w:val="thick"/>
                <w:lang w:val="en-GB"/>
              </w:rPr>
              <w:t>10.25</w:t>
            </w:r>
            <w:r w:rsidRPr="00346A4B">
              <w:rPr>
                <w:lang w:val="en-GB"/>
              </w:rPr>
              <w:t>**</w:t>
            </w:r>
          </w:p>
        </w:tc>
        <w:tc>
          <w:tcPr>
            <w:tcW w:w="215" w:type="dxa"/>
          </w:tcPr>
          <w:p w14:paraId="4410892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49696F0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27.61**</w:t>
            </w:r>
          </w:p>
        </w:tc>
        <w:tc>
          <w:tcPr>
            <w:tcW w:w="936" w:type="dxa"/>
          </w:tcPr>
          <w:p w14:paraId="6CD5980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124.83**</w:t>
            </w:r>
          </w:p>
        </w:tc>
        <w:tc>
          <w:tcPr>
            <w:tcW w:w="936" w:type="dxa"/>
          </w:tcPr>
          <w:p w14:paraId="5935B2E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393.96</w:t>
            </w:r>
            <w:r w:rsidRPr="00346A4B">
              <w:rPr>
                <w:lang w:val="en-GB"/>
              </w:rPr>
              <w:t>**</w:t>
            </w:r>
          </w:p>
        </w:tc>
        <w:tc>
          <w:tcPr>
            <w:tcW w:w="1049" w:type="dxa"/>
          </w:tcPr>
          <w:p w14:paraId="7C1E60C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937.0</w:t>
            </w:r>
            <w:r w:rsidRPr="00346A4B">
              <w:rPr>
                <w:lang w:val="en-GB"/>
              </w:rPr>
              <w:t>**</w:t>
            </w:r>
          </w:p>
        </w:tc>
      </w:tr>
      <w:tr w:rsidR="002E1BD0" w:rsidRPr="00346A4B" w14:paraId="0BA3444C"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738B8AA3" w14:textId="77777777" w:rsidR="00346A4B" w:rsidRPr="00346A4B" w:rsidRDefault="00346A4B" w:rsidP="002E1BD0">
            <w:pPr>
              <w:spacing w:before="30" w:after="30" w:line="240" w:lineRule="auto"/>
              <w:rPr>
                <w:lang w:val="en-GB"/>
              </w:rPr>
            </w:pPr>
            <w:r w:rsidRPr="00346A4B">
              <w:rPr>
                <w:lang w:val="en-GB"/>
              </w:rPr>
              <w:t>MSAI-VECM</w:t>
            </w:r>
          </w:p>
        </w:tc>
        <w:tc>
          <w:tcPr>
            <w:tcW w:w="927" w:type="dxa"/>
          </w:tcPr>
          <w:p w14:paraId="4B5273C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6.77</w:t>
            </w:r>
            <w:r w:rsidRPr="00346A4B">
              <w:rPr>
                <w:lang w:val="en-GB"/>
              </w:rPr>
              <w:t>**</w:t>
            </w:r>
          </w:p>
        </w:tc>
        <w:tc>
          <w:tcPr>
            <w:tcW w:w="927" w:type="dxa"/>
          </w:tcPr>
          <w:p w14:paraId="35301D6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7.33</w:t>
            </w:r>
            <w:r w:rsidRPr="00346A4B">
              <w:rPr>
                <w:lang w:val="en-GB"/>
              </w:rPr>
              <w:t xml:space="preserve">** </w:t>
            </w:r>
          </w:p>
        </w:tc>
        <w:tc>
          <w:tcPr>
            <w:tcW w:w="927" w:type="dxa"/>
          </w:tcPr>
          <w:p w14:paraId="11E544F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9.74**</w:t>
            </w:r>
          </w:p>
        </w:tc>
        <w:tc>
          <w:tcPr>
            <w:tcW w:w="927" w:type="dxa"/>
          </w:tcPr>
          <w:p w14:paraId="2393D9A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11.3**</w:t>
            </w:r>
          </w:p>
        </w:tc>
        <w:tc>
          <w:tcPr>
            <w:tcW w:w="215" w:type="dxa"/>
          </w:tcPr>
          <w:p w14:paraId="7A11A34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11B28D5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25.23</w:t>
            </w:r>
            <w:r w:rsidRPr="00346A4B">
              <w:rPr>
                <w:lang w:val="en-GB"/>
              </w:rPr>
              <w:t>**</w:t>
            </w:r>
          </w:p>
        </w:tc>
        <w:tc>
          <w:tcPr>
            <w:tcW w:w="936" w:type="dxa"/>
          </w:tcPr>
          <w:p w14:paraId="09E4869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b/>
                <w:bCs/>
                <w:u w:val="thick"/>
                <w:lang w:val="en-GB"/>
              </w:rPr>
              <w:t>113.26</w:t>
            </w:r>
            <w:r w:rsidRPr="00346A4B">
              <w:rPr>
                <w:lang w:val="en-GB"/>
              </w:rPr>
              <w:t>**</w:t>
            </w:r>
          </w:p>
        </w:tc>
        <w:tc>
          <w:tcPr>
            <w:tcW w:w="936" w:type="dxa"/>
          </w:tcPr>
          <w:p w14:paraId="1F0C15BD"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410.56**</w:t>
            </w:r>
          </w:p>
        </w:tc>
        <w:tc>
          <w:tcPr>
            <w:tcW w:w="1049" w:type="dxa"/>
          </w:tcPr>
          <w:p w14:paraId="2DAAC70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1 021.85**</w:t>
            </w:r>
          </w:p>
        </w:tc>
      </w:tr>
      <w:tr w:rsidR="002E1BD0" w:rsidRPr="00346A4B" w14:paraId="35377A7F"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117FD3C8" w14:textId="77777777" w:rsidR="00346A4B" w:rsidRPr="00346A4B" w:rsidRDefault="00346A4B" w:rsidP="002E1BD0">
            <w:pPr>
              <w:spacing w:before="30" w:after="30" w:line="240" w:lineRule="auto"/>
              <w:rPr>
                <w:lang w:val="en-GB"/>
              </w:rPr>
            </w:pPr>
            <w:r w:rsidRPr="00346A4B">
              <w:rPr>
                <w:lang w:val="en-GB"/>
              </w:rPr>
              <w:t>MS-VAR</w:t>
            </w:r>
          </w:p>
        </w:tc>
        <w:tc>
          <w:tcPr>
            <w:tcW w:w="927" w:type="dxa"/>
          </w:tcPr>
          <w:p w14:paraId="6FEC4DA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7.4**</w:t>
            </w:r>
          </w:p>
        </w:tc>
        <w:tc>
          <w:tcPr>
            <w:tcW w:w="927" w:type="dxa"/>
          </w:tcPr>
          <w:p w14:paraId="576C3A7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8.64**</w:t>
            </w:r>
          </w:p>
        </w:tc>
        <w:tc>
          <w:tcPr>
            <w:tcW w:w="927" w:type="dxa"/>
          </w:tcPr>
          <w:p w14:paraId="6E0BBAA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10.32**</w:t>
            </w:r>
          </w:p>
        </w:tc>
        <w:tc>
          <w:tcPr>
            <w:tcW w:w="927" w:type="dxa"/>
          </w:tcPr>
          <w:p w14:paraId="53036C5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12.05</w:t>
            </w:r>
          </w:p>
        </w:tc>
        <w:tc>
          <w:tcPr>
            <w:tcW w:w="215" w:type="dxa"/>
          </w:tcPr>
          <w:p w14:paraId="455FDB6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09711F8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31.95**</w:t>
            </w:r>
          </w:p>
        </w:tc>
        <w:tc>
          <w:tcPr>
            <w:tcW w:w="936" w:type="dxa"/>
          </w:tcPr>
          <w:p w14:paraId="53D2D2A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158.69**</w:t>
            </w:r>
          </w:p>
        </w:tc>
        <w:tc>
          <w:tcPr>
            <w:tcW w:w="936" w:type="dxa"/>
          </w:tcPr>
          <w:p w14:paraId="59E870B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480.92**</w:t>
            </w:r>
          </w:p>
        </w:tc>
        <w:tc>
          <w:tcPr>
            <w:tcW w:w="1049" w:type="dxa"/>
          </w:tcPr>
          <w:p w14:paraId="4538F5B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1 092.69*</w:t>
            </w:r>
          </w:p>
        </w:tc>
      </w:tr>
      <w:tr w:rsidR="002E1BD0" w:rsidRPr="00346A4B" w14:paraId="25E5892E"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2C632E22" w14:textId="77777777" w:rsidR="00346A4B" w:rsidRPr="00346A4B" w:rsidRDefault="00346A4B" w:rsidP="002E1BD0">
            <w:pPr>
              <w:spacing w:before="30" w:after="30" w:line="240" w:lineRule="auto"/>
              <w:rPr>
                <w:lang w:val="en-GB"/>
              </w:rPr>
            </w:pPr>
            <w:r w:rsidRPr="00346A4B">
              <w:rPr>
                <w:lang w:val="en-GB"/>
              </w:rPr>
              <w:t>MS-dVAR</w:t>
            </w:r>
          </w:p>
        </w:tc>
        <w:tc>
          <w:tcPr>
            <w:tcW w:w="927" w:type="dxa"/>
          </w:tcPr>
          <w:p w14:paraId="73ED999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12.29</w:t>
            </w:r>
          </w:p>
        </w:tc>
        <w:tc>
          <w:tcPr>
            <w:tcW w:w="927" w:type="dxa"/>
          </w:tcPr>
          <w:p w14:paraId="7D29AAB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14.8</w:t>
            </w:r>
          </w:p>
        </w:tc>
        <w:tc>
          <w:tcPr>
            <w:tcW w:w="927" w:type="dxa"/>
          </w:tcPr>
          <w:p w14:paraId="42861FBE"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16.93</w:t>
            </w:r>
          </w:p>
        </w:tc>
        <w:tc>
          <w:tcPr>
            <w:tcW w:w="927" w:type="dxa"/>
          </w:tcPr>
          <w:p w14:paraId="2E7C94F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18.72</w:t>
            </w:r>
          </w:p>
        </w:tc>
        <w:tc>
          <w:tcPr>
            <w:tcW w:w="215" w:type="dxa"/>
          </w:tcPr>
          <w:p w14:paraId="7C6B928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45E069B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72.51</w:t>
            </w:r>
          </w:p>
        </w:tc>
        <w:tc>
          <w:tcPr>
            <w:tcW w:w="936" w:type="dxa"/>
          </w:tcPr>
          <w:p w14:paraId="4D440E8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432.77</w:t>
            </w:r>
          </w:p>
        </w:tc>
        <w:tc>
          <w:tcPr>
            <w:tcW w:w="936" w:type="dxa"/>
          </w:tcPr>
          <w:p w14:paraId="46EF5A9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1 382.07</w:t>
            </w:r>
          </w:p>
        </w:tc>
        <w:tc>
          <w:tcPr>
            <w:tcW w:w="1049" w:type="dxa"/>
          </w:tcPr>
          <w:p w14:paraId="6772459D"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3 251.48*</w:t>
            </w:r>
          </w:p>
        </w:tc>
      </w:tr>
      <w:tr w:rsidR="002E1BD0" w:rsidRPr="00346A4B" w14:paraId="6C31C299"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71CC67D3" w14:textId="77777777" w:rsidR="00346A4B" w:rsidRPr="00346A4B" w:rsidRDefault="00346A4B" w:rsidP="002E1BD0">
            <w:pPr>
              <w:spacing w:before="30" w:after="30" w:line="240" w:lineRule="auto"/>
              <w:rPr>
                <w:lang w:val="en-GB"/>
              </w:rPr>
            </w:pPr>
            <w:r w:rsidRPr="00346A4B">
              <w:rPr>
                <w:lang w:val="en-GB"/>
              </w:rPr>
              <w:t>MS-dAR</w:t>
            </w:r>
          </w:p>
        </w:tc>
        <w:tc>
          <w:tcPr>
            <w:tcW w:w="927" w:type="dxa"/>
          </w:tcPr>
          <w:p w14:paraId="49B7F9B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10.69</w:t>
            </w:r>
          </w:p>
        </w:tc>
        <w:tc>
          <w:tcPr>
            <w:tcW w:w="927" w:type="dxa"/>
          </w:tcPr>
          <w:p w14:paraId="31F4E40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12.55</w:t>
            </w:r>
          </w:p>
        </w:tc>
        <w:tc>
          <w:tcPr>
            <w:tcW w:w="927" w:type="dxa"/>
          </w:tcPr>
          <w:p w14:paraId="1ADD0A5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14.98</w:t>
            </w:r>
          </w:p>
        </w:tc>
        <w:tc>
          <w:tcPr>
            <w:tcW w:w="927" w:type="dxa"/>
          </w:tcPr>
          <w:p w14:paraId="2CE2294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16.45</w:t>
            </w:r>
          </w:p>
        </w:tc>
        <w:tc>
          <w:tcPr>
            <w:tcW w:w="215" w:type="dxa"/>
          </w:tcPr>
          <w:p w14:paraId="7B56972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43F1B7DE"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52.62</w:t>
            </w:r>
          </w:p>
        </w:tc>
        <w:tc>
          <w:tcPr>
            <w:tcW w:w="936" w:type="dxa"/>
          </w:tcPr>
          <w:p w14:paraId="2B278D8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282.27</w:t>
            </w:r>
          </w:p>
        </w:tc>
        <w:tc>
          <w:tcPr>
            <w:tcW w:w="936" w:type="dxa"/>
          </w:tcPr>
          <w:p w14:paraId="276C36C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981.93*</w:t>
            </w:r>
          </w:p>
        </w:tc>
        <w:tc>
          <w:tcPr>
            <w:tcW w:w="1049" w:type="dxa"/>
          </w:tcPr>
          <w:p w14:paraId="7D7E2A8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23 67.28*</w:t>
            </w:r>
          </w:p>
        </w:tc>
      </w:tr>
      <w:tr w:rsidR="002E1BD0" w:rsidRPr="00346A4B" w14:paraId="6C5485F9"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4C034DB5" w14:textId="77777777" w:rsidR="00346A4B" w:rsidRPr="00346A4B" w:rsidRDefault="00346A4B" w:rsidP="002E1BD0">
            <w:pPr>
              <w:spacing w:before="30" w:after="30" w:line="240" w:lineRule="auto"/>
              <w:rPr>
                <w:lang w:val="en-GB"/>
              </w:rPr>
            </w:pPr>
            <w:r w:rsidRPr="00346A4B">
              <w:rPr>
                <w:lang w:val="en-GB"/>
              </w:rPr>
              <w:t>AVG-3 (10%)</w:t>
            </w:r>
          </w:p>
        </w:tc>
        <w:tc>
          <w:tcPr>
            <w:tcW w:w="927" w:type="dxa"/>
          </w:tcPr>
          <w:p w14:paraId="35C908C6"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6.93**</w:t>
            </w:r>
          </w:p>
        </w:tc>
        <w:tc>
          <w:tcPr>
            <w:tcW w:w="927" w:type="dxa"/>
          </w:tcPr>
          <w:p w14:paraId="7C625C9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7.88**</w:t>
            </w:r>
          </w:p>
        </w:tc>
        <w:tc>
          <w:tcPr>
            <w:tcW w:w="927" w:type="dxa"/>
          </w:tcPr>
          <w:p w14:paraId="6487ADD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9.72**</w:t>
            </w:r>
          </w:p>
        </w:tc>
        <w:tc>
          <w:tcPr>
            <w:tcW w:w="927" w:type="dxa"/>
          </w:tcPr>
          <w:p w14:paraId="442574A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11.03**</w:t>
            </w:r>
          </w:p>
        </w:tc>
        <w:tc>
          <w:tcPr>
            <w:tcW w:w="215" w:type="dxa"/>
          </w:tcPr>
          <w:p w14:paraId="6BF969E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5A5FF1E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27.7**</w:t>
            </w:r>
          </w:p>
        </w:tc>
        <w:tc>
          <w:tcPr>
            <w:tcW w:w="936" w:type="dxa"/>
          </w:tcPr>
          <w:p w14:paraId="2DD0B716"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129.16*</w:t>
            </w:r>
          </w:p>
        </w:tc>
        <w:tc>
          <w:tcPr>
            <w:tcW w:w="936" w:type="dxa"/>
          </w:tcPr>
          <w:p w14:paraId="3B0CA45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425.06**</w:t>
            </w:r>
          </w:p>
        </w:tc>
        <w:tc>
          <w:tcPr>
            <w:tcW w:w="1049" w:type="dxa"/>
          </w:tcPr>
          <w:p w14:paraId="6F09F6F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 07.78**</w:t>
            </w:r>
          </w:p>
        </w:tc>
      </w:tr>
      <w:tr w:rsidR="002E1BD0" w:rsidRPr="00346A4B" w14:paraId="11AFEDE8"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01A4814B" w14:textId="77777777" w:rsidR="00346A4B" w:rsidRPr="00346A4B" w:rsidRDefault="00346A4B" w:rsidP="002E1BD0">
            <w:pPr>
              <w:spacing w:before="30" w:after="30" w:line="240" w:lineRule="auto"/>
              <w:rPr>
                <w:lang w:val="en-GB"/>
              </w:rPr>
            </w:pPr>
            <w:r w:rsidRPr="00346A4B">
              <w:rPr>
                <w:lang w:val="en-GB"/>
              </w:rPr>
              <w:t>AVG-12 (10%)</w:t>
            </w:r>
          </w:p>
        </w:tc>
        <w:tc>
          <w:tcPr>
            <w:tcW w:w="927" w:type="dxa"/>
          </w:tcPr>
          <w:p w14:paraId="1F00DA03"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7.37**</w:t>
            </w:r>
          </w:p>
        </w:tc>
        <w:tc>
          <w:tcPr>
            <w:tcW w:w="927" w:type="dxa"/>
          </w:tcPr>
          <w:p w14:paraId="7EB86EA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8.23**</w:t>
            </w:r>
          </w:p>
        </w:tc>
        <w:tc>
          <w:tcPr>
            <w:tcW w:w="927" w:type="dxa"/>
          </w:tcPr>
          <w:p w14:paraId="047A89B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10.18**</w:t>
            </w:r>
          </w:p>
        </w:tc>
        <w:tc>
          <w:tcPr>
            <w:tcW w:w="927" w:type="dxa"/>
          </w:tcPr>
          <w:p w14:paraId="6C0165B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12.09**</w:t>
            </w:r>
          </w:p>
        </w:tc>
        <w:tc>
          <w:tcPr>
            <w:tcW w:w="215" w:type="dxa"/>
          </w:tcPr>
          <w:p w14:paraId="0CA87846"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361AD7E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28.45**</w:t>
            </w:r>
          </w:p>
        </w:tc>
        <w:tc>
          <w:tcPr>
            <w:tcW w:w="936" w:type="dxa"/>
          </w:tcPr>
          <w:p w14:paraId="3ED9241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134.63**</w:t>
            </w:r>
          </w:p>
        </w:tc>
        <w:tc>
          <w:tcPr>
            <w:tcW w:w="936" w:type="dxa"/>
          </w:tcPr>
          <w:p w14:paraId="2B4A4D2A"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456.78**</w:t>
            </w:r>
          </w:p>
        </w:tc>
        <w:tc>
          <w:tcPr>
            <w:tcW w:w="1049" w:type="dxa"/>
          </w:tcPr>
          <w:p w14:paraId="5C7F10A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11 25.94**</w:t>
            </w:r>
          </w:p>
        </w:tc>
      </w:tr>
      <w:tr w:rsidR="002E1BD0" w:rsidRPr="00346A4B" w14:paraId="49113F75"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25469913" w14:textId="77777777" w:rsidR="00346A4B" w:rsidRPr="00346A4B" w:rsidRDefault="00346A4B" w:rsidP="002E1BD0">
            <w:pPr>
              <w:spacing w:before="30" w:after="30" w:line="240" w:lineRule="auto"/>
              <w:rPr>
                <w:lang w:val="en-GB"/>
              </w:rPr>
            </w:pPr>
            <w:r w:rsidRPr="00346A4B">
              <w:rPr>
                <w:lang w:val="en-GB"/>
              </w:rPr>
              <w:t>AVG-3 (25%)</w:t>
            </w:r>
          </w:p>
        </w:tc>
        <w:tc>
          <w:tcPr>
            <w:tcW w:w="927" w:type="dxa"/>
          </w:tcPr>
          <w:p w14:paraId="206B45CC"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6.9**</w:t>
            </w:r>
          </w:p>
        </w:tc>
        <w:tc>
          <w:tcPr>
            <w:tcW w:w="927" w:type="dxa"/>
          </w:tcPr>
          <w:p w14:paraId="4E61590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7.85**</w:t>
            </w:r>
          </w:p>
        </w:tc>
        <w:tc>
          <w:tcPr>
            <w:tcW w:w="927" w:type="dxa"/>
          </w:tcPr>
          <w:p w14:paraId="07A265E6"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9.59**</w:t>
            </w:r>
          </w:p>
        </w:tc>
        <w:tc>
          <w:tcPr>
            <w:tcW w:w="927" w:type="dxa"/>
          </w:tcPr>
          <w:p w14:paraId="7C2BED0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10.83**</w:t>
            </w:r>
          </w:p>
        </w:tc>
        <w:tc>
          <w:tcPr>
            <w:tcW w:w="215" w:type="dxa"/>
          </w:tcPr>
          <w:p w14:paraId="3C31733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501E1C6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27.55**</w:t>
            </w:r>
          </w:p>
        </w:tc>
        <w:tc>
          <w:tcPr>
            <w:tcW w:w="936" w:type="dxa"/>
          </w:tcPr>
          <w:p w14:paraId="2E34C5A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128.03**</w:t>
            </w:r>
          </w:p>
        </w:tc>
        <w:tc>
          <w:tcPr>
            <w:tcW w:w="936" w:type="dxa"/>
          </w:tcPr>
          <w:p w14:paraId="398F8BE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411.49**</w:t>
            </w:r>
          </w:p>
        </w:tc>
        <w:tc>
          <w:tcPr>
            <w:tcW w:w="1049" w:type="dxa"/>
          </w:tcPr>
          <w:p w14:paraId="52F62C6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969.1**</w:t>
            </w:r>
          </w:p>
        </w:tc>
      </w:tr>
      <w:tr w:rsidR="002E1BD0" w:rsidRPr="00346A4B" w14:paraId="41C5415B" w14:textId="77777777" w:rsidTr="002E1BD0">
        <w:trPr>
          <w:trHeight w:val="231"/>
        </w:trPr>
        <w:tc>
          <w:tcPr>
            <w:cnfStyle w:val="001000000000" w:firstRow="0" w:lastRow="0" w:firstColumn="1" w:lastColumn="0" w:oddVBand="0" w:evenVBand="0" w:oddHBand="0" w:evenHBand="0" w:firstRowFirstColumn="0" w:firstRowLastColumn="0" w:lastRowFirstColumn="0" w:lastRowLastColumn="0"/>
            <w:tcW w:w="2075" w:type="dxa"/>
          </w:tcPr>
          <w:p w14:paraId="35BC4A84" w14:textId="77777777" w:rsidR="00346A4B" w:rsidRPr="00346A4B" w:rsidRDefault="00346A4B" w:rsidP="002E1BD0">
            <w:pPr>
              <w:spacing w:before="30" w:after="30" w:line="240" w:lineRule="auto"/>
              <w:rPr>
                <w:lang w:val="en-GB"/>
              </w:rPr>
            </w:pPr>
            <w:r w:rsidRPr="00346A4B">
              <w:rPr>
                <w:lang w:val="en-GB"/>
              </w:rPr>
              <w:t>AVG-12 (25%)</w:t>
            </w:r>
          </w:p>
        </w:tc>
        <w:tc>
          <w:tcPr>
            <w:tcW w:w="927" w:type="dxa"/>
          </w:tcPr>
          <w:p w14:paraId="138369B8"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6.96**</w:t>
            </w:r>
          </w:p>
        </w:tc>
        <w:tc>
          <w:tcPr>
            <w:tcW w:w="927" w:type="dxa"/>
          </w:tcPr>
          <w:p w14:paraId="337B816D"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7.91**</w:t>
            </w:r>
          </w:p>
        </w:tc>
        <w:tc>
          <w:tcPr>
            <w:tcW w:w="927" w:type="dxa"/>
          </w:tcPr>
          <w:p w14:paraId="2420F450"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9.52**</w:t>
            </w:r>
          </w:p>
        </w:tc>
        <w:tc>
          <w:tcPr>
            <w:tcW w:w="927" w:type="dxa"/>
          </w:tcPr>
          <w:p w14:paraId="1F49600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10.81**</w:t>
            </w:r>
          </w:p>
        </w:tc>
        <w:tc>
          <w:tcPr>
            <w:tcW w:w="215" w:type="dxa"/>
          </w:tcPr>
          <w:p w14:paraId="5CF4D00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36DD187F"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27.59**</w:t>
            </w:r>
          </w:p>
        </w:tc>
        <w:tc>
          <w:tcPr>
            <w:tcW w:w="936" w:type="dxa"/>
          </w:tcPr>
          <w:p w14:paraId="5B01A15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128.92**</w:t>
            </w:r>
          </w:p>
        </w:tc>
        <w:tc>
          <w:tcPr>
            <w:tcW w:w="936" w:type="dxa"/>
          </w:tcPr>
          <w:p w14:paraId="689690D1"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407.33**</w:t>
            </w:r>
          </w:p>
        </w:tc>
        <w:tc>
          <w:tcPr>
            <w:tcW w:w="1049" w:type="dxa"/>
          </w:tcPr>
          <w:p w14:paraId="733E8D72"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954.67**</w:t>
            </w:r>
          </w:p>
        </w:tc>
      </w:tr>
      <w:tr w:rsidR="002E1BD0" w:rsidRPr="00346A4B" w14:paraId="07FF22EB" w14:textId="77777777" w:rsidTr="002E1BD0">
        <w:trPr>
          <w:trHeight w:val="264"/>
        </w:trPr>
        <w:tc>
          <w:tcPr>
            <w:cnfStyle w:val="001000000000" w:firstRow="0" w:lastRow="0" w:firstColumn="1" w:lastColumn="0" w:oddVBand="0" w:evenVBand="0" w:oddHBand="0" w:evenHBand="0" w:firstRowFirstColumn="0" w:firstRowLastColumn="0" w:lastRowFirstColumn="0" w:lastRowLastColumn="0"/>
            <w:tcW w:w="2075" w:type="dxa"/>
          </w:tcPr>
          <w:p w14:paraId="47690C1C" w14:textId="77777777" w:rsidR="00346A4B" w:rsidRPr="00346A4B" w:rsidRDefault="00346A4B" w:rsidP="002E1BD0">
            <w:pPr>
              <w:spacing w:before="30" w:after="30" w:line="240" w:lineRule="auto"/>
              <w:rPr>
                <w:lang w:val="en-GB"/>
              </w:rPr>
            </w:pPr>
            <w:r w:rsidRPr="00346A4B">
              <w:rPr>
                <w:lang w:val="en-GB"/>
              </w:rPr>
              <w:t>MS-COMBO(12)</w:t>
            </w:r>
          </w:p>
        </w:tc>
        <w:tc>
          <w:tcPr>
            <w:tcW w:w="927" w:type="dxa"/>
          </w:tcPr>
          <w:p w14:paraId="24027606"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6.88**</w:t>
            </w:r>
          </w:p>
        </w:tc>
        <w:tc>
          <w:tcPr>
            <w:tcW w:w="927" w:type="dxa"/>
          </w:tcPr>
          <w:p w14:paraId="0D76949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7.76**</w:t>
            </w:r>
          </w:p>
        </w:tc>
        <w:tc>
          <w:tcPr>
            <w:tcW w:w="927" w:type="dxa"/>
          </w:tcPr>
          <w:p w14:paraId="192EC7C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9.47**</w:t>
            </w:r>
          </w:p>
        </w:tc>
        <w:tc>
          <w:tcPr>
            <w:tcW w:w="927" w:type="dxa"/>
          </w:tcPr>
          <w:p w14:paraId="32B3319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10.74**</w:t>
            </w:r>
          </w:p>
        </w:tc>
        <w:tc>
          <w:tcPr>
            <w:tcW w:w="215" w:type="dxa"/>
          </w:tcPr>
          <w:p w14:paraId="1F81C027"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pPr>
          </w:p>
        </w:tc>
        <w:tc>
          <w:tcPr>
            <w:tcW w:w="936" w:type="dxa"/>
          </w:tcPr>
          <w:p w14:paraId="4FB55349"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26.9**</w:t>
            </w:r>
          </w:p>
        </w:tc>
        <w:tc>
          <w:tcPr>
            <w:tcW w:w="936" w:type="dxa"/>
          </w:tcPr>
          <w:p w14:paraId="7A48FD6B"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125.45**</w:t>
            </w:r>
          </w:p>
        </w:tc>
        <w:tc>
          <w:tcPr>
            <w:tcW w:w="936" w:type="dxa"/>
          </w:tcPr>
          <w:p w14:paraId="5D2EF345"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406.73**</w:t>
            </w:r>
          </w:p>
        </w:tc>
        <w:tc>
          <w:tcPr>
            <w:tcW w:w="1049" w:type="dxa"/>
          </w:tcPr>
          <w:p w14:paraId="6D379294" w14:textId="77777777" w:rsidR="00346A4B" w:rsidRPr="00346A4B" w:rsidRDefault="00346A4B" w:rsidP="002E1BD0">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346A4B">
              <w:rPr>
                <w:lang w:val="en-GB"/>
              </w:rPr>
              <w:t>963.59**</w:t>
            </w:r>
          </w:p>
        </w:tc>
      </w:tr>
    </w:tbl>
    <w:p w14:paraId="387AC38B" w14:textId="42B9D5B3" w:rsidR="009E7B90" w:rsidRDefault="00485A26" w:rsidP="00485A26">
      <w:pPr>
        <w:pStyle w:val="Note"/>
      </w:pPr>
      <w:r w:rsidRPr="00485A26">
        <w:t xml:space="preserve">Note: The lowest loss for each horizon and loss function is underlined. **, * represent the model’s inclusion in the MCS at 25 per cent </w:t>
      </w:r>
      <w:r w:rsidR="008A5AF4">
        <w:t>(</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8A5AF4">
        <w:t>)</w:t>
      </w:r>
      <w:r w:rsidRPr="00485A26">
        <w:t xml:space="preserve"> and 10</w:t>
      </w:r>
      <w:r w:rsidRPr="00485A26">
        <w:rPr>
          <w:rFonts w:ascii="Calibri" w:hAnsi="Calibri" w:cs="Calibri"/>
        </w:rPr>
        <w:t> </w:t>
      </w:r>
      <w:r w:rsidRPr="00485A26">
        <w:t xml:space="preserve">per cent </w:t>
      </w:r>
      <w:r w:rsidR="008A5AF4">
        <w:t>(</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8A5AF4">
        <w:t>)</w:t>
      </w:r>
      <w:r w:rsidR="008A5AF4" w:rsidRPr="00490668">
        <w:t xml:space="preserve"> </w:t>
      </w:r>
      <w:r w:rsidRPr="00485A26">
        <w:t xml:space="preserve">levels respectively. </w:t>
      </w:r>
    </w:p>
    <w:p w14:paraId="2F83C33E" w14:textId="64A44E5E" w:rsidR="00AB3E87" w:rsidRPr="00EE25B3" w:rsidRDefault="00490668" w:rsidP="00485A26">
      <w:pPr>
        <w:pStyle w:val="Note"/>
      </w:pPr>
      <w:r w:rsidRPr="00490668">
        <w:t xml:space="preserve">Note 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Pr="00490668">
        <w:t xml:space="preserve"> </w:t>
      </w:r>
      <w:r w:rsidRPr="00490668">
        <w:rPr>
          <w:rFonts w:ascii="Cambria Math" w:hAnsi="Cambria Math" w:cs="Cambria Math"/>
        </w:rPr>
        <w:t>⊆</w:t>
      </w:r>
      <w:r w:rsidRPr="00490668">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Pr="00490668">
        <w:t>. AVG-</w:t>
      </w:r>
      <w:r w:rsidRPr="00490668">
        <w:rPr>
          <w:i/>
          <w:iCs/>
        </w:rPr>
        <w:t>n</w:t>
      </w:r>
      <w:r w:rsidRPr="00490668">
        <w:t xml:space="preserve"> (10</w:t>
      </w:r>
      <w:r w:rsidRPr="00490668">
        <w:rPr>
          <w:rFonts w:ascii="Calibri" w:hAnsi="Calibri" w:cs="Calibri"/>
        </w:rPr>
        <w:t> </w:t>
      </w:r>
      <w:r w:rsidRPr="00490668">
        <w:t>per</w:t>
      </w:r>
      <w:r w:rsidRPr="00490668">
        <w:rPr>
          <w:rFonts w:ascii="Calibri" w:hAnsi="Calibri" w:cs="Calibri"/>
        </w:rPr>
        <w:t> </w:t>
      </w:r>
      <w:r w:rsidRPr="00490668">
        <w:t>cent) and AVG-</w:t>
      </w:r>
      <w:r w:rsidRPr="00490668">
        <w:rPr>
          <w:i/>
          <w:iCs/>
        </w:rPr>
        <w:t>n</w:t>
      </w:r>
      <w:r w:rsidRPr="00490668">
        <w:t xml:space="preserve"> (25</w:t>
      </w:r>
      <w:r w:rsidRPr="00490668">
        <w:rPr>
          <w:rFonts w:ascii="Calibri" w:hAnsi="Calibri" w:cs="Calibri"/>
        </w:rPr>
        <w:t> </w:t>
      </w:r>
      <w:r w:rsidRPr="00490668">
        <w:t>per</w:t>
      </w:r>
      <w:r w:rsidRPr="00490668">
        <w:rPr>
          <w:rFonts w:ascii="Calibri" w:hAnsi="Calibri" w:cs="Calibri"/>
        </w:rPr>
        <w:t> </w:t>
      </w:r>
      <w:r w:rsidRPr="00490668">
        <w:t xml:space="preserve">cent) models refer to model averages for the </w:t>
      </w:r>
      <w:r w:rsidRPr="00490668">
        <w:rPr>
          <w:i/>
          <w:iCs/>
        </w:rPr>
        <w:t>n</w:t>
      </w:r>
      <w:r w:rsidR="00F3004E">
        <w:noBreakHyphen/>
      </w:r>
      <w:r w:rsidRPr="00490668">
        <w:t xml:space="preserve">horizon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F3004E" w:rsidRPr="00490668">
        <w:t xml:space="preserve"> </w:t>
      </w:r>
      <w:r w:rsidRPr="00490668">
        <w:t xml:space="preserve"> and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Pr="00490668">
        <w:t xml:space="preserve"> determined during the training sample (7/2011-6/2017), respectively. MS-Combo is a simple average of the best performing Markov switching models. See Appendix A for a list of models in each combination. MSAI-VECM has state invariant autoregressive terms; all other parameters are state dependent.</w:t>
      </w:r>
    </w:p>
    <w:p w14:paraId="15903ECB" w14:textId="4F0BC73F" w:rsidR="008664EE" w:rsidRDefault="000F226C" w:rsidP="009E7B90">
      <w:pPr>
        <w:rPr>
          <w:spacing w:val="-5"/>
        </w:rPr>
      </w:pPr>
      <w:r w:rsidRPr="000F226C">
        <w:t>The VECM(4), which serves as DTF’s benchmark model, performs well out-of</w:t>
      </w:r>
      <w:r>
        <w:t>-</w:t>
      </w:r>
      <w:r w:rsidRPr="000F226C">
        <w:t>sample, surpassing 6 of the 13 competing models at the critical 12-month horizon under the MAPE criterion. The linear VECM is included in the 10% MCS (</w:t>
      </w:r>
      <w:r w:rsidR="0093317E" w:rsidRPr="00490668">
        <w:rPr>
          <w:rFonts w:eastAsia="Times New Roman" w:cstheme="minorHAnsi"/>
          <w:color w:val="000000"/>
          <w:spacing w:val="1"/>
          <w:sz w:val="16"/>
          <w:szCs w:val="16"/>
          <w:lang w:val="en-GB" w:eastAsia="en-US"/>
        </w:rPr>
        <w:t xml:space="preserve">that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Pr="000F226C">
        <w:t>) across all horizons and in the 25% MCS (</w:t>
      </w:r>
      <w:r w:rsidR="0093317E" w:rsidRPr="00490668">
        <w:rPr>
          <w:rFonts w:eastAsia="Times New Roman" w:cstheme="minorHAnsi"/>
          <w:color w:val="000000"/>
          <w:spacing w:val="1"/>
          <w:sz w:val="16"/>
          <w:szCs w:val="16"/>
          <w:lang w:val="en-GB" w:eastAsia="en-US"/>
        </w:rPr>
        <w:t xml:space="preserve">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93317E">
        <w:rPr>
          <w:rFonts w:eastAsia="Times New Roman" w:cstheme="minorHAnsi"/>
        </w:rPr>
        <w:t>)</w:t>
      </w:r>
      <w:r w:rsidR="0093317E" w:rsidRPr="00490668">
        <w:rPr>
          <w:rFonts w:eastAsia="Times New Roman" w:cstheme="minorHAnsi"/>
          <w:color w:val="000000"/>
          <w:spacing w:val="1"/>
          <w:sz w:val="16"/>
          <w:szCs w:val="16"/>
          <w:lang w:val="en-GB" w:eastAsia="en-US"/>
        </w:rPr>
        <w:t xml:space="preserve"> </w:t>
      </w:r>
      <w:r w:rsidRPr="000F226C">
        <w:t>at the 9-month horizon under the MAPE loss, highlighting its robustness. Among the Markov switching models, the MS-VECM and MSAI-VECM achieve the lowest forecast errors across all horizons</w:t>
      </w:r>
      <w:r>
        <w:t xml:space="preserve"> by both MAPE and MSE measures. Specifically,</w:t>
      </w:r>
      <w:r>
        <w:rPr>
          <w:spacing w:val="6"/>
        </w:rPr>
        <w:t xml:space="preserve"> </w:t>
      </w:r>
      <w:r>
        <w:t>the</w:t>
      </w:r>
      <w:r>
        <w:rPr>
          <w:spacing w:val="3"/>
        </w:rPr>
        <w:t xml:space="preserve"> </w:t>
      </w:r>
      <w:r>
        <w:t>MS-VECM</w:t>
      </w:r>
      <w:r>
        <w:rPr>
          <w:spacing w:val="3"/>
        </w:rPr>
        <w:t xml:space="preserve"> </w:t>
      </w:r>
      <w:r>
        <w:t>outperforms</w:t>
      </w:r>
      <w:r>
        <w:rPr>
          <w:spacing w:val="3"/>
        </w:rPr>
        <w:t xml:space="preserve"> </w:t>
      </w:r>
      <w:r>
        <w:t xml:space="preserve">the </w:t>
      </w:r>
      <w:r>
        <w:rPr>
          <w:spacing w:val="-2"/>
        </w:rPr>
        <w:t>benchmark</w:t>
      </w:r>
      <w:r>
        <w:rPr>
          <w:spacing w:val="4"/>
        </w:rPr>
        <w:t xml:space="preserve"> </w:t>
      </w:r>
      <w:r>
        <w:rPr>
          <w:spacing w:val="-2"/>
        </w:rPr>
        <w:t>VECM</w:t>
      </w:r>
      <w:r>
        <w:rPr>
          <w:spacing w:val="5"/>
        </w:rPr>
        <w:t xml:space="preserve"> </w:t>
      </w:r>
      <w:r>
        <w:rPr>
          <w:spacing w:val="-2"/>
        </w:rPr>
        <w:t>by</w:t>
      </w:r>
      <w:r>
        <w:rPr>
          <w:spacing w:val="5"/>
        </w:rPr>
        <w:t xml:space="preserve"> </w:t>
      </w:r>
      <w:r>
        <w:rPr>
          <w:spacing w:val="-2"/>
        </w:rPr>
        <w:t>over</w:t>
      </w:r>
      <w:r>
        <w:rPr>
          <w:spacing w:val="5"/>
        </w:rPr>
        <w:t xml:space="preserve"> </w:t>
      </w:r>
      <w:r>
        <w:rPr>
          <w:spacing w:val="-2"/>
        </w:rPr>
        <w:t>11 per cent,</w:t>
      </w:r>
      <w:r>
        <w:rPr>
          <w:spacing w:val="7"/>
        </w:rPr>
        <w:t xml:space="preserve"> </w:t>
      </w:r>
      <w:r>
        <w:rPr>
          <w:spacing w:val="-2"/>
        </w:rPr>
        <w:t>with</w:t>
      </w:r>
      <w:r>
        <w:rPr>
          <w:spacing w:val="5"/>
        </w:rPr>
        <w:t xml:space="preserve"> </w:t>
      </w:r>
      <w:r>
        <w:rPr>
          <w:spacing w:val="-2"/>
        </w:rPr>
        <w:t>statistically</w:t>
      </w:r>
      <w:r>
        <w:rPr>
          <w:spacing w:val="5"/>
        </w:rPr>
        <w:t xml:space="preserve"> </w:t>
      </w:r>
      <w:r>
        <w:rPr>
          <w:spacing w:val="-2"/>
        </w:rPr>
        <w:t>significant</w:t>
      </w:r>
      <w:r>
        <w:rPr>
          <w:spacing w:val="5"/>
        </w:rPr>
        <w:t xml:space="preserve"> </w:t>
      </w:r>
      <w:r>
        <w:rPr>
          <w:spacing w:val="-2"/>
        </w:rPr>
        <w:t>improvements</w:t>
      </w:r>
      <w:r>
        <w:rPr>
          <w:spacing w:val="5"/>
        </w:rPr>
        <w:t xml:space="preserve"> </w:t>
      </w:r>
      <w:r>
        <w:rPr>
          <w:spacing w:val="-2"/>
        </w:rPr>
        <w:t>in</w:t>
      </w:r>
      <w:r>
        <w:rPr>
          <w:spacing w:val="5"/>
        </w:rPr>
        <w:t xml:space="preserve"> </w:t>
      </w:r>
      <w:r>
        <w:rPr>
          <w:spacing w:val="-5"/>
        </w:rPr>
        <w:t xml:space="preserve">the </w:t>
      </w:r>
      <w:r w:rsidR="009E7B90" w:rsidRPr="009E7B90">
        <w:rPr>
          <w:spacing w:val="-5"/>
        </w:rPr>
        <w:t xml:space="preserve">3, 6, and 12-month forecasts, as shown by its inclusion in </w:t>
      </w:r>
      <w:r w:rsidR="00C34277" w:rsidRPr="00490668">
        <w:rPr>
          <w:rFonts w:eastAsia="Times New Roman" w:cstheme="minorHAnsi"/>
          <w:color w:val="000000"/>
          <w:spacing w:val="1"/>
          <w:sz w:val="16"/>
          <w:szCs w:val="16"/>
          <w:lang w:val="en-GB" w:eastAsia="en-US"/>
        </w:rPr>
        <w:t xml:space="preserve">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C34277" w:rsidRPr="00490668">
        <w:rPr>
          <w:rFonts w:eastAsia="Times New Roman" w:cstheme="minorHAnsi"/>
          <w:color w:val="000000"/>
          <w:spacing w:val="1"/>
          <w:sz w:val="16"/>
          <w:szCs w:val="16"/>
          <w:lang w:val="en-GB" w:eastAsia="en-US"/>
        </w:rPr>
        <w:t xml:space="preserve"> </w:t>
      </w:r>
      <w:r w:rsidR="009E7B90" w:rsidRPr="009E7B90">
        <w:rPr>
          <w:spacing w:val="-5"/>
        </w:rPr>
        <w:t>using MAPE loss.</w:t>
      </w:r>
      <w:r w:rsidR="009E7B90">
        <w:rPr>
          <w:spacing w:val="-5"/>
        </w:rPr>
        <w:t xml:space="preserve"> </w:t>
      </w:r>
    </w:p>
    <w:p w14:paraId="142E0442" w14:textId="77777777" w:rsidR="00643CCC" w:rsidRDefault="009E7B90" w:rsidP="009E7B90">
      <w:pPr>
        <w:rPr>
          <w:spacing w:val="-5"/>
        </w:rPr>
      </w:pPr>
      <w:r w:rsidRPr="009E7B90">
        <w:rPr>
          <w:spacing w:val="-5"/>
        </w:rPr>
        <w:t>The MSAI-VECM and MS-VAR also outperform the VECM for the 3 and 6-month horizons, reflecting strong out-of-sample accuracy. The MS-dVAR and MS-dAR models forecast poorly, especially for shorter horizons. Despite MS-VECM and MSAI-VECM models achieving the lowest MSE, the inclusion of most models in the MCS at the 25 per cent level is likely due to the low power of the MSE loss function.</w:t>
      </w:r>
      <w:r>
        <w:rPr>
          <w:spacing w:val="-5"/>
        </w:rPr>
        <w:t xml:space="preserve"> </w:t>
      </w:r>
    </w:p>
    <w:p w14:paraId="42E0D691" w14:textId="64E09A9C" w:rsidR="000F226C" w:rsidRDefault="009E7B90" w:rsidP="009E7B90">
      <w:r w:rsidRPr="009E7B90">
        <w:rPr>
          <w:spacing w:val="-5"/>
        </w:rPr>
        <w:t xml:space="preserve">Finally, all model combinations are in </w:t>
      </w:r>
      <w:r w:rsidR="00EB2791" w:rsidRPr="00490668">
        <w:rPr>
          <w:rFonts w:eastAsia="Times New Roman" w:cstheme="minorHAnsi"/>
          <w:color w:val="000000"/>
          <w:spacing w:val="1"/>
          <w:sz w:val="16"/>
          <w:szCs w:val="16"/>
          <w:lang w:val="en-GB" w:eastAsia="en-US"/>
        </w:rPr>
        <w:t xml:space="preserve">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EB2791" w:rsidRPr="00490668">
        <w:rPr>
          <w:rFonts w:eastAsia="Times New Roman" w:cstheme="minorHAnsi"/>
          <w:color w:val="000000"/>
          <w:spacing w:val="1"/>
          <w:sz w:val="16"/>
          <w:szCs w:val="16"/>
          <w:lang w:val="en-GB" w:eastAsia="en-US"/>
        </w:rPr>
        <w:t xml:space="preserve"> </w:t>
      </w:r>
      <w:r w:rsidRPr="009E7B90">
        <w:rPr>
          <w:spacing w:val="-5"/>
        </w:rPr>
        <w:t>under both loss functions, with none</w:t>
      </w:r>
      <w:r>
        <w:rPr>
          <w:spacing w:val="-5"/>
        </w:rPr>
        <w:t xml:space="preserve"> </w:t>
      </w:r>
      <w:r w:rsidRPr="009E7B90">
        <w:rPr>
          <w:spacing w:val="-5"/>
        </w:rPr>
        <w:t>outperforming the MS-VECM or MSAI-VECM.</w:t>
      </w:r>
    </w:p>
    <w:p w14:paraId="53449FC5" w14:textId="4071D146" w:rsidR="000F226C" w:rsidRDefault="009E7B90" w:rsidP="000F226C">
      <w:r w:rsidRPr="009E7B90">
        <w:lastRenderedPageBreak/>
        <w:t>In summary, the Markov switching VECM models outperform a range of bench-marks including the linear VECM, across multiple horizons. A model combination consisting of Markov switching models also performs equally well.</w:t>
      </w:r>
    </w:p>
    <w:p w14:paraId="19275CCF" w14:textId="5CE4F2D1" w:rsidR="009E7B90" w:rsidRDefault="009E7B90" w:rsidP="009E7B90">
      <w:pPr>
        <w:pStyle w:val="Heading2numbered"/>
      </w:pPr>
      <w:r>
        <w:t>COVID-19 analysis</w:t>
      </w:r>
    </w:p>
    <w:p w14:paraId="410A7D55" w14:textId="4A76F407" w:rsidR="002847B0" w:rsidRDefault="009E7B90" w:rsidP="009E7B90">
      <w:r>
        <w:t>We now assess performance of regime-switching models during the pandemic (March 2020 to August 2021). First, we examine whether the MS models identify a structural break in real</w:t>
      </w:r>
      <w:r w:rsidR="002847B0">
        <w:t xml:space="preserve"> </w:t>
      </w:r>
      <w:r>
        <w:t xml:space="preserve">time. We then examine their out-of-sample forecast performance. Figure 6 plots filtered probabilities for the MS-VECM, MSAI-VECM and MS-VAR models. </w:t>
      </w:r>
    </w:p>
    <w:p w14:paraId="13F9CBB7" w14:textId="77777777" w:rsidR="00C82B93" w:rsidRPr="00C82B93" w:rsidRDefault="00C82B93" w:rsidP="00C82B93">
      <w:pPr>
        <w:pStyle w:val="Caption"/>
        <w:rPr>
          <w:lang w:val="en-GB"/>
        </w:rPr>
      </w:pPr>
      <w:r w:rsidRPr="00C82B93">
        <w:rPr>
          <w:lang w:val="en-GB"/>
        </w:rPr>
        <w:t>Figure 6: MS model filtered regime 1 probabilities during COVID-19</w:t>
      </w:r>
    </w:p>
    <w:p w14:paraId="5FE9F724" w14:textId="77777777" w:rsidR="00950524" w:rsidRPr="00950524" w:rsidRDefault="00C82B93" w:rsidP="00950524">
      <w:pPr>
        <w:pStyle w:val="Caption"/>
        <w:tabs>
          <w:tab w:val="left" w:pos="4410"/>
        </w:tabs>
        <w:rPr>
          <w:sz w:val="16"/>
          <w:lang w:val="en-GB"/>
        </w:rPr>
      </w:pPr>
      <w:r w:rsidRPr="00C82B93">
        <w:rPr>
          <w:sz w:val="16"/>
          <w:lang w:val="en-GB"/>
        </w:rPr>
        <w:t>(a) MS-VECM(3)</w:t>
      </w:r>
      <w:r w:rsidRPr="005573C3">
        <w:rPr>
          <w:sz w:val="16"/>
          <w:lang w:val="en-GB"/>
        </w:rPr>
        <w:tab/>
      </w:r>
      <w:r w:rsidR="00950524" w:rsidRPr="00950524">
        <w:rPr>
          <w:sz w:val="16"/>
          <w:lang w:val="en-GB"/>
        </w:rPr>
        <w:t>(b) MSAI-VECM(4)</w:t>
      </w:r>
    </w:p>
    <w:p w14:paraId="788F7298" w14:textId="77C478A6" w:rsidR="003A799D" w:rsidRDefault="003A799D" w:rsidP="003A799D">
      <w:pPr>
        <w:tabs>
          <w:tab w:val="left" w:pos="4410"/>
        </w:tabs>
      </w:pPr>
      <w:r>
        <w:rPr>
          <w:noProof/>
        </w:rPr>
        <w:drawing>
          <wp:inline distT="0" distB="0" distL="0" distR="0" wp14:anchorId="533594A9" wp14:editId="23F4E7D7">
            <wp:extent cx="2743200" cy="2095962"/>
            <wp:effectExtent l="0" t="0" r="0" b="0"/>
            <wp:docPr id="1449105522" name="Picture 10" descr="MS-VECM regime 1 filtered probalities through COVID-19, indicating a switch to regime 2 at the onset of the pandemic. Ergodic probailities are over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5522" name="Picture 10" descr="MS-VECM regime 1 filtered probalities through COVID-19, indicating a switch to regime 2 at the onset of the pandemic. Ergodic probailities are overlayed."/>
                    <pic:cNvPicPr/>
                  </pic:nvPicPr>
                  <pic:blipFill rotWithShape="1">
                    <a:blip r:embed="rId24" cstate="print">
                      <a:extLst>
                        <a:ext uri="{28A0092B-C50C-407E-A947-70E740481C1C}">
                          <a14:useLocalDpi xmlns:a14="http://schemas.microsoft.com/office/drawing/2010/main" val="0"/>
                        </a:ext>
                      </a:extLst>
                    </a:blip>
                    <a:srcRect r="24884" b="11871"/>
                    <a:stretch>
                      <a:fillRect/>
                    </a:stretch>
                  </pic:blipFill>
                  <pic:spPr bwMode="auto">
                    <a:xfrm>
                      <a:off x="0" y="0"/>
                      <a:ext cx="2743200" cy="2095962"/>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47556A7F" wp14:editId="61703C68">
            <wp:extent cx="2835759" cy="2093976"/>
            <wp:effectExtent l="0" t="0" r="3175" b="1905"/>
            <wp:docPr id="1489904146" name="Picture 11" descr="MSAI-VECM regime 1 filtered probalities through COVID-19, indicating a switch to regime 2 at the onset of the pandemic. Ergodic probailities are over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04146" name="Picture 11" descr="MSAI-VECM regime 1 filtered probalities through COVID-19, indicating a switch to regime 2 at the onset of the pandemic. Ergodic probailities are overlayed."/>
                    <pic:cNvPicPr/>
                  </pic:nvPicPr>
                  <pic:blipFill rotWithShape="1">
                    <a:blip r:embed="rId25" cstate="print">
                      <a:extLst>
                        <a:ext uri="{28A0092B-C50C-407E-A947-70E740481C1C}">
                          <a14:useLocalDpi xmlns:a14="http://schemas.microsoft.com/office/drawing/2010/main" val="0"/>
                        </a:ext>
                      </a:extLst>
                    </a:blip>
                    <a:srcRect t="2704" r="23960" b="11075"/>
                    <a:stretch>
                      <a:fillRect/>
                    </a:stretch>
                  </pic:blipFill>
                  <pic:spPr bwMode="auto">
                    <a:xfrm>
                      <a:off x="0" y="0"/>
                      <a:ext cx="2835759" cy="2093976"/>
                    </a:xfrm>
                    <a:prstGeom prst="rect">
                      <a:avLst/>
                    </a:prstGeom>
                    <a:ln>
                      <a:noFill/>
                    </a:ln>
                    <a:extLst>
                      <a:ext uri="{53640926-AAD7-44D8-BBD7-CCE9431645EC}">
                        <a14:shadowObscured xmlns:a14="http://schemas.microsoft.com/office/drawing/2010/main"/>
                      </a:ext>
                    </a:extLst>
                  </pic:spPr>
                </pic:pic>
              </a:graphicData>
            </a:graphic>
          </wp:inline>
        </w:drawing>
      </w:r>
    </w:p>
    <w:p w14:paraId="25C2DE4C" w14:textId="77777777" w:rsidR="001C68F4" w:rsidRPr="001C68F4" w:rsidRDefault="001C68F4" w:rsidP="001C68F4">
      <w:pPr>
        <w:pStyle w:val="Caption"/>
        <w:tabs>
          <w:tab w:val="left" w:pos="4410"/>
        </w:tabs>
        <w:rPr>
          <w:sz w:val="16"/>
          <w:lang w:val="en-GB"/>
        </w:rPr>
      </w:pPr>
      <w:r w:rsidRPr="001C68F4">
        <w:rPr>
          <w:sz w:val="16"/>
          <w:lang w:val="en-GB"/>
        </w:rPr>
        <w:t>(c) MS-VAR(2)</w:t>
      </w:r>
    </w:p>
    <w:p w14:paraId="0163A590" w14:textId="40E57BDA" w:rsidR="001C68F4" w:rsidRDefault="001C68F4" w:rsidP="001C68F4">
      <w:pPr>
        <w:tabs>
          <w:tab w:val="left" w:pos="4410"/>
        </w:tabs>
      </w:pPr>
      <w:r>
        <w:rPr>
          <w:noProof/>
        </w:rPr>
        <w:drawing>
          <wp:inline distT="0" distB="0" distL="0" distR="0" wp14:anchorId="3ECD220D" wp14:editId="7FE67FA4">
            <wp:extent cx="2743200" cy="1997110"/>
            <wp:effectExtent l="0" t="0" r="0" b="3175"/>
            <wp:docPr id="1654352560" name="Picture 12" descr="MS-VAR regime 1 filtered probalities through COVID-19, indicating a switch to regime 2 at the onset of the pandemic. Ergodic probailities are over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2560" name="Picture 12" descr="MS-VAR regime 1 filtered probalities through COVID-19, indicating a switch to regime 2 at the onset of the pandemic. Ergodic probailities are overlayed."/>
                    <pic:cNvPicPr/>
                  </pic:nvPicPr>
                  <pic:blipFill rotWithShape="1">
                    <a:blip r:embed="rId26" cstate="print">
                      <a:extLst>
                        <a:ext uri="{28A0092B-C50C-407E-A947-70E740481C1C}">
                          <a14:useLocalDpi xmlns:a14="http://schemas.microsoft.com/office/drawing/2010/main" val="0"/>
                        </a:ext>
                      </a:extLst>
                    </a:blip>
                    <a:srcRect t="3977" r="24576" b="11706"/>
                    <a:stretch>
                      <a:fillRect/>
                    </a:stretch>
                  </pic:blipFill>
                  <pic:spPr bwMode="auto">
                    <a:xfrm>
                      <a:off x="0" y="0"/>
                      <a:ext cx="2743200" cy="1997110"/>
                    </a:xfrm>
                    <a:prstGeom prst="rect">
                      <a:avLst/>
                    </a:prstGeom>
                    <a:ln>
                      <a:noFill/>
                    </a:ln>
                    <a:extLst>
                      <a:ext uri="{53640926-AAD7-44D8-BBD7-CCE9431645EC}">
                        <a14:shadowObscured xmlns:a14="http://schemas.microsoft.com/office/drawing/2010/main"/>
                      </a:ext>
                    </a:extLst>
                  </pic:spPr>
                </pic:pic>
              </a:graphicData>
            </a:graphic>
          </wp:inline>
        </w:drawing>
      </w:r>
    </w:p>
    <w:p w14:paraId="788AB930" w14:textId="5B22E8D0" w:rsidR="009E7B90" w:rsidRDefault="009E7B90" w:rsidP="009E7B90">
      <w:r>
        <w:lastRenderedPageBreak/>
        <w:t>The probabilities reflect the model’s current assessment of which regime the system is in, conditional on the information at each point in time. To illustrate, the probability in March 2020, is the probability of being in state 1 from the model estimated using 25 years of data ending March 2020. The probability for April 2020, is based on the data set ending April 2020 etc. These probabilities therefore reflect a real-time assessment as the models roll through the estimation windows. The noisy probabilities throughout the sample suggest it’s prudent to use a range of MS models when evaluating a regime switch in real</w:t>
      </w:r>
      <w:r w:rsidR="00C83CD8">
        <w:t xml:space="preserve"> </w:t>
      </w:r>
      <w:r>
        <w:t xml:space="preserve">time. Nonetheless, all model probabilities drop to zero in early 2020, indicating a switch to the low growth high-volatility regime. This aligns with the smoothed probabilities from the full sample analysis shown in Figure </w:t>
      </w:r>
      <w:r w:rsidR="00121FF1">
        <w:t>4</w:t>
      </w:r>
      <w:r>
        <w:t>.</w:t>
      </w:r>
    </w:p>
    <w:p w14:paraId="1150C059" w14:textId="6DFB04CB" w:rsidR="009E7B90" w:rsidRDefault="009E7B90" w:rsidP="009E7B90">
      <w:r>
        <w:t xml:space="preserve">Table 7 reports forecast errors for each model (selected via CV in section 4.2) from March 2020 to August 2021. The results are mixed with no model or com- bination clearly dominant across all horizons and loss functions. The MS-dVAR and MS-dAR models achieve the lowest 12-month forecast errors, with MAPEs of 13.31 per cent and 14.83 per cent, respectively, representing improvements of 23.68 per cent and 14.97 per cent over the linear VECM. The VECM though remains in </w:t>
      </w:r>
      <w:r w:rsidRPr="000F226C">
        <w:t>M</w:t>
      </w:r>
      <w:r>
        <w:rPr>
          <w:rFonts w:ascii="Cambria Math" w:hAnsi="Cambria Math" w:cs="Cambria Math"/>
        </w:rPr>
        <w:t>*</w:t>
      </w:r>
      <w:r w:rsidRPr="000F226C">
        <w:rPr>
          <w:vertAlign w:val="subscript"/>
        </w:rPr>
        <w:t xml:space="preserve"> 0.</w:t>
      </w:r>
      <w:r>
        <w:rPr>
          <w:vertAlign w:val="subscript"/>
        </w:rPr>
        <w:t xml:space="preserve">25 </w:t>
      </w:r>
      <w:r>
        <w:t>across all horizons under both loss criteria, indicating that no model statistically outperforms the benchmark. Importantly, the MS-VECM has a lower MAPE and MSE than the VECM across all horizons, and it remains in the MCS at the 25% level for horizons 6, 9 and 12.</w:t>
      </w:r>
    </w:p>
    <w:p w14:paraId="26527512" w14:textId="77777777" w:rsidR="00121FF1" w:rsidRPr="00121FF1" w:rsidRDefault="00121FF1" w:rsidP="00121FF1">
      <w:pPr>
        <w:pStyle w:val="Caption"/>
        <w:rPr>
          <w:lang w:val="en-GB"/>
        </w:rPr>
      </w:pPr>
      <w:r w:rsidRPr="00121FF1">
        <w:rPr>
          <w:lang w:val="en-GB"/>
        </w:rPr>
        <w:t>Table 7: COVID-19 Forecast Evaluation (3/2020-8/2021)</w:t>
      </w:r>
    </w:p>
    <w:tbl>
      <w:tblPr>
        <w:tblStyle w:val="Financialtable"/>
        <w:tblW w:w="9240" w:type="dxa"/>
        <w:tblLayout w:type="fixed"/>
        <w:tblLook w:val="06A0" w:firstRow="1" w:lastRow="0" w:firstColumn="1" w:lastColumn="0" w:noHBand="1" w:noVBand="1"/>
      </w:tblPr>
      <w:tblGrid>
        <w:gridCol w:w="1440"/>
        <w:gridCol w:w="975"/>
        <w:gridCol w:w="975"/>
        <w:gridCol w:w="975"/>
        <w:gridCol w:w="975"/>
        <w:gridCol w:w="975"/>
        <w:gridCol w:w="975"/>
        <w:gridCol w:w="975"/>
        <w:gridCol w:w="975"/>
      </w:tblGrid>
      <w:tr w:rsidR="00D268D5" w:rsidRPr="00172227" w14:paraId="34E8AB55" w14:textId="77777777" w:rsidTr="00B76219">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1440" w:type="dxa"/>
          </w:tcPr>
          <w:p w14:paraId="2B12F857" w14:textId="77777777" w:rsidR="00D268D5" w:rsidRPr="00172227" w:rsidRDefault="00D268D5" w:rsidP="00D268D5">
            <w:pPr>
              <w:spacing w:before="30" w:after="30" w:line="240" w:lineRule="auto"/>
              <w:rPr>
                <w:lang w:val="en-GB"/>
              </w:rPr>
            </w:pPr>
          </w:p>
        </w:tc>
        <w:tc>
          <w:tcPr>
            <w:tcW w:w="3900" w:type="dxa"/>
            <w:gridSpan w:val="4"/>
          </w:tcPr>
          <w:p w14:paraId="130ABB48" w14:textId="3B502A0A" w:rsidR="00D268D5" w:rsidRPr="00172227" w:rsidRDefault="00D268D5" w:rsidP="00D268D5">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lang w:val="en-GB"/>
              </w:rPr>
            </w:pPr>
            <w:r>
              <w:t>MAPE (%)</w:t>
            </w:r>
          </w:p>
        </w:tc>
        <w:tc>
          <w:tcPr>
            <w:tcW w:w="3900" w:type="dxa"/>
            <w:gridSpan w:val="4"/>
          </w:tcPr>
          <w:p w14:paraId="704F7FD9" w14:textId="0D6988D1" w:rsidR="00D268D5" w:rsidRPr="00172227" w:rsidRDefault="00D268D5" w:rsidP="00D268D5">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lang w:val="en-GB"/>
              </w:rPr>
            </w:pPr>
            <w:r>
              <w:t>MSE (×10−16)</w:t>
            </w:r>
          </w:p>
        </w:tc>
      </w:tr>
      <w:tr w:rsidR="00D268D5" w:rsidRPr="00172227" w14:paraId="34E6E878" w14:textId="77777777" w:rsidTr="008F383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1440" w:type="dxa"/>
          </w:tcPr>
          <w:p w14:paraId="3A41D891" w14:textId="4D6CEA6F" w:rsidR="00D268D5" w:rsidRPr="00172227" w:rsidRDefault="00D268D5" w:rsidP="00D268D5">
            <w:pPr>
              <w:spacing w:before="30" w:after="30" w:line="240" w:lineRule="auto"/>
              <w:rPr>
                <w:lang w:val="en-GB"/>
              </w:rPr>
            </w:pPr>
            <w:r>
              <w:t>Horizon</w:t>
            </w:r>
          </w:p>
        </w:tc>
        <w:tc>
          <w:tcPr>
            <w:tcW w:w="975" w:type="dxa"/>
          </w:tcPr>
          <w:p w14:paraId="0B1E0061" w14:textId="666A7C10"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3</w:t>
            </w:r>
          </w:p>
        </w:tc>
        <w:tc>
          <w:tcPr>
            <w:tcW w:w="975" w:type="dxa"/>
          </w:tcPr>
          <w:p w14:paraId="19014A94" w14:textId="1E26668E"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6</w:t>
            </w:r>
          </w:p>
        </w:tc>
        <w:tc>
          <w:tcPr>
            <w:tcW w:w="975" w:type="dxa"/>
          </w:tcPr>
          <w:p w14:paraId="6196D23A" w14:textId="423908E9"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9</w:t>
            </w:r>
          </w:p>
        </w:tc>
        <w:tc>
          <w:tcPr>
            <w:tcW w:w="975" w:type="dxa"/>
          </w:tcPr>
          <w:p w14:paraId="720BD954" w14:textId="2117BCBF"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12</w:t>
            </w:r>
          </w:p>
        </w:tc>
        <w:tc>
          <w:tcPr>
            <w:tcW w:w="975" w:type="dxa"/>
          </w:tcPr>
          <w:p w14:paraId="4B9D58B0" w14:textId="26B0A6A8"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3</w:t>
            </w:r>
          </w:p>
        </w:tc>
        <w:tc>
          <w:tcPr>
            <w:tcW w:w="975" w:type="dxa"/>
          </w:tcPr>
          <w:p w14:paraId="6E602470" w14:textId="61F64881"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6</w:t>
            </w:r>
          </w:p>
        </w:tc>
        <w:tc>
          <w:tcPr>
            <w:tcW w:w="975" w:type="dxa"/>
          </w:tcPr>
          <w:p w14:paraId="7962C7FB" w14:textId="40487606"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9</w:t>
            </w:r>
          </w:p>
        </w:tc>
        <w:tc>
          <w:tcPr>
            <w:tcW w:w="975" w:type="dxa"/>
          </w:tcPr>
          <w:p w14:paraId="5D9EEC95" w14:textId="36E49301" w:rsidR="00D268D5" w:rsidRPr="00172227" w:rsidRDefault="00D268D5" w:rsidP="00D268D5">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12</w:t>
            </w:r>
          </w:p>
        </w:tc>
      </w:tr>
      <w:tr w:rsidR="00172227" w:rsidRPr="00172227" w14:paraId="5931FCB7" w14:textId="77777777" w:rsidTr="008F3834">
        <w:trPr>
          <w:trHeight w:val="282"/>
        </w:trPr>
        <w:tc>
          <w:tcPr>
            <w:cnfStyle w:val="001000000000" w:firstRow="0" w:lastRow="0" w:firstColumn="1" w:lastColumn="0" w:oddVBand="0" w:evenVBand="0" w:oddHBand="0" w:evenHBand="0" w:firstRowFirstColumn="0" w:firstRowLastColumn="0" w:lastRowFirstColumn="0" w:lastRowLastColumn="0"/>
            <w:tcW w:w="1440" w:type="dxa"/>
          </w:tcPr>
          <w:p w14:paraId="151B7569" w14:textId="77777777" w:rsidR="00172227" w:rsidRPr="00172227" w:rsidRDefault="00172227" w:rsidP="00172227">
            <w:pPr>
              <w:spacing w:before="30" w:after="30" w:line="240" w:lineRule="auto"/>
              <w:rPr>
                <w:lang w:val="en-GB"/>
              </w:rPr>
            </w:pPr>
            <w:r w:rsidRPr="00172227">
              <w:rPr>
                <w:lang w:val="en-GB"/>
              </w:rPr>
              <w:t>VECM</w:t>
            </w:r>
          </w:p>
        </w:tc>
        <w:tc>
          <w:tcPr>
            <w:tcW w:w="975" w:type="dxa"/>
          </w:tcPr>
          <w:p w14:paraId="597408F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9.08*</w:t>
            </w:r>
          </w:p>
        </w:tc>
        <w:tc>
          <w:tcPr>
            <w:tcW w:w="975" w:type="dxa"/>
          </w:tcPr>
          <w:p w14:paraId="53890B6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12.51**</w:t>
            </w:r>
          </w:p>
        </w:tc>
        <w:tc>
          <w:tcPr>
            <w:tcW w:w="975" w:type="dxa"/>
          </w:tcPr>
          <w:p w14:paraId="4B874B2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16.85**</w:t>
            </w:r>
          </w:p>
        </w:tc>
        <w:tc>
          <w:tcPr>
            <w:tcW w:w="975" w:type="dxa"/>
          </w:tcPr>
          <w:p w14:paraId="205BF89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17.44**</w:t>
            </w:r>
          </w:p>
        </w:tc>
        <w:tc>
          <w:tcPr>
            <w:tcW w:w="975" w:type="dxa"/>
          </w:tcPr>
          <w:p w14:paraId="035D246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28.29**</w:t>
            </w:r>
          </w:p>
        </w:tc>
        <w:tc>
          <w:tcPr>
            <w:tcW w:w="975" w:type="dxa"/>
          </w:tcPr>
          <w:p w14:paraId="274B6CC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204.62**</w:t>
            </w:r>
          </w:p>
        </w:tc>
        <w:tc>
          <w:tcPr>
            <w:tcW w:w="975" w:type="dxa"/>
          </w:tcPr>
          <w:p w14:paraId="1399A9F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801.52**</w:t>
            </w:r>
          </w:p>
        </w:tc>
        <w:tc>
          <w:tcPr>
            <w:tcW w:w="975" w:type="dxa"/>
          </w:tcPr>
          <w:p w14:paraId="091A837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1 449.29**</w:t>
            </w:r>
          </w:p>
        </w:tc>
      </w:tr>
      <w:tr w:rsidR="00172227" w:rsidRPr="00172227" w14:paraId="5037170D"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6DB8D0D2" w14:textId="77777777" w:rsidR="00172227" w:rsidRPr="00172227" w:rsidRDefault="00172227" w:rsidP="00172227">
            <w:pPr>
              <w:spacing w:before="30" w:after="30" w:line="240" w:lineRule="auto"/>
              <w:rPr>
                <w:lang w:val="en-GB"/>
              </w:rPr>
            </w:pPr>
            <w:r w:rsidRPr="00172227">
              <w:rPr>
                <w:lang w:val="en-GB"/>
              </w:rPr>
              <w:t>VAR</w:t>
            </w:r>
          </w:p>
        </w:tc>
        <w:tc>
          <w:tcPr>
            <w:tcW w:w="975" w:type="dxa"/>
          </w:tcPr>
          <w:p w14:paraId="662FE80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8.58</w:t>
            </w:r>
          </w:p>
        </w:tc>
        <w:tc>
          <w:tcPr>
            <w:tcW w:w="975" w:type="dxa"/>
          </w:tcPr>
          <w:p w14:paraId="56E5F39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11.56**</w:t>
            </w:r>
          </w:p>
        </w:tc>
        <w:tc>
          <w:tcPr>
            <w:tcW w:w="975" w:type="dxa"/>
          </w:tcPr>
          <w:p w14:paraId="4EBEE2E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16.26**</w:t>
            </w:r>
          </w:p>
        </w:tc>
        <w:tc>
          <w:tcPr>
            <w:tcW w:w="975" w:type="dxa"/>
          </w:tcPr>
          <w:p w14:paraId="0C13020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18.64</w:t>
            </w:r>
          </w:p>
        </w:tc>
        <w:tc>
          <w:tcPr>
            <w:tcW w:w="975" w:type="dxa"/>
          </w:tcPr>
          <w:p w14:paraId="50424932"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28.33</w:t>
            </w:r>
          </w:p>
        </w:tc>
        <w:tc>
          <w:tcPr>
            <w:tcW w:w="975" w:type="dxa"/>
          </w:tcPr>
          <w:p w14:paraId="19FEDDE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200.19**</w:t>
            </w:r>
          </w:p>
        </w:tc>
        <w:tc>
          <w:tcPr>
            <w:tcW w:w="975" w:type="dxa"/>
          </w:tcPr>
          <w:p w14:paraId="6193BF7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795.85**</w:t>
            </w:r>
          </w:p>
        </w:tc>
        <w:tc>
          <w:tcPr>
            <w:tcW w:w="975" w:type="dxa"/>
          </w:tcPr>
          <w:p w14:paraId="7C25C65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1 589.17</w:t>
            </w:r>
          </w:p>
        </w:tc>
      </w:tr>
      <w:tr w:rsidR="00172227" w:rsidRPr="00172227" w14:paraId="7828814C"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6C7C3BF1" w14:textId="77777777" w:rsidR="00172227" w:rsidRPr="00172227" w:rsidRDefault="00172227" w:rsidP="00172227">
            <w:pPr>
              <w:spacing w:before="30" w:after="30" w:line="240" w:lineRule="auto"/>
              <w:rPr>
                <w:lang w:val="en-GB"/>
              </w:rPr>
            </w:pPr>
            <w:r w:rsidRPr="00172227">
              <w:rPr>
                <w:lang w:val="en-GB"/>
              </w:rPr>
              <w:t>dVAR</w:t>
            </w:r>
          </w:p>
        </w:tc>
        <w:tc>
          <w:tcPr>
            <w:tcW w:w="975" w:type="dxa"/>
          </w:tcPr>
          <w:p w14:paraId="75146DC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9.66</w:t>
            </w:r>
          </w:p>
        </w:tc>
        <w:tc>
          <w:tcPr>
            <w:tcW w:w="975" w:type="dxa"/>
          </w:tcPr>
          <w:p w14:paraId="2BC56F5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13.06</w:t>
            </w:r>
          </w:p>
        </w:tc>
        <w:tc>
          <w:tcPr>
            <w:tcW w:w="975" w:type="dxa"/>
          </w:tcPr>
          <w:p w14:paraId="504D7861"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18.55</w:t>
            </w:r>
          </w:p>
        </w:tc>
        <w:tc>
          <w:tcPr>
            <w:tcW w:w="975" w:type="dxa"/>
          </w:tcPr>
          <w:p w14:paraId="4710134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20.57</w:t>
            </w:r>
          </w:p>
        </w:tc>
        <w:tc>
          <w:tcPr>
            <w:tcW w:w="975" w:type="dxa"/>
          </w:tcPr>
          <w:p w14:paraId="4EC0762A"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34.92</w:t>
            </w:r>
          </w:p>
        </w:tc>
        <w:tc>
          <w:tcPr>
            <w:tcW w:w="975" w:type="dxa"/>
          </w:tcPr>
          <w:p w14:paraId="48820E4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250.15</w:t>
            </w:r>
          </w:p>
        </w:tc>
        <w:tc>
          <w:tcPr>
            <w:tcW w:w="975" w:type="dxa"/>
          </w:tcPr>
          <w:p w14:paraId="4069F47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978.48</w:t>
            </w:r>
          </w:p>
        </w:tc>
        <w:tc>
          <w:tcPr>
            <w:tcW w:w="975" w:type="dxa"/>
          </w:tcPr>
          <w:p w14:paraId="3BD5123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1 852.44</w:t>
            </w:r>
          </w:p>
        </w:tc>
      </w:tr>
      <w:tr w:rsidR="00172227" w:rsidRPr="00172227" w14:paraId="32FC17BD"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44F53F17" w14:textId="77777777" w:rsidR="00172227" w:rsidRPr="00172227" w:rsidRDefault="00172227" w:rsidP="00172227">
            <w:pPr>
              <w:spacing w:before="30" w:after="30" w:line="240" w:lineRule="auto"/>
              <w:rPr>
                <w:lang w:val="en-GB"/>
              </w:rPr>
            </w:pPr>
            <w:r w:rsidRPr="00172227">
              <w:rPr>
                <w:lang w:val="en-GB"/>
              </w:rPr>
              <w:t>dAR</w:t>
            </w:r>
          </w:p>
        </w:tc>
        <w:tc>
          <w:tcPr>
            <w:tcW w:w="975" w:type="dxa"/>
          </w:tcPr>
          <w:p w14:paraId="0F82203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14.40</w:t>
            </w:r>
          </w:p>
        </w:tc>
        <w:tc>
          <w:tcPr>
            <w:tcW w:w="975" w:type="dxa"/>
          </w:tcPr>
          <w:p w14:paraId="0E1A7CB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17.88</w:t>
            </w:r>
          </w:p>
        </w:tc>
        <w:tc>
          <w:tcPr>
            <w:tcW w:w="975" w:type="dxa"/>
          </w:tcPr>
          <w:p w14:paraId="292ECB0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17.29*</w:t>
            </w:r>
          </w:p>
        </w:tc>
        <w:tc>
          <w:tcPr>
            <w:tcW w:w="975" w:type="dxa"/>
          </w:tcPr>
          <w:p w14:paraId="032E8F0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15.14**</w:t>
            </w:r>
          </w:p>
        </w:tc>
        <w:tc>
          <w:tcPr>
            <w:tcW w:w="975" w:type="dxa"/>
          </w:tcPr>
          <w:p w14:paraId="2C31B2B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70.89</w:t>
            </w:r>
          </w:p>
        </w:tc>
        <w:tc>
          <w:tcPr>
            <w:tcW w:w="975" w:type="dxa"/>
          </w:tcPr>
          <w:p w14:paraId="09A2190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426.61</w:t>
            </w:r>
          </w:p>
        </w:tc>
        <w:tc>
          <w:tcPr>
            <w:tcW w:w="975" w:type="dxa"/>
          </w:tcPr>
          <w:p w14:paraId="2AA63C3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966.70*</w:t>
            </w:r>
          </w:p>
        </w:tc>
        <w:tc>
          <w:tcPr>
            <w:tcW w:w="975" w:type="dxa"/>
          </w:tcPr>
          <w:p w14:paraId="4661DA2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1 376.60**</w:t>
            </w:r>
          </w:p>
        </w:tc>
      </w:tr>
      <w:tr w:rsidR="00172227" w:rsidRPr="00172227" w14:paraId="1FF361A0"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0C277F43" w14:textId="77777777" w:rsidR="00172227" w:rsidRPr="00172227" w:rsidRDefault="00172227" w:rsidP="00172227">
            <w:pPr>
              <w:spacing w:before="30" w:after="30" w:line="240" w:lineRule="auto"/>
              <w:rPr>
                <w:lang w:val="en-GB"/>
              </w:rPr>
            </w:pPr>
            <w:r w:rsidRPr="00172227">
              <w:rPr>
                <w:lang w:val="en-GB"/>
              </w:rPr>
              <w:t>MS-VECM</w:t>
            </w:r>
          </w:p>
        </w:tc>
        <w:tc>
          <w:tcPr>
            <w:tcW w:w="975" w:type="dxa"/>
          </w:tcPr>
          <w:p w14:paraId="6249D965"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8.31</w:t>
            </w:r>
          </w:p>
        </w:tc>
        <w:tc>
          <w:tcPr>
            <w:tcW w:w="975" w:type="dxa"/>
          </w:tcPr>
          <w:p w14:paraId="4625F06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11.32**</w:t>
            </w:r>
          </w:p>
        </w:tc>
        <w:tc>
          <w:tcPr>
            <w:tcW w:w="975" w:type="dxa"/>
          </w:tcPr>
          <w:p w14:paraId="38846AC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15.18**</w:t>
            </w:r>
          </w:p>
        </w:tc>
        <w:tc>
          <w:tcPr>
            <w:tcW w:w="975" w:type="dxa"/>
          </w:tcPr>
          <w:p w14:paraId="4B01E39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15.46**</w:t>
            </w:r>
          </w:p>
        </w:tc>
        <w:tc>
          <w:tcPr>
            <w:tcW w:w="975" w:type="dxa"/>
          </w:tcPr>
          <w:p w14:paraId="2285A6C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28.74</w:t>
            </w:r>
          </w:p>
        </w:tc>
        <w:tc>
          <w:tcPr>
            <w:tcW w:w="975" w:type="dxa"/>
          </w:tcPr>
          <w:p w14:paraId="7C5CB2C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201.59**</w:t>
            </w:r>
          </w:p>
        </w:tc>
        <w:tc>
          <w:tcPr>
            <w:tcW w:w="975" w:type="dxa"/>
          </w:tcPr>
          <w:p w14:paraId="0B427D5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773.57**</w:t>
            </w:r>
          </w:p>
        </w:tc>
        <w:tc>
          <w:tcPr>
            <w:tcW w:w="975" w:type="dxa"/>
          </w:tcPr>
          <w:p w14:paraId="10D03E51"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1 131.01**</w:t>
            </w:r>
          </w:p>
        </w:tc>
      </w:tr>
      <w:tr w:rsidR="00172227" w:rsidRPr="00172227" w14:paraId="6F124935" w14:textId="77777777" w:rsidTr="008F3834">
        <w:trPr>
          <w:trHeight w:val="339"/>
        </w:trPr>
        <w:tc>
          <w:tcPr>
            <w:cnfStyle w:val="001000000000" w:firstRow="0" w:lastRow="0" w:firstColumn="1" w:lastColumn="0" w:oddVBand="0" w:evenVBand="0" w:oddHBand="0" w:evenHBand="0" w:firstRowFirstColumn="0" w:firstRowLastColumn="0" w:lastRowFirstColumn="0" w:lastRowLastColumn="0"/>
            <w:tcW w:w="1440" w:type="dxa"/>
          </w:tcPr>
          <w:p w14:paraId="56F4F371" w14:textId="77777777" w:rsidR="00172227" w:rsidRPr="00172227" w:rsidRDefault="00172227" w:rsidP="00172227">
            <w:pPr>
              <w:spacing w:before="30" w:after="30" w:line="240" w:lineRule="auto"/>
              <w:rPr>
                <w:lang w:val="en-GB"/>
              </w:rPr>
            </w:pPr>
            <w:r w:rsidRPr="00172227">
              <w:rPr>
                <w:lang w:val="en-GB"/>
              </w:rPr>
              <w:t>MSAI-VECM</w:t>
            </w:r>
          </w:p>
        </w:tc>
        <w:tc>
          <w:tcPr>
            <w:tcW w:w="975" w:type="dxa"/>
          </w:tcPr>
          <w:p w14:paraId="0E2C185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8.06**</w:t>
            </w:r>
          </w:p>
        </w:tc>
        <w:tc>
          <w:tcPr>
            <w:tcW w:w="975" w:type="dxa"/>
          </w:tcPr>
          <w:p w14:paraId="4CAF40E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11.84**</w:t>
            </w:r>
          </w:p>
        </w:tc>
        <w:tc>
          <w:tcPr>
            <w:tcW w:w="975" w:type="dxa"/>
          </w:tcPr>
          <w:p w14:paraId="7A59188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16.83*</w:t>
            </w:r>
          </w:p>
        </w:tc>
        <w:tc>
          <w:tcPr>
            <w:tcW w:w="975" w:type="dxa"/>
          </w:tcPr>
          <w:p w14:paraId="470F11F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17.76</w:t>
            </w:r>
          </w:p>
        </w:tc>
        <w:tc>
          <w:tcPr>
            <w:tcW w:w="975" w:type="dxa"/>
          </w:tcPr>
          <w:p w14:paraId="2831149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25.65**</w:t>
            </w:r>
          </w:p>
        </w:tc>
        <w:tc>
          <w:tcPr>
            <w:tcW w:w="975" w:type="dxa"/>
          </w:tcPr>
          <w:p w14:paraId="7DF08361"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191.87**</w:t>
            </w:r>
          </w:p>
        </w:tc>
        <w:tc>
          <w:tcPr>
            <w:tcW w:w="975" w:type="dxa"/>
          </w:tcPr>
          <w:p w14:paraId="0EED10D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786.51**</w:t>
            </w:r>
          </w:p>
        </w:tc>
        <w:tc>
          <w:tcPr>
            <w:tcW w:w="975" w:type="dxa"/>
          </w:tcPr>
          <w:p w14:paraId="37AC7BB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1 460.60*</w:t>
            </w:r>
          </w:p>
        </w:tc>
      </w:tr>
      <w:tr w:rsidR="00172227" w:rsidRPr="00172227" w14:paraId="0D9A062A"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2B8F6586" w14:textId="77777777" w:rsidR="00172227" w:rsidRPr="00172227" w:rsidRDefault="00172227" w:rsidP="00172227">
            <w:pPr>
              <w:spacing w:before="30" w:after="30" w:line="240" w:lineRule="auto"/>
              <w:rPr>
                <w:lang w:val="en-GB"/>
              </w:rPr>
            </w:pPr>
            <w:r w:rsidRPr="00172227">
              <w:rPr>
                <w:lang w:val="en-GB"/>
              </w:rPr>
              <w:t>MS-VAR</w:t>
            </w:r>
          </w:p>
        </w:tc>
        <w:tc>
          <w:tcPr>
            <w:tcW w:w="975" w:type="dxa"/>
          </w:tcPr>
          <w:p w14:paraId="3736957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8.70**</w:t>
            </w:r>
          </w:p>
        </w:tc>
        <w:tc>
          <w:tcPr>
            <w:tcW w:w="975" w:type="dxa"/>
          </w:tcPr>
          <w:p w14:paraId="44115451"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11.89**</w:t>
            </w:r>
          </w:p>
        </w:tc>
        <w:tc>
          <w:tcPr>
            <w:tcW w:w="975" w:type="dxa"/>
          </w:tcPr>
          <w:p w14:paraId="67DC8FF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15.75**</w:t>
            </w:r>
          </w:p>
        </w:tc>
        <w:tc>
          <w:tcPr>
            <w:tcW w:w="975" w:type="dxa"/>
          </w:tcPr>
          <w:p w14:paraId="138B460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17.69</w:t>
            </w:r>
          </w:p>
        </w:tc>
        <w:tc>
          <w:tcPr>
            <w:tcW w:w="975" w:type="dxa"/>
          </w:tcPr>
          <w:p w14:paraId="610A51D5"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27.36**</w:t>
            </w:r>
          </w:p>
        </w:tc>
        <w:tc>
          <w:tcPr>
            <w:tcW w:w="975" w:type="dxa"/>
          </w:tcPr>
          <w:p w14:paraId="63F249A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194.79**</w:t>
            </w:r>
          </w:p>
        </w:tc>
        <w:tc>
          <w:tcPr>
            <w:tcW w:w="975" w:type="dxa"/>
          </w:tcPr>
          <w:p w14:paraId="6101178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773.17**</w:t>
            </w:r>
          </w:p>
        </w:tc>
        <w:tc>
          <w:tcPr>
            <w:tcW w:w="975" w:type="dxa"/>
          </w:tcPr>
          <w:p w14:paraId="01F0CAA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1 448.16</w:t>
            </w:r>
          </w:p>
        </w:tc>
      </w:tr>
      <w:tr w:rsidR="00172227" w:rsidRPr="00172227" w14:paraId="7334A428"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68EB28EA" w14:textId="77777777" w:rsidR="00172227" w:rsidRPr="00172227" w:rsidRDefault="00172227" w:rsidP="00172227">
            <w:pPr>
              <w:spacing w:before="30" w:after="30" w:line="240" w:lineRule="auto"/>
              <w:rPr>
                <w:lang w:val="en-GB"/>
              </w:rPr>
            </w:pPr>
            <w:r w:rsidRPr="00172227">
              <w:rPr>
                <w:lang w:val="en-GB"/>
              </w:rPr>
              <w:t>MS-dVAR</w:t>
            </w:r>
          </w:p>
        </w:tc>
        <w:tc>
          <w:tcPr>
            <w:tcW w:w="975" w:type="dxa"/>
          </w:tcPr>
          <w:p w14:paraId="208D7792"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14.16</w:t>
            </w:r>
          </w:p>
        </w:tc>
        <w:tc>
          <w:tcPr>
            <w:tcW w:w="975" w:type="dxa"/>
          </w:tcPr>
          <w:p w14:paraId="6E30D85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16.05**</w:t>
            </w:r>
          </w:p>
        </w:tc>
        <w:tc>
          <w:tcPr>
            <w:tcW w:w="975" w:type="dxa"/>
          </w:tcPr>
          <w:p w14:paraId="62E8FD5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16.78**</w:t>
            </w:r>
          </w:p>
        </w:tc>
        <w:tc>
          <w:tcPr>
            <w:tcW w:w="975" w:type="dxa"/>
          </w:tcPr>
          <w:p w14:paraId="1F4CBE9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13.31</w:t>
            </w:r>
            <w:r w:rsidRPr="00172227">
              <w:rPr>
                <w:lang w:val="en-GB"/>
              </w:rPr>
              <w:t>**</w:t>
            </w:r>
          </w:p>
        </w:tc>
        <w:tc>
          <w:tcPr>
            <w:tcW w:w="975" w:type="dxa"/>
          </w:tcPr>
          <w:p w14:paraId="5E39611A"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73.92</w:t>
            </w:r>
          </w:p>
        </w:tc>
        <w:tc>
          <w:tcPr>
            <w:tcW w:w="975" w:type="dxa"/>
          </w:tcPr>
          <w:p w14:paraId="5A4F1B01"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438.71*</w:t>
            </w:r>
          </w:p>
        </w:tc>
        <w:tc>
          <w:tcPr>
            <w:tcW w:w="975" w:type="dxa"/>
          </w:tcPr>
          <w:p w14:paraId="27CBD92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1 153.97**</w:t>
            </w:r>
          </w:p>
        </w:tc>
        <w:tc>
          <w:tcPr>
            <w:tcW w:w="975" w:type="dxa"/>
          </w:tcPr>
          <w:p w14:paraId="52571E5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1 128.83</w:t>
            </w:r>
            <w:r w:rsidRPr="00172227">
              <w:rPr>
                <w:lang w:val="en-GB"/>
              </w:rPr>
              <w:t>**</w:t>
            </w:r>
          </w:p>
        </w:tc>
      </w:tr>
      <w:tr w:rsidR="00172227" w:rsidRPr="00172227" w14:paraId="63368148"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458A9295" w14:textId="77777777" w:rsidR="00172227" w:rsidRPr="00172227" w:rsidRDefault="00172227" w:rsidP="00172227">
            <w:pPr>
              <w:spacing w:before="30" w:after="30" w:line="240" w:lineRule="auto"/>
              <w:rPr>
                <w:lang w:val="en-GB"/>
              </w:rPr>
            </w:pPr>
            <w:r w:rsidRPr="00172227">
              <w:rPr>
                <w:lang w:val="en-GB"/>
              </w:rPr>
              <w:t>MS-dAR</w:t>
            </w:r>
          </w:p>
        </w:tc>
        <w:tc>
          <w:tcPr>
            <w:tcW w:w="975" w:type="dxa"/>
          </w:tcPr>
          <w:p w14:paraId="7026484D"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14.32</w:t>
            </w:r>
          </w:p>
        </w:tc>
        <w:tc>
          <w:tcPr>
            <w:tcW w:w="975" w:type="dxa"/>
          </w:tcPr>
          <w:p w14:paraId="07B09A9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18.03</w:t>
            </w:r>
          </w:p>
        </w:tc>
        <w:tc>
          <w:tcPr>
            <w:tcW w:w="975" w:type="dxa"/>
          </w:tcPr>
          <w:p w14:paraId="1D26C2C2"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17.35*</w:t>
            </w:r>
          </w:p>
        </w:tc>
        <w:tc>
          <w:tcPr>
            <w:tcW w:w="975" w:type="dxa"/>
          </w:tcPr>
          <w:p w14:paraId="730A5FA5"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14.83**</w:t>
            </w:r>
          </w:p>
        </w:tc>
        <w:tc>
          <w:tcPr>
            <w:tcW w:w="975" w:type="dxa"/>
          </w:tcPr>
          <w:p w14:paraId="70042E9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69.38</w:t>
            </w:r>
          </w:p>
        </w:tc>
        <w:tc>
          <w:tcPr>
            <w:tcW w:w="975" w:type="dxa"/>
          </w:tcPr>
          <w:p w14:paraId="6B7CDF4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433.27</w:t>
            </w:r>
          </w:p>
        </w:tc>
        <w:tc>
          <w:tcPr>
            <w:tcW w:w="975" w:type="dxa"/>
          </w:tcPr>
          <w:p w14:paraId="308E8115"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971.48</w:t>
            </w:r>
          </w:p>
        </w:tc>
        <w:tc>
          <w:tcPr>
            <w:tcW w:w="975" w:type="dxa"/>
          </w:tcPr>
          <w:p w14:paraId="65FAD7D2"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1 313.87**</w:t>
            </w:r>
          </w:p>
        </w:tc>
      </w:tr>
      <w:tr w:rsidR="00172227" w:rsidRPr="00172227" w14:paraId="4B18FE07"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3D0A99DF" w14:textId="77777777" w:rsidR="00172227" w:rsidRPr="00172227" w:rsidRDefault="00172227" w:rsidP="00172227">
            <w:pPr>
              <w:spacing w:before="30" w:after="30" w:line="240" w:lineRule="auto"/>
              <w:rPr>
                <w:lang w:val="en-GB"/>
              </w:rPr>
            </w:pPr>
            <w:r w:rsidRPr="00172227">
              <w:rPr>
                <w:lang w:val="en-GB"/>
              </w:rPr>
              <w:t>AVG-3 (10%)</w:t>
            </w:r>
          </w:p>
        </w:tc>
        <w:tc>
          <w:tcPr>
            <w:tcW w:w="975" w:type="dxa"/>
          </w:tcPr>
          <w:p w14:paraId="5ABDDD5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7.90*</w:t>
            </w:r>
          </w:p>
        </w:tc>
        <w:tc>
          <w:tcPr>
            <w:tcW w:w="975" w:type="dxa"/>
          </w:tcPr>
          <w:p w14:paraId="40E26BCA"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11.35</w:t>
            </w:r>
          </w:p>
        </w:tc>
        <w:tc>
          <w:tcPr>
            <w:tcW w:w="975" w:type="dxa"/>
          </w:tcPr>
          <w:p w14:paraId="494DFBE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16.47*</w:t>
            </w:r>
          </w:p>
        </w:tc>
        <w:tc>
          <w:tcPr>
            <w:tcW w:w="975" w:type="dxa"/>
          </w:tcPr>
          <w:p w14:paraId="4FC5866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17.75</w:t>
            </w:r>
          </w:p>
        </w:tc>
        <w:tc>
          <w:tcPr>
            <w:tcW w:w="975" w:type="dxa"/>
          </w:tcPr>
          <w:p w14:paraId="67C16A0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26.49*</w:t>
            </w:r>
          </w:p>
        </w:tc>
        <w:tc>
          <w:tcPr>
            <w:tcW w:w="975" w:type="dxa"/>
          </w:tcPr>
          <w:p w14:paraId="020D046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199.05</w:t>
            </w:r>
          </w:p>
        </w:tc>
        <w:tc>
          <w:tcPr>
            <w:tcW w:w="975" w:type="dxa"/>
          </w:tcPr>
          <w:p w14:paraId="486FB5C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795.01*</w:t>
            </w:r>
          </w:p>
        </w:tc>
        <w:tc>
          <w:tcPr>
            <w:tcW w:w="975" w:type="dxa"/>
          </w:tcPr>
          <w:p w14:paraId="009E11A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1 438.71</w:t>
            </w:r>
          </w:p>
        </w:tc>
      </w:tr>
      <w:tr w:rsidR="00172227" w:rsidRPr="00172227" w14:paraId="792BE9C6"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18D626C4" w14:textId="77777777" w:rsidR="00172227" w:rsidRPr="00172227" w:rsidRDefault="00172227" w:rsidP="00172227">
            <w:pPr>
              <w:spacing w:before="30" w:after="30" w:line="240" w:lineRule="auto"/>
              <w:rPr>
                <w:lang w:val="en-GB"/>
              </w:rPr>
            </w:pPr>
            <w:r w:rsidRPr="00172227">
              <w:rPr>
                <w:lang w:val="en-GB"/>
              </w:rPr>
              <w:t>AVG-12 (10%)</w:t>
            </w:r>
          </w:p>
        </w:tc>
        <w:tc>
          <w:tcPr>
            <w:tcW w:w="975" w:type="dxa"/>
          </w:tcPr>
          <w:p w14:paraId="6A99F26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9.63</w:t>
            </w:r>
          </w:p>
        </w:tc>
        <w:tc>
          <w:tcPr>
            <w:tcW w:w="975" w:type="dxa"/>
          </w:tcPr>
          <w:p w14:paraId="2EF6863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12.58**</w:t>
            </w:r>
          </w:p>
        </w:tc>
        <w:tc>
          <w:tcPr>
            <w:tcW w:w="975" w:type="dxa"/>
          </w:tcPr>
          <w:p w14:paraId="4288739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14.51</w:t>
            </w:r>
            <w:r w:rsidRPr="00172227">
              <w:rPr>
                <w:lang w:val="en-GB"/>
              </w:rPr>
              <w:t>**</w:t>
            </w:r>
          </w:p>
        </w:tc>
        <w:tc>
          <w:tcPr>
            <w:tcW w:w="975" w:type="dxa"/>
          </w:tcPr>
          <w:p w14:paraId="07C6CF0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15.19**</w:t>
            </w:r>
          </w:p>
        </w:tc>
        <w:tc>
          <w:tcPr>
            <w:tcW w:w="975" w:type="dxa"/>
          </w:tcPr>
          <w:p w14:paraId="7102213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33.22*</w:t>
            </w:r>
          </w:p>
        </w:tc>
        <w:tc>
          <w:tcPr>
            <w:tcW w:w="975" w:type="dxa"/>
          </w:tcPr>
          <w:p w14:paraId="79C0AEEA"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235.15**</w:t>
            </w:r>
          </w:p>
        </w:tc>
        <w:tc>
          <w:tcPr>
            <w:tcW w:w="975" w:type="dxa"/>
          </w:tcPr>
          <w:p w14:paraId="70033DEB"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757.39</w:t>
            </w:r>
            <w:r w:rsidRPr="00172227">
              <w:rPr>
                <w:lang w:val="en-GB"/>
              </w:rPr>
              <w:t>**</w:t>
            </w:r>
          </w:p>
        </w:tc>
        <w:tc>
          <w:tcPr>
            <w:tcW w:w="975" w:type="dxa"/>
          </w:tcPr>
          <w:p w14:paraId="476B446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1 147.59**</w:t>
            </w:r>
          </w:p>
        </w:tc>
      </w:tr>
      <w:tr w:rsidR="00172227" w:rsidRPr="00172227" w14:paraId="1B640AB1"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24B44046" w14:textId="77777777" w:rsidR="00172227" w:rsidRPr="00172227" w:rsidRDefault="00172227" w:rsidP="00172227">
            <w:pPr>
              <w:spacing w:before="30" w:after="30" w:line="240" w:lineRule="auto"/>
              <w:rPr>
                <w:lang w:val="en-GB"/>
              </w:rPr>
            </w:pPr>
            <w:r w:rsidRPr="00172227">
              <w:rPr>
                <w:lang w:val="en-GB"/>
              </w:rPr>
              <w:t>AVG-3 (25%)</w:t>
            </w:r>
          </w:p>
        </w:tc>
        <w:tc>
          <w:tcPr>
            <w:tcW w:w="975" w:type="dxa"/>
          </w:tcPr>
          <w:p w14:paraId="3212944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7.69</w:t>
            </w:r>
            <w:r w:rsidRPr="00172227">
              <w:rPr>
                <w:lang w:val="en-GB"/>
              </w:rPr>
              <w:t>**</w:t>
            </w:r>
          </w:p>
        </w:tc>
        <w:tc>
          <w:tcPr>
            <w:tcW w:w="975" w:type="dxa"/>
          </w:tcPr>
          <w:p w14:paraId="0DCF08EA"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11.09</w:t>
            </w:r>
            <w:r w:rsidRPr="00172227">
              <w:rPr>
                <w:lang w:val="en-GB"/>
              </w:rPr>
              <w:t>**</w:t>
            </w:r>
          </w:p>
        </w:tc>
        <w:tc>
          <w:tcPr>
            <w:tcW w:w="975" w:type="dxa"/>
          </w:tcPr>
          <w:p w14:paraId="5A95B76C"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16.14*</w:t>
            </w:r>
          </w:p>
        </w:tc>
        <w:tc>
          <w:tcPr>
            <w:tcW w:w="975" w:type="dxa"/>
          </w:tcPr>
          <w:p w14:paraId="3CAA8FD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17.40</w:t>
            </w:r>
          </w:p>
        </w:tc>
        <w:tc>
          <w:tcPr>
            <w:tcW w:w="975" w:type="dxa"/>
          </w:tcPr>
          <w:p w14:paraId="765CEA4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25.32</w:t>
            </w:r>
            <w:r w:rsidRPr="00172227">
              <w:rPr>
                <w:lang w:val="en-GB"/>
              </w:rPr>
              <w:t>**</w:t>
            </w:r>
          </w:p>
        </w:tc>
        <w:tc>
          <w:tcPr>
            <w:tcW w:w="975" w:type="dxa"/>
          </w:tcPr>
          <w:p w14:paraId="659437A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b/>
                <w:bCs/>
                <w:u w:val="thick"/>
                <w:lang w:val="en-GB"/>
              </w:rPr>
              <w:t>190.10</w:t>
            </w:r>
            <w:r w:rsidRPr="00172227">
              <w:rPr>
                <w:lang w:val="en-GB"/>
              </w:rPr>
              <w:t>**</w:t>
            </w:r>
          </w:p>
        </w:tc>
        <w:tc>
          <w:tcPr>
            <w:tcW w:w="975" w:type="dxa"/>
          </w:tcPr>
          <w:p w14:paraId="0226D7F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766.34**</w:t>
            </w:r>
          </w:p>
        </w:tc>
        <w:tc>
          <w:tcPr>
            <w:tcW w:w="975" w:type="dxa"/>
          </w:tcPr>
          <w:p w14:paraId="27379BE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1 379.00</w:t>
            </w:r>
          </w:p>
        </w:tc>
      </w:tr>
      <w:tr w:rsidR="00172227" w:rsidRPr="00172227" w14:paraId="19F67F05" w14:textId="77777777" w:rsidTr="008F3834">
        <w:trPr>
          <w:trHeight w:val="231"/>
        </w:trPr>
        <w:tc>
          <w:tcPr>
            <w:cnfStyle w:val="001000000000" w:firstRow="0" w:lastRow="0" w:firstColumn="1" w:lastColumn="0" w:oddVBand="0" w:evenVBand="0" w:oddHBand="0" w:evenHBand="0" w:firstRowFirstColumn="0" w:firstRowLastColumn="0" w:lastRowFirstColumn="0" w:lastRowLastColumn="0"/>
            <w:tcW w:w="1440" w:type="dxa"/>
          </w:tcPr>
          <w:p w14:paraId="67FAEDC2" w14:textId="77777777" w:rsidR="00172227" w:rsidRPr="00172227" w:rsidRDefault="00172227" w:rsidP="00172227">
            <w:pPr>
              <w:spacing w:before="30" w:after="30" w:line="240" w:lineRule="auto"/>
              <w:rPr>
                <w:lang w:val="en-GB"/>
              </w:rPr>
            </w:pPr>
            <w:r w:rsidRPr="00172227">
              <w:rPr>
                <w:lang w:val="en-GB"/>
              </w:rPr>
              <w:t>AVG-12 (25%)</w:t>
            </w:r>
          </w:p>
        </w:tc>
        <w:tc>
          <w:tcPr>
            <w:tcW w:w="975" w:type="dxa"/>
          </w:tcPr>
          <w:p w14:paraId="208013E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7.85**</w:t>
            </w:r>
          </w:p>
        </w:tc>
        <w:tc>
          <w:tcPr>
            <w:tcW w:w="975" w:type="dxa"/>
          </w:tcPr>
          <w:p w14:paraId="6C894CE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11.19**</w:t>
            </w:r>
          </w:p>
        </w:tc>
        <w:tc>
          <w:tcPr>
            <w:tcW w:w="975" w:type="dxa"/>
          </w:tcPr>
          <w:p w14:paraId="6A572F2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15.95**</w:t>
            </w:r>
          </w:p>
        </w:tc>
        <w:tc>
          <w:tcPr>
            <w:tcW w:w="975" w:type="dxa"/>
          </w:tcPr>
          <w:p w14:paraId="2DB8B5B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17.38</w:t>
            </w:r>
          </w:p>
        </w:tc>
        <w:tc>
          <w:tcPr>
            <w:tcW w:w="975" w:type="dxa"/>
          </w:tcPr>
          <w:p w14:paraId="222049C8"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25.61**</w:t>
            </w:r>
          </w:p>
        </w:tc>
        <w:tc>
          <w:tcPr>
            <w:tcW w:w="975" w:type="dxa"/>
          </w:tcPr>
          <w:p w14:paraId="4BBB53C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190.34**</w:t>
            </w:r>
          </w:p>
        </w:tc>
        <w:tc>
          <w:tcPr>
            <w:tcW w:w="975" w:type="dxa"/>
          </w:tcPr>
          <w:p w14:paraId="6C88BB46"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766.00**</w:t>
            </w:r>
          </w:p>
        </w:tc>
        <w:tc>
          <w:tcPr>
            <w:tcW w:w="975" w:type="dxa"/>
          </w:tcPr>
          <w:p w14:paraId="5485540E"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1 377.28</w:t>
            </w:r>
          </w:p>
        </w:tc>
      </w:tr>
      <w:tr w:rsidR="00172227" w:rsidRPr="00172227" w14:paraId="0A4AE5EA" w14:textId="77777777" w:rsidTr="008F3834">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073A5CE" w14:textId="77777777" w:rsidR="00172227" w:rsidRPr="00172227" w:rsidRDefault="00172227" w:rsidP="00172227">
            <w:pPr>
              <w:spacing w:before="30" w:after="30" w:line="240" w:lineRule="auto"/>
              <w:rPr>
                <w:lang w:val="en-GB"/>
              </w:rPr>
            </w:pPr>
            <w:r w:rsidRPr="00172227">
              <w:rPr>
                <w:lang w:val="en-GB"/>
              </w:rPr>
              <w:t>MS-COMBO</w:t>
            </w:r>
          </w:p>
        </w:tc>
        <w:tc>
          <w:tcPr>
            <w:tcW w:w="975" w:type="dxa"/>
          </w:tcPr>
          <w:p w14:paraId="0FAC9227"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7.72**</w:t>
            </w:r>
          </w:p>
        </w:tc>
        <w:tc>
          <w:tcPr>
            <w:tcW w:w="975" w:type="dxa"/>
          </w:tcPr>
          <w:p w14:paraId="6A6F8C20"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11.12**</w:t>
            </w:r>
          </w:p>
        </w:tc>
        <w:tc>
          <w:tcPr>
            <w:tcW w:w="975" w:type="dxa"/>
          </w:tcPr>
          <w:p w14:paraId="545F9D09"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15.9**</w:t>
            </w:r>
          </w:p>
        </w:tc>
        <w:tc>
          <w:tcPr>
            <w:tcW w:w="975" w:type="dxa"/>
          </w:tcPr>
          <w:p w14:paraId="7318544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16.97</w:t>
            </w:r>
          </w:p>
        </w:tc>
        <w:tc>
          <w:tcPr>
            <w:tcW w:w="975" w:type="dxa"/>
          </w:tcPr>
          <w:p w14:paraId="07674613"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25.58**</w:t>
            </w:r>
          </w:p>
        </w:tc>
        <w:tc>
          <w:tcPr>
            <w:tcW w:w="975" w:type="dxa"/>
          </w:tcPr>
          <w:p w14:paraId="1FF8059F"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190.65**</w:t>
            </w:r>
          </w:p>
        </w:tc>
        <w:tc>
          <w:tcPr>
            <w:tcW w:w="975" w:type="dxa"/>
          </w:tcPr>
          <w:p w14:paraId="08FC5984"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763.78**</w:t>
            </w:r>
          </w:p>
        </w:tc>
        <w:tc>
          <w:tcPr>
            <w:tcW w:w="975" w:type="dxa"/>
          </w:tcPr>
          <w:p w14:paraId="5402CBA2" w14:textId="77777777" w:rsidR="00172227" w:rsidRPr="00172227" w:rsidRDefault="00172227" w:rsidP="00172227">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172227">
              <w:rPr>
                <w:lang w:val="en-GB"/>
              </w:rPr>
              <w:t>1 319.80</w:t>
            </w:r>
          </w:p>
        </w:tc>
      </w:tr>
    </w:tbl>
    <w:p w14:paraId="592B5D25" w14:textId="4F3CC802" w:rsidR="00FC64EC" w:rsidRPr="00FC64EC" w:rsidRDefault="00FC64EC" w:rsidP="00FC64EC">
      <w:pPr>
        <w:pStyle w:val="Note"/>
        <w:keepNext/>
      </w:pPr>
      <w:r w:rsidRPr="00FC64EC">
        <w:t xml:space="preserve">Note: The lowest loss for each horizon and loss function is underlined. **, * represent the model’s inclusion in the MCS at 25 per cent </w:t>
      </w:r>
      <w:r w:rsidR="008B09AF">
        <w:t>(</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8B09AF">
        <w:t>)</w:t>
      </w:r>
      <w:r w:rsidRPr="00FC64EC">
        <w:t xml:space="preserve"> and 10</w:t>
      </w:r>
      <w:r w:rsidRPr="00FC64EC">
        <w:rPr>
          <w:rFonts w:ascii="Calibri" w:hAnsi="Calibri" w:cs="Calibri"/>
        </w:rPr>
        <w:t> </w:t>
      </w:r>
      <w:r w:rsidRPr="00FC64EC">
        <w:t xml:space="preserve">per cent </w:t>
      </w:r>
      <w:r w:rsidR="00462EB0">
        <w:t>(</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462EB0">
        <w:t>)</w:t>
      </w:r>
      <w:r w:rsidRPr="00FC64EC">
        <w:t xml:space="preserve">levels respectively. </w:t>
      </w:r>
    </w:p>
    <w:p w14:paraId="6FA1479B" w14:textId="5350603C" w:rsidR="00FC64EC" w:rsidRPr="00FC64EC" w:rsidRDefault="00FC64EC" w:rsidP="00E915CB">
      <w:pPr>
        <w:pStyle w:val="Note"/>
      </w:pPr>
      <w:r w:rsidRPr="00FC64EC">
        <w:t xml:space="preserve">Note 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Pr="00490668">
        <w:t xml:space="preserve"> </w:t>
      </w:r>
      <w:r w:rsidRPr="00FC64EC">
        <w:rPr>
          <w:rFonts w:ascii="Cambria Math" w:hAnsi="Cambria Math" w:cs="Cambria Math"/>
        </w:rPr>
        <w:t>⊆</w:t>
      </w:r>
      <w:r w:rsidRPr="00FC64EC">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Pr="00FC64EC">
        <w:t>. AVG-</w:t>
      </w:r>
      <w:r w:rsidRPr="00FC64EC">
        <w:rPr>
          <w:i/>
          <w:iCs/>
        </w:rPr>
        <w:t>n</w:t>
      </w:r>
      <w:r w:rsidRPr="00FC64EC">
        <w:t xml:space="preserve"> (10 per cent) and AVG-</w:t>
      </w:r>
      <w:r w:rsidRPr="00FC64EC">
        <w:rPr>
          <w:i/>
          <w:iCs/>
        </w:rPr>
        <w:t>n</w:t>
      </w:r>
      <w:r w:rsidRPr="00FC64EC">
        <w:t xml:space="preserve"> (25 per cent) models refer to model averages for the </w:t>
      </w:r>
      <w:r w:rsidRPr="00FC64EC">
        <w:rPr>
          <w:i/>
          <w:iCs/>
        </w:rPr>
        <w:t>n</w:t>
      </w:r>
      <w:r w:rsidR="008B09AF">
        <w:noBreakHyphen/>
      </w:r>
      <w:r w:rsidRPr="00FC64EC">
        <w:t xml:space="preserve">horizon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E915CB" w:rsidRPr="00490668">
        <w:t xml:space="preserve"> </w:t>
      </w:r>
      <w:r w:rsidRPr="00FC64EC">
        <w:t xml:space="preserve">and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E915CB" w:rsidRPr="00490668">
        <w:t xml:space="preserve"> </w:t>
      </w:r>
      <w:r w:rsidRPr="00FC64EC">
        <w:t>determined during the training sample (7/2011-6/2017), respectively. MS-Combo is a simple average of the best performing Markov switching models. See</w:t>
      </w:r>
      <w:r w:rsidRPr="00FC64EC">
        <w:rPr>
          <w:rFonts w:ascii="Calibri" w:hAnsi="Calibri" w:cs="Calibri"/>
        </w:rPr>
        <w:t> </w:t>
      </w:r>
      <w:r w:rsidRPr="00FC64EC">
        <w:t>Appendix A for a list of models in each combination. MSAI-VECM has state invariant autoregressive terms; all other parameters are state dependent.</w:t>
      </w:r>
    </w:p>
    <w:p w14:paraId="0646BBD8" w14:textId="1D1CB985" w:rsidR="009E7B90" w:rsidRDefault="009E7B90" w:rsidP="009E7B90">
      <w:r w:rsidRPr="009E7B90">
        <w:lastRenderedPageBreak/>
        <w:t>The AVG-12 (10%) and AVG-3 (25%) are the best performing model combi- nations, achieving the smallest forecast errors at the 3, 6, and 9-month horizons. These findings highlight the effectiveness of model combinations during periods of</w:t>
      </w:r>
      <w:r>
        <w:t xml:space="preserve"> economic turbulence. Simpler models in first differences, such as the MS-dVAR, MS-dAR and dAR, also perform relatively well, despite generally poor performance in the overall out-of-sample period (see </w:t>
      </w:r>
      <w:r w:rsidR="00077F4E">
        <w:t>s</w:t>
      </w:r>
      <w:r>
        <w:t>ection 4.3). This may be due to a range of factors including i) their simplicity, which may reduce the risk of over-fitting in highly volatile conditions; and ii) model selection over the training period (7/2011- 6/2017) being sub-optimal when applied to the volatile COVID-19 period.</w:t>
      </w:r>
      <w:r>
        <w:rPr>
          <w:rStyle w:val="FootnoteReference"/>
        </w:rPr>
        <w:footnoteReference w:id="13"/>
      </w:r>
    </w:p>
    <w:p w14:paraId="40BC3411" w14:textId="41CB6A0F" w:rsidR="009E7B90" w:rsidRDefault="009E7B90" w:rsidP="009E7B90">
      <w:r>
        <w:t>In summary, in real</w:t>
      </w:r>
      <w:r w:rsidR="001A33E9">
        <w:t xml:space="preserve"> </w:t>
      </w:r>
      <w:r>
        <w:t xml:space="preserve">time the MS-VECM model successfully identified the regime switch at the beginning of the crisis. Noisy probabilities however suggest that a </w:t>
      </w:r>
      <w:r w:rsidRPr="009E7B90">
        <w:t>range of MS models should be used when trying to assess the presence of a switch in real-time. MS-VECM forecasts provide better forecasts than the linear VECM model, however the differences are not statistically significant and may be a result of the small sample size.</w:t>
      </w:r>
    </w:p>
    <w:p w14:paraId="385ACA2F" w14:textId="79D0AA83" w:rsidR="009E7B90" w:rsidRDefault="009E7B90" w:rsidP="009E7B90">
      <w:pPr>
        <w:pStyle w:val="Heading1numbered"/>
      </w:pPr>
      <w:r>
        <w:t>Limitations and future research</w:t>
      </w:r>
    </w:p>
    <w:p w14:paraId="37D6BFF0" w14:textId="77777777" w:rsidR="009E7B90" w:rsidRDefault="009E7B90" w:rsidP="009E7B90">
      <w:r>
        <w:t xml:space="preserve">While the MS-VECM models demonstrate improved prediction accuracy over linear benchmarks, these models have several practical limitations. First, the regime-switching framework introduces many additional parameters, particularly in the full MS-VECM. This increases the risk of overfitting and means that the model is generally unsuitable for small to modest sample sizes. Although the MSAI-VECM partially addresses this by restricting short-run dynamics, further research could explore dimension reduction techniques or Bayesian shrinkage to improve stability (Koop and Korobilis, 2009). </w:t>
      </w:r>
    </w:p>
    <w:p w14:paraId="448E366D" w14:textId="77777777" w:rsidR="009E7B90" w:rsidRDefault="009E7B90" w:rsidP="009E7B90">
      <w:r>
        <w:t xml:space="preserve">Second, the analysis focuses on a relatively short out-of-sample forecast horizon of up to 12 months. Future work could evaluate model performance over longer horizons or under different forecast combinations and weighting schemes. Additionally, the forecasting exercise could be expanded to other nonlinear models such factor-augmented VARs (Stock and Watson, 2002). </w:t>
      </w:r>
    </w:p>
    <w:p w14:paraId="1ECABE14" w14:textId="77777777" w:rsidR="009E7B90" w:rsidRDefault="009E7B90" w:rsidP="009E7B90">
      <w:r>
        <w:t xml:space="preserve">Third, to identify regime switches, we required a long time span (25 years), which limited our ability to rigorously test out-of-sample performance. To reduce noise in regime probabilities, future research could also consider mixing student t (as opposed to Gaussian) distributions (Klaassen, 2002). </w:t>
      </w:r>
    </w:p>
    <w:p w14:paraId="53C7F126" w14:textId="62EACDDF" w:rsidR="009E7B90" w:rsidRDefault="009E7B90" w:rsidP="009E7B90">
      <w:r>
        <w:lastRenderedPageBreak/>
        <w:t>Lastly, the MS-VECM assumes a state-invariant cointegrating vector. Long-run relationships between LTD, prices and volumes may vary across regimes, so regime-dependent cointegration may improve model fit and forecast precision (Rankin, 2005).</w:t>
      </w:r>
    </w:p>
    <w:p w14:paraId="73C1A07D" w14:textId="3B114F13" w:rsidR="009E7B90" w:rsidRDefault="009E7B90" w:rsidP="009E7B90">
      <w:pPr>
        <w:pStyle w:val="Heading1numbered"/>
      </w:pPr>
      <w:r>
        <w:t>Conclusion</w:t>
      </w:r>
    </w:p>
    <w:p w14:paraId="5E7AACF3" w14:textId="1810A200" w:rsidR="009E7B90" w:rsidRDefault="009E7B90" w:rsidP="009E7B90">
      <w:r w:rsidRPr="009E7B90">
        <w:t>This paper has proposed the use of a Markov switching VECM (MS-VECM) when forecasting Land Transfer Duty (LTD) in Victoria. Our proposed model generally outperformed DTFs benchmark model, the linear VECM. The MS-VECM has plausible dynamics, identifying two states: a high-LTD</w:t>
      </w:r>
      <w:r w:rsidR="008C6776">
        <w:t>-</w:t>
      </w:r>
      <w:r w:rsidRPr="009E7B90">
        <w:t>growth</w:t>
      </w:r>
      <w:r w:rsidR="008C6776">
        <w:t xml:space="preserve"> </w:t>
      </w:r>
      <w:r w:rsidRPr="009E7B90">
        <w:t>low-volatility state and a low-LTD growth high-volatility state. The MS-VECM provides more accurate LTD forecasts over 3, 6, 9 and 12-month horizons. At the beginning of COVID</w:t>
      </w:r>
      <w:r w:rsidR="008C6776">
        <w:t>-</w:t>
      </w:r>
      <w:r w:rsidRPr="009E7B90">
        <w:t>19, the model was also able to identify a regime switch (to the low-LTD</w:t>
      </w:r>
      <w:r w:rsidR="008C6776">
        <w:t>-</w:t>
      </w:r>
      <w:r w:rsidRPr="009E7B90">
        <w:t>growth high-volatility state) in real</w:t>
      </w:r>
      <w:r w:rsidR="00817EA0">
        <w:t xml:space="preserve"> </w:t>
      </w:r>
      <w:r w:rsidRPr="009E7B90">
        <w:t>time. When seeking to identify regime switches in real</w:t>
      </w:r>
      <w:r w:rsidR="008C6776">
        <w:t xml:space="preserve"> </w:t>
      </w:r>
      <w:r w:rsidRPr="009E7B90">
        <w:t>time though, we suggest estimating a range of MS specifications, as regime probabilities from this model class are notoriously noisy.</w:t>
      </w:r>
    </w:p>
    <w:p w14:paraId="63DD0D55" w14:textId="736DA654" w:rsidR="009E7B90" w:rsidRDefault="009E7B90" w:rsidP="009E7B90">
      <w:pPr>
        <w:pStyle w:val="Heading1"/>
      </w:pPr>
      <w:r>
        <w:t>References</w:t>
      </w:r>
    </w:p>
    <w:p w14:paraId="727E88AE" w14:textId="77777777" w:rsidR="009E7B90" w:rsidRDefault="009E7B90" w:rsidP="009E7B90">
      <w:pPr>
        <w:ind w:left="720" w:hanging="720"/>
      </w:pPr>
      <w:r>
        <w:t>Ang, A., &amp; Bekaert, G. (2002). Regime switches in interest rates, Journal of Business and Economic Statistics, 20(2), 163–182.</w:t>
      </w:r>
    </w:p>
    <w:p w14:paraId="7B4E82AE" w14:textId="77777777" w:rsidR="009E7B90" w:rsidRDefault="009E7B90" w:rsidP="009E7B90">
      <w:pPr>
        <w:ind w:left="720" w:hanging="720"/>
      </w:pPr>
      <w:r>
        <w:t>Bai, J., &amp; Perron, P. (2003). Computation and analysis of multiple structural change models, Journal of Applied Econometrics, 18(1), 1–22.</w:t>
      </w:r>
    </w:p>
    <w:p w14:paraId="0DF836A3" w14:textId="77777777" w:rsidR="009E7B90" w:rsidRDefault="009E7B90" w:rsidP="009E7B90">
      <w:pPr>
        <w:ind w:left="720" w:hanging="720"/>
      </w:pPr>
      <w:r>
        <w:t>Bollerslev, T. (1986). Generalized autoregressive conditional heteroskedasticity. Jour- nal of Econometrics, 31(3), 307–327. https://doi.org/10.1016/0304-4076(86)</w:t>
      </w:r>
    </w:p>
    <w:p w14:paraId="0654D493" w14:textId="77777777" w:rsidR="009E7B90" w:rsidRDefault="009E7B90" w:rsidP="009E7B90">
      <w:pPr>
        <w:ind w:left="720" w:hanging="720"/>
      </w:pPr>
      <w:r>
        <w:t>90063-1</w:t>
      </w:r>
    </w:p>
    <w:p w14:paraId="7F6BB835" w14:textId="77777777" w:rsidR="009E7B90" w:rsidRDefault="009E7B90" w:rsidP="009E7B90">
      <w:pPr>
        <w:ind w:left="720" w:hanging="720"/>
      </w:pPr>
      <w:r>
        <w:t>Chan, K.-S., &amp; Tong, H. (1985). Testing linearity against smooth transition au- toregressive models, Biometrika, 72(3), 491–499. https://doi.org/10.1093/ biomet/72.3.491</w:t>
      </w:r>
    </w:p>
    <w:p w14:paraId="6286BAEB" w14:textId="77777777" w:rsidR="009E7B90" w:rsidRDefault="009E7B90" w:rsidP="009E7B90">
      <w:pPr>
        <w:ind w:left="720" w:hanging="720"/>
      </w:pPr>
      <w:r>
        <w:t>Cheung, Y.-W., &amp; Lai, K. S. (1993). Finite-sample sizes of Johansen’s likelihood ratio tests for cointegration, Oxford Bulletin of Economics and Statistics, 55(3), 313–328. https://doi.org/10.1111/j.1468-0084.1993.mp55003003.x</w:t>
      </w:r>
    </w:p>
    <w:p w14:paraId="65BDB857" w14:textId="77777777" w:rsidR="009E7B90" w:rsidRDefault="009E7B90" w:rsidP="009E7B90">
      <w:pPr>
        <w:ind w:left="720" w:hanging="720"/>
      </w:pPr>
      <w:r>
        <w:t>Clark, T. E. (2000). Forecasting an aggregate of cointegrated disaggregates, Journal of Forecasting, 19(1), 1–19.</w:t>
      </w:r>
    </w:p>
    <w:p w14:paraId="3A55BBD2" w14:textId="77777777" w:rsidR="009E7B90" w:rsidRDefault="009E7B90" w:rsidP="009E7B90">
      <w:pPr>
        <w:ind w:left="720" w:hanging="720"/>
      </w:pPr>
      <w:r>
        <w:t>Clements, M. P., &amp; Hendry, D. F. (1999), Forecasting non-stationary economic time series. MIT Press.</w:t>
      </w:r>
    </w:p>
    <w:p w14:paraId="06133571" w14:textId="77777777" w:rsidR="009E7B90" w:rsidRDefault="009E7B90" w:rsidP="009E7B90">
      <w:pPr>
        <w:ind w:left="720" w:hanging="720"/>
      </w:pPr>
      <w:r>
        <w:lastRenderedPageBreak/>
        <w:t>CoreLogic Australia. (2023). Property market update: July 2023, [Accessed: 2023-08- 31]. https://www.corelogic.com.au</w:t>
      </w:r>
    </w:p>
    <w:p w14:paraId="29F5F4D6" w14:textId="77777777" w:rsidR="009E7B90" w:rsidRDefault="009E7B90" w:rsidP="009E7B90">
      <w:pPr>
        <w:ind w:left="720" w:hanging="720"/>
      </w:pPr>
      <w:r>
        <w:t>Dacco, R., &amp; Satchell, S. (1999). Why do regime-switching models forecast so badly? Journal of Forecasting, 18(1), 1–16. https://doi.org/10.1002/(SICI)1099- 131X(199901)18:1</w:t>
      </w:r>
      <w:r>
        <w:rPr>
          <w:rFonts w:ascii="Cambria Math" w:hAnsi="Cambria Math" w:cs="Cambria Math"/>
        </w:rPr>
        <w:t>⟨</w:t>
      </w:r>
      <w:r>
        <w:t>1::AID-FOR685</w:t>
      </w:r>
      <w:r>
        <w:rPr>
          <w:rFonts w:ascii="Cambria Math" w:hAnsi="Cambria Math" w:cs="Cambria Math"/>
        </w:rPr>
        <w:t>⟩</w:t>
      </w:r>
      <w:r>
        <w:t>3.0.CO;2-B</w:t>
      </w:r>
    </w:p>
    <w:p w14:paraId="3721699D" w14:textId="3253EB93" w:rsidR="009E7B90" w:rsidRDefault="009E7B90" w:rsidP="009E7B90">
      <w:pPr>
        <w:ind w:left="720" w:hanging="720"/>
      </w:pPr>
      <w:r>
        <w:t>Engle, R. F. (1982). Autoregressive conditional heteroskedasticity with estimates of the variance of United Kingdom inflation, Econometrica, 50(4), 987–1007. https://doi.org/10.2307/1912773</w:t>
      </w:r>
    </w:p>
    <w:p w14:paraId="17DD8414" w14:textId="77777777" w:rsidR="009E7B90" w:rsidRDefault="009E7B90" w:rsidP="009E7B90">
      <w:pPr>
        <w:ind w:left="720" w:hanging="720"/>
      </w:pPr>
      <w:r>
        <w:t>Filardo, A. J. (1994). Business-cycle phases and their transitional dynamics. Journal of Business and Economic Statistics, 12(3), 299–308. https://doi.org/10. 2307/1392082</w:t>
      </w:r>
    </w:p>
    <w:p w14:paraId="0A1F1C60" w14:textId="755BF2DD" w:rsidR="009E7B90" w:rsidRDefault="009E7B90" w:rsidP="009E7B90">
      <w:pPr>
        <w:ind w:left="720" w:hanging="720"/>
      </w:pPr>
      <w:r>
        <w:t>Guidolin, M. (2009). Regime shifts in empirical pricing kernels: A mixture capm. CIREQ Montreal.</w:t>
      </w:r>
    </w:p>
    <w:p w14:paraId="6690541B" w14:textId="77777777" w:rsidR="009E7B90" w:rsidRDefault="009E7B90" w:rsidP="009E7B90">
      <w:pPr>
        <w:ind w:left="720" w:hanging="720"/>
      </w:pPr>
      <w:r>
        <w:t>Guidolin, M., Orlov, A. G., &amp; Pedio, M. (2014). Understanding the impact of mon- etary policy shocks on the corporate bond market in good and bad times: A markov switching model. Proceedings of the European Financial Management Association Annual Meetings, Rome.</w:t>
      </w:r>
    </w:p>
    <w:p w14:paraId="49F789B7" w14:textId="77777777" w:rsidR="009E7B90" w:rsidRDefault="009E7B90" w:rsidP="009E7B90">
      <w:pPr>
        <w:ind w:left="720" w:hanging="720"/>
      </w:pPr>
      <w:r>
        <w:t>Guidolin, M., &amp; Timmermann, A. (2005). Economic implications of bull and bear regimes in UK stock and bond returns. The Economic Journal, 115(500), 111 143.</w:t>
      </w:r>
    </w:p>
    <w:p w14:paraId="386B1FA0" w14:textId="77777777" w:rsidR="009E7B90" w:rsidRDefault="009E7B90" w:rsidP="009E7B90">
      <w:pPr>
        <w:ind w:left="720" w:hanging="720"/>
      </w:pPr>
      <w:r>
        <w:t>Hamilton, J. D. (1989). A new approach to the economic analysis of nonstationary time series and the business cycle, Econometrica, 57(2), 357–384.</w:t>
      </w:r>
    </w:p>
    <w:p w14:paraId="00A9176B" w14:textId="77777777" w:rsidR="009E7B90" w:rsidRDefault="009E7B90" w:rsidP="009E7B90">
      <w:pPr>
        <w:ind w:left="720" w:hanging="720"/>
      </w:pPr>
      <w:r>
        <w:t>Hamilton, J. D. (1994). Time series analysis, Princeton University Press.</w:t>
      </w:r>
    </w:p>
    <w:p w14:paraId="71F412A0" w14:textId="77777777" w:rsidR="009E7B90" w:rsidRDefault="009E7B90" w:rsidP="009E7B90">
      <w:pPr>
        <w:ind w:left="720" w:hanging="720"/>
      </w:pPr>
      <w:r>
        <w:t>Hansen, P. R., Lunde, A., &amp; Nason, J. M. (2011). The model confidence set, Econo- metrica, 79(2), 453–497.</w:t>
      </w:r>
    </w:p>
    <w:p w14:paraId="3B7B6B27" w14:textId="77777777" w:rsidR="009E7B90" w:rsidRDefault="009E7B90" w:rsidP="009E7B90">
      <w:pPr>
        <w:ind w:left="720" w:hanging="720"/>
      </w:pPr>
      <w:r>
        <w:t>Issam, D., Okba, A., &amp; AbdelRahim, M. (2024). Structural changes in the impact of covid-19 pandemic on the performance of financial markets, Financial Mar- kets, Institutions and Risks, 8, https://armgpublishing.com/journals/fmir/ volume-8-issue-2/article-3/</w:t>
      </w:r>
    </w:p>
    <w:p w14:paraId="08CA9342" w14:textId="77777777" w:rsidR="009E7B90" w:rsidRDefault="009E7B90" w:rsidP="009E7B90">
      <w:pPr>
        <w:ind w:left="720" w:hanging="720"/>
      </w:pPr>
      <w:r>
        <w:t>Johansen, S. (1988). Statistical analysis of cointegration vectors, Journal of Eco- nomic Dynamics and Control, 12(2–3), 231–254.</w:t>
      </w:r>
    </w:p>
    <w:p w14:paraId="5E800784" w14:textId="77777777" w:rsidR="009E7B90" w:rsidRDefault="009E7B90" w:rsidP="009E7B90">
      <w:pPr>
        <w:ind w:left="720" w:hanging="720"/>
      </w:pPr>
      <w:r>
        <w:t>Kim, C.-J. (1994). Dynamic linear models with Markov switching, Journal of Econo- metrics, 60, 1–22.</w:t>
      </w:r>
    </w:p>
    <w:p w14:paraId="70AD4A29" w14:textId="77777777" w:rsidR="009E7B90" w:rsidRDefault="009E7B90" w:rsidP="009E7B90">
      <w:pPr>
        <w:ind w:left="720" w:hanging="720"/>
      </w:pPr>
      <w:r>
        <w:t>Kim, C.-J., &amp; Nelson, C. R. (1999). State-space models with regime switching: Clas- sical and gibbs-sampling approaches with applications, MIT Press.</w:t>
      </w:r>
    </w:p>
    <w:p w14:paraId="6625BC8C" w14:textId="77777777" w:rsidR="009E7B90" w:rsidRDefault="009E7B90" w:rsidP="009E7B90">
      <w:pPr>
        <w:ind w:left="720" w:hanging="720"/>
      </w:pPr>
      <w:r>
        <w:lastRenderedPageBreak/>
        <w:t>Krolzig, H.-M. (1997a). A comparison of the forecast performance of Markov-switching and threshold autoregressive models of US GNP, Oxford Bulletin of Economics and Statistics, 59(4), 425–453. https://doi.org/10.1111/1468-0084.00080</w:t>
      </w:r>
    </w:p>
    <w:p w14:paraId="50BF42CA" w14:textId="77777777" w:rsidR="009E7B90" w:rsidRDefault="009E7B90" w:rsidP="009E7B90">
      <w:pPr>
        <w:ind w:left="720" w:hanging="720"/>
      </w:pPr>
      <w:r>
        <w:t>Krolzig, H.-M. (1997b). Markov-switching vector autoregressions: Modelling, statisti- cal inference, and application to business cycle analysis (Vol. 454), Springer- Verlag. https://doi.org/10.1007/978-3-642-51696-7</w:t>
      </w:r>
    </w:p>
    <w:p w14:paraId="547229DB" w14:textId="77777777" w:rsidR="009E7B90" w:rsidRDefault="009E7B90" w:rsidP="009E7B90">
      <w:pPr>
        <w:ind w:left="720" w:hanging="720"/>
      </w:pPr>
      <w:r>
        <w:t>Krolzig, H.-M. (2001). Modelling the UK labour market with a Markov-switching vector equilibrium correction model, The Economic Journal, 111 (470), C215– C239. https://doi.org/10.1111/1468-0297.00643</w:t>
      </w:r>
    </w:p>
    <w:p w14:paraId="3ABC94AB" w14:textId="77777777" w:rsidR="009E7B90" w:rsidRDefault="009E7B90" w:rsidP="009E7B90">
      <w:pPr>
        <w:ind w:left="720" w:hanging="720"/>
      </w:pPr>
      <w:r>
        <w:t>Lim, G. C., &amp; Tsiaplias, S. (2019). Forecasting with regime-switching models: New evidence from Australian GDP, Economic Modelling, 81, 52–70. https://doi. org/10.1016/j.econmod.2019.07.014</w:t>
      </w:r>
    </w:p>
    <w:p w14:paraId="6FA0435A" w14:textId="77777777" w:rsidR="009E7B90" w:rsidRDefault="009E7B90" w:rsidP="009E7B90">
      <w:pPr>
        <w:ind w:left="720" w:hanging="720"/>
      </w:pPr>
      <w:r>
        <w:t>Psaradakis, Z., &amp; Spagnolo, F. (2003). On the determination of the number of regimes in markov-switching autoregressive models, Journal of Time Series Analysis, 24(2), 237–252. https://doi.org/10.1111/1467-9892.00310</w:t>
      </w:r>
    </w:p>
    <w:p w14:paraId="7244CEBA" w14:textId="77777777" w:rsidR="009E7B90" w:rsidRDefault="009E7B90" w:rsidP="009E7B90">
      <w:pPr>
        <w:ind w:left="720" w:hanging="720"/>
      </w:pPr>
      <w:r>
        <w:t>Sarno, L., Valente, G., &amp; Wohar, M. E. (2004). Monetary fundamentals and exchange rate dynamics under different nominal regimes. Economic Inquiry, 42(2), 179–191. https://doi.org/10.1093/ei/cbh053</w:t>
      </w:r>
    </w:p>
    <w:p w14:paraId="54BB994D" w14:textId="77777777" w:rsidR="009E7B90" w:rsidRDefault="009E7B90" w:rsidP="009E7B90">
      <w:pPr>
        <w:ind w:left="720" w:hanging="720"/>
      </w:pPr>
      <w:r>
        <w:t>Shen, X. (2014). The stock market, the housing market, and consumption [Doctoral dissertation, University of Waikato], https://researchcommons.waikato.ac. nz/handle/10289/8805</w:t>
      </w:r>
    </w:p>
    <w:p w14:paraId="3BF4EFD2" w14:textId="77777777" w:rsidR="009E7B90" w:rsidRDefault="009E7B90" w:rsidP="009E7B90">
      <w:pPr>
        <w:ind w:left="720" w:hanging="720"/>
      </w:pPr>
      <w:r>
        <w:t>Sims, C. A. (1980). Macroeconomics and reality, Econometrica, 48 (1), 1–48.</w:t>
      </w:r>
    </w:p>
    <w:p w14:paraId="3EA124C1" w14:textId="77777777" w:rsidR="009E7B90" w:rsidRDefault="009E7B90" w:rsidP="009E7B90">
      <w:pPr>
        <w:ind w:left="720" w:hanging="720"/>
      </w:pPr>
      <w:r>
        <w:t>State Revenue Office Victoria. (2024). Land transfer duty (stamp duty) [Accessed: 2024-09-14]. https://www.sro.vic.gov.au/land-transfer-duty</w:t>
      </w:r>
    </w:p>
    <w:p w14:paraId="470BD54F" w14:textId="77777777" w:rsidR="009E7B90" w:rsidRDefault="009E7B90" w:rsidP="009E7B90">
      <w:pPr>
        <w:ind w:left="720" w:hanging="720"/>
      </w:pPr>
      <w:r>
        <w:t>Trefz, N. M. (2023). Stock price dynamics of us reits, Springer. https://link.springer. com/content/pdf/10.1007/978-3-658-40049-1.pdf</w:t>
      </w:r>
    </w:p>
    <w:p w14:paraId="2BED74BB" w14:textId="39227EE7" w:rsidR="009E7B90" w:rsidRDefault="009E7B90" w:rsidP="009E7B90">
      <w:pPr>
        <w:ind w:left="720" w:hanging="720"/>
      </w:pPr>
      <w:r>
        <w:t>Tsay, R. S. (1998). Testing and modeling threshold autoregressive processes, Journal of the American Statistical Association, 93(443), 1188–1202. https://doi.org/ 10.1080/01621459.1998.10473763</w:t>
      </w:r>
    </w:p>
    <w:p w14:paraId="7B6B374F" w14:textId="77777777" w:rsidR="009E7B90" w:rsidRDefault="009E7B90">
      <w:pPr>
        <w:spacing w:before="0" w:after="200"/>
      </w:pPr>
      <w:r>
        <w:br w:type="page"/>
      </w:r>
    </w:p>
    <w:p w14:paraId="660A6DC8" w14:textId="31E4AE09" w:rsidR="009E7B90" w:rsidRDefault="009E7B90" w:rsidP="009E7B90">
      <w:pPr>
        <w:pStyle w:val="Heading1"/>
      </w:pPr>
      <w:r>
        <w:lastRenderedPageBreak/>
        <w:t>Appendix A</w:t>
      </w:r>
    </w:p>
    <w:p w14:paraId="63D13271" w14:textId="4F6A4381" w:rsidR="00482E48" w:rsidRDefault="00482E48" w:rsidP="00482E48">
      <w:r>
        <w:t>The AVG-n (10%) models are simple forecast combinations that include models within the 10% MCS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t>) for the given n-month horizon, selected using training sample data from July 2011 to June 2017. Similarly, the AVG-n (25%) models consist of models within the 25% MCS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t>) for the corresponding horizon, selected from the same training sample. The MS-Combo is a straightforward combination of the top-performing Markov switching models identified by the MCS. Notably, the confidence level and horizon do not influence the MS-Combo as the selected models remain consistent across cases. The models included in each combination are as follows:</w:t>
      </w:r>
    </w:p>
    <w:p w14:paraId="1126B3EE" w14:textId="77777777" w:rsidR="00DE6638" w:rsidRDefault="00482E48" w:rsidP="00DE6638">
      <w:pPr>
        <w:pStyle w:val="ListParagraph"/>
        <w:numPr>
          <w:ilvl w:val="0"/>
          <w:numId w:val="26"/>
        </w:numPr>
      </w:pPr>
      <w:r w:rsidRPr="00DE6638">
        <w:rPr>
          <w:b/>
          <w:bCs/>
        </w:rPr>
        <w:t>AVG-3 (10%):</w:t>
      </w:r>
      <w:r>
        <w:t xml:space="preserve"> dVAR, VECM, VAR, MS-VAR, MS-VECM, MSAI-VECM</w:t>
      </w:r>
    </w:p>
    <w:p w14:paraId="64407FFC" w14:textId="77777777" w:rsidR="00DE6638" w:rsidRDefault="00482E48" w:rsidP="00DE6638">
      <w:pPr>
        <w:pStyle w:val="ListParagraph"/>
        <w:numPr>
          <w:ilvl w:val="0"/>
          <w:numId w:val="26"/>
        </w:numPr>
      </w:pPr>
      <w:r w:rsidRPr="00DE6638">
        <w:rPr>
          <w:b/>
          <w:bCs/>
        </w:rPr>
        <w:t>AVG-12 (10%):</w:t>
      </w:r>
      <w:r>
        <w:t xml:space="preserve"> VECM, MS-dVAR, MS-dAR, dAR, VAR, MSAI-VECM, MS-VAR, MS-VECM</w:t>
      </w:r>
    </w:p>
    <w:p w14:paraId="7E904034" w14:textId="77777777" w:rsidR="00DE6638" w:rsidRDefault="00482E48" w:rsidP="00DE6638">
      <w:pPr>
        <w:pStyle w:val="ListParagraph"/>
        <w:numPr>
          <w:ilvl w:val="0"/>
          <w:numId w:val="26"/>
        </w:numPr>
      </w:pPr>
      <w:r w:rsidRPr="00DE6638">
        <w:rPr>
          <w:b/>
          <w:bCs/>
        </w:rPr>
        <w:t>AVG-3 (25%):</w:t>
      </w:r>
      <w:r>
        <w:t xml:space="preserve"> VECM, VAR, MS-VAR, MS-VECM, MSAI-VECM</w:t>
      </w:r>
    </w:p>
    <w:p w14:paraId="65AF861A" w14:textId="77777777" w:rsidR="00DE6638" w:rsidRDefault="00482E48" w:rsidP="00DE6638">
      <w:pPr>
        <w:pStyle w:val="ListParagraph"/>
        <w:numPr>
          <w:ilvl w:val="0"/>
          <w:numId w:val="26"/>
        </w:numPr>
      </w:pPr>
      <w:r w:rsidRPr="00DE6638">
        <w:rPr>
          <w:b/>
          <w:bCs/>
        </w:rPr>
        <w:t>AVG-12 (25%):</w:t>
      </w:r>
      <w:r>
        <w:t xml:space="preserve"> VAR, MSAI-VECM, MS-VAR, MS-VECM</w:t>
      </w:r>
    </w:p>
    <w:p w14:paraId="68B81F17" w14:textId="5058472E" w:rsidR="00482E48" w:rsidRDefault="00482E48" w:rsidP="00DE6638">
      <w:pPr>
        <w:pStyle w:val="ListParagraph"/>
        <w:numPr>
          <w:ilvl w:val="0"/>
          <w:numId w:val="26"/>
        </w:numPr>
      </w:pPr>
      <w:r w:rsidRPr="00DE6638">
        <w:rPr>
          <w:b/>
          <w:bCs/>
        </w:rPr>
        <w:t>MS-Combo:</w:t>
      </w:r>
      <w:r>
        <w:t xml:space="preserve"> MS-VECM, MSAI-VECM, MS-VAR</w:t>
      </w:r>
    </w:p>
    <w:p w14:paraId="7A8DB09C" w14:textId="77777777" w:rsidR="00482E48" w:rsidRDefault="00482E48" w:rsidP="00482E48">
      <w:r>
        <w:t>Section 4 presents the results for models chosen under CV(12), i.e. those that minimise the 12-month ahead MAPE over the training sample, as this is the primary forecast horizon of interest.</w:t>
      </w:r>
    </w:p>
    <w:p w14:paraId="28BD4929" w14:textId="77777777" w:rsidR="00482E48" w:rsidRDefault="00482E48" w:rsidP="00482E48">
      <w:r>
        <w:t>In contrast, the following tables display results for models selected under CV(3), where the selection criterion minimises the 3-month ahead MAPE over the training sample. Adjusting the forecast horizon for model selection can lead to different lag specifications, potentially affecting forecasting performance.</w:t>
      </w:r>
    </w:p>
    <w:p w14:paraId="5F4B35F7" w14:textId="77777777" w:rsidR="00AB7BDB" w:rsidRPr="00482E48" w:rsidRDefault="00AB7BDB" w:rsidP="00AB7BDB">
      <w:r>
        <w:t>Table 8 summarises the lag specifications selected under CV(3) and compares them to the CV(12) models discussed in section 4. Forecast evaluation results for the entire out-of-sample period and the COVID-19 crisis period, based on CV(3) models, are presented in Tables 9 and 10, respectively.</w:t>
      </w:r>
    </w:p>
    <w:p w14:paraId="761AEA42" w14:textId="77777777" w:rsidR="00E71E44" w:rsidRPr="00E71E44" w:rsidRDefault="00E71E44" w:rsidP="007143C0">
      <w:pPr>
        <w:pStyle w:val="Caption"/>
        <w:pageBreakBefore/>
        <w:rPr>
          <w:lang w:val="en-GB"/>
        </w:rPr>
      </w:pPr>
      <w:r w:rsidRPr="00E71E44">
        <w:rPr>
          <w:lang w:val="en-GB"/>
        </w:rPr>
        <w:lastRenderedPageBreak/>
        <w:t>Table 8: Model summary</w:t>
      </w:r>
    </w:p>
    <w:tbl>
      <w:tblPr>
        <w:tblStyle w:val="Financialtable"/>
        <w:tblW w:w="0" w:type="auto"/>
        <w:tblLayout w:type="fixed"/>
        <w:tblLook w:val="06A0" w:firstRow="1" w:lastRow="0" w:firstColumn="1" w:lastColumn="0" w:noHBand="1" w:noVBand="1"/>
      </w:tblPr>
      <w:tblGrid>
        <w:gridCol w:w="2692"/>
        <w:gridCol w:w="1055"/>
        <w:gridCol w:w="1055"/>
      </w:tblGrid>
      <w:tr w:rsidR="00E71E44" w:rsidRPr="00E71E44" w14:paraId="6FA11DF4" w14:textId="77777777" w:rsidTr="00B7621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692" w:type="dxa"/>
          </w:tcPr>
          <w:p w14:paraId="7732FEE0" w14:textId="77777777" w:rsidR="00E71E44" w:rsidRPr="00E71E44" w:rsidRDefault="00E71E44" w:rsidP="00E71E44">
            <w:pPr>
              <w:spacing w:before="30" w:after="30" w:line="240" w:lineRule="auto"/>
              <w:rPr>
                <w:lang w:val="en-GB"/>
              </w:rPr>
            </w:pPr>
          </w:p>
        </w:tc>
        <w:tc>
          <w:tcPr>
            <w:tcW w:w="2110" w:type="dxa"/>
            <w:gridSpan w:val="2"/>
          </w:tcPr>
          <w:p w14:paraId="214BAFB9" w14:textId="5E053394" w:rsidR="00E71E44" w:rsidRPr="00C15681" w:rsidRDefault="00C15681" w:rsidP="00C15681">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b/>
                <w:bCs/>
                <w:lang w:val="en-GB"/>
              </w:rPr>
            </w:pPr>
            <w:r w:rsidRPr="00C15681">
              <w:rPr>
                <w:b/>
                <w:bCs/>
                <w:lang w:val="en-GB"/>
              </w:rPr>
              <w:t>Lags (</w:t>
            </w:r>
            <w:r w:rsidRPr="00C15681">
              <w:rPr>
                <w:i/>
                <w:iCs/>
                <w:lang w:val="en-GB"/>
              </w:rPr>
              <w:t>p</w:t>
            </w:r>
            <w:r w:rsidRPr="00C15681">
              <w:rPr>
                <w:b/>
                <w:bCs/>
                <w:lang w:val="en-GB"/>
              </w:rPr>
              <w:t>)</w:t>
            </w:r>
          </w:p>
        </w:tc>
      </w:tr>
      <w:tr w:rsidR="00C15681" w:rsidRPr="00E71E44" w14:paraId="064DF1F5" w14:textId="77777777" w:rsidTr="00E71E4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692" w:type="dxa"/>
          </w:tcPr>
          <w:p w14:paraId="3C66C404" w14:textId="2F825B10" w:rsidR="00C15681" w:rsidRPr="00E71E44" w:rsidRDefault="00C15681" w:rsidP="00C15681">
            <w:pPr>
              <w:spacing w:before="30" w:after="30" w:line="240" w:lineRule="auto"/>
              <w:rPr>
                <w:lang w:val="en-GB"/>
              </w:rPr>
            </w:pPr>
            <w:r>
              <w:t>Model</w:t>
            </w:r>
          </w:p>
        </w:tc>
        <w:tc>
          <w:tcPr>
            <w:tcW w:w="1055" w:type="dxa"/>
          </w:tcPr>
          <w:p w14:paraId="4D7AAF62" w14:textId="36EC4C41" w:rsidR="00C15681" w:rsidRPr="00E71E44" w:rsidRDefault="00C15681" w:rsidP="00C15681">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CV(12)</w:t>
            </w:r>
          </w:p>
        </w:tc>
        <w:tc>
          <w:tcPr>
            <w:tcW w:w="1055" w:type="dxa"/>
          </w:tcPr>
          <w:p w14:paraId="76A72BF3" w14:textId="2236327B" w:rsidR="00C15681" w:rsidRPr="00E71E44" w:rsidRDefault="00C15681" w:rsidP="00C15681">
            <w:pPr>
              <w:spacing w:before="30" w:after="30" w:line="240" w:lineRule="auto"/>
              <w:cnfStyle w:val="100000000000" w:firstRow="1" w:lastRow="0" w:firstColumn="0" w:lastColumn="0" w:oddVBand="0" w:evenVBand="0" w:oddHBand="0" w:evenHBand="0" w:firstRowFirstColumn="0" w:firstRowLastColumn="0" w:lastRowFirstColumn="0" w:lastRowLastColumn="0"/>
              <w:rPr>
                <w:lang w:val="en-GB"/>
              </w:rPr>
            </w:pPr>
            <w:r>
              <w:t>CV(3)</w:t>
            </w:r>
          </w:p>
        </w:tc>
      </w:tr>
      <w:tr w:rsidR="00E71E44" w:rsidRPr="00E71E44" w14:paraId="52AD965E"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73B6B5C8" w14:textId="77777777" w:rsidR="00E71E44" w:rsidRPr="00E71E44" w:rsidRDefault="00E71E44" w:rsidP="00E71E44">
            <w:pPr>
              <w:spacing w:before="30" w:after="30" w:line="240" w:lineRule="auto"/>
              <w:rPr>
                <w:lang w:val="en-GB"/>
              </w:rPr>
            </w:pPr>
            <w:r w:rsidRPr="00E71E44">
              <w:rPr>
                <w:lang w:val="en-GB"/>
              </w:rPr>
              <w:t>VECM</w:t>
            </w:r>
          </w:p>
        </w:tc>
        <w:tc>
          <w:tcPr>
            <w:tcW w:w="1055" w:type="dxa"/>
          </w:tcPr>
          <w:p w14:paraId="4368AAF3"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c>
          <w:tcPr>
            <w:tcW w:w="1055" w:type="dxa"/>
          </w:tcPr>
          <w:p w14:paraId="2172F855"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r>
      <w:tr w:rsidR="00E71E44" w:rsidRPr="00E71E44" w14:paraId="0A3A9012"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686E648B" w14:textId="77777777" w:rsidR="00E71E44" w:rsidRPr="00E71E44" w:rsidRDefault="00E71E44" w:rsidP="00E71E44">
            <w:pPr>
              <w:spacing w:before="30" w:after="30" w:line="240" w:lineRule="auto"/>
              <w:rPr>
                <w:lang w:val="en-GB"/>
              </w:rPr>
            </w:pPr>
            <w:r w:rsidRPr="00E71E44">
              <w:rPr>
                <w:lang w:val="en-GB"/>
              </w:rPr>
              <w:t>VAR</w:t>
            </w:r>
          </w:p>
        </w:tc>
        <w:tc>
          <w:tcPr>
            <w:tcW w:w="1055" w:type="dxa"/>
          </w:tcPr>
          <w:p w14:paraId="6E1424E0"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p=2</w:t>
            </w:r>
          </w:p>
        </w:tc>
        <w:tc>
          <w:tcPr>
            <w:tcW w:w="1055" w:type="dxa"/>
          </w:tcPr>
          <w:p w14:paraId="15D7934C"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p=12</w:t>
            </w:r>
          </w:p>
        </w:tc>
      </w:tr>
      <w:tr w:rsidR="00E71E44" w:rsidRPr="00E71E44" w14:paraId="175A0138"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03B5C4A1" w14:textId="77777777" w:rsidR="00E71E44" w:rsidRPr="00E71E44" w:rsidRDefault="00E71E44" w:rsidP="00E71E44">
            <w:pPr>
              <w:spacing w:before="30" w:after="30" w:line="240" w:lineRule="auto"/>
              <w:rPr>
                <w:lang w:val="en-GB"/>
              </w:rPr>
            </w:pPr>
            <w:r w:rsidRPr="00E71E44">
              <w:rPr>
                <w:lang w:val="en-GB"/>
              </w:rPr>
              <w:t>dVAR</w:t>
            </w:r>
          </w:p>
        </w:tc>
        <w:tc>
          <w:tcPr>
            <w:tcW w:w="1055" w:type="dxa"/>
          </w:tcPr>
          <w:p w14:paraId="6F450FE7"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p=9</w:t>
            </w:r>
          </w:p>
        </w:tc>
        <w:tc>
          <w:tcPr>
            <w:tcW w:w="1055" w:type="dxa"/>
          </w:tcPr>
          <w:p w14:paraId="478012B2"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p=11</w:t>
            </w:r>
          </w:p>
        </w:tc>
      </w:tr>
      <w:tr w:rsidR="00E71E44" w:rsidRPr="00E71E44" w14:paraId="0DF6EF9D"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72ED90EA" w14:textId="77777777" w:rsidR="00E71E44" w:rsidRPr="00E71E44" w:rsidRDefault="00E71E44" w:rsidP="00E71E44">
            <w:pPr>
              <w:spacing w:before="30" w:after="30" w:line="240" w:lineRule="auto"/>
              <w:rPr>
                <w:lang w:val="en-GB"/>
              </w:rPr>
            </w:pPr>
            <w:r w:rsidRPr="00E71E44">
              <w:rPr>
                <w:lang w:val="en-GB"/>
              </w:rPr>
              <w:t>dAR</w:t>
            </w:r>
          </w:p>
        </w:tc>
        <w:tc>
          <w:tcPr>
            <w:tcW w:w="1055" w:type="dxa"/>
          </w:tcPr>
          <w:p w14:paraId="1EDD5D77"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p=12</w:t>
            </w:r>
          </w:p>
        </w:tc>
        <w:tc>
          <w:tcPr>
            <w:tcW w:w="1055" w:type="dxa"/>
          </w:tcPr>
          <w:p w14:paraId="2D576CD5"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r>
      <w:tr w:rsidR="00E71E44" w:rsidRPr="00E71E44" w14:paraId="55D421C7"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55531168" w14:textId="77777777" w:rsidR="00E71E44" w:rsidRPr="00E71E44" w:rsidRDefault="00E71E44" w:rsidP="00E71E44">
            <w:pPr>
              <w:spacing w:before="30" w:after="30" w:line="240" w:lineRule="auto"/>
              <w:rPr>
                <w:lang w:val="en-GB"/>
              </w:rPr>
            </w:pPr>
            <w:r w:rsidRPr="00E71E44">
              <w:rPr>
                <w:lang w:val="en-GB"/>
              </w:rPr>
              <w:t>MS-VECM</w:t>
            </w:r>
          </w:p>
        </w:tc>
        <w:tc>
          <w:tcPr>
            <w:tcW w:w="1055" w:type="dxa"/>
          </w:tcPr>
          <w:p w14:paraId="6ECFA589"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p=3</w:t>
            </w:r>
          </w:p>
        </w:tc>
        <w:tc>
          <w:tcPr>
            <w:tcW w:w="1055" w:type="dxa"/>
          </w:tcPr>
          <w:p w14:paraId="2F0E620C"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p=2</w:t>
            </w:r>
          </w:p>
        </w:tc>
      </w:tr>
      <w:tr w:rsidR="00E71E44" w:rsidRPr="00E71E44" w14:paraId="7D3BADAB"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4620AAB5" w14:textId="77777777" w:rsidR="00E71E44" w:rsidRPr="00E71E44" w:rsidRDefault="00E71E44" w:rsidP="00E71E44">
            <w:pPr>
              <w:spacing w:before="30" w:after="30" w:line="240" w:lineRule="auto"/>
              <w:rPr>
                <w:lang w:val="en-GB"/>
              </w:rPr>
            </w:pPr>
            <w:r w:rsidRPr="00E71E44">
              <w:rPr>
                <w:lang w:val="en-GB"/>
              </w:rPr>
              <w:t>MSAI-VECM</w:t>
            </w:r>
          </w:p>
        </w:tc>
        <w:tc>
          <w:tcPr>
            <w:tcW w:w="1055" w:type="dxa"/>
          </w:tcPr>
          <w:p w14:paraId="6E41AC4E"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c>
          <w:tcPr>
            <w:tcW w:w="1055" w:type="dxa"/>
          </w:tcPr>
          <w:p w14:paraId="687C2245"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r>
      <w:tr w:rsidR="00E71E44" w:rsidRPr="00E71E44" w14:paraId="43EA1CF8"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75827BF1" w14:textId="77777777" w:rsidR="00E71E44" w:rsidRPr="00E71E44" w:rsidRDefault="00E71E44" w:rsidP="00E71E44">
            <w:pPr>
              <w:spacing w:before="30" w:after="30" w:line="240" w:lineRule="auto"/>
              <w:rPr>
                <w:lang w:val="en-GB"/>
              </w:rPr>
            </w:pPr>
            <w:r w:rsidRPr="00E71E44">
              <w:rPr>
                <w:lang w:val="en-GB"/>
              </w:rPr>
              <w:t>MS-VAR</w:t>
            </w:r>
          </w:p>
        </w:tc>
        <w:tc>
          <w:tcPr>
            <w:tcW w:w="1055" w:type="dxa"/>
          </w:tcPr>
          <w:p w14:paraId="29D9D273"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p=2</w:t>
            </w:r>
          </w:p>
        </w:tc>
        <w:tc>
          <w:tcPr>
            <w:tcW w:w="1055" w:type="dxa"/>
          </w:tcPr>
          <w:p w14:paraId="246B5009"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r>
      <w:tr w:rsidR="00E71E44" w:rsidRPr="00E71E44" w14:paraId="374925D0"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07663CAD" w14:textId="77777777" w:rsidR="00E71E44" w:rsidRPr="00E71E44" w:rsidRDefault="00E71E44" w:rsidP="00E71E44">
            <w:pPr>
              <w:spacing w:before="30" w:after="30" w:line="240" w:lineRule="auto"/>
              <w:rPr>
                <w:lang w:val="en-GB"/>
              </w:rPr>
            </w:pPr>
            <w:r w:rsidRPr="00E71E44">
              <w:rPr>
                <w:lang w:val="en-GB"/>
              </w:rPr>
              <w:t>MS-dVAR</w:t>
            </w:r>
          </w:p>
        </w:tc>
        <w:tc>
          <w:tcPr>
            <w:tcW w:w="1055" w:type="dxa"/>
          </w:tcPr>
          <w:p w14:paraId="78325F82"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p=4</w:t>
            </w:r>
          </w:p>
        </w:tc>
        <w:tc>
          <w:tcPr>
            <w:tcW w:w="1055" w:type="dxa"/>
          </w:tcPr>
          <w:p w14:paraId="3F86F3F0"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p=1</w:t>
            </w:r>
          </w:p>
        </w:tc>
      </w:tr>
      <w:tr w:rsidR="00E71E44" w:rsidRPr="00E71E44" w14:paraId="1BA6894F" w14:textId="77777777" w:rsidTr="00E71E44">
        <w:trPr>
          <w:cantSplit/>
        </w:trPr>
        <w:tc>
          <w:tcPr>
            <w:cnfStyle w:val="001000000000" w:firstRow="0" w:lastRow="0" w:firstColumn="1" w:lastColumn="0" w:oddVBand="0" w:evenVBand="0" w:oddHBand="0" w:evenHBand="0" w:firstRowFirstColumn="0" w:firstRowLastColumn="0" w:lastRowFirstColumn="0" w:lastRowLastColumn="0"/>
            <w:tcW w:w="2692" w:type="dxa"/>
          </w:tcPr>
          <w:p w14:paraId="0C3C7E6C" w14:textId="77777777" w:rsidR="00E71E44" w:rsidRPr="00E71E44" w:rsidRDefault="00E71E44" w:rsidP="00E71E44">
            <w:pPr>
              <w:spacing w:before="30" w:after="30" w:line="240" w:lineRule="auto"/>
              <w:rPr>
                <w:lang w:val="en-GB"/>
              </w:rPr>
            </w:pPr>
            <w:r w:rsidRPr="00E71E44">
              <w:rPr>
                <w:lang w:val="en-GB"/>
              </w:rPr>
              <w:t>MS-dAR</w:t>
            </w:r>
          </w:p>
        </w:tc>
        <w:tc>
          <w:tcPr>
            <w:tcW w:w="1055" w:type="dxa"/>
          </w:tcPr>
          <w:p w14:paraId="07CAB141"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p=6</w:t>
            </w:r>
          </w:p>
        </w:tc>
        <w:tc>
          <w:tcPr>
            <w:tcW w:w="1055" w:type="dxa"/>
          </w:tcPr>
          <w:p w14:paraId="05FED10D" w14:textId="77777777" w:rsidR="00E71E44" w:rsidRPr="00E71E44" w:rsidRDefault="00E71E44" w:rsidP="00E71E44">
            <w:pPr>
              <w:spacing w:before="30" w:after="30" w:line="240" w:lineRule="auto"/>
              <w:cnfStyle w:val="000000000000" w:firstRow="0" w:lastRow="0" w:firstColumn="0" w:lastColumn="0" w:oddVBand="0" w:evenVBand="0" w:oddHBand="0" w:evenHBand="0" w:firstRowFirstColumn="0" w:firstRowLastColumn="0" w:lastRowFirstColumn="0" w:lastRowLastColumn="0"/>
              <w:rPr>
                <w:lang w:val="en-GB"/>
              </w:rPr>
            </w:pPr>
            <w:r w:rsidRPr="00E71E44">
              <w:rPr>
                <w:lang w:val="en-GB"/>
              </w:rPr>
              <w:t>p=5</w:t>
            </w:r>
          </w:p>
        </w:tc>
      </w:tr>
    </w:tbl>
    <w:p w14:paraId="2B76EBF3" w14:textId="4B28463E" w:rsidR="000F5D63" w:rsidRDefault="00C15681" w:rsidP="00C15681">
      <w:pPr>
        <w:pStyle w:val="Note"/>
      </w:pPr>
      <w:r w:rsidRPr="00C15681">
        <w:t xml:space="preserve">Note: </w:t>
      </w:r>
      <w:r w:rsidRPr="00C15681">
        <w:rPr>
          <w:i/>
          <w:iCs/>
        </w:rPr>
        <w:t>CV(n)</w:t>
      </w:r>
      <w:r w:rsidRPr="00C15681">
        <w:t xml:space="preserve"> represents the model lag specifications which minimise the </w:t>
      </w:r>
      <w:r w:rsidRPr="00C15681">
        <w:rPr>
          <w:i/>
          <w:iCs/>
        </w:rPr>
        <w:t>n</w:t>
      </w:r>
      <w:r w:rsidRPr="00C15681">
        <w:t xml:space="preserve">-step ahead cumulative MAPE over the training sample (7/2011-6/2017). Linear and MS models consider up to 12 and 6 lags, respectively. *Benchmark VECM lag specification is fixed at </w:t>
      </w:r>
      <w:r w:rsidRPr="00C15681">
        <w:rPr>
          <w:i/>
          <w:iCs/>
        </w:rPr>
        <w:t xml:space="preserve">p </w:t>
      </w:r>
      <w:r w:rsidRPr="00C15681">
        <w:t>=</w:t>
      </w:r>
      <w:r w:rsidRPr="00C15681">
        <w:rPr>
          <w:i/>
          <w:iCs/>
        </w:rPr>
        <w:t xml:space="preserve"> 4</w:t>
      </w:r>
      <w:r w:rsidRPr="00C15681">
        <w:t xml:space="preserve"> (refer</w:t>
      </w:r>
      <w:r w:rsidRPr="00C15681">
        <w:rPr>
          <w:rFonts w:ascii="Calibri" w:hAnsi="Calibri" w:cs="Calibri"/>
        </w:rPr>
        <w:t> </w:t>
      </w:r>
      <w:r w:rsidRPr="00C15681">
        <w:t>to footnote 13). Tables 6 and 7 report the CV(12) forecast results. Tables 9 and 10 report the CV(3) forecast results.</w:t>
      </w:r>
    </w:p>
    <w:p w14:paraId="266AA317" w14:textId="77777777" w:rsidR="00222B1B" w:rsidRPr="00222B1B" w:rsidRDefault="00222B1B" w:rsidP="00222B1B">
      <w:pPr>
        <w:pStyle w:val="Caption"/>
        <w:rPr>
          <w:lang w:val="en-GB"/>
        </w:rPr>
      </w:pPr>
      <w:r w:rsidRPr="00222B1B">
        <w:rPr>
          <w:lang w:val="en-GB"/>
        </w:rPr>
        <w:t>Table 9: CV(3) Models: Forecast evaluation (7/2017-6/2023)</w:t>
      </w:r>
    </w:p>
    <w:tbl>
      <w:tblPr>
        <w:tblStyle w:val="Financialtable"/>
        <w:tblW w:w="9205" w:type="dxa"/>
        <w:tblLayout w:type="fixed"/>
        <w:tblLook w:val="06A0" w:firstRow="1" w:lastRow="0" w:firstColumn="1" w:lastColumn="0" w:noHBand="1" w:noVBand="1"/>
      </w:tblPr>
      <w:tblGrid>
        <w:gridCol w:w="1474"/>
        <w:gridCol w:w="908"/>
        <w:gridCol w:w="908"/>
        <w:gridCol w:w="908"/>
        <w:gridCol w:w="909"/>
        <w:gridCol w:w="238"/>
        <w:gridCol w:w="965"/>
        <w:gridCol w:w="965"/>
        <w:gridCol w:w="965"/>
        <w:gridCol w:w="965"/>
      </w:tblGrid>
      <w:tr w:rsidR="00947460" w:rsidRPr="00222B1B" w14:paraId="545EA36B" w14:textId="77777777" w:rsidTr="003823B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474" w:type="dxa"/>
          </w:tcPr>
          <w:p w14:paraId="04FD2B38" w14:textId="77777777" w:rsidR="00947460" w:rsidRPr="00222B1B" w:rsidRDefault="00947460" w:rsidP="00947460">
            <w:pPr>
              <w:spacing w:before="30" w:after="30" w:line="240" w:lineRule="auto"/>
              <w:rPr>
                <w:rFonts w:eastAsia="Times New Roman"/>
                <w:lang w:val="en-GB"/>
              </w:rPr>
            </w:pPr>
          </w:p>
        </w:tc>
        <w:tc>
          <w:tcPr>
            <w:tcW w:w="3633" w:type="dxa"/>
            <w:gridSpan w:val="4"/>
          </w:tcPr>
          <w:p w14:paraId="6B406AB7" w14:textId="2B58B985" w:rsidR="00947460" w:rsidRPr="00222B1B" w:rsidRDefault="00947460" w:rsidP="00947460">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n-GB"/>
              </w:rPr>
            </w:pPr>
            <w:r>
              <w:t>MAPE (%)</w:t>
            </w:r>
          </w:p>
        </w:tc>
        <w:tc>
          <w:tcPr>
            <w:tcW w:w="238" w:type="dxa"/>
          </w:tcPr>
          <w:p w14:paraId="214AD955" w14:textId="77777777" w:rsidR="00947460" w:rsidRPr="00222B1B" w:rsidRDefault="00947460" w:rsidP="00947460">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p>
        </w:tc>
        <w:tc>
          <w:tcPr>
            <w:tcW w:w="3860" w:type="dxa"/>
            <w:gridSpan w:val="4"/>
          </w:tcPr>
          <w:p w14:paraId="2F7270D0" w14:textId="05D20075" w:rsidR="00947460" w:rsidRPr="00222B1B" w:rsidRDefault="00947460" w:rsidP="00947460">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n-GB"/>
              </w:rPr>
            </w:pPr>
            <w:r>
              <w:rPr>
                <w:w w:val="105"/>
                <w:sz w:val="19"/>
                <w:szCs w:val="19"/>
              </w:rPr>
              <w:t xml:space="preserve">MSE </w:t>
            </w:r>
            <w:r>
              <w:rPr>
                <w:w w:val="110"/>
                <w:sz w:val="19"/>
                <w:szCs w:val="19"/>
              </w:rPr>
              <w:t>(</w:t>
            </w:r>
            <w:r>
              <w:rPr>
                <w:rFonts w:cs="Times New Roman"/>
                <w:w w:val="110"/>
                <w:sz w:val="19"/>
                <w:szCs w:val="19"/>
                <w:rtl/>
                <w:lang w:bidi="ar-YE"/>
              </w:rPr>
              <w:t>×</w:t>
            </w:r>
            <w:r>
              <w:rPr>
                <w:w w:val="110"/>
                <w:sz w:val="19"/>
                <w:szCs w:val="19"/>
              </w:rPr>
              <w:t>10</w:t>
            </w:r>
            <w:r>
              <w:rPr>
                <w:w w:val="110"/>
                <w:sz w:val="19"/>
                <w:szCs w:val="19"/>
                <w:vertAlign w:val="superscript"/>
              </w:rPr>
              <w:t>−16</w:t>
            </w:r>
            <w:r>
              <w:rPr>
                <w:w w:val="110"/>
                <w:sz w:val="19"/>
                <w:szCs w:val="19"/>
              </w:rPr>
              <w:t>)</w:t>
            </w:r>
          </w:p>
        </w:tc>
      </w:tr>
      <w:tr w:rsidR="00947460" w:rsidRPr="00222B1B" w14:paraId="018A5EFE" w14:textId="77777777" w:rsidTr="003823B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474" w:type="dxa"/>
          </w:tcPr>
          <w:p w14:paraId="385FCB6D" w14:textId="6980A6EB" w:rsidR="00947460" w:rsidRPr="00222B1B" w:rsidRDefault="00445DF7" w:rsidP="00947460">
            <w:pPr>
              <w:spacing w:before="30" w:after="30" w:line="240" w:lineRule="auto"/>
              <w:rPr>
                <w:rFonts w:eastAsia="Times New Roman"/>
                <w:lang w:val="en-GB"/>
              </w:rPr>
            </w:pPr>
            <w:r>
              <w:t>HORIZON</w:t>
            </w:r>
          </w:p>
        </w:tc>
        <w:tc>
          <w:tcPr>
            <w:tcW w:w="908" w:type="dxa"/>
          </w:tcPr>
          <w:p w14:paraId="4E0BDBC7" w14:textId="09A0D6DE"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3</w:t>
            </w:r>
          </w:p>
        </w:tc>
        <w:tc>
          <w:tcPr>
            <w:tcW w:w="908" w:type="dxa"/>
          </w:tcPr>
          <w:p w14:paraId="37FB5090" w14:textId="7A5FC256"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6</w:t>
            </w:r>
          </w:p>
        </w:tc>
        <w:tc>
          <w:tcPr>
            <w:tcW w:w="908" w:type="dxa"/>
          </w:tcPr>
          <w:p w14:paraId="3F4E7409" w14:textId="46AF4637"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9</w:t>
            </w:r>
          </w:p>
        </w:tc>
        <w:tc>
          <w:tcPr>
            <w:tcW w:w="909" w:type="dxa"/>
          </w:tcPr>
          <w:p w14:paraId="3FC6614D" w14:textId="4D259840"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12</w:t>
            </w:r>
          </w:p>
        </w:tc>
        <w:tc>
          <w:tcPr>
            <w:tcW w:w="238" w:type="dxa"/>
          </w:tcPr>
          <w:p w14:paraId="388F8D42" w14:textId="77777777"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rPr>
            </w:pPr>
          </w:p>
        </w:tc>
        <w:tc>
          <w:tcPr>
            <w:tcW w:w="965" w:type="dxa"/>
          </w:tcPr>
          <w:p w14:paraId="762ADEFC" w14:textId="364EBB26"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3</w:t>
            </w:r>
          </w:p>
        </w:tc>
        <w:tc>
          <w:tcPr>
            <w:tcW w:w="965" w:type="dxa"/>
          </w:tcPr>
          <w:p w14:paraId="65B96AB9" w14:textId="056E69DD"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6</w:t>
            </w:r>
          </w:p>
        </w:tc>
        <w:tc>
          <w:tcPr>
            <w:tcW w:w="965" w:type="dxa"/>
          </w:tcPr>
          <w:p w14:paraId="15401ABE" w14:textId="77DFFA94"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9</w:t>
            </w:r>
          </w:p>
        </w:tc>
        <w:tc>
          <w:tcPr>
            <w:tcW w:w="965" w:type="dxa"/>
          </w:tcPr>
          <w:p w14:paraId="574EB534" w14:textId="669D01EA" w:rsidR="00947460" w:rsidRPr="00222B1B" w:rsidRDefault="00947460" w:rsidP="00947460">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12</w:t>
            </w:r>
          </w:p>
        </w:tc>
      </w:tr>
      <w:tr w:rsidR="00222B1B" w:rsidRPr="00222B1B" w14:paraId="6B8B0135"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1DCBB72A"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VECM</w:t>
            </w:r>
          </w:p>
        </w:tc>
        <w:tc>
          <w:tcPr>
            <w:tcW w:w="908" w:type="dxa"/>
          </w:tcPr>
          <w:p w14:paraId="2B3E7FF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7.34*</w:t>
            </w:r>
          </w:p>
        </w:tc>
        <w:tc>
          <w:tcPr>
            <w:tcW w:w="908" w:type="dxa"/>
          </w:tcPr>
          <w:p w14:paraId="17BF883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8.12</w:t>
            </w:r>
          </w:p>
        </w:tc>
        <w:tc>
          <w:tcPr>
            <w:tcW w:w="908" w:type="dxa"/>
          </w:tcPr>
          <w:p w14:paraId="29DA426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10.15*</w:t>
            </w:r>
          </w:p>
        </w:tc>
        <w:tc>
          <w:tcPr>
            <w:tcW w:w="909" w:type="dxa"/>
          </w:tcPr>
          <w:p w14:paraId="35327D1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11.53**</w:t>
            </w:r>
          </w:p>
        </w:tc>
        <w:tc>
          <w:tcPr>
            <w:tcW w:w="238" w:type="dxa"/>
          </w:tcPr>
          <w:p w14:paraId="6CF628C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3A88694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29.45*</w:t>
            </w:r>
          </w:p>
        </w:tc>
        <w:tc>
          <w:tcPr>
            <w:tcW w:w="965" w:type="dxa"/>
          </w:tcPr>
          <w:p w14:paraId="1E3BF88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134.12*</w:t>
            </w:r>
          </w:p>
        </w:tc>
        <w:tc>
          <w:tcPr>
            <w:tcW w:w="965" w:type="dxa"/>
          </w:tcPr>
          <w:p w14:paraId="7DB91E50"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456.09**</w:t>
            </w:r>
          </w:p>
        </w:tc>
        <w:tc>
          <w:tcPr>
            <w:tcW w:w="965" w:type="dxa"/>
          </w:tcPr>
          <w:p w14:paraId="41CCDEC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1 092.85**</w:t>
            </w:r>
          </w:p>
        </w:tc>
      </w:tr>
      <w:tr w:rsidR="00222B1B" w:rsidRPr="00222B1B" w14:paraId="5BD102C9"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4EBA3FB2"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VAR</w:t>
            </w:r>
          </w:p>
        </w:tc>
        <w:tc>
          <w:tcPr>
            <w:tcW w:w="908" w:type="dxa"/>
          </w:tcPr>
          <w:p w14:paraId="5A2A69C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7.45**</w:t>
            </w:r>
          </w:p>
        </w:tc>
        <w:tc>
          <w:tcPr>
            <w:tcW w:w="908" w:type="dxa"/>
          </w:tcPr>
          <w:p w14:paraId="2829CB0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8.35*</w:t>
            </w:r>
          </w:p>
        </w:tc>
        <w:tc>
          <w:tcPr>
            <w:tcW w:w="908" w:type="dxa"/>
          </w:tcPr>
          <w:p w14:paraId="665E47B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10.36*</w:t>
            </w:r>
          </w:p>
        </w:tc>
        <w:tc>
          <w:tcPr>
            <w:tcW w:w="909" w:type="dxa"/>
          </w:tcPr>
          <w:p w14:paraId="49F253E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12.16**</w:t>
            </w:r>
          </w:p>
        </w:tc>
        <w:tc>
          <w:tcPr>
            <w:tcW w:w="238" w:type="dxa"/>
          </w:tcPr>
          <w:p w14:paraId="708AB57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1461690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33.20*</w:t>
            </w:r>
          </w:p>
        </w:tc>
        <w:tc>
          <w:tcPr>
            <w:tcW w:w="965" w:type="dxa"/>
          </w:tcPr>
          <w:p w14:paraId="7808269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144.48**</w:t>
            </w:r>
          </w:p>
        </w:tc>
        <w:tc>
          <w:tcPr>
            <w:tcW w:w="965" w:type="dxa"/>
          </w:tcPr>
          <w:p w14:paraId="6BBE176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507.89**</w:t>
            </w:r>
          </w:p>
        </w:tc>
        <w:tc>
          <w:tcPr>
            <w:tcW w:w="965" w:type="dxa"/>
          </w:tcPr>
          <w:p w14:paraId="769561A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1 263.89**</w:t>
            </w:r>
          </w:p>
        </w:tc>
      </w:tr>
      <w:tr w:rsidR="00222B1B" w:rsidRPr="00222B1B" w14:paraId="5BCF40E4"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7C64CA3C"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dVAR</w:t>
            </w:r>
          </w:p>
        </w:tc>
        <w:tc>
          <w:tcPr>
            <w:tcW w:w="908" w:type="dxa"/>
          </w:tcPr>
          <w:p w14:paraId="41AF4B3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7.53*</w:t>
            </w:r>
          </w:p>
        </w:tc>
        <w:tc>
          <w:tcPr>
            <w:tcW w:w="908" w:type="dxa"/>
          </w:tcPr>
          <w:p w14:paraId="7CE675A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8.43</w:t>
            </w:r>
          </w:p>
        </w:tc>
        <w:tc>
          <w:tcPr>
            <w:tcW w:w="908" w:type="dxa"/>
          </w:tcPr>
          <w:p w14:paraId="303C18E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11.16</w:t>
            </w:r>
          </w:p>
        </w:tc>
        <w:tc>
          <w:tcPr>
            <w:tcW w:w="909" w:type="dxa"/>
          </w:tcPr>
          <w:p w14:paraId="0C94275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13.35</w:t>
            </w:r>
          </w:p>
        </w:tc>
        <w:tc>
          <w:tcPr>
            <w:tcW w:w="238" w:type="dxa"/>
          </w:tcPr>
          <w:p w14:paraId="2AB705A2"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4A5FF27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33.69*</w:t>
            </w:r>
          </w:p>
        </w:tc>
        <w:tc>
          <w:tcPr>
            <w:tcW w:w="965" w:type="dxa"/>
          </w:tcPr>
          <w:p w14:paraId="5DE4A3A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154.02*</w:t>
            </w:r>
          </w:p>
        </w:tc>
        <w:tc>
          <w:tcPr>
            <w:tcW w:w="965" w:type="dxa"/>
          </w:tcPr>
          <w:p w14:paraId="276820C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555.22*</w:t>
            </w:r>
          </w:p>
        </w:tc>
        <w:tc>
          <w:tcPr>
            <w:tcW w:w="965" w:type="dxa"/>
          </w:tcPr>
          <w:p w14:paraId="60BD5E1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1 357.17*</w:t>
            </w:r>
          </w:p>
        </w:tc>
      </w:tr>
      <w:tr w:rsidR="00222B1B" w:rsidRPr="00222B1B" w14:paraId="79EC2D55"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38F94EEF"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dAR</w:t>
            </w:r>
          </w:p>
        </w:tc>
        <w:tc>
          <w:tcPr>
            <w:tcW w:w="908" w:type="dxa"/>
          </w:tcPr>
          <w:p w14:paraId="4F55F41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10.64</w:t>
            </w:r>
          </w:p>
        </w:tc>
        <w:tc>
          <w:tcPr>
            <w:tcW w:w="908" w:type="dxa"/>
          </w:tcPr>
          <w:p w14:paraId="2F81612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12.43</w:t>
            </w:r>
          </w:p>
        </w:tc>
        <w:tc>
          <w:tcPr>
            <w:tcW w:w="908" w:type="dxa"/>
          </w:tcPr>
          <w:p w14:paraId="117916B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14.80</w:t>
            </w:r>
          </w:p>
        </w:tc>
        <w:tc>
          <w:tcPr>
            <w:tcW w:w="909" w:type="dxa"/>
          </w:tcPr>
          <w:p w14:paraId="6D696CD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16.17*</w:t>
            </w:r>
          </w:p>
        </w:tc>
        <w:tc>
          <w:tcPr>
            <w:tcW w:w="238" w:type="dxa"/>
          </w:tcPr>
          <w:p w14:paraId="0081E980"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12E7822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52.68</w:t>
            </w:r>
          </w:p>
        </w:tc>
        <w:tc>
          <w:tcPr>
            <w:tcW w:w="965" w:type="dxa"/>
          </w:tcPr>
          <w:p w14:paraId="5679FEC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291.77</w:t>
            </w:r>
          </w:p>
        </w:tc>
        <w:tc>
          <w:tcPr>
            <w:tcW w:w="965" w:type="dxa"/>
          </w:tcPr>
          <w:p w14:paraId="212FABA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975.11</w:t>
            </w:r>
          </w:p>
        </w:tc>
        <w:tc>
          <w:tcPr>
            <w:tcW w:w="965" w:type="dxa"/>
          </w:tcPr>
          <w:p w14:paraId="3CD95DB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2 277.82*</w:t>
            </w:r>
          </w:p>
        </w:tc>
      </w:tr>
      <w:tr w:rsidR="00222B1B" w:rsidRPr="00222B1B" w14:paraId="51BC26FE"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74941481"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MS-VECM</w:t>
            </w:r>
          </w:p>
        </w:tc>
        <w:tc>
          <w:tcPr>
            <w:tcW w:w="908" w:type="dxa"/>
          </w:tcPr>
          <w:p w14:paraId="6FE3982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6.97**</w:t>
            </w:r>
          </w:p>
        </w:tc>
        <w:tc>
          <w:tcPr>
            <w:tcW w:w="908" w:type="dxa"/>
          </w:tcPr>
          <w:p w14:paraId="0951747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7.30</w:t>
            </w:r>
            <w:r w:rsidRPr="00222B1B">
              <w:rPr>
                <w:rFonts w:eastAsia="Times New Roman"/>
                <w:lang w:val="en-GB"/>
              </w:rPr>
              <w:t>**</w:t>
            </w:r>
          </w:p>
        </w:tc>
        <w:tc>
          <w:tcPr>
            <w:tcW w:w="908" w:type="dxa"/>
          </w:tcPr>
          <w:p w14:paraId="14EE317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8.68</w:t>
            </w:r>
            <w:r w:rsidRPr="00222B1B">
              <w:rPr>
                <w:rFonts w:eastAsia="Times New Roman"/>
                <w:lang w:val="en-GB"/>
              </w:rPr>
              <w:t>**</w:t>
            </w:r>
          </w:p>
        </w:tc>
        <w:tc>
          <w:tcPr>
            <w:tcW w:w="909" w:type="dxa"/>
          </w:tcPr>
          <w:p w14:paraId="10ED084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10.45</w:t>
            </w:r>
            <w:r w:rsidRPr="00222B1B">
              <w:rPr>
                <w:rFonts w:eastAsia="Times New Roman"/>
                <w:lang w:val="en-GB"/>
              </w:rPr>
              <w:t>**</w:t>
            </w:r>
          </w:p>
        </w:tc>
        <w:tc>
          <w:tcPr>
            <w:tcW w:w="238" w:type="dxa"/>
          </w:tcPr>
          <w:p w14:paraId="7062BE3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17292A7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25.48**</w:t>
            </w:r>
          </w:p>
        </w:tc>
        <w:tc>
          <w:tcPr>
            <w:tcW w:w="965" w:type="dxa"/>
          </w:tcPr>
          <w:p w14:paraId="214DE35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110.64</w:t>
            </w:r>
            <w:r w:rsidRPr="00222B1B">
              <w:rPr>
                <w:rFonts w:eastAsia="Times New Roman"/>
                <w:lang w:val="en-GB"/>
              </w:rPr>
              <w:t>**</w:t>
            </w:r>
          </w:p>
        </w:tc>
        <w:tc>
          <w:tcPr>
            <w:tcW w:w="965" w:type="dxa"/>
          </w:tcPr>
          <w:p w14:paraId="4416E2C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357.37</w:t>
            </w:r>
            <w:r w:rsidRPr="00222B1B">
              <w:rPr>
                <w:rFonts w:eastAsia="Times New Roman"/>
                <w:lang w:val="en-GB"/>
              </w:rPr>
              <w:t>**</w:t>
            </w:r>
          </w:p>
        </w:tc>
        <w:tc>
          <w:tcPr>
            <w:tcW w:w="965" w:type="dxa"/>
          </w:tcPr>
          <w:p w14:paraId="3D07079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897.39</w:t>
            </w:r>
            <w:r w:rsidRPr="00222B1B">
              <w:rPr>
                <w:rFonts w:eastAsia="Times New Roman"/>
                <w:lang w:val="en-GB"/>
              </w:rPr>
              <w:t>**</w:t>
            </w:r>
          </w:p>
        </w:tc>
      </w:tr>
      <w:tr w:rsidR="00222B1B" w:rsidRPr="00222B1B" w14:paraId="471816F9"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3A30BC02"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MSAI-VECM</w:t>
            </w:r>
          </w:p>
        </w:tc>
        <w:tc>
          <w:tcPr>
            <w:tcW w:w="908" w:type="dxa"/>
          </w:tcPr>
          <w:p w14:paraId="7AA97B7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6.77</w:t>
            </w:r>
            <w:r w:rsidRPr="00222B1B">
              <w:rPr>
                <w:rFonts w:eastAsia="Times New Roman"/>
                <w:lang w:val="en-GB"/>
              </w:rPr>
              <w:t>**</w:t>
            </w:r>
          </w:p>
        </w:tc>
        <w:tc>
          <w:tcPr>
            <w:tcW w:w="908" w:type="dxa"/>
          </w:tcPr>
          <w:p w14:paraId="52F306F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7.33**</w:t>
            </w:r>
          </w:p>
        </w:tc>
        <w:tc>
          <w:tcPr>
            <w:tcW w:w="908" w:type="dxa"/>
          </w:tcPr>
          <w:p w14:paraId="505EC6C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9.74*</w:t>
            </w:r>
          </w:p>
        </w:tc>
        <w:tc>
          <w:tcPr>
            <w:tcW w:w="909" w:type="dxa"/>
          </w:tcPr>
          <w:p w14:paraId="5EFCE86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11.30**</w:t>
            </w:r>
          </w:p>
        </w:tc>
        <w:tc>
          <w:tcPr>
            <w:tcW w:w="238" w:type="dxa"/>
          </w:tcPr>
          <w:p w14:paraId="276DB4E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36C0EB50"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b/>
                <w:bCs/>
                <w:u w:val="thick"/>
                <w:lang w:val="en-GB"/>
              </w:rPr>
              <w:t>25.23</w:t>
            </w:r>
            <w:r w:rsidRPr="00222B1B">
              <w:rPr>
                <w:rFonts w:eastAsia="Times New Roman"/>
                <w:b/>
                <w:bCs/>
                <w:lang w:val="en-GB"/>
              </w:rPr>
              <w:t>**</w:t>
            </w:r>
          </w:p>
        </w:tc>
        <w:tc>
          <w:tcPr>
            <w:tcW w:w="965" w:type="dxa"/>
          </w:tcPr>
          <w:p w14:paraId="2210322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113.26**</w:t>
            </w:r>
          </w:p>
        </w:tc>
        <w:tc>
          <w:tcPr>
            <w:tcW w:w="965" w:type="dxa"/>
          </w:tcPr>
          <w:p w14:paraId="6260F70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410.56**</w:t>
            </w:r>
          </w:p>
        </w:tc>
        <w:tc>
          <w:tcPr>
            <w:tcW w:w="965" w:type="dxa"/>
          </w:tcPr>
          <w:p w14:paraId="3CF2BBB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1 021.85**</w:t>
            </w:r>
          </w:p>
        </w:tc>
      </w:tr>
      <w:tr w:rsidR="00222B1B" w:rsidRPr="00222B1B" w14:paraId="6D87AF57"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023630D8"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MS-VAR</w:t>
            </w:r>
          </w:p>
        </w:tc>
        <w:tc>
          <w:tcPr>
            <w:tcW w:w="908" w:type="dxa"/>
          </w:tcPr>
          <w:p w14:paraId="73FC6E8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7.31*</w:t>
            </w:r>
          </w:p>
        </w:tc>
        <w:tc>
          <w:tcPr>
            <w:tcW w:w="908" w:type="dxa"/>
          </w:tcPr>
          <w:p w14:paraId="3629741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8.66</w:t>
            </w:r>
          </w:p>
        </w:tc>
        <w:tc>
          <w:tcPr>
            <w:tcW w:w="908" w:type="dxa"/>
          </w:tcPr>
          <w:p w14:paraId="6F57333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10.22</w:t>
            </w:r>
          </w:p>
        </w:tc>
        <w:tc>
          <w:tcPr>
            <w:tcW w:w="909" w:type="dxa"/>
          </w:tcPr>
          <w:p w14:paraId="7F54291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11.34**</w:t>
            </w:r>
          </w:p>
        </w:tc>
        <w:tc>
          <w:tcPr>
            <w:tcW w:w="238" w:type="dxa"/>
          </w:tcPr>
          <w:p w14:paraId="5AB9DB2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2718779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31.28</w:t>
            </w:r>
          </w:p>
        </w:tc>
        <w:tc>
          <w:tcPr>
            <w:tcW w:w="965" w:type="dxa"/>
          </w:tcPr>
          <w:p w14:paraId="70B1170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151.34</w:t>
            </w:r>
          </w:p>
        </w:tc>
        <w:tc>
          <w:tcPr>
            <w:tcW w:w="965" w:type="dxa"/>
          </w:tcPr>
          <w:p w14:paraId="54CD375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479.99*</w:t>
            </w:r>
          </w:p>
        </w:tc>
        <w:tc>
          <w:tcPr>
            <w:tcW w:w="965" w:type="dxa"/>
          </w:tcPr>
          <w:p w14:paraId="5FD0EFA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1 092.70**</w:t>
            </w:r>
          </w:p>
        </w:tc>
      </w:tr>
      <w:tr w:rsidR="00222B1B" w:rsidRPr="00222B1B" w14:paraId="613DF2F4"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095E813D"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MS-dVAR</w:t>
            </w:r>
          </w:p>
        </w:tc>
        <w:tc>
          <w:tcPr>
            <w:tcW w:w="908" w:type="dxa"/>
          </w:tcPr>
          <w:p w14:paraId="0990B28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11.41</w:t>
            </w:r>
          </w:p>
        </w:tc>
        <w:tc>
          <w:tcPr>
            <w:tcW w:w="908" w:type="dxa"/>
          </w:tcPr>
          <w:p w14:paraId="0F1E268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14.13</w:t>
            </w:r>
          </w:p>
        </w:tc>
        <w:tc>
          <w:tcPr>
            <w:tcW w:w="908" w:type="dxa"/>
          </w:tcPr>
          <w:p w14:paraId="12B822E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16.94</w:t>
            </w:r>
          </w:p>
        </w:tc>
        <w:tc>
          <w:tcPr>
            <w:tcW w:w="909" w:type="dxa"/>
          </w:tcPr>
          <w:p w14:paraId="3D20551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20.12</w:t>
            </w:r>
          </w:p>
        </w:tc>
        <w:tc>
          <w:tcPr>
            <w:tcW w:w="238" w:type="dxa"/>
          </w:tcPr>
          <w:p w14:paraId="1C6DCE7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3B95928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72.48</w:t>
            </w:r>
          </w:p>
        </w:tc>
        <w:tc>
          <w:tcPr>
            <w:tcW w:w="965" w:type="dxa"/>
          </w:tcPr>
          <w:p w14:paraId="742317D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431.81</w:t>
            </w:r>
          </w:p>
        </w:tc>
        <w:tc>
          <w:tcPr>
            <w:tcW w:w="965" w:type="dxa"/>
          </w:tcPr>
          <w:p w14:paraId="015661E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1 474.82*</w:t>
            </w:r>
          </w:p>
        </w:tc>
        <w:tc>
          <w:tcPr>
            <w:tcW w:w="965" w:type="dxa"/>
          </w:tcPr>
          <w:p w14:paraId="69F7C49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3 710.98*</w:t>
            </w:r>
          </w:p>
        </w:tc>
      </w:tr>
      <w:tr w:rsidR="00222B1B" w:rsidRPr="00222B1B" w14:paraId="10633ACB"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209E69FC"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MS-dAR</w:t>
            </w:r>
          </w:p>
        </w:tc>
        <w:tc>
          <w:tcPr>
            <w:tcW w:w="908" w:type="dxa"/>
          </w:tcPr>
          <w:p w14:paraId="7854BF3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10.45</w:t>
            </w:r>
          </w:p>
        </w:tc>
        <w:tc>
          <w:tcPr>
            <w:tcW w:w="908" w:type="dxa"/>
          </w:tcPr>
          <w:p w14:paraId="6639671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12.28</w:t>
            </w:r>
          </w:p>
        </w:tc>
        <w:tc>
          <w:tcPr>
            <w:tcW w:w="908" w:type="dxa"/>
          </w:tcPr>
          <w:p w14:paraId="4333E432"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14.67</w:t>
            </w:r>
          </w:p>
        </w:tc>
        <w:tc>
          <w:tcPr>
            <w:tcW w:w="909" w:type="dxa"/>
          </w:tcPr>
          <w:p w14:paraId="38C6370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16.16*</w:t>
            </w:r>
          </w:p>
        </w:tc>
        <w:tc>
          <w:tcPr>
            <w:tcW w:w="238" w:type="dxa"/>
          </w:tcPr>
          <w:p w14:paraId="2739810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6417A49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48.93</w:t>
            </w:r>
          </w:p>
        </w:tc>
        <w:tc>
          <w:tcPr>
            <w:tcW w:w="965" w:type="dxa"/>
          </w:tcPr>
          <w:p w14:paraId="7A11ED6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275.14</w:t>
            </w:r>
          </w:p>
        </w:tc>
        <w:tc>
          <w:tcPr>
            <w:tcW w:w="965" w:type="dxa"/>
          </w:tcPr>
          <w:p w14:paraId="1CCE4DC2"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946.06*</w:t>
            </w:r>
          </w:p>
        </w:tc>
        <w:tc>
          <w:tcPr>
            <w:tcW w:w="965" w:type="dxa"/>
          </w:tcPr>
          <w:p w14:paraId="3189D95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2 254.57*</w:t>
            </w:r>
          </w:p>
        </w:tc>
      </w:tr>
      <w:tr w:rsidR="00222B1B" w:rsidRPr="00222B1B" w14:paraId="5CE0E0C4"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49D337F7"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AVG-3 (10%)</w:t>
            </w:r>
          </w:p>
        </w:tc>
        <w:tc>
          <w:tcPr>
            <w:tcW w:w="908" w:type="dxa"/>
          </w:tcPr>
          <w:p w14:paraId="4716DDB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7.05**</w:t>
            </w:r>
          </w:p>
        </w:tc>
        <w:tc>
          <w:tcPr>
            <w:tcW w:w="908" w:type="dxa"/>
          </w:tcPr>
          <w:p w14:paraId="534581C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7.94</w:t>
            </w:r>
          </w:p>
        </w:tc>
        <w:tc>
          <w:tcPr>
            <w:tcW w:w="908" w:type="dxa"/>
          </w:tcPr>
          <w:p w14:paraId="2C90EBF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9.89</w:t>
            </w:r>
          </w:p>
        </w:tc>
        <w:tc>
          <w:tcPr>
            <w:tcW w:w="909" w:type="dxa"/>
          </w:tcPr>
          <w:p w14:paraId="4EB9247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11.41*</w:t>
            </w:r>
          </w:p>
        </w:tc>
        <w:tc>
          <w:tcPr>
            <w:tcW w:w="238" w:type="dxa"/>
          </w:tcPr>
          <w:p w14:paraId="2FB7E85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3D59B4B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28.70</w:t>
            </w:r>
          </w:p>
        </w:tc>
        <w:tc>
          <w:tcPr>
            <w:tcW w:w="965" w:type="dxa"/>
          </w:tcPr>
          <w:p w14:paraId="3576992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128.67</w:t>
            </w:r>
          </w:p>
        </w:tc>
        <w:tc>
          <w:tcPr>
            <w:tcW w:w="965" w:type="dxa"/>
          </w:tcPr>
          <w:p w14:paraId="21DE9B1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437.89*</w:t>
            </w:r>
          </w:p>
        </w:tc>
        <w:tc>
          <w:tcPr>
            <w:tcW w:w="965" w:type="dxa"/>
          </w:tcPr>
          <w:p w14:paraId="73F0184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1 056.34*</w:t>
            </w:r>
          </w:p>
        </w:tc>
      </w:tr>
      <w:tr w:rsidR="00222B1B" w:rsidRPr="00222B1B" w14:paraId="132A3349"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3A1BB238"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AVG-12 (10%)</w:t>
            </w:r>
          </w:p>
        </w:tc>
        <w:tc>
          <w:tcPr>
            <w:tcW w:w="908" w:type="dxa"/>
          </w:tcPr>
          <w:p w14:paraId="5390E13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7.22**</w:t>
            </w:r>
          </w:p>
        </w:tc>
        <w:tc>
          <w:tcPr>
            <w:tcW w:w="908" w:type="dxa"/>
          </w:tcPr>
          <w:p w14:paraId="781CD0C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8.33**</w:t>
            </w:r>
          </w:p>
        </w:tc>
        <w:tc>
          <w:tcPr>
            <w:tcW w:w="908" w:type="dxa"/>
          </w:tcPr>
          <w:p w14:paraId="048214F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10.54*</w:t>
            </w:r>
          </w:p>
        </w:tc>
        <w:tc>
          <w:tcPr>
            <w:tcW w:w="909" w:type="dxa"/>
          </w:tcPr>
          <w:p w14:paraId="0D6A59A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12.54**</w:t>
            </w:r>
          </w:p>
        </w:tc>
        <w:tc>
          <w:tcPr>
            <w:tcW w:w="238" w:type="dxa"/>
          </w:tcPr>
          <w:p w14:paraId="43FE88C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16D11E3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29.07**</w:t>
            </w:r>
          </w:p>
        </w:tc>
        <w:tc>
          <w:tcPr>
            <w:tcW w:w="965" w:type="dxa"/>
          </w:tcPr>
          <w:p w14:paraId="6F811678"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137.66**</w:t>
            </w:r>
          </w:p>
        </w:tc>
        <w:tc>
          <w:tcPr>
            <w:tcW w:w="965" w:type="dxa"/>
          </w:tcPr>
          <w:p w14:paraId="4647E86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479.85**</w:t>
            </w:r>
          </w:p>
        </w:tc>
        <w:tc>
          <w:tcPr>
            <w:tcW w:w="965" w:type="dxa"/>
          </w:tcPr>
          <w:p w14:paraId="4FABF6D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1 198.79**</w:t>
            </w:r>
          </w:p>
        </w:tc>
      </w:tr>
      <w:tr w:rsidR="00222B1B" w:rsidRPr="00222B1B" w14:paraId="3766B172"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54FE376F"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AVG-3 (25%)</w:t>
            </w:r>
          </w:p>
        </w:tc>
        <w:tc>
          <w:tcPr>
            <w:tcW w:w="908" w:type="dxa"/>
          </w:tcPr>
          <w:p w14:paraId="37A174D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7.01**</w:t>
            </w:r>
          </w:p>
        </w:tc>
        <w:tc>
          <w:tcPr>
            <w:tcW w:w="908" w:type="dxa"/>
          </w:tcPr>
          <w:p w14:paraId="480C3BF0"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7.92*</w:t>
            </w:r>
          </w:p>
        </w:tc>
        <w:tc>
          <w:tcPr>
            <w:tcW w:w="908" w:type="dxa"/>
          </w:tcPr>
          <w:p w14:paraId="18644C3E"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9.68*</w:t>
            </w:r>
          </w:p>
        </w:tc>
        <w:tc>
          <w:tcPr>
            <w:tcW w:w="909" w:type="dxa"/>
          </w:tcPr>
          <w:p w14:paraId="5ACDA922"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11.09**</w:t>
            </w:r>
          </w:p>
        </w:tc>
        <w:tc>
          <w:tcPr>
            <w:tcW w:w="238" w:type="dxa"/>
          </w:tcPr>
          <w:p w14:paraId="1EDE698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558404C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28.12</w:t>
            </w:r>
          </w:p>
        </w:tc>
        <w:tc>
          <w:tcPr>
            <w:tcW w:w="965" w:type="dxa"/>
          </w:tcPr>
          <w:p w14:paraId="44B8868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125.95*</w:t>
            </w:r>
          </w:p>
        </w:tc>
        <w:tc>
          <w:tcPr>
            <w:tcW w:w="965" w:type="dxa"/>
          </w:tcPr>
          <w:p w14:paraId="760EF93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423.19**</w:t>
            </w:r>
          </w:p>
        </w:tc>
        <w:tc>
          <w:tcPr>
            <w:tcW w:w="965" w:type="dxa"/>
          </w:tcPr>
          <w:p w14:paraId="377C521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1 019.48**</w:t>
            </w:r>
          </w:p>
        </w:tc>
      </w:tr>
      <w:tr w:rsidR="00222B1B" w:rsidRPr="00222B1B" w14:paraId="2DF06036"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79B241DF"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AVG-12 (25%)</w:t>
            </w:r>
          </w:p>
        </w:tc>
        <w:tc>
          <w:tcPr>
            <w:tcW w:w="908" w:type="dxa"/>
          </w:tcPr>
          <w:p w14:paraId="4695F196"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6.94**</w:t>
            </w:r>
          </w:p>
        </w:tc>
        <w:tc>
          <w:tcPr>
            <w:tcW w:w="908" w:type="dxa"/>
          </w:tcPr>
          <w:p w14:paraId="0161DECA"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7.87**</w:t>
            </w:r>
          </w:p>
        </w:tc>
        <w:tc>
          <w:tcPr>
            <w:tcW w:w="908" w:type="dxa"/>
          </w:tcPr>
          <w:p w14:paraId="22AC8FF3"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9.58*</w:t>
            </w:r>
          </w:p>
        </w:tc>
        <w:tc>
          <w:tcPr>
            <w:tcW w:w="909" w:type="dxa"/>
          </w:tcPr>
          <w:p w14:paraId="511B2954"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11.00**</w:t>
            </w:r>
          </w:p>
        </w:tc>
        <w:tc>
          <w:tcPr>
            <w:tcW w:w="238" w:type="dxa"/>
          </w:tcPr>
          <w:p w14:paraId="1A0D6EDF"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106319A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27.91</w:t>
            </w:r>
          </w:p>
        </w:tc>
        <w:tc>
          <w:tcPr>
            <w:tcW w:w="965" w:type="dxa"/>
          </w:tcPr>
          <w:p w14:paraId="44DC282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124.51*</w:t>
            </w:r>
          </w:p>
        </w:tc>
        <w:tc>
          <w:tcPr>
            <w:tcW w:w="965" w:type="dxa"/>
          </w:tcPr>
          <w:p w14:paraId="4CFD767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416.79**</w:t>
            </w:r>
          </w:p>
        </w:tc>
        <w:tc>
          <w:tcPr>
            <w:tcW w:w="965" w:type="dxa"/>
          </w:tcPr>
          <w:p w14:paraId="32B6E809"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1 005.75**</w:t>
            </w:r>
          </w:p>
        </w:tc>
      </w:tr>
      <w:tr w:rsidR="00222B1B" w:rsidRPr="00222B1B" w14:paraId="2C28F518" w14:textId="77777777" w:rsidTr="003823BA">
        <w:trPr>
          <w:cantSplit/>
        </w:trPr>
        <w:tc>
          <w:tcPr>
            <w:cnfStyle w:val="001000000000" w:firstRow="0" w:lastRow="0" w:firstColumn="1" w:lastColumn="0" w:oddVBand="0" w:evenVBand="0" w:oddHBand="0" w:evenHBand="0" w:firstRowFirstColumn="0" w:firstRowLastColumn="0" w:lastRowFirstColumn="0" w:lastRowLastColumn="0"/>
            <w:tcW w:w="1474" w:type="dxa"/>
          </w:tcPr>
          <w:p w14:paraId="79A7C145" w14:textId="77777777" w:rsidR="00222B1B" w:rsidRPr="00222B1B" w:rsidRDefault="00222B1B" w:rsidP="00222B1B">
            <w:pPr>
              <w:spacing w:before="30" w:after="30" w:line="240" w:lineRule="auto"/>
              <w:rPr>
                <w:rFonts w:eastAsia="Times New Roman"/>
                <w:lang w:val="en-GB"/>
              </w:rPr>
            </w:pPr>
            <w:r w:rsidRPr="00222B1B">
              <w:rPr>
                <w:rFonts w:eastAsia="Times New Roman"/>
                <w:lang w:val="en-GB"/>
              </w:rPr>
              <w:t>MS-COMBO(3)</w:t>
            </w:r>
          </w:p>
        </w:tc>
        <w:tc>
          <w:tcPr>
            <w:tcW w:w="908" w:type="dxa"/>
          </w:tcPr>
          <w:p w14:paraId="33AE631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6.90**</w:t>
            </w:r>
          </w:p>
        </w:tc>
        <w:tc>
          <w:tcPr>
            <w:tcW w:w="908" w:type="dxa"/>
          </w:tcPr>
          <w:p w14:paraId="441D0A81"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7.71**</w:t>
            </w:r>
          </w:p>
        </w:tc>
        <w:tc>
          <w:tcPr>
            <w:tcW w:w="908" w:type="dxa"/>
          </w:tcPr>
          <w:p w14:paraId="2928CED5"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9.31*</w:t>
            </w:r>
          </w:p>
        </w:tc>
        <w:tc>
          <w:tcPr>
            <w:tcW w:w="909" w:type="dxa"/>
          </w:tcPr>
          <w:p w14:paraId="1D937E4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10.67**</w:t>
            </w:r>
          </w:p>
        </w:tc>
        <w:tc>
          <w:tcPr>
            <w:tcW w:w="238" w:type="dxa"/>
          </w:tcPr>
          <w:p w14:paraId="3E60F6F0"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65" w:type="dxa"/>
          </w:tcPr>
          <w:p w14:paraId="28EE1A0C"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26.71**</w:t>
            </w:r>
          </w:p>
        </w:tc>
        <w:tc>
          <w:tcPr>
            <w:tcW w:w="965" w:type="dxa"/>
          </w:tcPr>
          <w:p w14:paraId="516A156D"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120.39**</w:t>
            </w:r>
          </w:p>
        </w:tc>
        <w:tc>
          <w:tcPr>
            <w:tcW w:w="965" w:type="dxa"/>
          </w:tcPr>
          <w:p w14:paraId="6DC4D2FB"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397.85**</w:t>
            </w:r>
          </w:p>
        </w:tc>
        <w:tc>
          <w:tcPr>
            <w:tcW w:w="965" w:type="dxa"/>
          </w:tcPr>
          <w:p w14:paraId="32DEE5F7" w14:textId="77777777" w:rsidR="00222B1B" w:rsidRPr="00222B1B" w:rsidRDefault="00222B1B" w:rsidP="00222B1B">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222B1B">
              <w:rPr>
                <w:rFonts w:eastAsia="Times New Roman"/>
                <w:lang w:val="en-GB"/>
              </w:rPr>
              <w:t>955.36**</w:t>
            </w:r>
          </w:p>
        </w:tc>
      </w:tr>
    </w:tbl>
    <w:p w14:paraId="497C14FC" w14:textId="3AA5EC12" w:rsidR="00947460" w:rsidRPr="00947460" w:rsidRDefault="00947460" w:rsidP="00947460">
      <w:pPr>
        <w:pStyle w:val="Note"/>
      </w:pPr>
      <w:r w:rsidRPr="00947460">
        <w:t xml:space="preserve">Note: The lowest loss for each horizon and loss function is underlined. **, * represent the model’s inclusion in the MCS at 25 per cent </w:t>
      </w:r>
      <w:r w:rsidR="00F211F0">
        <w:t>(</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F211F0">
        <w:t>)</w:t>
      </w:r>
      <w:r w:rsidRPr="00947460">
        <w:t xml:space="preserve"> and 10</w:t>
      </w:r>
      <w:r w:rsidRPr="00947460">
        <w:rPr>
          <w:rFonts w:ascii="Calibri" w:hAnsi="Calibri" w:cs="Calibri"/>
        </w:rPr>
        <w:t> </w:t>
      </w:r>
      <w:r w:rsidRPr="00947460">
        <w:t xml:space="preserve">per cent </w:t>
      </w:r>
      <w:r w:rsidR="00F211F0">
        <w:t>(</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F211F0">
        <w:t>)</w:t>
      </w:r>
      <w:r w:rsidRPr="00947460">
        <w:t xml:space="preserve">levels respectively. </w:t>
      </w:r>
    </w:p>
    <w:p w14:paraId="383DD732" w14:textId="39DE79A0" w:rsidR="00947460" w:rsidRPr="00947460" w:rsidRDefault="00947460" w:rsidP="00947460">
      <w:pPr>
        <w:pStyle w:val="Note"/>
      </w:pPr>
      <w:r w:rsidRPr="00947460">
        <w:t xml:space="preserve">Note 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B20D93" w:rsidRPr="00490668">
        <w:t xml:space="preserve"> </w:t>
      </w:r>
      <w:r w:rsidRPr="00947460">
        <w:rPr>
          <w:rFonts w:ascii="Cambria Math" w:hAnsi="Cambria Math" w:cs="Cambria Math"/>
        </w:rPr>
        <w:t>⊆</w:t>
      </w:r>
      <w:r w:rsidRPr="00947460">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Pr="00947460">
        <w:t>. AVG-</w:t>
      </w:r>
      <w:r w:rsidRPr="00947460">
        <w:rPr>
          <w:i/>
          <w:iCs/>
        </w:rPr>
        <w:t>n</w:t>
      </w:r>
      <w:r w:rsidRPr="00947460">
        <w:t xml:space="preserve"> (10 per cent) and AVG-</w:t>
      </w:r>
      <w:r w:rsidRPr="00947460">
        <w:rPr>
          <w:i/>
          <w:iCs/>
        </w:rPr>
        <w:t>n</w:t>
      </w:r>
      <w:r w:rsidRPr="00947460">
        <w:t xml:space="preserve"> (25 per cent) models refer to model averages for the n</w:t>
      </w:r>
      <w:r w:rsidR="00B20D93">
        <w:noBreakHyphen/>
      </w:r>
      <w:r w:rsidRPr="00947460">
        <w:t xml:space="preserve">horizon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B20D93" w:rsidRPr="00490668">
        <w:t xml:space="preserve"> </w:t>
      </w:r>
      <w:r w:rsidRPr="00947460">
        <w:t xml:space="preserve"> and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Pr="00947460">
        <w:t xml:space="preserve"> determined during the training sample (7/2011-6/2017), respectively. MS-Combo is a simple average of the best performing Markov switching models. MSAI</w:t>
      </w:r>
      <w:r w:rsidRPr="00947460">
        <w:noBreakHyphen/>
        <w:t>VECM has state invariant autoregressive terms; all other parameters are state dependent.</w:t>
      </w:r>
    </w:p>
    <w:p w14:paraId="05FF4D3E" w14:textId="77777777" w:rsidR="00AB7808" w:rsidRPr="00AB7808" w:rsidRDefault="00AB7808" w:rsidP="00E848DB">
      <w:pPr>
        <w:pStyle w:val="Caption"/>
        <w:pageBreakBefore/>
        <w:rPr>
          <w:lang w:val="en-GB"/>
        </w:rPr>
      </w:pPr>
      <w:r w:rsidRPr="00AB7808">
        <w:rPr>
          <w:lang w:val="en-GB"/>
        </w:rPr>
        <w:lastRenderedPageBreak/>
        <w:t>Table 10: CV(3) Models: COVID-19 forecast evaluation (3/2020-8/2021)</w:t>
      </w:r>
    </w:p>
    <w:tbl>
      <w:tblPr>
        <w:tblStyle w:val="Financialtable"/>
        <w:tblW w:w="9380" w:type="dxa"/>
        <w:tblLayout w:type="fixed"/>
        <w:tblLook w:val="06A0" w:firstRow="1" w:lastRow="0" w:firstColumn="1" w:lastColumn="0" w:noHBand="1" w:noVBand="1"/>
      </w:tblPr>
      <w:tblGrid>
        <w:gridCol w:w="1440"/>
        <w:gridCol w:w="924"/>
        <w:gridCol w:w="925"/>
        <w:gridCol w:w="925"/>
        <w:gridCol w:w="925"/>
        <w:gridCol w:w="354"/>
        <w:gridCol w:w="972"/>
        <w:gridCol w:w="972"/>
        <w:gridCol w:w="972"/>
        <w:gridCol w:w="971"/>
      </w:tblGrid>
      <w:tr w:rsidR="00445DF7" w:rsidRPr="003823BA" w14:paraId="3754F0E5" w14:textId="77777777" w:rsidTr="004835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440" w:type="dxa"/>
          </w:tcPr>
          <w:p w14:paraId="1E0D796A" w14:textId="77777777" w:rsidR="00445DF7" w:rsidRPr="003823BA" w:rsidRDefault="00445DF7" w:rsidP="00445DF7">
            <w:pPr>
              <w:spacing w:before="30" w:after="30" w:line="240" w:lineRule="auto"/>
              <w:rPr>
                <w:rFonts w:eastAsia="Times New Roman"/>
                <w:lang w:val="en-GB"/>
              </w:rPr>
            </w:pPr>
          </w:p>
        </w:tc>
        <w:tc>
          <w:tcPr>
            <w:tcW w:w="3699" w:type="dxa"/>
            <w:gridSpan w:val="4"/>
          </w:tcPr>
          <w:p w14:paraId="756AC59E" w14:textId="637F2E9E" w:rsidR="00445DF7" w:rsidRPr="003823BA" w:rsidRDefault="00445DF7" w:rsidP="00445DF7">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n-GB"/>
              </w:rPr>
            </w:pPr>
            <w:r>
              <w:t>MSE (%)</w:t>
            </w:r>
          </w:p>
        </w:tc>
        <w:tc>
          <w:tcPr>
            <w:tcW w:w="354" w:type="dxa"/>
          </w:tcPr>
          <w:p w14:paraId="1C2C2B6C" w14:textId="77777777" w:rsidR="00445DF7" w:rsidRPr="003823BA" w:rsidRDefault="00445DF7" w:rsidP="00445DF7">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p>
        </w:tc>
        <w:tc>
          <w:tcPr>
            <w:tcW w:w="3887" w:type="dxa"/>
            <w:gridSpan w:val="4"/>
          </w:tcPr>
          <w:p w14:paraId="6058522A" w14:textId="212C57C4" w:rsidR="00445DF7" w:rsidRPr="003823BA" w:rsidRDefault="00445DF7" w:rsidP="00445DF7">
            <w:pPr>
              <w:spacing w:before="30" w:after="3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val="en-GB"/>
              </w:rPr>
            </w:pPr>
            <w:r>
              <w:rPr>
                <w:w w:val="105"/>
                <w:sz w:val="19"/>
                <w:szCs w:val="19"/>
              </w:rPr>
              <w:t xml:space="preserve">MSE </w:t>
            </w:r>
            <w:r>
              <w:rPr>
                <w:w w:val="110"/>
                <w:sz w:val="19"/>
                <w:szCs w:val="19"/>
              </w:rPr>
              <w:t>(</w:t>
            </w:r>
            <w:r>
              <w:rPr>
                <w:rFonts w:cs="Times New Roman"/>
                <w:w w:val="110"/>
                <w:sz w:val="19"/>
                <w:szCs w:val="19"/>
                <w:rtl/>
                <w:lang w:bidi="ar-YE"/>
              </w:rPr>
              <w:t>×</w:t>
            </w:r>
            <w:r>
              <w:rPr>
                <w:w w:val="110"/>
                <w:sz w:val="19"/>
                <w:szCs w:val="19"/>
              </w:rPr>
              <w:t>10</w:t>
            </w:r>
            <w:r>
              <w:rPr>
                <w:w w:val="110"/>
                <w:sz w:val="19"/>
                <w:szCs w:val="19"/>
                <w:vertAlign w:val="superscript"/>
              </w:rPr>
              <w:t>−16</w:t>
            </w:r>
            <w:r>
              <w:rPr>
                <w:w w:val="110"/>
                <w:sz w:val="19"/>
                <w:szCs w:val="19"/>
              </w:rPr>
              <w:t>)</w:t>
            </w:r>
          </w:p>
        </w:tc>
      </w:tr>
      <w:tr w:rsidR="00445DF7" w:rsidRPr="003823BA" w14:paraId="572BEBDA" w14:textId="77777777" w:rsidTr="004835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440" w:type="dxa"/>
          </w:tcPr>
          <w:p w14:paraId="2E97CAAB" w14:textId="7E93DAD9" w:rsidR="00445DF7" w:rsidRPr="003823BA" w:rsidRDefault="00445DF7" w:rsidP="00445DF7">
            <w:pPr>
              <w:spacing w:before="30" w:after="30" w:line="240" w:lineRule="auto"/>
              <w:rPr>
                <w:rFonts w:eastAsia="Times New Roman"/>
                <w:lang w:val="en-GB"/>
              </w:rPr>
            </w:pPr>
            <w:r>
              <w:t>HORIZON</w:t>
            </w:r>
          </w:p>
        </w:tc>
        <w:tc>
          <w:tcPr>
            <w:tcW w:w="924" w:type="dxa"/>
          </w:tcPr>
          <w:p w14:paraId="1046CA5B" w14:textId="76F384DE"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3</w:t>
            </w:r>
          </w:p>
        </w:tc>
        <w:tc>
          <w:tcPr>
            <w:tcW w:w="925" w:type="dxa"/>
          </w:tcPr>
          <w:p w14:paraId="06CDBC6F" w14:textId="773D1E40"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6</w:t>
            </w:r>
          </w:p>
        </w:tc>
        <w:tc>
          <w:tcPr>
            <w:tcW w:w="925" w:type="dxa"/>
          </w:tcPr>
          <w:p w14:paraId="1DC2AAB8" w14:textId="7EBE62C6"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9</w:t>
            </w:r>
          </w:p>
        </w:tc>
        <w:tc>
          <w:tcPr>
            <w:tcW w:w="925" w:type="dxa"/>
          </w:tcPr>
          <w:p w14:paraId="501C17C1" w14:textId="68E04AED"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12</w:t>
            </w:r>
          </w:p>
        </w:tc>
        <w:tc>
          <w:tcPr>
            <w:tcW w:w="354" w:type="dxa"/>
          </w:tcPr>
          <w:p w14:paraId="60C828D1" w14:textId="77777777"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rPr>
            </w:pPr>
          </w:p>
        </w:tc>
        <w:tc>
          <w:tcPr>
            <w:tcW w:w="972" w:type="dxa"/>
          </w:tcPr>
          <w:p w14:paraId="79D2D4BB" w14:textId="7FA74FD1"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3</w:t>
            </w:r>
          </w:p>
        </w:tc>
        <w:tc>
          <w:tcPr>
            <w:tcW w:w="972" w:type="dxa"/>
          </w:tcPr>
          <w:p w14:paraId="2837FEF9" w14:textId="50AE1071"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6</w:t>
            </w:r>
          </w:p>
        </w:tc>
        <w:tc>
          <w:tcPr>
            <w:tcW w:w="972" w:type="dxa"/>
          </w:tcPr>
          <w:p w14:paraId="073D65CF" w14:textId="40B9A148"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9</w:t>
            </w:r>
          </w:p>
        </w:tc>
        <w:tc>
          <w:tcPr>
            <w:tcW w:w="971" w:type="dxa"/>
          </w:tcPr>
          <w:p w14:paraId="59777763" w14:textId="2C6D2604" w:rsidR="00445DF7" w:rsidRPr="003823BA" w:rsidRDefault="00445DF7" w:rsidP="00445DF7">
            <w:pPr>
              <w:spacing w:before="30" w:after="30" w:line="240" w:lineRule="auto"/>
              <w:cnfStyle w:val="100000000000" w:firstRow="1" w:lastRow="0" w:firstColumn="0" w:lastColumn="0" w:oddVBand="0" w:evenVBand="0" w:oddHBand="0" w:evenHBand="0" w:firstRowFirstColumn="0" w:firstRowLastColumn="0" w:lastRowFirstColumn="0" w:lastRowLastColumn="0"/>
              <w:rPr>
                <w:rFonts w:eastAsia="Times New Roman"/>
                <w:lang w:val="en-GB"/>
              </w:rPr>
            </w:pPr>
            <w:r>
              <w:t>12</w:t>
            </w:r>
          </w:p>
        </w:tc>
      </w:tr>
      <w:tr w:rsidR="003823BA" w:rsidRPr="003823BA" w14:paraId="702617C5"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0C56E551"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VECM</w:t>
            </w:r>
          </w:p>
        </w:tc>
        <w:tc>
          <w:tcPr>
            <w:tcW w:w="924" w:type="dxa"/>
          </w:tcPr>
          <w:p w14:paraId="7CA8180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9.08**</w:t>
            </w:r>
          </w:p>
        </w:tc>
        <w:tc>
          <w:tcPr>
            <w:tcW w:w="925" w:type="dxa"/>
          </w:tcPr>
          <w:p w14:paraId="57ADFEC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12.51**</w:t>
            </w:r>
          </w:p>
        </w:tc>
        <w:tc>
          <w:tcPr>
            <w:tcW w:w="925" w:type="dxa"/>
          </w:tcPr>
          <w:p w14:paraId="49143AD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16.85</w:t>
            </w:r>
          </w:p>
        </w:tc>
        <w:tc>
          <w:tcPr>
            <w:tcW w:w="925" w:type="dxa"/>
          </w:tcPr>
          <w:p w14:paraId="2821169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17.44</w:t>
            </w:r>
          </w:p>
        </w:tc>
        <w:tc>
          <w:tcPr>
            <w:tcW w:w="354" w:type="dxa"/>
          </w:tcPr>
          <w:p w14:paraId="186BFD8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1E96AF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28.29**</w:t>
            </w:r>
          </w:p>
        </w:tc>
        <w:tc>
          <w:tcPr>
            <w:tcW w:w="972" w:type="dxa"/>
          </w:tcPr>
          <w:p w14:paraId="72B8B66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204.62*</w:t>
            </w:r>
          </w:p>
        </w:tc>
        <w:tc>
          <w:tcPr>
            <w:tcW w:w="972" w:type="dxa"/>
          </w:tcPr>
          <w:p w14:paraId="333999B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801.52*</w:t>
            </w:r>
          </w:p>
        </w:tc>
        <w:tc>
          <w:tcPr>
            <w:tcW w:w="971" w:type="dxa"/>
          </w:tcPr>
          <w:p w14:paraId="43CB7A7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1 449.29</w:t>
            </w:r>
          </w:p>
        </w:tc>
      </w:tr>
      <w:tr w:rsidR="003823BA" w:rsidRPr="003823BA" w14:paraId="1F0B8C56"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006ADA08"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VAR</w:t>
            </w:r>
          </w:p>
        </w:tc>
        <w:tc>
          <w:tcPr>
            <w:tcW w:w="924" w:type="dxa"/>
          </w:tcPr>
          <w:p w14:paraId="1E3B02F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8.95**</w:t>
            </w:r>
          </w:p>
        </w:tc>
        <w:tc>
          <w:tcPr>
            <w:tcW w:w="925" w:type="dxa"/>
          </w:tcPr>
          <w:p w14:paraId="58ED1E4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11.43</w:t>
            </w:r>
            <w:r w:rsidRPr="003823BA">
              <w:rPr>
                <w:rFonts w:eastAsia="Times New Roman"/>
                <w:lang w:val="en-GB"/>
              </w:rPr>
              <w:t>**</w:t>
            </w:r>
          </w:p>
        </w:tc>
        <w:tc>
          <w:tcPr>
            <w:tcW w:w="925" w:type="dxa"/>
          </w:tcPr>
          <w:p w14:paraId="1BAECA9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16.23*</w:t>
            </w:r>
          </w:p>
        </w:tc>
        <w:tc>
          <w:tcPr>
            <w:tcW w:w="925" w:type="dxa"/>
          </w:tcPr>
          <w:p w14:paraId="1B9EE7B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17.20</w:t>
            </w:r>
          </w:p>
        </w:tc>
        <w:tc>
          <w:tcPr>
            <w:tcW w:w="354" w:type="dxa"/>
          </w:tcPr>
          <w:p w14:paraId="3A2BF75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43BC0C8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28.75**</w:t>
            </w:r>
          </w:p>
        </w:tc>
        <w:tc>
          <w:tcPr>
            <w:tcW w:w="972" w:type="dxa"/>
          </w:tcPr>
          <w:p w14:paraId="203AA8E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172.07</w:t>
            </w:r>
            <w:r w:rsidRPr="003823BA">
              <w:rPr>
                <w:rFonts w:eastAsia="Times New Roman"/>
                <w:lang w:val="en-GB"/>
              </w:rPr>
              <w:t>**</w:t>
            </w:r>
          </w:p>
        </w:tc>
        <w:tc>
          <w:tcPr>
            <w:tcW w:w="972" w:type="dxa"/>
          </w:tcPr>
          <w:p w14:paraId="056DC54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720.48**</w:t>
            </w:r>
          </w:p>
        </w:tc>
        <w:tc>
          <w:tcPr>
            <w:tcW w:w="971" w:type="dxa"/>
          </w:tcPr>
          <w:p w14:paraId="5F35690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1 402.11*</w:t>
            </w:r>
          </w:p>
        </w:tc>
      </w:tr>
      <w:tr w:rsidR="003823BA" w:rsidRPr="003823BA" w14:paraId="60DF8988"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191381B5"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dVAR</w:t>
            </w:r>
          </w:p>
        </w:tc>
        <w:tc>
          <w:tcPr>
            <w:tcW w:w="924" w:type="dxa"/>
          </w:tcPr>
          <w:p w14:paraId="1C63B4A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10.00</w:t>
            </w:r>
          </w:p>
        </w:tc>
        <w:tc>
          <w:tcPr>
            <w:tcW w:w="925" w:type="dxa"/>
          </w:tcPr>
          <w:p w14:paraId="3816317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12.91**</w:t>
            </w:r>
          </w:p>
        </w:tc>
        <w:tc>
          <w:tcPr>
            <w:tcW w:w="925" w:type="dxa"/>
          </w:tcPr>
          <w:p w14:paraId="4674E1B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18.08**</w:t>
            </w:r>
          </w:p>
        </w:tc>
        <w:tc>
          <w:tcPr>
            <w:tcW w:w="925" w:type="dxa"/>
          </w:tcPr>
          <w:p w14:paraId="0D0540B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20.18</w:t>
            </w:r>
          </w:p>
        </w:tc>
        <w:tc>
          <w:tcPr>
            <w:tcW w:w="354" w:type="dxa"/>
          </w:tcPr>
          <w:p w14:paraId="1D908EA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4DBCDB1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36.57</w:t>
            </w:r>
          </w:p>
        </w:tc>
        <w:tc>
          <w:tcPr>
            <w:tcW w:w="972" w:type="dxa"/>
          </w:tcPr>
          <w:p w14:paraId="612E771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230.42**</w:t>
            </w:r>
          </w:p>
        </w:tc>
        <w:tc>
          <w:tcPr>
            <w:tcW w:w="972" w:type="dxa"/>
          </w:tcPr>
          <w:p w14:paraId="4E9CB1B5"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893.18**</w:t>
            </w:r>
          </w:p>
        </w:tc>
        <w:tc>
          <w:tcPr>
            <w:tcW w:w="971" w:type="dxa"/>
          </w:tcPr>
          <w:p w14:paraId="6C5A579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1 785.46</w:t>
            </w:r>
          </w:p>
        </w:tc>
      </w:tr>
      <w:tr w:rsidR="003823BA" w:rsidRPr="003823BA" w14:paraId="1800F995"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7AAC1778"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dAR</w:t>
            </w:r>
          </w:p>
        </w:tc>
        <w:tc>
          <w:tcPr>
            <w:tcW w:w="924" w:type="dxa"/>
          </w:tcPr>
          <w:p w14:paraId="370D5A7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14.15</w:t>
            </w:r>
          </w:p>
        </w:tc>
        <w:tc>
          <w:tcPr>
            <w:tcW w:w="925" w:type="dxa"/>
          </w:tcPr>
          <w:p w14:paraId="16547B7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17.41</w:t>
            </w:r>
          </w:p>
        </w:tc>
        <w:tc>
          <w:tcPr>
            <w:tcW w:w="925" w:type="dxa"/>
          </w:tcPr>
          <w:p w14:paraId="421093B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16.35**</w:t>
            </w:r>
          </w:p>
        </w:tc>
        <w:tc>
          <w:tcPr>
            <w:tcW w:w="925" w:type="dxa"/>
          </w:tcPr>
          <w:p w14:paraId="10FEA78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13.43**</w:t>
            </w:r>
          </w:p>
        </w:tc>
        <w:tc>
          <w:tcPr>
            <w:tcW w:w="354" w:type="dxa"/>
          </w:tcPr>
          <w:p w14:paraId="146D785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46ADEE4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70.52*</w:t>
            </w:r>
          </w:p>
        </w:tc>
        <w:tc>
          <w:tcPr>
            <w:tcW w:w="972" w:type="dxa"/>
          </w:tcPr>
          <w:p w14:paraId="199B09BD"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415.28</w:t>
            </w:r>
          </w:p>
        </w:tc>
        <w:tc>
          <w:tcPr>
            <w:tcW w:w="972" w:type="dxa"/>
          </w:tcPr>
          <w:p w14:paraId="6BD1595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882.49*</w:t>
            </w:r>
          </w:p>
        </w:tc>
        <w:tc>
          <w:tcPr>
            <w:tcW w:w="971" w:type="dxa"/>
          </w:tcPr>
          <w:p w14:paraId="595E76D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1 092.13**</w:t>
            </w:r>
          </w:p>
        </w:tc>
      </w:tr>
      <w:tr w:rsidR="003823BA" w:rsidRPr="003823BA" w14:paraId="1A70D1F3"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787391CE"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MS-VECM</w:t>
            </w:r>
          </w:p>
        </w:tc>
        <w:tc>
          <w:tcPr>
            <w:tcW w:w="924" w:type="dxa"/>
          </w:tcPr>
          <w:p w14:paraId="04AD936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8.54**</w:t>
            </w:r>
          </w:p>
        </w:tc>
        <w:tc>
          <w:tcPr>
            <w:tcW w:w="925" w:type="dxa"/>
          </w:tcPr>
          <w:p w14:paraId="11FBE0B5"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11.47**</w:t>
            </w:r>
          </w:p>
        </w:tc>
        <w:tc>
          <w:tcPr>
            <w:tcW w:w="925" w:type="dxa"/>
          </w:tcPr>
          <w:p w14:paraId="06E84BE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15.72**</w:t>
            </w:r>
          </w:p>
        </w:tc>
        <w:tc>
          <w:tcPr>
            <w:tcW w:w="925" w:type="dxa"/>
          </w:tcPr>
          <w:p w14:paraId="18B3E58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16.60</w:t>
            </w:r>
          </w:p>
        </w:tc>
        <w:tc>
          <w:tcPr>
            <w:tcW w:w="354" w:type="dxa"/>
          </w:tcPr>
          <w:p w14:paraId="487A6B3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1B70667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29.66*</w:t>
            </w:r>
          </w:p>
        </w:tc>
        <w:tc>
          <w:tcPr>
            <w:tcW w:w="972" w:type="dxa"/>
          </w:tcPr>
          <w:p w14:paraId="4217A74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210.01**</w:t>
            </w:r>
          </w:p>
        </w:tc>
        <w:tc>
          <w:tcPr>
            <w:tcW w:w="972" w:type="dxa"/>
          </w:tcPr>
          <w:p w14:paraId="2078B2D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774.71**</w:t>
            </w:r>
          </w:p>
        </w:tc>
        <w:tc>
          <w:tcPr>
            <w:tcW w:w="971" w:type="dxa"/>
          </w:tcPr>
          <w:p w14:paraId="5171EBD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1 245.81**</w:t>
            </w:r>
          </w:p>
        </w:tc>
      </w:tr>
      <w:tr w:rsidR="003823BA" w:rsidRPr="003823BA" w14:paraId="6E3D56E1"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75331803"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MSAI-VECM</w:t>
            </w:r>
          </w:p>
        </w:tc>
        <w:tc>
          <w:tcPr>
            <w:tcW w:w="924" w:type="dxa"/>
          </w:tcPr>
          <w:p w14:paraId="442D28E5"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8.06**</w:t>
            </w:r>
          </w:p>
        </w:tc>
        <w:tc>
          <w:tcPr>
            <w:tcW w:w="925" w:type="dxa"/>
          </w:tcPr>
          <w:p w14:paraId="1386B22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11.84**</w:t>
            </w:r>
          </w:p>
        </w:tc>
        <w:tc>
          <w:tcPr>
            <w:tcW w:w="925" w:type="dxa"/>
          </w:tcPr>
          <w:p w14:paraId="316C8D2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16.83</w:t>
            </w:r>
          </w:p>
        </w:tc>
        <w:tc>
          <w:tcPr>
            <w:tcW w:w="925" w:type="dxa"/>
          </w:tcPr>
          <w:p w14:paraId="2C6F0F7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17.76</w:t>
            </w:r>
          </w:p>
        </w:tc>
        <w:tc>
          <w:tcPr>
            <w:tcW w:w="354" w:type="dxa"/>
          </w:tcPr>
          <w:p w14:paraId="3BB1385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18CA97C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25.65</w:t>
            </w:r>
            <w:r w:rsidRPr="003823BA">
              <w:rPr>
                <w:rFonts w:eastAsia="Times New Roman"/>
                <w:lang w:val="en-GB"/>
              </w:rPr>
              <w:t>**</w:t>
            </w:r>
          </w:p>
        </w:tc>
        <w:tc>
          <w:tcPr>
            <w:tcW w:w="972" w:type="dxa"/>
          </w:tcPr>
          <w:p w14:paraId="2F2E708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191.87**</w:t>
            </w:r>
          </w:p>
        </w:tc>
        <w:tc>
          <w:tcPr>
            <w:tcW w:w="972" w:type="dxa"/>
          </w:tcPr>
          <w:p w14:paraId="23A0022D"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786.51</w:t>
            </w:r>
          </w:p>
        </w:tc>
        <w:tc>
          <w:tcPr>
            <w:tcW w:w="971" w:type="dxa"/>
          </w:tcPr>
          <w:p w14:paraId="4C8039FC"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1 460.60</w:t>
            </w:r>
          </w:p>
        </w:tc>
      </w:tr>
      <w:tr w:rsidR="003823BA" w:rsidRPr="003823BA" w14:paraId="6CCA8CA5"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423AE9E1"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MS-VAR</w:t>
            </w:r>
          </w:p>
        </w:tc>
        <w:tc>
          <w:tcPr>
            <w:tcW w:w="924" w:type="dxa"/>
          </w:tcPr>
          <w:p w14:paraId="692B253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8.40**</w:t>
            </w:r>
          </w:p>
        </w:tc>
        <w:tc>
          <w:tcPr>
            <w:tcW w:w="925" w:type="dxa"/>
          </w:tcPr>
          <w:p w14:paraId="373EBB7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11.98**</w:t>
            </w:r>
          </w:p>
        </w:tc>
        <w:tc>
          <w:tcPr>
            <w:tcW w:w="925" w:type="dxa"/>
          </w:tcPr>
          <w:p w14:paraId="7CA9B47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15.59</w:t>
            </w:r>
          </w:p>
        </w:tc>
        <w:tc>
          <w:tcPr>
            <w:tcW w:w="925" w:type="dxa"/>
          </w:tcPr>
          <w:p w14:paraId="157C3D7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16.84</w:t>
            </w:r>
          </w:p>
        </w:tc>
        <w:tc>
          <w:tcPr>
            <w:tcW w:w="354" w:type="dxa"/>
          </w:tcPr>
          <w:p w14:paraId="5A4E3BE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65D89B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30.21**</w:t>
            </w:r>
          </w:p>
        </w:tc>
        <w:tc>
          <w:tcPr>
            <w:tcW w:w="972" w:type="dxa"/>
          </w:tcPr>
          <w:p w14:paraId="4D7978DD"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198.43**</w:t>
            </w:r>
          </w:p>
        </w:tc>
        <w:tc>
          <w:tcPr>
            <w:tcW w:w="972" w:type="dxa"/>
          </w:tcPr>
          <w:p w14:paraId="481E9D6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710.62**</w:t>
            </w:r>
          </w:p>
        </w:tc>
        <w:tc>
          <w:tcPr>
            <w:tcW w:w="971" w:type="dxa"/>
          </w:tcPr>
          <w:p w14:paraId="5988B66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1 308.68</w:t>
            </w:r>
          </w:p>
        </w:tc>
      </w:tr>
      <w:tr w:rsidR="003823BA" w:rsidRPr="003823BA" w14:paraId="6EF8B9E6"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3182801E"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MS-dVAR</w:t>
            </w:r>
          </w:p>
        </w:tc>
        <w:tc>
          <w:tcPr>
            <w:tcW w:w="924" w:type="dxa"/>
          </w:tcPr>
          <w:p w14:paraId="7679C135"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11.71**</w:t>
            </w:r>
          </w:p>
        </w:tc>
        <w:tc>
          <w:tcPr>
            <w:tcW w:w="925" w:type="dxa"/>
          </w:tcPr>
          <w:p w14:paraId="37F604F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12.49**</w:t>
            </w:r>
          </w:p>
        </w:tc>
        <w:tc>
          <w:tcPr>
            <w:tcW w:w="925" w:type="dxa"/>
          </w:tcPr>
          <w:p w14:paraId="7428609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13.60</w:t>
            </w:r>
            <w:r w:rsidRPr="003823BA">
              <w:rPr>
                <w:rFonts w:eastAsia="Times New Roman"/>
                <w:lang w:val="en-GB"/>
              </w:rPr>
              <w:t>**</w:t>
            </w:r>
          </w:p>
        </w:tc>
        <w:tc>
          <w:tcPr>
            <w:tcW w:w="925" w:type="dxa"/>
          </w:tcPr>
          <w:p w14:paraId="4C0EBF9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12.89</w:t>
            </w:r>
            <w:r w:rsidRPr="003823BA">
              <w:rPr>
                <w:rFonts w:eastAsia="Times New Roman"/>
                <w:lang w:val="en-GB"/>
              </w:rPr>
              <w:t>**</w:t>
            </w:r>
          </w:p>
        </w:tc>
        <w:tc>
          <w:tcPr>
            <w:tcW w:w="354" w:type="dxa"/>
          </w:tcPr>
          <w:p w14:paraId="6CDA224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762171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58.53**</w:t>
            </w:r>
          </w:p>
        </w:tc>
        <w:tc>
          <w:tcPr>
            <w:tcW w:w="972" w:type="dxa"/>
          </w:tcPr>
          <w:p w14:paraId="591CE62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294.13**</w:t>
            </w:r>
          </w:p>
        </w:tc>
        <w:tc>
          <w:tcPr>
            <w:tcW w:w="972" w:type="dxa"/>
          </w:tcPr>
          <w:p w14:paraId="44B58E3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693.7**</w:t>
            </w:r>
          </w:p>
        </w:tc>
        <w:tc>
          <w:tcPr>
            <w:tcW w:w="971" w:type="dxa"/>
          </w:tcPr>
          <w:p w14:paraId="041D314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840.92</w:t>
            </w:r>
            <w:r w:rsidRPr="003823BA">
              <w:rPr>
                <w:rFonts w:eastAsia="Times New Roman"/>
                <w:lang w:val="en-GB"/>
              </w:rPr>
              <w:t>**</w:t>
            </w:r>
          </w:p>
        </w:tc>
      </w:tr>
      <w:tr w:rsidR="003823BA" w:rsidRPr="003823BA" w14:paraId="38014362"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57009A79"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MS-dAR</w:t>
            </w:r>
          </w:p>
        </w:tc>
        <w:tc>
          <w:tcPr>
            <w:tcW w:w="924" w:type="dxa"/>
          </w:tcPr>
          <w:p w14:paraId="4D32FFC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14.21</w:t>
            </w:r>
          </w:p>
        </w:tc>
        <w:tc>
          <w:tcPr>
            <w:tcW w:w="925" w:type="dxa"/>
          </w:tcPr>
          <w:p w14:paraId="388B5DB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17.46</w:t>
            </w:r>
          </w:p>
        </w:tc>
        <w:tc>
          <w:tcPr>
            <w:tcW w:w="925" w:type="dxa"/>
          </w:tcPr>
          <w:p w14:paraId="559823C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16.70**</w:t>
            </w:r>
          </w:p>
        </w:tc>
        <w:tc>
          <w:tcPr>
            <w:tcW w:w="925" w:type="dxa"/>
          </w:tcPr>
          <w:p w14:paraId="48A2714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14.02**</w:t>
            </w:r>
          </w:p>
        </w:tc>
        <w:tc>
          <w:tcPr>
            <w:tcW w:w="354" w:type="dxa"/>
          </w:tcPr>
          <w:p w14:paraId="1ADF6EC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8AAA46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68.66</w:t>
            </w:r>
          </w:p>
        </w:tc>
        <w:tc>
          <w:tcPr>
            <w:tcW w:w="972" w:type="dxa"/>
          </w:tcPr>
          <w:p w14:paraId="1572263D"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416.94</w:t>
            </w:r>
          </w:p>
        </w:tc>
        <w:tc>
          <w:tcPr>
            <w:tcW w:w="972" w:type="dxa"/>
          </w:tcPr>
          <w:p w14:paraId="5731C0A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901.20*</w:t>
            </w:r>
          </w:p>
        </w:tc>
        <w:tc>
          <w:tcPr>
            <w:tcW w:w="971" w:type="dxa"/>
          </w:tcPr>
          <w:p w14:paraId="2AB9E13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1 141.71**</w:t>
            </w:r>
          </w:p>
        </w:tc>
      </w:tr>
      <w:tr w:rsidR="003823BA" w:rsidRPr="003823BA" w14:paraId="60AB3591"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2382E8FC"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AVG-3 (10%)</w:t>
            </w:r>
          </w:p>
        </w:tc>
        <w:tc>
          <w:tcPr>
            <w:tcW w:w="924" w:type="dxa"/>
          </w:tcPr>
          <w:p w14:paraId="7030D1F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8.47</w:t>
            </w:r>
          </w:p>
        </w:tc>
        <w:tc>
          <w:tcPr>
            <w:tcW w:w="925" w:type="dxa"/>
          </w:tcPr>
          <w:p w14:paraId="1BF45A2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11.95</w:t>
            </w:r>
          </w:p>
        </w:tc>
        <w:tc>
          <w:tcPr>
            <w:tcW w:w="925" w:type="dxa"/>
          </w:tcPr>
          <w:p w14:paraId="08329D0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16.56</w:t>
            </w:r>
          </w:p>
        </w:tc>
        <w:tc>
          <w:tcPr>
            <w:tcW w:w="925" w:type="dxa"/>
          </w:tcPr>
          <w:p w14:paraId="18BDC9E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17.43</w:t>
            </w:r>
          </w:p>
        </w:tc>
        <w:tc>
          <w:tcPr>
            <w:tcW w:w="354" w:type="dxa"/>
          </w:tcPr>
          <w:p w14:paraId="43F6EED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7335A51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28.57</w:t>
            </w:r>
          </w:p>
        </w:tc>
        <w:tc>
          <w:tcPr>
            <w:tcW w:w="972" w:type="dxa"/>
          </w:tcPr>
          <w:p w14:paraId="6C0B4E4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197.27</w:t>
            </w:r>
          </w:p>
        </w:tc>
        <w:tc>
          <w:tcPr>
            <w:tcW w:w="972" w:type="dxa"/>
          </w:tcPr>
          <w:p w14:paraId="08C6DB6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766.83</w:t>
            </w:r>
          </w:p>
        </w:tc>
        <w:tc>
          <w:tcPr>
            <w:tcW w:w="971" w:type="dxa"/>
          </w:tcPr>
          <w:p w14:paraId="4FDCB22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1 404.26</w:t>
            </w:r>
          </w:p>
        </w:tc>
      </w:tr>
      <w:tr w:rsidR="003823BA" w:rsidRPr="003823BA" w14:paraId="6DDB5F1B"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2332ECBF"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AVG-12 (10%)</w:t>
            </w:r>
          </w:p>
        </w:tc>
        <w:tc>
          <w:tcPr>
            <w:tcW w:w="924" w:type="dxa"/>
          </w:tcPr>
          <w:p w14:paraId="73B1128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9.46**</w:t>
            </w:r>
          </w:p>
        </w:tc>
        <w:tc>
          <w:tcPr>
            <w:tcW w:w="925" w:type="dxa"/>
          </w:tcPr>
          <w:p w14:paraId="6B20DF9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12.24**</w:t>
            </w:r>
          </w:p>
        </w:tc>
        <w:tc>
          <w:tcPr>
            <w:tcW w:w="925" w:type="dxa"/>
          </w:tcPr>
          <w:p w14:paraId="672FA61C"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14.22**</w:t>
            </w:r>
          </w:p>
        </w:tc>
        <w:tc>
          <w:tcPr>
            <w:tcW w:w="925" w:type="dxa"/>
          </w:tcPr>
          <w:p w14:paraId="2A0467CD"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14.30**</w:t>
            </w:r>
          </w:p>
        </w:tc>
        <w:tc>
          <w:tcPr>
            <w:tcW w:w="354" w:type="dxa"/>
          </w:tcPr>
          <w:p w14:paraId="060EDEF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38C8C1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32.99**</w:t>
            </w:r>
          </w:p>
        </w:tc>
        <w:tc>
          <w:tcPr>
            <w:tcW w:w="972" w:type="dxa"/>
          </w:tcPr>
          <w:p w14:paraId="41E7FAF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216.95**</w:t>
            </w:r>
          </w:p>
        </w:tc>
        <w:tc>
          <w:tcPr>
            <w:tcW w:w="972" w:type="dxa"/>
          </w:tcPr>
          <w:p w14:paraId="7B93CC0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673.72</w:t>
            </w:r>
            <w:r w:rsidRPr="003823BA">
              <w:rPr>
                <w:rFonts w:eastAsia="Times New Roman"/>
                <w:lang w:val="en-GB"/>
              </w:rPr>
              <w:t>**</w:t>
            </w:r>
          </w:p>
        </w:tc>
        <w:tc>
          <w:tcPr>
            <w:tcW w:w="971" w:type="dxa"/>
          </w:tcPr>
          <w:p w14:paraId="7007949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1 015.82**</w:t>
            </w:r>
          </w:p>
        </w:tc>
      </w:tr>
      <w:tr w:rsidR="003823BA" w:rsidRPr="003823BA" w14:paraId="4D3943D4"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13DC8652"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AVG-3 (25%)</w:t>
            </w:r>
          </w:p>
        </w:tc>
        <w:tc>
          <w:tcPr>
            <w:tcW w:w="924" w:type="dxa"/>
          </w:tcPr>
          <w:p w14:paraId="0E19C6D7"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8.24**</w:t>
            </w:r>
          </w:p>
        </w:tc>
        <w:tc>
          <w:tcPr>
            <w:tcW w:w="925" w:type="dxa"/>
          </w:tcPr>
          <w:p w14:paraId="0DEDF1C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11.78**</w:t>
            </w:r>
          </w:p>
        </w:tc>
        <w:tc>
          <w:tcPr>
            <w:tcW w:w="925" w:type="dxa"/>
          </w:tcPr>
          <w:p w14:paraId="7C61710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16.26</w:t>
            </w:r>
          </w:p>
        </w:tc>
        <w:tc>
          <w:tcPr>
            <w:tcW w:w="925" w:type="dxa"/>
          </w:tcPr>
          <w:p w14:paraId="4139FE8C"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17.02</w:t>
            </w:r>
          </w:p>
        </w:tc>
        <w:tc>
          <w:tcPr>
            <w:tcW w:w="354" w:type="dxa"/>
          </w:tcPr>
          <w:p w14:paraId="68E7150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041DA08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27.46**</w:t>
            </w:r>
          </w:p>
        </w:tc>
        <w:tc>
          <w:tcPr>
            <w:tcW w:w="972" w:type="dxa"/>
          </w:tcPr>
          <w:p w14:paraId="7FA43AB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192.19**</w:t>
            </w:r>
          </w:p>
        </w:tc>
        <w:tc>
          <w:tcPr>
            <w:tcW w:w="972" w:type="dxa"/>
          </w:tcPr>
          <w:p w14:paraId="5A6DC9A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748.38**</w:t>
            </w:r>
          </w:p>
        </w:tc>
        <w:tc>
          <w:tcPr>
            <w:tcW w:w="971" w:type="dxa"/>
          </w:tcPr>
          <w:p w14:paraId="40DF2FCB"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1 345.89</w:t>
            </w:r>
          </w:p>
        </w:tc>
      </w:tr>
      <w:tr w:rsidR="003823BA" w:rsidRPr="003823BA" w14:paraId="52A3DBB4"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28EC07FD"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AVG-12 (25%)</w:t>
            </w:r>
          </w:p>
        </w:tc>
        <w:tc>
          <w:tcPr>
            <w:tcW w:w="924" w:type="dxa"/>
          </w:tcPr>
          <w:p w14:paraId="01FB44F0"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8.07**</w:t>
            </w:r>
          </w:p>
        </w:tc>
        <w:tc>
          <w:tcPr>
            <w:tcW w:w="925" w:type="dxa"/>
          </w:tcPr>
          <w:p w14:paraId="1F905E5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11.59**</w:t>
            </w:r>
          </w:p>
        </w:tc>
        <w:tc>
          <w:tcPr>
            <w:tcW w:w="925" w:type="dxa"/>
          </w:tcPr>
          <w:p w14:paraId="0080F1F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16.11</w:t>
            </w:r>
          </w:p>
        </w:tc>
        <w:tc>
          <w:tcPr>
            <w:tcW w:w="925" w:type="dxa"/>
          </w:tcPr>
          <w:p w14:paraId="6DCED1C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16.92</w:t>
            </w:r>
          </w:p>
        </w:tc>
        <w:tc>
          <w:tcPr>
            <w:tcW w:w="354" w:type="dxa"/>
          </w:tcPr>
          <w:p w14:paraId="32531C69"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3975A80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27.48**</w:t>
            </w:r>
          </w:p>
        </w:tc>
        <w:tc>
          <w:tcPr>
            <w:tcW w:w="972" w:type="dxa"/>
          </w:tcPr>
          <w:p w14:paraId="71BD1EF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189.90**</w:t>
            </w:r>
          </w:p>
        </w:tc>
        <w:tc>
          <w:tcPr>
            <w:tcW w:w="972" w:type="dxa"/>
          </w:tcPr>
          <w:p w14:paraId="7F59C98F"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736.7**</w:t>
            </w:r>
          </w:p>
        </w:tc>
        <w:tc>
          <w:tcPr>
            <w:tcW w:w="971" w:type="dxa"/>
          </w:tcPr>
          <w:p w14:paraId="32967F71"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1 322.87</w:t>
            </w:r>
          </w:p>
        </w:tc>
      </w:tr>
      <w:tr w:rsidR="003823BA" w:rsidRPr="003823BA" w14:paraId="76E1E092" w14:textId="77777777" w:rsidTr="00483569">
        <w:trPr>
          <w:cantSplit/>
        </w:trPr>
        <w:tc>
          <w:tcPr>
            <w:cnfStyle w:val="001000000000" w:firstRow="0" w:lastRow="0" w:firstColumn="1" w:lastColumn="0" w:oddVBand="0" w:evenVBand="0" w:oddHBand="0" w:evenHBand="0" w:firstRowFirstColumn="0" w:firstRowLastColumn="0" w:lastRowFirstColumn="0" w:lastRowLastColumn="0"/>
            <w:tcW w:w="1440" w:type="dxa"/>
          </w:tcPr>
          <w:p w14:paraId="7330776E" w14:textId="77777777" w:rsidR="003823BA" w:rsidRPr="003823BA" w:rsidRDefault="003823BA" w:rsidP="003823BA">
            <w:pPr>
              <w:spacing w:before="30" w:after="30" w:line="240" w:lineRule="auto"/>
              <w:rPr>
                <w:rFonts w:eastAsia="Times New Roman"/>
                <w:lang w:val="en-GB"/>
              </w:rPr>
            </w:pPr>
            <w:r w:rsidRPr="003823BA">
              <w:rPr>
                <w:rFonts w:eastAsia="Times New Roman"/>
                <w:lang w:val="en-GB"/>
              </w:rPr>
              <w:t>MS-COMBO</w:t>
            </w:r>
          </w:p>
        </w:tc>
        <w:tc>
          <w:tcPr>
            <w:tcW w:w="924" w:type="dxa"/>
          </w:tcPr>
          <w:p w14:paraId="2562BE8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b/>
                <w:bCs/>
                <w:u w:val="thick"/>
                <w:lang w:val="en-GB"/>
              </w:rPr>
              <w:t>7.98</w:t>
            </w:r>
            <w:r w:rsidRPr="003823BA">
              <w:rPr>
                <w:rFonts w:eastAsia="Times New Roman"/>
                <w:lang w:val="en-GB"/>
              </w:rPr>
              <w:t>**</w:t>
            </w:r>
          </w:p>
        </w:tc>
        <w:tc>
          <w:tcPr>
            <w:tcW w:w="925" w:type="dxa"/>
          </w:tcPr>
          <w:p w14:paraId="58334B54"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11.64**</w:t>
            </w:r>
          </w:p>
        </w:tc>
        <w:tc>
          <w:tcPr>
            <w:tcW w:w="925" w:type="dxa"/>
          </w:tcPr>
          <w:p w14:paraId="42DDC802"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16.06*</w:t>
            </w:r>
          </w:p>
        </w:tc>
        <w:tc>
          <w:tcPr>
            <w:tcW w:w="925" w:type="dxa"/>
          </w:tcPr>
          <w:p w14:paraId="514EBD2E"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17.01</w:t>
            </w:r>
          </w:p>
        </w:tc>
        <w:tc>
          <w:tcPr>
            <w:tcW w:w="354" w:type="dxa"/>
          </w:tcPr>
          <w:p w14:paraId="54BC805A"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rPr>
            </w:pPr>
          </w:p>
        </w:tc>
        <w:tc>
          <w:tcPr>
            <w:tcW w:w="972" w:type="dxa"/>
          </w:tcPr>
          <w:p w14:paraId="5E94D316"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27.81**</w:t>
            </w:r>
          </w:p>
        </w:tc>
        <w:tc>
          <w:tcPr>
            <w:tcW w:w="972" w:type="dxa"/>
          </w:tcPr>
          <w:p w14:paraId="0E72DD65"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196.93**</w:t>
            </w:r>
          </w:p>
        </w:tc>
        <w:tc>
          <w:tcPr>
            <w:tcW w:w="972" w:type="dxa"/>
          </w:tcPr>
          <w:p w14:paraId="67A41C78"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749.35**</w:t>
            </w:r>
          </w:p>
        </w:tc>
        <w:tc>
          <w:tcPr>
            <w:tcW w:w="971" w:type="dxa"/>
          </w:tcPr>
          <w:p w14:paraId="1DE50AF3" w14:textId="77777777" w:rsidR="003823BA" w:rsidRPr="003823BA" w:rsidRDefault="003823BA" w:rsidP="003823BA">
            <w:pPr>
              <w:spacing w:before="30" w:after="30" w:line="240" w:lineRule="auto"/>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3823BA">
              <w:rPr>
                <w:rFonts w:eastAsia="Times New Roman"/>
                <w:lang w:val="en-GB"/>
              </w:rPr>
              <w:t>1 322.18</w:t>
            </w:r>
          </w:p>
        </w:tc>
      </w:tr>
    </w:tbl>
    <w:p w14:paraId="1EC97810" w14:textId="77777777" w:rsidR="00C371AE" w:rsidRPr="00C371AE" w:rsidRDefault="00C371AE" w:rsidP="00C371AE">
      <w:pPr>
        <w:pStyle w:val="Note"/>
      </w:pPr>
      <w:r w:rsidRPr="00C371AE">
        <w:t>Note: The lowest loss for each horizon and loss function is underlined. **, * represent the model’s inclusion in the MCS at 25 per cent  and 10</w:t>
      </w:r>
      <w:r w:rsidRPr="00C371AE">
        <w:rPr>
          <w:rFonts w:ascii="Calibri" w:hAnsi="Calibri" w:cs="Calibri"/>
        </w:rPr>
        <w:t> </w:t>
      </w:r>
      <w:r w:rsidRPr="00C371AE">
        <w:t xml:space="preserve">per cent levels respectively. </w:t>
      </w:r>
    </w:p>
    <w:p w14:paraId="320FBF4D" w14:textId="45EDB552" w:rsidR="00C371AE" w:rsidRDefault="00C371AE" w:rsidP="00C371AE">
      <w:pPr>
        <w:pStyle w:val="Note"/>
      </w:pPr>
      <w:r w:rsidRPr="00C371AE">
        <w:t xml:space="preserve">Note that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Pr="00490668">
        <w:t xml:space="preserve"> </w:t>
      </w:r>
      <w:r w:rsidRPr="00C371AE">
        <w:rPr>
          <w:rFonts w:ascii="Cambria Math" w:hAnsi="Cambria Math" w:cs="Cambria Math"/>
        </w:rPr>
        <w:t>⊆</w:t>
      </w:r>
      <w:r w:rsidRPr="00C371AE">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Pr="00C371AE">
        <w:t xml:space="preserve"> AVG-</w:t>
      </w:r>
      <w:r w:rsidRPr="00C371AE">
        <w:rPr>
          <w:i/>
          <w:iCs/>
        </w:rPr>
        <w:t>n</w:t>
      </w:r>
      <w:r w:rsidRPr="00C371AE">
        <w:t xml:space="preserve"> (10 per cent) and AVG-</w:t>
      </w:r>
      <w:r w:rsidRPr="00C371AE">
        <w:rPr>
          <w:i/>
          <w:iCs/>
        </w:rPr>
        <w:t>n</w:t>
      </w:r>
      <w:r w:rsidRPr="00C371AE">
        <w:t xml:space="preserve"> (25 per cent) models refer to model averages for the </w:t>
      </w:r>
      <w:r w:rsidRPr="00C371AE">
        <w:rPr>
          <w:i/>
          <w:iCs/>
        </w:rPr>
        <w:t>n</w:t>
      </w:r>
      <w:r w:rsidR="001E7221">
        <w:noBreakHyphen/>
      </w:r>
      <w:r w:rsidRPr="00C371AE">
        <w:t xml:space="preserve">horizon </w:t>
      </w:r>
      <m:oMath>
        <m:sSubSup>
          <m:sSubSupPr>
            <m:ctrlPr>
              <w:rPr>
                <w:rFonts w:ascii="Cambria Math" w:hAnsi="Cambria Math"/>
                <w:i/>
              </w:rPr>
            </m:ctrlPr>
          </m:sSubSupPr>
          <m:e>
            <m:r>
              <w:rPr>
                <w:rFonts w:ascii="Cambria Math" w:hAnsi="Cambria Math"/>
              </w:rPr>
              <m:t>M</m:t>
            </m:r>
          </m:e>
          <m:sub>
            <m:r>
              <w:rPr>
                <w:rFonts w:ascii="Cambria Math" w:hAnsi="Cambria Math"/>
              </w:rPr>
              <m:t>0.10</m:t>
            </m:r>
          </m:sub>
          <m:sup>
            <m:r>
              <w:rPr>
                <w:rFonts w:ascii="Cambria Math" w:hAnsi="Cambria Math"/>
              </w:rPr>
              <m:t>*</m:t>
            </m:r>
          </m:sup>
        </m:sSubSup>
      </m:oMath>
      <w:r w:rsidR="001E7221" w:rsidRPr="00490668">
        <w:t xml:space="preserve"> </w:t>
      </w:r>
      <w:r w:rsidRPr="00C371AE">
        <w:t xml:space="preserve"> and </w:t>
      </w:r>
      <m:oMath>
        <m:sSubSup>
          <m:sSubSupPr>
            <m:ctrlPr>
              <w:rPr>
                <w:rFonts w:ascii="Cambria Math" w:hAnsi="Cambria Math"/>
                <w:i/>
              </w:rPr>
            </m:ctrlPr>
          </m:sSubSupPr>
          <m:e>
            <m:r>
              <w:rPr>
                <w:rFonts w:ascii="Cambria Math" w:hAnsi="Cambria Math"/>
              </w:rPr>
              <m:t>M</m:t>
            </m:r>
          </m:e>
          <m:sub>
            <m:r>
              <w:rPr>
                <w:rFonts w:ascii="Cambria Math" w:hAnsi="Cambria Math"/>
              </w:rPr>
              <m:t>0.25</m:t>
            </m:r>
          </m:sub>
          <m:sup>
            <m:r>
              <w:rPr>
                <w:rFonts w:ascii="Cambria Math" w:hAnsi="Cambria Math"/>
              </w:rPr>
              <m:t>*</m:t>
            </m:r>
          </m:sup>
        </m:sSubSup>
      </m:oMath>
      <w:r w:rsidR="001E7221" w:rsidRPr="00490668">
        <w:t xml:space="preserve"> </w:t>
      </w:r>
      <w:r w:rsidRPr="00C371AE">
        <w:t>determined during the training sample (7/2011-6/2017), respectively. MS-Combo is a simple average of the best performing Markov switching models. MSAI</w:t>
      </w:r>
      <w:r w:rsidRPr="00C371AE">
        <w:noBreakHyphen/>
        <w:t>VECM has state invariant autoregressive terms; all other parameters are state dependent.</w:t>
      </w:r>
    </w:p>
    <w:p w14:paraId="0661AF42" w14:textId="77777777" w:rsidR="005C1C7C" w:rsidRPr="00C371AE" w:rsidRDefault="005C1C7C" w:rsidP="00E848DB">
      <w:pPr>
        <w:rPr>
          <w:rFonts w:eastAsia="Times New Roman"/>
        </w:rPr>
      </w:pPr>
    </w:p>
    <w:sectPr w:rsidR="005C1C7C" w:rsidRPr="00C371AE" w:rsidSect="007D204B">
      <w:headerReference w:type="default" r:id="rId27"/>
      <w:footerReference w:type="default" r:id="rId28"/>
      <w:headerReference w:type="first" r:id="rId29"/>
      <w:footerReference w:type="first" r:id="rId30"/>
      <w:pgSz w:w="11906" w:h="16838" w:code="9"/>
      <w:pgMar w:top="1440" w:right="1440" w:bottom="1440" w:left="1440" w:header="706" w:footer="4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F2DF6" w14:textId="77777777" w:rsidR="00810DEB" w:rsidRDefault="00810DEB" w:rsidP="002D711A">
      <w:pPr>
        <w:spacing w:after="0" w:line="240" w:lineRule="auto"/>
      </w:pPr>
      <w:r>
        <w:separator/>
      </w:r>
    </w:p>
  </w:endnote>
  <w:endnote w:type="continuationSeparator" w:id="0">
    <w:p w14:paraId="680FC8AB" w14:textId="77777777" w:rsidR="00810DEB" w:rsidRDefault="00810DEB"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8E378A-A856-492A-8EE9-D46E02853EA7}"/>
    <w:embedItalic r:id="rId2" w:fontKey="{9719381F-878C-4366-95DD-79A69E4BCC52}"/>
    <w:embedBoldItalic r:id="rId3" w:fontKey="{6992877A-689E-47B0-AA9B-5264C5B9A9F0}"/>
  </w:font>
  <w:font w:name="Georgia">
    <w:panose1 w:val="02040502050405020303"/>
    <w:charset w:val="00"/>
    <w:family w:val="roman"/>
    <w:pitch w:val="variable"/>
    <w:sig w:usb0="00000287" w:usb1="00000000" w:usb2="00000000" w:usb3="00000000" w:csb0="0000009F" w:csb1="00000000"/>
    <w:embedRegular r:id="rId4" w:fontKey="{2463DA1C-968A-463D-86C7-3E4FF004110F}"/>
    <w:embedBold r:id="rId5" w:fontKey="{DBE2CFAD-37FA-4F38-846D-B841397E1A37}"/>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A53DA72C-B09D-48FA-8B3B-8EAEBB8C3EC1}"/>
  </w:font>
  <w:font w:name="Cambria">
    <w:panose1 w:val="02040503050406030204"/>
    <w:charset w:val="00"/>
    <w:family w:val="roman"/>
    <w:pitch w:val="variable"/>
    <w:sig w:usb0="E00006FF" w:usb1="420024FF" w:usb2="02000000" w:usb3="00000000" w:csb0="0000019F" w:csb1="00000000"/>
    <w:embedRegular r:id="rId7" w:fontKey="{2C29BFA3-310D-404E-BFF4-5A82A0B6C7AE}"/>
    <w:embedBold r:id="rId8" w:fontKey="{EF5082BE-7844-48EF-AD14-CDBD9B22954C}"/>
    <w:embedItalic r:id="rId9" w:fontKey="{B4738C0E-B908-46F8-9513-EF857053A99C}"/>
    <w:embedBoldItalic r:id="rId10" w:fontKey="{EC635DB7-8210-4C58-8707-6767815538E0}"/>
  </w:font>
  <w:font w:name="Cambria Math">
    <w:panose1 w:val="02040503050406030204"/>
    <w:charset w:val="00"/>
    <w:family w:val="roman"/>
    <w:pitch w:val="variable"/>
    <w:sig w:usb0="E00006FF" w:usb1="420024FF" w:usb2="02000000" w:usb3="00000000" w:csb0="0000019F" w:csb1="00000000"/>
    <w:embedRegular r:id="rId11" w:fontKey="{EFC32FA2-DD4B-4B62-8FE6-AC226EC0B2BE}"/>
    <w:embedBold r:id="rId12" w:fontKey="{5676C811-0237-466B-B689-1BFC5318EEB3}"/>
    <w:embedItalic r:id="rId13" w:fontKey="{4C2AB03F-CB87-4C69-8414-595AFEEC6CB2}"/>
    <w:embedBoldItalic r:id="rId14" w:fontKey="{ED9CC7D6-508B-4B9D-8AE4-5393247D7F25}"/>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embedItalic r:id="rId15" w:subsetted="1" w:fontKey="{623E569B-24A5-4E29-8DCE-A2DE2EC8435C}"/>
  </w:font>
  <w:font w:name="VIC SemiBold Italic">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371B" w14:textId="76020A98" w:rsidR="007D204B" w:rsidRDefault="001C6478" w:rsidP="00B763EA">
    <w:pPr>
      <w:pStyle w:val="Footer"/>
      <w:ind w:right="3896"/>
    </w:pPr>
    <w:r w:rsidRPr="00293A31">
      <w:rPr>
        <w:rFonts w:asciiTheme="majorHAnsi" w:hAnsiTheme="majorHAnsi"/>
        <w:color w:val="232B39" w:themeColor="text1"/>
      </w:rPr>
      <w:fldChar w:fldCharType="begin"/>
    </w:r>
    <w:r w:rsidRPr="00293A31">
      <w:rPr>
        <w:rFonts w:asciiTheme="majorHAnsi" w:hAnsiTheme="majorHAnsi"/>
        <w:color w:val="232B39" w:themeColor="text1"/>
      </w:rPr>
      <w:instrText xml:space="preserve"> StyleRef “Title” </w:instrText>
    </w:r>
    <w:r w:rsidRPr="00293A31">
      <w:rPr>
        <w:rFonts w:asciiTheme="majorHAnsi" w:hAnsiTheme="majorHAnsi"/>
        <w:color w:val="232B39" w:themeColor="text1"/>
      </w:rPr>
      <w:fldChar w:fldCharType="separate"/>
    </w:r>
    <w:r w:rsidR="00CD633C">
      <w:rPr>
        <w:rFonts w:asciiTheme="majorHAnsi" w:hAnsiTheme="majorHAnsi"/>
        <w:color w:val="232B39" w:themeColor="text1"/>
      </w:rPr>
      <w:t>Forecasting Land Transfer Duty with a Regime Switching Vector Error Correction Model</w:t>
    </w:r>
    <w:r w:rsidRPr="00293A31">
      <w:rPr>
        <w:rFonts w:asciiTheme="majorHAnsi" w:hAnsiTheme="majorHAnsi"/>
        <w:color w:val="232B39" w:themeColor="text1"/>
      </w:rPr>
      <w:fldChar w:fldCharType="end"/>
    </w:r>
    <w:r w:rsidR="004438AF">
      <w:t xml:space="preserve"> – October 2025</w:t>
    </w:r>
    <w:r w:rsidR="004438AF">
      <w:tab/>
    </w:r>
    <w:r w:rsidR="007D204B">
      <w:t xml:space="preserve">Page </w:t>
    </w:r>
    <w:r w:rsidR="007D204B">
      <w:fldChar w:fldCharType="begin"/>
    </w:r>
    <w:r w:rsidR="007D204B">
      <w:instrText xml:space="preserve"> page </w:instrText>
    </w:r>
    <w:r w:rsidR="007D204B">
      <w:fldChar w:fldCharType="separate"/>
    </w:r>
    <w:r w:rsidR="007D204B">
      <w:t>13</w:t>
    </w:r>
    <w:r w:rsidR="007D204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D3C9" w14:textId="2D07D6F6" w:rsidR="001C6478" w:rsidRPr="00B763EA" w:rsidRDefault="00B763EA" w:rsidP="00B763EA">
    <w:pPr>
      <w:pStyle w:val="Footer"/>
      <w:ind w:right="3896"/>
    </w:pPr>
    <w:r w:rsidRPr="00293A31">
      <w:rPr>
        <w:rFonts w:asciiTheme="majorHAnsi" w:hAnsiTheme="majorHAnsi"/>
        <w:color w:val="232B39" w:themeColor="text1"/>
      </w:rPr>
      <w:fldChar w:fldCharType="begin"/>
    </w:r>
    <w:r w:rsidRPr="00293A31">
      <w:rPr>
        <w:rFonts w:asciiTheme="majorHAnsi" w:hAnsiTheme="majorHAnsi"/>
        <w:color w:val="232B39" w:themeColor="text1"/>
      </w:rPr>
      <w:instrText xml:space="preserve"> StyleRef “Title” </w:instrText>
    </w:r>
    <w:r w:rsidRPr="00293A31">
      <w:rPr>
        <w:rFonts w:asciiTheme="majorHAnsi" w:hAnsiTheme="majorHAnsi"/>
        <w:color w:val="232B39" w:themeColor="text1"/>
      </w:rPr>
      <w:fldChar w:fldCharType="separate"/>
    </w:r>
    <w:r w:rsidR="00CD633C">
      <w:rPr>
        <w:rFonts w:asciiTheme="majorHAnsi" w:hAnsiTheme="majorHAnsi"/>
        <w:color w:val="232B39" w:themeColor="text1"/>
      </w:rPr>
      <w:t>Forecasting Land Transfer Duty with a Regime Switching Vector Error Correction Model</w:t>
    </w:r>
    <w:r w:rsidRPr="00293A31">
      <w:rPr>
        <w:rFonts w:asciiTheme="majorHAnsi" w:hAnsiTheme="majorHAnsi"/>
        <w:color w:val="232B39" w:themeColor="text1"/>
      </w:rPr>
      <w:fldChar w:fldCharType="end"/>
    </w:r>
    <w:r>
      <w:t xml:space="preserve"> – October 2025</w:t>
    </w:r>
    <w:r>
      <w:tab/>
      <w:t xml:space="preserve">Page </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FD607" w14:textId="77777777" w:rsidR="00810DEB" w:rsidRDefault="00810DEB" w:rsidP="002D711A">
      <w:pPr>
        <w:spacing w:after="0" w:line="240" w:lineRule="auto"/>
      </w:pPr>
      <w:r>
        <w:separator/>
      </w:r>
    </w:p>
  </w:footnote>
  <w:footnote w:type="continuationSeparator" w:id="0">
    <w:p w14:paraId="34F5B4C6" w14:textId="77777777" w:rsidR="00810DEB" w:rsidRDefault="00810DEB" w:rsidP="002D711A">
      <w:pPr>
        <w:spacing w:after="0" w:line="240" w:lineRule="auto"/>
      </w:pPr>
      <w:r>
        <w:continuationSeparator/>
      </w:r>
    </w:p>
  </w:footnote>
  <w:footnote w:id="1">
    <w:p w14:paraId="7785190F" w14:textId="610430FE" w:rsidR="00222E93" w:rsidRDefault="00222E93" w:rsidP="00222E93">
      <w:pPr>
        <w:pStyle w:val="FootnoteText"/>
      </w:pPr>
      <w:r>
        <w:rPr>
          <w:rStyle w:val="FootnoteReference"/>
        </w:rPr>
        <w:footnoteRef/>
      </w:r>
      <w:r>
        <w:t xml:space="preserve"> Other regime switching models include threshold models with discrete or smooth transitions between regimes (Tsay, 1998 and Chan and Tong, 1985). This model class was also examined, however threshold switching models performed poorly.</w:t>
      </w:r>
    </w:p>
  </w:footnote>
  <w:footnote w:id="2">
    <w:p w14:paraId="7942B0CF" w14:textId="2A751EA9" w:rsidR="00222E93" w:rsidRDefault="00222E93">
      <w:pPr>
        <w:pStyle w:val="FootnoteText"/>
      </w:pPr>
      <w:r>
        <w:rPr>
          <w:rStyle w:val="FootnoteReference"/>
        </w:rPr>
        <w:footnoteRef/>
      </w:r>
      <w:r>
        <w:t xml:space="preserve"> </w:t>
      </w:r>
      <w:r w:rsidRPr="00222E93">
        <w:t>Krolzig (1997b) provides an excellent theoretical foundation for understanding and estimating Markov switching models.</w:t>
      </w:r>
    </w:p>
  </w:footnote>
  <w:footnote w:id="3">
    <w:p w14:paraId="4AFBEFF8" w14:textId="1912AEDA" w:rsidR="00222E93" w:rsidRDefault="00222E93" w:rsidP="00222E93">
      <w:pPr>
        <w:pStyle w:val="FootnoteText"/>
      </w:pPr>
      <w:r>
        <w:rPr>
          <w:rStyle w:val="FootnoteReference"/>
        </w:rPr>
        <w:footnoteRef/>
      </w:r>
      <w:r>
        <w:t xml:space="preserve"> Recent advances in Markov switching estimation, such as Bayesian methods by Kim and Nelson</w:t>
      </w:r>
    </w:p>
    <w:p w14:paraId="35A4C073" w14:textId="1BCCC0F1" w:rsidR="00222E93" w:rsidRDefault="00222E93" w:rsidP="00A47AB0">
      <w:pPr>
        <w:pStyle w:val="FootnoteText"/>
      </w:pPr>
      <w:r>
        <w:t>(1999), have improved model robustness under uncertain economic conditions. Bayesian models are computationally demanding and are the subject of future research.</w:t>
      </w:r>
    </w:p>
  </w:footnote>
  <w:footnote w:id="4">
    <w:p w14:paraId="010300C5" w14:textId="77777777" w:rsidR="00A47AB0" w:rsidRDefault="00A47AB0" w:rsidP="00A47AB0">
      <w:pPr>
        <w:pStyle w:val="FootnoteText"/>
      </w:pPr>
      <w:r>
        <w:rPr>
          <w:rStyle w:val="FootnoteReference"/>
        </w:rPr>
        <w:footnoteRef/>
      </w:r>
      <w:r>
        <w:t xml:space="preserve"> 4The CoreLogic Home Value Index (HVI) tracks changes in residential property values across</w:t>
      </w:r>
    </w:p>
    <w:p w14:paraId="154B86F3" w14:textId="6B413A17" w:rsidR="00A47AB0" w:rsidRDefault="00A47AB0" w:rsidP="00A47AB0">
      <w:pPr>
        <w:pStyle w:val="FootnoteText"/>
      </w:pPr>
      <w:r>
        <w:t>regions in Australia. It is derived from a hedonic regression model that adjusts for property characteristics to accurately reflect market trends (CoreLogic Australia, 2023).</w:t>
      </w:r>
    </w:p>
  </w:footnote>
  <w:footnote w:id="5">
    <w:p w14:paraId="0DACA7C6" w14:textId="60F7D617" w:rsidR="00A47AB0" w:rsidRDefault="00A47AB0">
      <w:pPr>
        <w:pStyle w:val="FootnoteText"/>
      </w:pPr>
      <w:r>
        <w:rPr>
          <w:rStyle w:val="FootnoteReference"/>
        </w:rPr>
        <w:footnoteRef/>
      </w:r>
      <w:r>
        <w:t xml:space="preserve"> </w:t>
      </w:r>
      <w:r w:rsidRPr="00A47AB0">
        <w:t>This can occur because the model covariance is a weighted mixture, where the weights (regime probabilities) evolve through time.</w:t>
      </w:r>
    </w:p>
  </w:footnote>
  <w:footnote w:id="6">
    <w:p w14:paraId="5201F0C2" w14:textId="55B3CE32" w:rsidR="00A47AB0" w:rsidRDefault="00A47AB0" w:rsidP="00A47AB0">
      <w:pPr>
        <w:pStyle w:val="FootnoteText"/>
      </w:pPr>
      <w:r>
        <w:rPr>
          <w:rStyle w:val="FootnoteReference"/>
        </w:rPr>
        <w:footnoteRef/>
      </w:r>
      <w:r>
        <w:t xml:space="preserve"> This form of Johansen test (Johansen, 1988) provides robust results, yet it has limitations. It can have low power in small samples (Cheung and Lai, 1993), though the long dataset (1986–2023) helps mitigate this issue. Additionally, sensitivity to lag length selection may affect the test’s outcomes, so lag selection is optimised using Akaike and Schwarz information criteria (AIC and SIC) to enhance robustness.</w:t>
      </w:r>
    </w:p>
  </w:footnote>
  <w:footnote w:id="7">
    <w:p w14:paraId="35249F70" w14:textId="69EC79B3" w:rsidR="00A47AB0" w:rsidRDefault="00A47AB0">
      <w:pPr>
        <w:pStyle w:val="FootnoteText"/>
      </w:pPr>
      <w:r>
        <w:rPr>
          <w:rStyle w:val="FootnoteReference"/>
        </w:rPr>
        <w:footnoteRef/>
      </w:r>
      <w:r>
        <w:t xml:space="preserve"> The inverse roots from the VAR(4) model in levels are also within the unit circle. One root is close to but less than unity, which is supportive of cointegration, but also indicates that the VAR in levels will generate non-explosive forecasts.</w:t>
      </w:r>
    </w:p>
  </w:footnote>
  <w:footnote w:id="8">
    <w:p w14:paraId="48C759FD" w14:textId="1181E71D" w:rsidR="00754207" w:rsidRDefault="00754207" w:rsidP="00754207">
      <w:pPr>
        <w:pStyle w:val="FootnoteText"/>
      </w:pPr>
      <w:r>
        <w:rPr>
          <w:rStyle w:val="FootnoteReference"/>
        </w:rPr>
        <w:footnoteRef/>
      </w:r>
      <w:r>
        <w:t xml:space="preserve"> The conditional log-likelihood function for a two regime MS-VECM is given by:</w:t>
      </w:r>
    </w:p>
    <w:p w14:paraId="6F9CE851" w14:textId="355AF677" w:rsidR="00B82868" w:rsidRDefault="00174F7A" w:rsidP="00174F7A">
      <w:pPr>
        <w:pStyle w:val="FootnoteText"/>
        <w:jc w:val="center"/>
      </w:pPr>
      <w:r>
        <w:rPr>
          <w:noProof/>
        </w:rPr>
        <w:drawing>
          <wp:inline distT="0" distB="0" distL="0" distR="0" wp14:anchorId="7DAE1515" wp14:editId="3448DA6D">
            <wp:extent cx="4892723" cy="288390"/>
            <wp:effectExtent l="0" t="0" r="3175" b="0"/>
            <wp:docPr id="1700841860" name="Picture 1" descr="Formula of the conditional log-likelihood function for a two regime MS-V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1860" name="Picture 1" descr="Formula of the conditional log-likelihood function for a two regime MS-VECM."/>
                    <pic:cNvPicPr/>
                  </pic:nvPicPr>
                  <pic:blipFill>
                    <a:blip r:embed="rId1"/>
                    <a:stretch>
                      <a:fillRect/>
                    </a:stretch>
                  </pic:blipFill>
                  <pic:spPr>
                    <a:xfrm>
                      <a:off x="0" y="0"/>
                      <a:ext cx="4957775" cy="292224"/>
                    </a:xfrm>
                    <a:prstGeom prst="rect">
                      <a:avLst/>
                    </a:prstGeom>
                  </pic:spPr>
                </pic:pic>
              </a:graphicData>
            </a:graphic>
          </wp:inline>
        </w:drawing>
      </w:r>
    </w:p>
    <w:p w14:paraId="6A779861" w14:textId="38C15E0A" w:rsidR="00754207" w:rsidRDefault="00353817" w:rsidP="00174F7A">
      <w:pPr>
        <w:pStyle w:val="FootnoteText"/>
      </w:pPr>
      <w:r w:rsidRPr="00353817">
        <w:rPr>
          <w:lang w:val="en-GB"/>
        </w:rPr>
        <w:t xml:space="preserve">where </w:t>
      </w:r>
      <w:r w:rsidRPr="00353817">
        <w:rPr>
          <w:rFonts w:ascii="Courier New" w:hAnsi="Courier New" w:cs="Courier New"/>
          <w:b/>
          <w:bCs/>
          <w:i/>
          <w:iCs/>
          <w:lang w:val="en-GB"/>
        </w:rPr>
        <w:t>ξ</w:t>
      </w:r>
      <w:r w:rsidRPr="00353817">
        <w:rPr>
          <w:i/>
          <w:iCs/>
          <w:lang w:val="en-GB"/>
        </w:rPr>
        <w:t>st = {</w:t>
      </w:r>
      <w:r w:rsidRPr="00353817">
        <w:rPr>
          <w:rFonts w:ascii="Courier New" w:hAnsi="Courier New" w:cs="Courier New"/>
          <w:b/>
          <w:bCs/>
          <w:i/>
          <w:iCs/>
          <w:lang w:val="en-GB"/>
        </w:rPr>
        <w:t>ν</w:t>
      </w:r>
      <w:r w:rsidRPr="00353817">
        <w:rPr>
          <w:i/>
          <w:iCs/>
          <w:lang w:val="en-GB"/>
        </w:rPr>
        <w:t xml:space="preserve">st , </w:t>
      </w:r>
      <w:r w:rsidRPr="00353817">
        <w:rPr>
          <w:rFonts w:ascii="Courier New" w:hAnsi="Courier New" w:cs="Courier New"/>
          <w:b/>
          <w:bCs/>
          <w:i/>
          <w:iCs/>
          <w:lang w:val="en-GB"/>
        </w:rPr>
        <w:t>α</w:t>
      </w:r>
      <w:r w:rsidRPr="00353817">
        <w:rPr>
          <w:i/>
          <w:iCs/>
          <w:lang w:val="en-GB"/>
        </w:rPr>
        <w:t xml:space="preserve">st , </w:t>
      </w:r>
      <w:r w:rsidRPr="00353817">
        <w:rPr>
          <w:rFonts w:ascii="Courier New" w:hAnsi="Courier New" w:cs="Courier New"/>
          <w:b/>
          <w:bCs/>
          <w:i/>
          <w:iCs/>
          <w:lang w:val="en-GB"/>
        </w:rPr>
        <w:t>Γ</w:t>
      </w:r>
      <w:r w:rsidRPr="00353817">
        <w:rPr>
          <w:i/>
          <w:iCs/>
          <w:lang w:val="en-GB"/>
        </w:rPr>
        <w:t xml:space="preserve">st , </w:t>
      </w:r>
      <w:r w:rsidRPr="00353817">
        <w:rPr>
          <w:rFonts w:ascii="Courier New" w:hAnsi="Courier New" w:cs="Courier New"/>
          <w:b/>
          <w:bCs/>
          <w:i/>
          <w:iCs/>
          <w:lang w:val="en-GB"/>
        </w:rPr>
        <w:t>Σ</w:t>
      </w:r>
      <w:r w:rsidRPr="00353817">
        <w:rPr>
          <w:i/>
          <w:iCs/>
          <w:lang w:val="en-GB"/>
        </w:rPr>
        <w:t>st , pIJ</w:t>
      </w:r>
      <w:r w:rsidRPr="00353817">
        <w:rPr>
          <w:lang w:val="en-GB"/>
        </w:rPr>
        <w:t xml:space="preserve">} contains all information about the realisation of the Markov chain, and </w:t>
      </w:r>
      <w:r w:rsidRPr="00353817">
        <w:rPr>
          <w:rFonts w:ascii="Courier New" w:hAnsi="Courier New" w:cs="Courier New"/>
          <w:b/>
          <w:bCs/>
          <w:i/>
          <w:iCs/>
          <w:lang w:val="en-GB"/>
        </w:rPr>
        <w:t>ξ</w:t>
      </w:r>
      <w:r w:rsidRPr="00353817">
        <w:rPr>
          <w:i/>
          <w:iCs/>
          <w:lang w:val="en-GB"/>
        </w:rPr>
        <w:t>t</w:t>
      </w:r>
      <w:r w:rsidRPr="00353817">
        <w:rPr>
          <w:lang w:val="en-GB"/>
        </w:rPr>
        <w:t>,</w:t>
      </w:r>
      <w:r w:rsidRPr="00353817">
        <w:rPr>
          <w:b/>
          <w:bCs/>
          <w:i/>
          <w:iCs/>
          <w:lang w:val="en-GB"/>
        </w:rPr>
        <w:t xml:space="preserve"> </w:t>
      </w:r>
      <w:r w:rsidRPr="00353817">
        <w:rPr>
          <w:i/>
          <w:iCs/>
          <w:lang w:val="en-GB"/>
        </w:rPr>
        <w:t>st</w:t>
      </w:r>
      <w:r w:rsidRPr="00353817">
        <w:rPr>
          <w:lang w:val="en-GB"/>
        </w:rPr>
        <w:t xml:space="preserve"> are the conditional regime probabilities calculated by the recursive filtering and smoothing algorithms discussed in Krolzig (1997b). </w:t>
      </w:r>
      <w:r w:rsidRPr="00353817">
        <w:rPr>
          <w:i/>
          <w:iCs/>
          <w:lang w:val="en-GB"/>
        </w:rPr>
        <w:t>tr</w:t>
      </w:r>
      <w:r w:rsidRPr="00353817">
        <w:rPr>
          <w:lang w:val="en-GB"/>
        </w:rPr>
        <w:t xml:space="preserve">, </w:t>
      </w:r>
      <w:r w:rsidRPr="00353817">
        <w:rPr>
          <w:i/>
          <w:iCs/>
          <w:lang w:val="en-GB"/>
        </w:rPr>
        <w:t>vec</w:t>
      </w:r>
      <w:r w:rsidRPr="00353817">
        <w:rPr>
          <w:lang w:val="en-GB"/>
        </w:rPr>
        <w:t xml:space="preserve">, and </w:t>
      </w:r>
      <w:r w:rsidRPr="00353817">
        <w:rPr>
          <w:rFonts w:ascii="Cambria Math" w:hAnsi="Cambria Math" w:cs="Cambria Math"/>
          <w:lang w:val="en-GB"/>
        </w:rPr>
        <w:t>⊗</w:t>
      </w:r>
      <w:r w:rsidRPr="00353817">
        <w:rPr>
          <w:lang w:val="en-GB"/>
        </w:rPr>
        <w:t xml:space="preserve"> are the trace operator, vectorisation operator, and Kronecker product, respectively. The model is therefore a mixture of </w:t>
      </w:r>
      <w:r w:rsidRPr="00353817">
        <w:rPr>
          <w:i/>
          <w:iCs/>
          <w:lang w:val="en-GB"/>
        </w:rPr>
        <w:t>n</w:t>
      </w:r>
      <w:r w:rsidRPr="00353817">
        <w:rPr>
          <w:lang w:val="en-GB"/>
        </w:rPr>
        <w:t xml:space="preserve"> distributions, where </w:t>
      </w:r>
      <w:r w:rsidRPr="00353817">
        <w:rPr>
          <w:i/>
          <w:iCs/>
          <w:lang w:val="en-GB"/>
        </w:rPr>
        <w:t>n</w:t>
      </w:r>
      <w:r w:rsidRPr="00353817">
        <w:rPr>
          <w:lang w:val="en-GB"/>
        </w:rPr>
        <w:t xml:space="preserve"> = 2 is the number of states.</w:t>
      </w:r>
    </w:p>
  </w:footnote>
  <w:footnote w:id="9">
    <w:p w14:paraId="34D056E3" w14:textId="6FEE0D60" w:rsidR="00754207" w:rsidRDefault="00754207">
      <w:pPr>
        <w:pStyle w:val="FootnoteText"/>
      </w:pPr>
      <w:r>
        <w:rPr>
          <w:rStyle w:val="FootnoteReference"/>
        </w:rPr>
        <w:footnoteRef/>
      </w:r>
      <w:r>
        <w:t xml:space="preserve"> The relevant t-statistics are:</w:t>
      </w:r>
    </w:p>
    <w:p w14:paraId="77DDD14A" w14:textId="77777777" w:rsidR="00D22927" w:rsidRPr="00FA4122" w:rsidRDefault="00CD633C" w:rsidP="00D22927">
      <w:pPr>
        <w:pStyle w:val="FootnoteText"/>
        <w:rPr>
          <w:iCs/>
        </w:rPr>
      </w:pPr>
      <m:oMathPara>
        <m:oMath>
          <m:sSub>
            <m:sSubPr>
              <m:ctrlPr>
                <w:rPr>
                  <w:rFonts w:ascii="Cambria Math" w:hAnsi="Cambria Math"/>
                </w:rPr>
              </m:ctrlPr>
            </m:sSubPr>
            <m:e>
              <m:r>
                <w:rPr>
                  <w:rFonts w:ascii="Cambria Math" w:hAnsi="Cambria Math"/>
                </w:rPr>
                <m:t>t</m:t>
              </m:r>
            </m:e>
            <m:sub>
              <m:r>
                <w:rPr>
                  <w:rFonts w:ascii="Cambria Math" w:hAnsi="Cambria Math"/>
                </w:rPr>
                <m:t>ij</m:t>
              </m:r>
            </m:sub>
          </m:sSub>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rPr>
                        <m:t>d</m:t>
                      </m:r>
                    </m:e>
                    <m:sub>
                      <m:r>
                        <w:rPr>
                          <w:rFonts w:ascii="Cambria Math" w:hAnsi="Cambria Math"/>
                        </w:rPr>
                        <m:t>ij</m:t>
                      </m:r>
                    </m:sub>
                  </m:sSub>
                </m:e>
              </m:acc>
            </m:num>
            <m:den>
              <m:acc>
                <m:accPr>
                  <m:ctrlPr>
                    <w:rPr>
                      <w:rFonts w:ascii="Cambria Math" w:hAnsi="Cambria Math"/>
                    </w:rPr>
                  </m:ctrlPr>
                </m:accPr>
                <m:e>
                  <m:sSub>
                    <m:sSubPr>
                      <m:ctrlPr>
                        <w:rPr>
                          <w:rFonts w:ascii="Cambria Math" w:hAnsi="Cambria Math"/>
                        </w:rPr>
                      </m:ctrlPr>
                    </m:sSubPr>
                    <m:e>
                      <m:r>
                        <w:rPr>
                          <w:rFonts w:ascii="Cambria Math" w:hAnsi="Cambria Math"/>
                        </w:rPr>
                        <m:t>σ</m:t>
                      </m:r>
                    </m:e>
                    <m:sub>
                      <m:r>
                        <w:rPr>
                          <w:rFonts w:ascii="Cambria Math" w:hAnsi="Cambria Math"/>
                        </w:rPr>
                        <m:t>ij</m:t>
                      </m:r>
                    </m:sub>
                  </m:sSub>
                </m:e>
              </m:acc>
            </m:den>
          </m:f>
          <m:r>
            <m:rPr>
              <m:sty m:val="p"/>
            </m:rPr>
            <w:rPr>
              <w:rFonts w:ascii="Cambria Math" w:hAnsi="Cambria Math"/>
            </w:rPr>
            <m:t>,</m:t>
          </m:r>
          <m:r>
            <m:rPr>
              <m:sty m:val="p"/>
            </m:rPr>
            <w:rPr>
              <w:rFonts w:ascii="Cambria Math" w:hAnsi="Cambria Math"/>
            </w:rPr>
            <m:t> </m:t>
          </m:r>
          <m:r>
            <m:rPr>
              <m:nor/>
            </m:rPr>
            <m:t xml:space="preserve">for </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M</m:t>
          </m:r>
        </m:oMath>
      </m:oMathPara>
    </w:p>
    <w:p w14:paraId="3414EC30" w14:textId="32CC6BC5" w:rsidR="00877FAF" w:rsidRPr="00150EF1" w:rsidRDefault="00877FAF" w:rsidP="00877FAF">
      <w:pPr>
        <w:spacing w:before="145"/>
        <w:rPr>
          <w:rFonts w:ascii="Times New Roman" w:hAnsi="Times New Roman"/>
          <w:w w:val="110"/>
        </w:rPr>
      </w:pPr>
      <w:r>
        <w:rPr>
          <w:rFonts w:ascii="Times New Roman" w:hAnsi="Times New Roman"/>
          <w:w w:val="110"/>
        </w:rPr>
        <w:t>where</w:t>
      </w:r>
      <w:r>
        <w:rPr>
          <w:rFonts w:ascii="Times New Roman" w:hAnsi="Times New Roman"/>
          <w:spacing w:val="-10"/>
          <w:w w:val="110"/>
        </w:rPr>
        <w:t xml:space="preserve"> </w:t>
      </w:r>
      <w:r>
        <w:rPr>
          <w:i/>
          <w:spacing w:val="-79"/>
          <w:w w:val="72"/>
        </w:rPr>
        <w:t>σ</w:t>
      </w:r>
      <w:r>
        <w:rPr>
          <w:rFonts w:ascii="Times New Roman" w:hAnsi="Times New Roman"/>
          <w:spacing w:val="28"/>
          <w:w w:val="122"/>
        </w:rPr>
        <w:t>ˆ</w:t>
      </w:r>
      <w:r>
        <w:rPr>
          <w:i/>
          <w:spacing w:val="25"/>
          <w:w w:val="132"/>
          <w:vertAlign w:val="subscript"/>
        </w:rPr>
        <w:t>ij</w:t>
      </w:r>
      <w:r>
        <w:rPr>
          <w:i/>
          <w:spacing w:val="8"/>
          <w:w w:val="114"/>
        </w:rPr>
        <w:t xml:space="preserve"> </w:t>
      </w:r>
      <w:r>
        <w:rPr>
          <w:rFonts w:ascii="Times New Roman" w:hAnsi="Times New Roman"/>
          <w:w w:val="110"/>
        </w:rPr>
        <w:t>is</w:t>
      </w:r>
      <w:r>
        <w:rPr>
          <w:rFonts w:ascii="Times New Roman" w:hAnsi="Times New Roman"/>
          <w:spacing w:val="-5"/>
          <w:w w:val="110"/>
        </w:rPr>
        <w:t xml:space="preserve"> </w:t>
      </w:r>
      <w:r>
        <w:rPr>
          <w:rFonts w:ascii="Times New Roman" w:hAnsi="Times New Roman"/>
          <w:w w:val="110"/>
        </w:rPr>
        <w:t>the</w:t>
      </w:r>
      <w:r>
        <w:rPr>
          <w:rFonts w:ascii="Times New Roman" w:hAnsi="Times New Roman"/>
          <w:spacing w:val="-5"/>
          <w:w w:val="110"/>
        </w:rPr>
        <w:t xml:space="preserve"> </w:t>
      </w:r>
      <w:r>
        <w:rPr>
          <w:rFonts w:ascii="Times New Roman" w:hAnsi="Times New Roman"/>
          <w:w w:val="110"/>
        </w:rPr>
        <w:t>estimated</w:t>
      </w:r>
      <w:r>
        <w:rPr>
          <w:rFonts w:ascii="Times New Roman" w:hAnsi="Times New Roman"/>
          <w:spacing w:val="-5"/>
          <w:w w:val="110"/>
        </w:rPr>
        <w:t xml:space="preserve"> </w:t>
      </w:r>
      <w:r>
        <w:rPr>
          <w:rFonts w:ascii="Times New Roman" w:hAnsi="Times New Roman"/>
          <w:w w:val="110"/>
        </w:rPr>
        <w:t>standard</w:t>
      </w:r>
      <w:r>
        <w:rPr>
          <w:rFonts w:ascii="Times New Roman" w:hAnsi="Times New Roman"/>
          <w:spacing w:val="-5"/>
          <w:w w:val="110"/>
        </w:rPr>
        <w:t xml:space="preserve"> </w:t>
      </w:r>
      <w:r>
        <w:rPr>
          <w:rFonts w:ascii="Times New Roman" w:hAnsi="Times New Roman"/>
          <w:w w:val="110"/>
        </w:rPr>
        <w:t>deviation</w:t>
      </w:r>
      <w:r>
        <w:rPr>
          <w:rFonts w:ascii="Times New Roman" w:hAnsi="Times New Roman"/>
          <w:spacing w:val="-5"/>
          <w:w w:val="110"/>
        </w:rPr>
        <w:t xml:space="preserve"> </w:t>
      </w:r>
      <w:r>
        <w:rPr>
          <w:rFonts w:ascii="Times New Roman" w:hAnsi="Times New Roman"/>
          <w:w w:val="110"/>
        </w:rPr>
        <w:t>of</w:t>
      </w:r>
      <w:r w:rsidR="00C46599">
        <w:rPr>
          <w:rFonts w:ascii="Times New Roman" w:hAnsi="Times New Roman"/>
          <w:w w:val="110"/>
        </w:rPr>
        <w:t xml:space="preserve"> </w:t>
      </w:r>
      <m:oMath>
        <m:sSub>
          <m:sSubPr>
            <m:ctrlPr>
              <w:rPr>
                <w:rFonts w:ascii="Cambria Math" w:hAnsi="Cambria Math"/>
                <w:i/>
                <w:w w:val="110"/>
              </w:rPr>
            </m:ctrlPr>
          </m:sSubPr>
          <m:e>
            <m:bar>
              <m:barPr>
                <m:pos m:val="top"/>
                <m:ctrlPr>
                  <w:rPr>
                    <w:rFonts w:ascii="Cambria Math" w:hAnsi="Cambria Math"/>
                    <w:i/>
                    <w:w w:val="110"/>
                  </w:rPr>
                </m:ctrlPr>
              </m:barPr>
              <m:e>
                <m:r>
                  <w:rPr>
                    <w:rFonts w:ascii="Cambria Math" w:hAnsi="Cambria Math"/>
                    <w:w w:val="110"/>
                  </w:rPr>
                  <m:t>d</m:t>
                </m:r>
              </m:e>
            </m:bar>
          </m:e>
          <m:sub>
            <m:r>
              <w:rPr>
                <w:rFonts w:ascii="Cambria Math" w:hAnsi="Cambria Math"/>
                <w:w w:val="110"/>
              </w:rPr>
              <m:t>ij</m:t>
            </m:r>
          </m:sub>
        </m:sSub>
      </m:oMath>
      <w:r>
        <w:rPr>
          <w:rFonts w:ascii="Times New Roman" w:hAnsi="Times New Roman"/>
          <w:w w:val="110"/>
        </w:rPr>
        <w:t>.</w:t>
      </w:r>
      <w:r>
        <w:rPr>
          <w:rFonts w:ascii="Times New Roman" w:hAnsi="Times New Roman"/>
          <w:spacing w:val="12"/>
          <w:w w:val="110"/>
        </w:rPr>
        <w:t xml:space="preserve"> </w:t>
      </w:r>
      <w:r>
        <w:rPr>
          <w:rFonts w:ascii="Times New Roman" w:hAnsi="Times New Roman"/>
          <w:w w:val="110"/>
        </w:rPr>
        <w:t>The</w:t>
      </w:r>
      <w:r>
        <w:rPr>
          <w:rFonts w:ascii="Times New Roman" w:hAnsi="Times New Roman"/>
          <w:spacing w:val="-5"/>
          <w:w w:val="110"/>
        </w:rPr>
        <w:t xml:space="preserve"> </w:t>
      </w:r>
      <w:r>
        <w:rPr>
          <w:rFonts w:ascii="Times New Roman" w:hAnsi="Times New Roman"/>
          <w:w w:val="110"/>
        </w:rPr>
        <w:t>MCS</w:t>
      </w:r>
      <w:r>
        <w:rPr>
          <w:rFonts w:ascii="Times New Roman" w:hAnsi="Times New Roman"/>
          <w:spacing w:val="-5"/>
          <w:w w:val="110"/>
        </w:rPr>
        <w:t xml:space="preserve"> </w:t>
      </w:r>
      <w:r>
        <w:rPr>
          <w:rFonts w:ascii="Times New Roman" w:hAnsi="Times New Roman"/>
          <w:w w:val="110"/>
        </w:rPr>
        <w:t>uses</w:t>
      </w:r>
      <w:r>
        <w:rPr>
          <w:rFonts w:ascii="Times New Roman" w:hAnsi="Times New Roman"/>
          <w:spacing w:val="-6"/>
          <w:w w:val="110"/>
        </w:rPr>
        <w:t xml:space="preserve"> </w:t>
      </w:r>
      <w:r>
        <w:rPr>
          <w:rFonts w:ascii="Times New Roman" w:hAnsi="Times New Roman"/>
          <w:w w:val="110"/>
        </w:rPr>
        <w:t>the</w:t>
      </w:r>
      <w:r>
        <w:rPr>
          <w:rFonts w:ascii="Times New Roman" w:hAnsi="Times New Roman"/>
          <w:spacing w:val="-5"/>
          <w:w w:val="110"/>
        </w:rPr>
        <w:t xml:space="preserve"> </w:t>
      </w:r>
      <w:r>
        <w:rPr>
          <w:rFonts w:ascii="Times New Roman" w:hAnsi="Times New Roman"/>
          <w:w w:val="110"/>
        </w:rPr>
        <w:t>range</w:t>
      </w:r>
      <w:r>
        <w:rPr>
          <w:rFonts w:ascii="Times New Roman" w:hAnsi="Times New Roman"/>
          <w:spacing w:val="-5"/>
          <w:w w:val="110"/>
        </w:rPr>
        <w:t xml:space="preserve"> </w:t>
      </w:r>
      <w:r>
        <w:rPr>
          <w:rFonts w:ascii="Times New Roman" w:hAnsi="Times New Roman"/>
          <w:w w:val="110"/>
        </w:rPr>
        <w:t>test</w:t>
      </w:r>
      <w:r>
        <w:rPr>
          <w:rFonts w:ascii="Times New Roman" w:hAnsi="Times New Roman"/>
          <w:spacing w:val="-5"/>
          <w:w w:val="110"/>
        </w:rPr>
        <w:t xml:space="preserve"> </w:t>
      </w:r>
      <w:r>
        <w:rPr>
          <w:rFonts w:ascii="Times New Roman" w:hAnsi="Times New Roman"/>
          <w:spacing w:val="-2"/>
          <w:w w:val="110"/>
        </w:rPr>
        <w:t>statistic:</w:t>
      </w:r>
    </w:p>
    <w:p w14:paraId="596C9AA1" w14:textId="303D34D3" w:rsidR="00754207" w:rsidRDefault="00CD633C">
      <w:pPr>
        <w:pStyle w:val="FootnoteText"/>
      </w:pPr>
      <m:oMathPara>
        <m:oMath>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M</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ij</m:t>
                      </m:r>
                    </m:sub>
                  </m:sSub>
                </m:e>
              </m:d>
            </m:e>
          </m:func>
        </m:oMath>
      </m:oMathPara>
    </w:p>
  </w:footnote>
  <w:footnote w:id="10">
    <w:p w14:paraId="684895B6" w14:textId="77777777" w:rsidR="00FE26C4" w:rsidRDefault="00FE26C4" w:rsidP="00FE26C4">
      <w:pPr>
        <w:pStyle w:val="FootnoteText"/>
      </w:pPr>
      <w:r>
        <w:rPr>
          <w:rStyle w:val="FootnoteReference"/>
        </w:rPr>
        <w:footnoteRef/>
      </w:r>
      <w:r>
        <w:t xml:space="preserve"> Note the Markov switching model selects one autoregressive lag, compared to the linear</w:t>
      </w:r>
    </w:p>
    <w:p w14:paraId="43A463DF" w14:textId="77777777" w:rsidR="00FE26C4" w:rsidRDefault="00FE26C4" w:rsidP="00FE26C4">
      <w:pPr>
        <w:pStyle w:val="FootnoteText"/>
      </w:pPr>
      <w:r>
        <w:t>VECM’s three lags. This is likely due to the SIC penalising the additional parameters in the</w:t>
      </w:r>
    </w:p>
    <w:p w14:paraId="14984C6A" w14:textId="77777777" w:rsidR="00FE26C4" w:rsidRDefault="00FE26C4" w:rsidP="00FE26C4">
      <w:pPr>
        <w:pStyle w:val="FootnoteText"/>
      </w:pPr>
      <w:r>
        <w:t>state dependent models.</w:t>
      </w:r>
    </w:p>
  </w:footnote>
  <w:footnote w:id="11">
    <w:p w14:paraId="12939795" w14:textId="1986CD2D" w:rsidR="00EE25B3" w:rsidRDefault="00EE25B3" w:rsidP="00EE25B3">
      <w:pPr>
        <w:pStyle w:val="FootnoteText"/>
      </w:pPr>
      <w:r>
        <w:rPr>
          <w:rStyle w:val="FootnoteReference"/>
        </w:rPr>
        <w:footnoteRef/>
      </w:r>
      <w:r>
        <w:t xml:space="preserve"> MS models without sufficient data suffer from two main issues: (i) the EM algorithm required</w:t>
      </w:r>
      <w:r w:rsidR="00E7373F">
        <w:t>.</w:t>
      </w:r>
    </w:p>
    <w:p w14:paraId="6741B295" w14:textId="432AE2FB" w:rsidR="00EE25B3" w:rsidRDefault="00EE25B3" w:rsidP="00EE25B3">
      <w:pPr>
        <w:pStyle w:val="FootnoteText"/>
      </w:pPr>
      <w:r>
        <w:t>for MLE parameter estimation is sensitive to initial values and may converge to local maxima rather than the global maximum, resulting in incorrect parameter estimates; (ii) the MS models may fail to detect structural breaks, causing the EM algorithm to fail to converge to well-behaved estimates. Window sizes smaller than 25 years commonly encountered these issues.</w:t>
      </w:r>
    </w:p>
  </w:footnote>
  <w:footnote w:id="12">
    <w:p w14:paraId="6D5D845B" w14:textId="5F2E08DB" w:rsidR="003B6D14" w:rsidRDefault="003B6D14">
      <w:pPr>
        <w:pStyle w:val="FootnoteText"/>
      </w:pPr>
      <w:r>
        <w:rPr>
          <w:rStyle w:val="FootnoteReference"/>
        </w:rPr>
        <w:footnoteRef/>
      </w:r>
      <w:r>
        <w:t xml:space="preserve"> </w:t>
      </w:r>
      <w:r w:rsidRPr="003B6D14">
        <w:t>While the CV(12) process selects the VECM(8) as the optimal model over the training sample, the VECM(4) achieves superior out-of-sample performance. Forecast tables with results for the VECM(8) are available upon request.</w:t>
      </w:r>
    </w:p>
  </w:footnote>
  <w:footnote w:id="13">
    <w:p w14:paraId="5615824C" w14:textId="4AB34B20" w:rsidR="009E7B90" w:rsidRDefault="009E7B90" w:rsidP="009E7B90">
      <w:pPr>
        <w:pStyle w:val="FootnoteText"/>
      </w:pPr>
      <w:r>
        <w:rPr>
          <w:rStyle w:val="FootnoteReference"/>
        </w:rPr>
        <w:footnoteRef/>
      </w:r>
      <w:r>
        <w:t xml:space="preserve"> This latter issue could be overcome with a longer cross validation period, however we do not have enough observations to do so. Another possibility is the breakdown of long-term cointegrating relationships during the crisis. The assumption of a state-invariant cointegrating vector in our MS</w:t>
      </w:r>
      <w:r w:rsidR="00B84C54">
        <w:noBreakHyphen/>
      </w:r>
      <w:r>
        <w:t>VECM models may be false requiring state-dependent cointegration. This is left for further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A200" w14:textId="0B795CAE" w:rsidR="00363C74" w:rsidRDefault="0093626F">
    <w:pPr>
      <w:pStyle w:val="Header"/>
    </w:pPr>
    <w:r>
      <w:rPr>
        <w:noProof/>
      </w:rPr>
      <mc:AlternateContent>
        <mc:Choice Requires="wpg">
          <w:drawing>
            <wp:anchor distT="0" distB="0" distL="114300" distR="114300" simplePos="0" relativeHeight="251661312" behindDoc="0" locked="0" layoutInCell="1" allowOverlap="1" wp14:anchorId="49E54378" wp14:editId="3B8471E9">
              <wp:simplePos x="0" y="0"/>
              <wp:positionH relativeFrom="margin">
                <wp:align>center</wp:align>
              </wp:positionH>
              <wp:positionV relativeFrom="page">
                <wp:align>top</wp:align>
              </wp:positionV>
              <wp:extent cx="7598664" cy="978408"/>
              <wp:effectExtent l="0" t="0" r="2540" b="0"/>
              <wp:wrapNone/>
              <wp:docPr id="22711960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362482796"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733823"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998019"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3239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16717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chemeClr val="bg2">
                            <a:alpha val="2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F82A4" id="Page banner" o:spid="_x0000_s1026" alt="&quot;&quot;" style="position:absolute;margin-left:0;margin-top:0;width:598.3pt;height:77.05pt;z-index:251661312;mso-position-horizontal:center;mso-position-horizontal-relative:margin;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" path="m,l5670043,r,733806l,733806,,xe" fillcolor="#232b39 [3213]"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" path="m1209580,r,733806l,733806,346805,r862775,xe" fillcolor="#68cef2 [3205]"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" path="m,733806r774859,l1121664,,346805,,,733806xe" fillcolor="#0072ce [3204]"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" path="m,l346805,733711r515969,l862774,,,xe" fillcolor="#c2ebfa [3214]"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" path="m,l774573,,952500,376238r-774668,l,xe" fillcolor="#c2ebfa [3214]" stroked="f">
                <v:fill opacity="13107f"/>
                <v:stroke joinstyle="miter"/>
                <v:path arrowok="t" o:connecttype="custom" o:connectlocs="0,0;1038230,0;1276722,501650;238364,501650" o:connectangles="0,0,0,0"/>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FC2A" w14:textId="1B1D528B" w:rsidR="00363C74" w:rsidRPr="000306DC" w:rsidRDefault="00363C74" w:rsidP="000306DC">
    <w:pPr>
      <w:pStyle w:val="Header"/>
    </w:pPr>
    <w:r>
      <w:rPr>
        <w:noProof/>
      </w:rPr>
      <mc:AlternateContent>
        <mc:Choice Requires="wpg">
          <w:drawing>
            <wp:anchor distT="0" distB="0" distL="114300" distR="114300" simplePos="0" relativeHeight="251659264" behindDoc="0" locked="0" layoutInCell="1" allowOverlap="1" wp14:anchorId="4EF470FE" wp14:editId="6DE09FF8">
              <wp:simplePos x="0" y="0"/>
              <wp:positionH relativeFrom="page">
                <wp:align>left</wp:align>
              </wp:positionH>
              <wp:positionV relativeFrom="page">
                <wp:align>top</wp:align>
              </wp:positionV>
              <wp:extent cx="7598664" cy="978408"/>
              <wp:effectExtent l="0" t="0" r="2540" b="0"/>
              <wp:wrapNone/>
              <wp:docPr id="3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4"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chemeClr val="bg2">
                            <a:alpha val="2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C4314" id="Page banner" o:spid="_x0000_s1026" alt="&quot;&quot;" style="position:absolute;margin-left:0;margin-top:0;width:598.3pt;height:77.05pt;z-index:251659264;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" path="m,l5670043,r,733806l,733806,,xe" fillcolor="#232b39 [3213]"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" path="m1209580,r,733806l,733806,346805,r862775,xe" fillcolor="#68cef2 [3205]"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" path="m,733806r774859,l1121664,,346805,,,733806xe" fillcolor="#0072ce [3204]"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" path="m,l346805,733711r515969,l862774,,,xe" fillcolor="#c2ebfa [3214]"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" path="m,l774573,,952500,376238r-774668,l,xe" fillcolor="#c2ebfa [3214]" stroked="f">
                <v:fill opacity="13107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B40EEF"/>
    <w:multiLevelType w:val="hybridMultilevel"/>
    <w:tmpl w:val="222A1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450DE"/>
    <w:multiLevelType w:val="hybridMultilevel"/>
    <w:tmpl w:val="1C52CB9A"/>
    <w:lvl w:ilvl="0" w:tplc="FFFFFFFF">
      <w:start w:val="1"/>
      <w:numFmt w:val="lowerLetter"/>
      <w:lvlText w:val="(%1)"/>
      <w:lvlJc w:val="left"/>
      <w:pPr>
        <w:ind w:left="2849" w:hanging="352"/>
        <w:jc w:val="right"/>
      </w:pPr>
      <w:rPr>
        <w:rFonts w:ascii="Times New Roman" w:eastAsia="Times New Roman" w:hAnsi="Times New Roman" w:cs="Times New Roman" w:hint="default"/>
        <w:b w:val="0"/>
        <w:bCs w:val="0"/>
        <w:i w:val="0"/>
        <w:iCs w:val="0"/>
        <w:spacing w:val="0"/>
        <w:w w:val="114"/>
        <w:sz w:val="22"/>
        <w:szCs w:val="22"/>
        <w:lang w:val="en-US" w:eastAsia="en-US" w:bidi="ar-SA"/>
      </w:rPr>
    </w:lvl>
    <w:lvl w:ilvl="1" w:tplc="FFFFFFFF">
      <w:numFmt w:val="bullet"/>
      <w:lvlText w:val="•"/>
      <w:lvlJc w:val="left"/>
      <w:pPr>
        <w:ind w:left="3444" w:hanging="352"/>
      </w:pPr>
      <w:rPr>
        <w:rFonts w:hint="default"/>
        <w:lang w:val="en-US" w:eastAsia="en-US" w:bidi="ar-SA"/>
      </w:rPr>
    </w:lvl>
    <w:lvl w:ilvl="2" w:tplc="FFFFFFFF">
      <w:numFmt w:val="bullet"/>
      <w:lvlText w:val="•"/>
      <w:lvlJc w:val="left"/>
      <w:pPr>
        <w:ind w:left="4049" w:hanging="352"/>
      </w:pPr>
      <w:rPr>
        <w:rFonts w:hint="default"/>
        <w:lang w:val="en-US" w:eastAsia="en-US" w:bidi="ar-SA"/>
      </w:rPr>
    </w:lvl>
    <w:lvl w:ilvl="3" w:tplc="FFFFFFFF">
      <w:numFmt w:val="bullet"/>
      <w:lvlText w:val="•"/>
      <w:lvlJc w:val="left"/>
      <w:pPr>
        <w:ind w:left="4653" w:hanging="352"/>
      </w:pPr>
      <w:rPr>
        <w:rFonts w:hint="default"/>
        <w:lang w:val="en-US" w:eastAsia="en-US" w:bidi="ar-SA"/>
      </w:rPr>
    </w:lvl>
    <w:lvl w:ilvl="4" w:tplc="FFFFFFFF">
      <w:numFmt w:val="bullet"/>
      <w:lvlText w:val="•"/>
      <w:lvlJc w:val="left"/>
      <w:pPr>
        <w:ind w:left="5258" w:hanging="352"/>
      </w:pPr>
      <w:rPr>
        <w:rFonts w:hint="default"/>
        <w:lang w:val="en-US" w:eastAsia="en-US" w:bidi="ar-SA"/>
      </w:rPr>
    </w:lvl>
    <w:lvl w:ilvl="5" w:tplc="FFFFFFFF">
      <w:numFmt w:val="bullet"/>
      <w:lvlText w:val="•"/>
      <w:lvlJc w:val="left"/>
      <w:pPr>
        <w:ind w:left="5862" w:hanging="352"/>
      </w:pPr>
      <w:rPr>
        <w:rFonts w:hint="default"/>
        <w:lang w:val="en-US" w:eastAsia="en-US" w:bidi="ar-SA"/>
      </w:rPr>
    </w:lvl>
    <w:lvl w:ilvl="6" w:tplc="FFFFFFFF">
      <w:numFmt w:val="bullet"/>
      <w:lvlText w:val="•"/>
      <w:lvlJc w:val="left"/>
      <w:pPr>
        <w:ind w:left="6467" w:hanging="352"/>
      </w:pPr>
      <w:rPr>
        <w:rFonts w:hint="default"/>
        <w:lang w:val="en-US" w:eastAsia="en-US" w:bidi="ar-SA"/>
      </w:rPr>
    </w:lvl>
    <w:lvl w:ilvl="7" w:tplc="FFFFFFFF">
      <w:numFmt w:val="bullet"/>
      <w:lvlText w:val="•"/>
      <w:lvlJc w:val="left"/>
      <w:pPr>
        <w:ind w:left="7071" w:hanging="352"/>
      </w:pPr>
      <w:rPr>
        <w:rFonts w:hint="default"/>
        <w:lang w:val="en-US" w:eastAsia="en-US" w:bidi="ar-SA"/>
      </w:rPr>
    </w:lvl>
    <w:lvl w:ilvl="8" w:tplc="FFFFFFFF">
      <w:numFmt w:val="bullet"/>
      <w:lvlText w:val="•"/>
      <w:lvlJc w:val="left"/>
      <w:pPr>
        <w:ind w:left="7676" w:hanging="352"/>
      </w:pPr>
      <w:rPr>
        <w:rFonts w:hint="default"/>
        <w:lang w:val="en-US" w:eastAsia="en-US" w:bidi="ar-SA"/>
      </w:rPr>
    </w:lvl>
  </w:abstractNum>
  <w:abstractNum w:abstractNumId="3" w15:restartNumberingAfterBreak="0">
    <w:nsid w:val="26456FFD"/>
    <w:multiLevelType w:val="multilevel"/>
    <w:tmpl w:val="0EA8B9BE"/>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8A5FD9"/>
    <w:multiLevelType w:val="multilevel"/>
    <w:tmpl w:val="F892A260"/>
    <w:lvl w:ilvl="0">
      <w:start w:val="1"/>
      <w:numFmt w:val="decimal"/>
      <w:lvlText w:val="%1"/>
      <w:lvlJc w:val="left"/>
      <w:pPr>
        <w:ind w:left="681" w:hanging="582"/>
      </w:pPr>
      <w:rPr>
        <w:rFonts w:ascii="Georgia" w:eastAsia="Georgia" w:hAnsi="Georgia" w:cs="Georgia" w:hint="default"/>
        <w:b/>
        <w:bCs/>
        <w:i w:val="0"/>
        <w:iCs w:val="0"/>
        <w:spacing w:val="0"/>
        <w:w w:val="116"/>
        <w:sz w:val="34"/>
        <w:szCs w:val="34"/>
        <w:lang w:val="en-US" w:eastAsia="en-US" w:bidi="ar-SA"/>
      </w:rPr>
    </w:lvl>
    <w:lvl w:ilvl="1">
      <w:start w:val="1"/>
      <w:numFmt w:val="decimal"/>
      <w:lvlText w:val="%1.%2"/>
      <w:lvlJc w:val="left"/>
      <w:pPr>
        <w:ind w:left="836" w:hanging="736"/>
      </w:pPr>
      <w:rPr>
        <w:rFonts w:ascii="Georgia" w:eastAsia="Georgia" w:hAnsi="Georgia" w:cs="Georgia" w:hint="default"/>
        <w:b/>
        <w:bCs/>
        <w:i w:val="0"/>
        <w:iCs w:val="0"/>
        <w:spacing w:val="0"/>
        <w:w w:val="102"/>
        <w:sz w:val="28"/>
        <w:szCs w:val="28"/>
        <w:lang w:val="en-US" w:eastAsia="en-US" w:bidi="ar-SA"/>
      </w:rPr>
    </w:lvl>
    <w:lvl w:ilvl="2">
      <w:start w:val="1"/>
      <w:numFmt w:val="decimal"/>
      <w:lvlText w:val="%3."/>
      <w:lvlJc w:val="left"/>
      <w:pPr>
        <w:ind w:left="686" w:hanging="300"/>
      </w:pPr>
      <w:rPr>
        <w:rFonts w:ascii="Georgia" w:eastAsia="Georgia" w:hAnsi="Georgia" w:cs="Georgia" w:hint="default"/>
        <w:b w:val="0"/>
        <w:bCs w:val="0"/>
        <w:i w:val="0"/>
        <w:iCs w:val="0"/>
        <w:spacing w:val="0"/>
        <w:w w:val="108"/>
        <w:sz w:val="24"/>
        <w:szCs w:val="24"/>
        <w:lang w:val="en-US" w:eastAsia="en-US" w:bidi="ar-SA"/>
      </w:rPr>
    </w:lvl>
    <w:lvl w:ilvl="3">
      <w:numFmt w:val="bullet"/>
      <w:lvlText w:val="•"/>
      <w:lvlJc w:val="left"/>
      <w:pPr>
        <w:ind w:left="2627" w:hanging="300"/>
      </w:pPr>
      <w:rPr>
        <w:rFonts w:hint="default"/>
        <w:lang w:val="en-US" w:eastAsia="en-US" w:bidi="ar-SA"/>
      </w:rPr>
    </w:lvl>
    <w:lvl w:ilvl="4">
      <w:numFmt w:val="bullet"/>
      <w:lvlText w:val="•"/>
      <w:lvlJc w:val="left"/>
      <w:pPr>
        <w:ind w:left="3521" w:hanging="300"/>
      </w:pPr>
      <w:rPr>
        <w:rFonts w:hint="default"/>
        <w:lang w:val="en-US" w:eastAsia="en-US" w:bidi="ar-SA"/>
      </w:rPr>
    </w:lvl>
    <w:lvl w:ilvl="5">
      <w:numFmt w:val="bullet"/>
      <w:lvlText w:val="•"/>
      <w:lvlJc w:val="left"/>
      <w:pPr>
        <w:ind w:left="4415" w:hanging="300"/>
      </w:pPr>
      <w:rPr>
        <w:rFonts w:hint="default"/>
        <w:lang w:val="en-US" w:eastAsia="en-US" w:bidi="ar-SA"/>
      </w:rPr>
    </w:lvl>
    <w:lvl w:ilvl="6">
      <w:numFmt w:val="bullet"/>
      <w:lvlText w:val="•"/>
      <w:lvlJc w:val="left"/>
      <w:pPr>
        <w:ind w:left="5309" w:hanging="300"/>
      </w:pPr>
      <w:rPr>
        <w:rFonts w:hint="default"/>
        <w:lang w:val="en-US" w:eastAsia="en-US" w:bidi="ar-SA"/>
      </w:rPr>
    </w:lvl>
    <w:lvl w:ilvl="7">
      <w:numFmt w:val="bullet"/>
      <w:lvlText w:val="•"/>
      <w:lvlJc w:val="left"/>
      <w:pPr>
        <w:ind w:left="6203" w:hanging="300"/>
      </w:pPr>
      <w:rPr>
        <w:rFonts w:hint="default"/>
        <w:lang w:val="en-US" w:eastAsia="en-US" w:bidi="ar-SA"/>
      </w:rPr>
    </w:lvl>
    <w:lvl w:ilvl="8">
      <w:numFmt w:val="bullet"/>
      <w:lvlText w:val="•"/>
      <w:lvlJc w:val="left"/>
      <w:pPr>
        <w:ind w:left="7097" w:hanging="300"/>
      </w:pPr>
      <w:rPr>
        <w:rFonts w:hint="default"/>
        <w:lang w:val="en-US" w:eastAsia="en-US" w:bidi="ar-SA"/>
      </w:rPr>
    </w:lvl>
  </w:abstractNum>
  <w:abstractNum w:abstractNumId="5" w15:restartNumberingAfterBreak="0">
    <w:nsid w:val="3A464FC4"/>
    <w:multiLevelType w:val="multilevel"/>
    <w:tmpl w:val="E63E926A"/>
    <w:lvl w:ilvl="0">
      <w:start w:val="1"/>
      <w:numFmt w:val="decimal"/>
      <w:lvlRestart w:val="0"/>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right"/>
      <w:pPr>
        <w:ind w:left="0" w:firstLine="0"/>
      </w:pPr>
      <w:rPr>
        <w:rFonts w:hint="default"/>
      </w:rPr>
    </w:lvl>
    <w:lvl w:ilvl="4">
      <w:start w:val="1"/>
      <w:numFmt w:val="lowerRoman"/>
      <w:lvlText w:val="(%5)"/>
      <w:lvlJc w:val="left"/>
      <w:pPr>
        <w:tabs>
          <w:tab w:val="num" w:pos="1354"/>
        </w:tabs>
        <w:ind w:left="1354" w:hanging="562"/>
      </w:pPr>
      <w:rPr>
        <w:rFonts w:hint="default"/>
      </w:rPr>
    </w:lvl>
    <w:lvl w:ilvl="5">
      <w:start w:val="1"/>
      <w:numFmt w:val="lowerLetter"/>
      <w:lvlText w:val="(%6)"/>
      <w:lvlJc w:val="left"/>
      <w:pPr>
        <w:tabs>
          <w:tab w:val="num" w:pos="1930"/>
        </w:tabs>
        <w:ind w:left="1930" w:hanging="576"/>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B6058DE"/>
    <w:multiLevelType w:val="hybridMultilevel"/>
    <w:tmpl w:val="A45CDA8C"/>
    <w:lvl w:ilvl="0" w:tplc="19CC1CBC">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BC1963"/>
    <w:multiLevelType w:val="multilevel"/>
    <w:tmpl w:val="547EBC8C"/>
    <w:lvl w:ilvl="0">
      <w:start w:val="1"/>
      <w:numFmt w:val="lowerLetter"/>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1"/>
      <w:numFmt w:val="lowerLetter"/>
      <w:lvlText w:val="(%3)"/>
      <w:lvlJc w:val="left"/>
      <w:pPr>
        <w:tabs>
          <w:tab w:val="num" w:pos="1584"/>
        </w:tabs>
        <w:ind w:left="792" w:firstLine="0"/>
      </w:pPr>
      <w:rPr>
        <w:rFonts w:hint="default"/>
      </w:rPr>
    </w:lvl>
    <w:lvl w:ilvl="3">
      <w:start w:val="1"/>
      <w:numFmt w:val="lowerRoman"/>
      <w:lvlText w:val="(%4)"/>
      <w:lvlJc w:val="right"/>
      <w:pPr>
        <w:tabs>
          <w:tab w:val="num" w:pos="2304"/>
        </w:tabs>
        <w:ind w:left="2304" w:hanging="720"/>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7A7E12E5"/>
    <w:multiLevelType w:val="hybridMultilevel"/>
    <w:tmpl w:val="A8B82154"/>
    <w:lvl w:ilvl="0" w:tplc="DB862236">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D44514"/>
    <w:multiLevelType w:val="multilevel"/>
    <w:tmpl w:val="D050108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864" w:hanging="504"/>
      </w:pPr>
      <w:rPr>
        <w:rFonts w:hint="default"/>
      </w:rPr>
    </w:lvl>
    <w:lvl w:ilvl="2">
      <w:start w:val="1"/>
      <w:numFmt w:val="decimal"/>
      <w:pStyle w:val="Heading1numbered"/>
      <w:lvlText w:val="%3."/>
      <w:lvlJc w:val="left"/>
      <w:pPr>
        <w:ind w:left="576" w:hanging="576"/>
      </w:pPr>
      <w:rPr>
        <w:rFonts w:hint="default"/>
      </w:rPr>
    </w:lvl>
    <w:lvl w:ilvl="3">
      <w:start w:val="1"/>
      <w:numFmt w:val="decimal"/>
      <w:pStyle w:val="Heading2numbered"/>
      <w:lvlText w:val="%3.%4"/>
      <w:lvlJc w:val="left"/>
      <w:pPr>
        <w:ind w:left="576" w:hanging="576"/>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num w:numId="1" w16cid:durableId="2052145418">
    <w:abstractNumId w:val="6"/>
  </w:num>
  <w:num w:numId="2" w16cid:durableId="1954752746">
    <w:abstractNumId w:val="6"/>
  </w:num>
  <w:num w:numId="3" w16cid:durableId="812525281">
    <w:abstractNumId w:val="6"/>
  </w:num>
  <w:num w:numId="4" w16cid:durableId="2115855117">
    <w:abstractNumId w:val="10"/>
  </w:num>
  <w:num w:numId="5" w16cid:durableId="929235804">
    <w:abstractNumId w:val="6"/>
  </w:num>
  <w:num w:numId="6" w16cid:durableId="1030452867">
    <w:abstractNumId w:val="6"/>
  </w:num>
  <w:num w:numId="7" w16cid:durableId="1747532677">
    <w:abstractNumId w:val="6"/>
  </w:num>
  <w:num w:numId="8" w16cid:durableId="470050">
    <w:abstractNumId w:val="6"/>
  </w:num>
  <w:num w:numId="9" w16cid:durableId="1668821685">
    <w:abstractNumId w:val="10"/>
  </w:num>
  <w:num w:numId="10" w16cid:durableId="1328945732">
    <w:abstractNumId w:val="10"/>
  </w:num>
  <w:num w:numId="11" w16cid:durableId="859204079">
    <w:abstractNumId w:val="10"/>
  </w:num>
  <w:num w:numId="12" w16cid:durableId="514924597">
    <w:abstractNumId w:val="10"/>
  </w:num>
  <w:num w:numId="13" w16cid:durableId="1877160795">
    <w:abstractNumId w:val="10"/>
  </w:num>
  <w:num w:numId="14" w16cid:durableId="1741558725">
    <w:abstractNumId w:val="10"/>
  </w:num>
  <w:num w:numId="15" w16cid:durableId="1296908031">
    <w:abstractNumId w:val="10"/>
  </w:num>
  <w:num w:numId="16" w16cid:durableId="398670539">
    <w:abstractNumId w:val="10"/>
  </w:num>
  <w:num w:numId="17" w16cid:durableId="1402099269">
    <w:abstractNumId w:val="3"/>
  </w:num>
  <w:num w:numId="18" w16cid:durableId="1034843525">
    <w:abstractNumId w:val="3"/>
  </w:num>
  <w:num w:numId="19" w16cid:durableId="794177471">
    <w:abstractNumId w:val="9"/>
  </w:num>
  <w:num w:numId="20" w16cid:durableId="2083939923">
    <w:abstractNumId w:val="0"/>
  </w:num>
  <w:num w:numId="21" w16cid:durableId="1273633057">
    <w:abstractNumId w:val="5"/>
  </w:num>
  <w:num w:numId="22" w16cid:durableId="18097825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8742325">
    <w:abstractNumId w:val="4"/>
  </w:num>
  <w:num w:numId="24" w16cid:durableId="238714729">
    <w:abstractNumId w:val="2"/>
  </w:num>
  <w:num w:numId="25" w16cid:durableId="961573381">
    <w:abstractNumId w:val="1"/>
  </w:num>
  <w:num w:numId="26" w16cid:durableId="16639700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93"/>
    <w:rsid w:val="00012F6F"/>
    <w:rsid w:val="00014213"/>
    <w:rsid w:val="00014B55"/>
    <w:rsid w:val="00020E3E"/>
    <w:rsid w:val="00023BF3"/>
    <w:rsid w:val="00026811"/>
    <w:rsid w:val="000306DC"/>
    <w:rsid w:val="000350A3"/>
    <w:rsid w:val="00040365"/>
    <w:rsid w:val="00042C25"/>
    <w:rsid w:val="0004356D"/>
    <w:rsid w:val="00045186"/>
    <w:rsid w:val="00045296"/>
    <w:rsid w:val="00046694"/>
    <w:rsid w:val="00050A9D"/>
    <w:rsid w:val="00075E6C"/>
    <w:rsid w:val="00077F4E"/>
    <w:rsid w:val="00093BB9"/>
    <w:rsid w:val="000B0E42"/>
    <w:rsid w:val="000B1D4B"/>
    <w:rsid w:val="000B29AD"/>
    <w:rsid w:val="000B372C"/>
    <w:rsid w:val="000B5E9B"/>
    <w:rsid w:val="000C1F72"/>
    <w:rsid w:val="000C20B3"/>
    <w:rsid w:val="000C3DC2"/>
    <w:rsid w:val="000C6372"/>
    <w:rsid w:val="000E392D"/>
    <w:rsid w:val="000F226C"/>
    <w:rsid w:val="000F4288"/>
    <w:rsid w:val="000F5D63"/>
    <w:rsid w:val="000F7165"/>
    <w:rsid w:val="00100036"/>
    <w:rsid w:val="0010070E"/>
    <w:rsid w:val="00102379"/>
    <w:rsid w:val="001065D6"/>
    <w:rsid w:val="00110BF6"/>
    <w:rsid w:val="00111003"/>
    <w:rsid w:val="00120114"/>
    <w:rsid w:val="00121252"/>
    <w:rsid w:val="00121FF1"/>
    <w:rsid w:val="00124609"/>
    <w:rsid w:val="001254CE"/>
    <w:rsid w:val="00126C29"/>
    <w:rsid w:val="00130F36"/>
    <w:rsid w:val="00130F54"/>
    <w:rsid w:val="001340FA"/>
    <w:rsid w:val="00134CEA"/>
    <w:rsid w:val="001405DB"/>
    <w:rsid w:val="001422CC"/>
    <w:rsid w:val="0014428F"/>
    <w:rsid w:val="00150EF1"/>
    <w:rsid w:val="00154DDD"/>
    <w:rsid w:val="001617B6"/>
    <w:rsid w:val="00165E66"/>
    <w:rsid w:val="00172227"/>
    <w:rsid w:val="00174F7A"/>
    <w:rsid w:val="001A33E9"/>
    <w:rsid w:val="001B0222"/>
    <w:rsid w:val="001B312E"/>
    <w:rsid w:val="001B67D7"/>
    <w:rsid w:val="001C61B7"/>
    <w:rsid w:val="001C6478"/>
    <w:rsid w:val="001C68F4"/>
    <w:rsid w:val="001C7BAE"/>
    <w:rsid w:val="001D543F"/>
    <w:rsid w:val="001E31FA"/>
    <w:rsid w:val="001E5790"/>
    <w:rsid w:val="001E64F6"/>
    <w:rsid w:val="001E7221"/>
    <w:rsid w:val="001F5CDA"/>
    <w:rsid w:val="00211671"/>
    <w:rsid w:val="00211CC6"/>
    <w:rsid w:val="00222B1B"/>
    <w:rsid w:val="00222BEB"/>
    <w:rsid w:val="00222E93"/>
    <w:rsid w:val="00225E60"/>
    <w:rsid w:val="0023202C"/>
    <w:rsid w:val="00236203"/>
    <w:rsid w:val="00245043"/>
    <w:rsid w:val="00257760"/>
    <w:rsid w:val="002610B1"/>
    <w:rsid w:val="00271D7E"/>
    <w:rsid w:val="00274CF4"/>
    <w:rsid w:val="00280B5A"/>
    <w:rsid w:val="002847B0"/>
    <w:rsid w:val="00290A2E"/>
    <w:rsid w:val="00292D36"/>
    <w:rsid w:val="00293A31"/>
    <w:rsid w:val="00295C90"/>
    <w:rsid w:val="00297281"/>
    <w:rsid w:val="002A0C7B"/>
    <w:rsid w:val="002B6ACE"/>
    <w:rsid w:val="002B73CA"/>
    <w:rsid w:val="002C54E0"/>
    <w:rsid w:val="002D037A"/>
    <w:rsid w:val="002D711A"/>
    <w:rsid w:val="002D7336"/>
    <w:rsid w:val="002D73F1"/>
    <w:rsid w:val="002D7AA2"/>
    <w:rsid w:val="002E1BD0"/>
    <w:rsid w:val="002E3396"/>
    <w:rsid w:val="00302950"/>
    <w:rsid w:val="0030670A"/>
    <w:rsid w:val="0031149C"/>
    <w:rsid w:val="00321F10"/>
    <w:rsid w:val="00326087"/>
    <w:rsid w:val="003316CD"/>
    <w:rsid w:val="00342822"/>
    <w:rsid w:val="00346A4B"/>
    <w:rsid w:val="00351EDE"/>
    <w:rsid w:val="00353817"/>
    <w:rsid w:val="00363378"/>
    <w:rsid w:val="00363C74"/>
    <w:rsid w:val="00366AE9"/>
    <w:rsid w:val="003734E0"/>
    <w:rsid w:val="003823BA"/>
    <w:rsid w:val="0038771C"/>
    <w:rsid w:val="0039405B"/>
    <w:rsid w:val="003A1C92"/>
    <w:rsid w:val="003A404D"/>
    <w:rsid w:val="003A5298"/>
    <w:rsid w:val="003A541A"/>
    <w:rsid w:val="003A60CD"/>
    <w:rsid w:val="003A6923"/>
    <w:rsid w:val="003A799D"/>
    <w:rsid w:val="003B6D14"/>
    <w:rsid w:val="003C2C67"/>
    <w:rsid w:val="003C3D10"/>
    <w:rsid w:val="003C5BA4"/>
    <w:rsid w:val="003D3004"/>
    <w:rsid w:val="003D69C8"/>
    <w:rsid w:val="003E1BFA"/>
    <w:rsid w:val="003E3E26"/>
    <w:rsid w:val="003E6E9D"/>
    <w:rsid w:val="003F1295"/>
    <w:rsid w:val="003F2B87"/>
    <w:rsid w:val="003F6D32"/>
    <w:rsid w:val="003F76FC"/>
    <w:rsid w:val="004002EB"/>
    <w:rsid w:val="0041689E"/>
    <w:rsid w:val="00422490"/>
    <w:rsid w:val="004236C8"/>
    <w:rsid w:val="00427681"/>
    <w:rsid w:val="00432D14"/>
    <w:rsid w:val="00433DB7"/>
    <w:rsid w:val="004409DB"/>
    <w:rsid w:val="004438AF"/>
    <w:rsid w:val="00444565"/>
    <w:rsid w:val="004446AD"/>
    <w:rsid w:val="00445DF7"/>
    <w:rsid w:val="004532A5"/>
    <w:rsid w:val="00453750"/>
    <w:rsid w:val="00456941"/>
    <w:rsid w:val="00462EB0"/>
    <w:rsid w:val="004633F9"/>
    <w:rsid w:val="0046388F"/>
    <w:rsid w:val="004702EA"/>
    <w:rsid w:val="00470B01"/>
    <w:rsid w:val="00477865"/>
    <w:rsid w:val="00482D02"/>
    <w:rsid w:val="00482E48"/>
    <w:rsid w:val="00483569"/>
    <w:rsid w:val="00485A26"/>
    <w:rsid w:val="00486CEB"/>
    <w:rsid w:val="00490668"/>
    <w:rsid w:val="0049737C"/>
    <w:rsid w:val="004A7519"/>
    <w:rsid w:val="004B04C6"/>
    <w:rsid w:val="004B0B20"/>
    <w:rsid w:val="004D3518"/>
    <w:rsid w:val="004D4A74"/>
    <w:rsid w:val="004D4CED"/>
    <w:rsid w:val="004D62D6"/>
    <w:rsid w:val="004D69D1"/>
    <w:rsid w:val="004E3D4D"/>
    <w:rsid w:val="00514E40"/>
    <w:rsid w:val="0053416C"/>
    <w:rsid w:val="00541C2F"/>
    <w:rsid w:val="00547C96"/>
    <w:rsid w:val="00554EDA"/>
    <w:rsid w:val="005573C3"/>
    <w:rsid w:val="00561A8B"/>
    <w:rsid w:val="00563527"/>
    <w:rsid w:val="00563A46"/>
    <w:rsid w:val="00580FF3"/>
    <w:rsid w:val="0058124E"/>
    <w:rsid w:val="00584301"/>
    <w:rsid w:val="005875A3"/>
    <w:rsid w:val="00591EF8"/>
    <w:rsid w:val="005932D1"/>
    <w:rsid w:val="0059461D"/>
    <w:rsid w:val="00596D49"/>
    <w:rsid w:val="005A3416"/>
    <w:rsid w:val="005A3885"/>
    <w:rsid w:val="005B27FE"/>
    <w:rsid w:val="005C1C7C"/>
    <w:rsid w:val="005C25AF"/>
    <w:rsid w:val="005C3E6D"/>
    <w:rsid w:val="005E4ED2"/>
    <w:rsid w:val="005F477A"/>
    <w:rsid w:val="005F61DF"/>
    <w:rsid w:val="006023F9"/>
    <w:rsid w:val="00610559"/>
    <w:rsid w:val="006332F6"/>
    <w:rsid w:val="006361E7"/>
    <w:rsid w:val="006400F0"/>
    <w:rsid w:val="00640C43"/>
    <w:rsid w:val="00641223"/>
    <w:rsid w:val="00643CCC"/>
    <w:rsid w:val="00643D0B"/>
    <w:rsid w:val="00646BF8"/>
    <w:rsid w:val="00652625"/>
    <w:rsid w:val="00652664"/>
    <w:rsid w:val="006534B2"/>
    <w:rsid w:val="0065590C"/>
    <w:rsid w:val="0065615D"/>
    <w:rsid w:val="00657011"/>
    <w:rsid w:val="00657ED9"/>
    <w:rsid w:val="0066287A"/>
    <w:rsid w:val="006650B5"/>
    <w:rsid w:val="006651B1"/>
    <w:rsid w:val="00665778"/>
    <w:rsid w:val="00677927"/>
    <w:rsid w:val="00680386"/>
    <w:rsid w:val="0068054F"/>
    <w:rsid w:val="00687F6C"/>
    <w:rsid w:val="006A401C"/>
    <w:rsid w:val="006A5B34"/>
    <w:rsid w:val="006A5F5B"/>
    <w:rsid w:val="006B6422"/>
    <w:rsid w:val="006B65B4"/>
    <w:rsid w:val="006C77A9"/>
    <w:rsid w:val="006D6C37"/>
    <w:rsid w:val="006E55B9"/>
    <w:rsid w:val="006F58EB"/>
    <w:rsid w:val="006F6693"/>
    <w:rsid w:val="0070119F"/>
    <w:rsid w:val="00701A96"/>
    <w:rsid w:val="00707FE8"/>
    <w:rsid w:val="007114C1"/>
    <w:rsid w:val="00713192"/>
    <w:rsid w:val="007143C0"/>
    <w:rsid w:val="00724962"/>
    <w:rsid w:val="00724A0F"/>
    <w:rsid w:val="007320B4"/>
    <w:rsid w:val="00732162"/>
    <w:rsid w:val="007355DA"/>
    <w:rsid w:val="00736732"/>
    <w:rsid w:val="0074629E"/>
    <w:rsid w:val="00750CBE"/>
    <w:rsid w:val="00754207"/>
    <w:rsid w:val="00766B5A"/>
    <w:rsid w:val="00782F64"/>
    <w:rsid w:val="007834F2"/>
    <w:rsid w:val="00785BCA"/>
    <w:rsid w:val="00790EC1"/>
    <w:rsid w:val="00791020"/>
    <w:rsid w:val="00794E6D"/>
    <w:rsid w:val="007A144A"/>
    <w:rsid w:val="007A4E19"/>
    <w:rsid w:val="007A5F82"/>
    <w:rsid w:val="007B23B7"/>
    <w:rsid w:val="007B3489"/>
    <w:rsid w:val="007C4DD6"/>
    <w:rsid w:val="007C68E4"/>
    <w:rsid w:val="007D1324"/>
    <w:rsid w:val="007D204B"/>
    <w:rsid w:val="007E3590"/>
    <w:rsid w:val="007E50C9"/>
    <w:rsid w:val="007F1A4C"/>
    <w:rsid w:val="008022C3"/>
    <w:rsid w:val="008041E6"/>
    <w:rsid w:val="008065D2"/>
    <w:rsid w:val="00810DEB"/>
    <w:rsid w:val="00817EA0"/>
    <w:rsid w:val="0082194C"/>
    <w:rsid w:val="00821CD6"/>
    <w:rsid w:val="008220C4"/>
    <w:rsid w:val="008222FF"/>
    <w:rsid w:val="008241FF"/>
    <w:rsid w:val="00824A0F"/>
    <w:rsid w:val="008344DB"/>
    <w:rsid w:val="008411E9"/>
    <w:rsid w:val="00841433"/>
    <w:rsid w:val="0084200F"/>
    <w:rsid w:val="00843B2C"/>
    <w:rsid w:val="00853635"/>
    <w:rsid w:val="008664EE"/>
    <w:rsid w:val="008668E2"/>
    <w:rsid w:val="00867CB5"/>
    <w:rsid w:val="00875A66"/>
    <w:rsid w:val="00877FAF"/>
    <w:rsid w:val="008A4900"/>
    <w:rsid w:val="008A5AF4"/>
    <w:rsid w:val="008B09AF"/>
    <w:rsid w:val="008B2322"/>
    <w:rsid w:val="008C6776"/>
    <w:rsid w:val="008D0281"/>
    <w:rsid w:val="008E3C4E"/>
    <w:rsid w:val="008E526A"/>
    <w:rsid w:val="008F3834"/>
    <w:rsid w:val="008F6D45"/>
    <w:rsid w:val="00904641"/>
    <w:rsid w:val="0091256E"/>
    <w:rsid w:val="00923C22"/>
    <w:rsid w:val="0093317E"/>
    <w:rsid w:val="0093626F"/>
    <w:rsid w:val="0094118F"/>
    <w:rsid w:val="00947460"/>
    <w:rsid w:val="00947FD9"/>
    <w:rsid w:val="00950524"/>
    <w:rsid w:val="0096103E"/>
    <w:rsid w:val="009654CF"/>
    <w:rsid w:val="009834C0"/>
    <w:rsid w:val="00986AAC"/>
    <w:rsid w:val="009A1DA2"/>
    <w:rsid w:val="009A3704"/>
    <w:rsid w:val="009A4739"/>
    <w:rsid w:val="009A5A98"/>
    <w:rsid w:val="009A674F"/>
    <w:rsid w:val="009A7650"/>
    <w:rsid w:val="009B199C"/>
    <w:rsid w:val="009B54C8"/>
    <w:rsid w:val="009B61F1"/>
    <w:rsid w:val="009B62E0"/>
    <w:rsid w:val="009B6E8A"/>
    <w:rsid w:val="009B7AFB"/>
    <w:rsid w:val="009C3D88"/>
    <w:rsid w:val="009C5761"/>
    <w:rsid w:val="009D28AE"/>
    <w:rsid w:val="009D3ADB"/>
    <w:rsid w:val="009D7BD5"/>
    <w:rsid w:val="009E3858"/>
    <w:rsid w:val="009E459A"/>
    <w:rsid w:val="009E6931"/>
    <w:rsid w:val="009E70DD"/>
    <w:rsid w:val="009E7B90"/>
    <w:rsid w:val="009F2ED9"/>
    <w:rsid w:val="009F3231"/>
    <w:rsid w:val="009F5C58"/>
    <w:rsid w:val="00A023A0"/>
    <w:rsid w:val="00A03562"/>
    <w:rsid w:val="00A12C44"/>
    <w:rsid w:val="00A1562B"/>
    <w:rsid w:val="00A170F4"/>
    <w:rsid w:val="00A2559E"/>
    <w:rsid w:val="00A25FD9"/>
    <w:rsid w:val="00A27711"/>
    <w:rsid w:val="00A46BA8"/>
    <w:rsid w:val="00A47634"/>
    <w:rsid w:val="00A47710"/>
    <w:rsid w:val="00A47AB0"/>
    <w:rsid w:val="00A551C5"/>
    <w:rsid w:val="00A606F0"/>
    <w:rsid w:val="00A612FE"/>
    <w:rsid w:val="00A7482E"/>
    <w:rsid w:val="00A753C6"/>
    <w:rsid w:val="00A76268"/>
    <w:rsid w:val="00A773AF"/>
    <w:rsid w:val="00AA26B8"/>
    <w:rsid w:val="00AA52F4"/>
    <w:rsid w:val="00AB3E87"/>
    <w:rsid w:val="00AB3FE2"/>
    <w:rsid w:val="00AB6159"/>
    <w:rsid w:val="00AB76A2"/>
    <w:rsid w:val="00AB7808"/>
    <w:rsid w:val="00AB7BDB"/>
    <w:rsid w:val="00AC0B05"/>
    <w:rsid w:val="00AC3983"/>
    <w:rsid w:val="00AD3322"/>
    <w:rsid w:val="00AD5A18"/>
    <w:rsid w:val="00AD7E4E"/>
    <w:rsid w:val="00AF0BC9"/>
    <w:rsid w:val="00AF4D58"/>
    <w:rsid w:val="00AF6666"/>
    <w:rsid w:val="00B10154"/>
    <w:rsid w:val="00B20D93"/>
    <w:rsid w:val="00B2330D"/>
    <w:rsid w:val="00B4634B"/>
    <w:rsid w:val="00B604F1"/>
    <w:rsid w:val="00B63EDA"/>
    <w:rsid w:val="00B76219"/>
    <w:rsid w:val="00B763EA"/>
    <w:rsid w:val="00B81B44"/>
    <w:rsid w:val="00B82868"/>
    <w:rsid w:val="00B84C54"/>
    <w:rsid w:val="00B9053B"/>
    <w:rsid w:val="00B93B26"/>
    <w:rsid w:val="00BB7B5F"/>
    <w:rsid w:val="00BC0FAC"/>
    <w:rsid w:val="00BC3422"/>
    <w:rsid w:val="00BC4B56"/>
    <w:rsid w:val="00BD7049"/>
    <w:rsid w:val="00BE5D89"/>
    <w:rsid w:val="00BF47B1"/>
    <w:rsid w:val="00C015B9"/>
    <w:rsid w:val="00C022F9"/>
    <w:rsid w:val="00C02BAA"/>
    <w:rsid w:val="00C032EA"/>
    <w:rsid w:val="00C06EB5"/>
    <w:rsid w:val="00C1145F"/>
    <w:rsid w:val="00C15681"/>
    <w:rsid w:val="00C16B21"/>
    <w:rsid w:val="00C24B45"/>
    <w:rsid w:val="00C25BF9"/>
    <w:rsid w:val="00C34277"/>
    <w:rsid w:val="00C371AE"/>
    <w:rsid w:val="00C4449D"/>
    <w:rsid w:val="00C46599"/>
    <w:rsid w:val="00C57EA0"/>
    <w:rsid w:val="00C61D7E"/>
    <w:rsid w:val="00C637E1"/>
    <w:rsid w:val="00C70339"/>
    <w:rsid w:val="00C70D50"/>
    <w:rsid w:val="00C72DDD"/>
    <w:rsid w:val="00C82B93"/>
    <w:rsid w:val="00C836A8"/>
    <w:rsid w:val="00C83B43"/>
    <w:rsid w:val="00C83CD8"/>
    <w:rsid w:val="00C907D7"/>
    <w:rsid w:val="00C92338"/>
    <w:rsid w:val="00C97491"/>
    <w:rsid w:val="00CA6261"/>
    <w:rsid w:val="00CA7C3A"/>
    <w:rsid w:val="00CB2DA4"/>
    <w:rsid w:val="00CB508B"/>
    <w:rsid w:val="00CC2DB2"/>
    <w:rsid w:val="00CC6B42"/>
    <w:rsid w:val="00CD0307"/>
    <w:rsid w:val="00CD24B1"/>
    <w:rsid w:val="00CD3D1B"/>
    <w:rsid w:val="00CD633C"/>
    <w:rsid w:val="00CF7DCA"/>
    <w:rsid w:val="00D07B21"/>
    <w:rsid w:val="00D10CF6"/>
    <w:rsid w:val="00D11DE1"/>
    <w:rsid w:val="00D211E9"/>
    <w:rsid w:val="00D21582"/>
    <w:rsid w:val="00D22927"/>
    <w:rsid w:val="00D2312F"/>
    <w:rsid w:val="00D268D5"/>
    <w:rsid w:val="00D269C1"/>
    <w:rsid w:val="00D26D3D"/>
    <w:rsid w:val="00D44953"/>
    <w:rsid w:val="00D463D1"/>
    <w:rsid w:val="00D5300B"/>
    <w:rsid w:val="00D542F3"/>
    <w:rsid w:val="00D5644B"/>
    <w:rsid w:val="00D56E25"/>
    <w:rsid w:val="00D648DA"/>
    <w:rsid w:val="00D678A6"/>
    <w:rsid w:val="00D718D7"/>
    <w:rsid w:val="00D814B7"/>
    <w:rsid w:val="00D90688"/>
    <w:rsid w:val="00DA3AAD"/>
    <w:rsid w:val="00DB312B"/>
    <w:rsid w:val="00DB4F52"/>
    <w:rsid w:val="00DB733F"/>
    <w:rsid w:val="00DC5654"/>
    <w:rsid w:val="00DC5FBD"/>
    <w:rsid w:val="00DC658F"/>
    <w:rsid w:val="00DD1D5E"/>
    <w:rsid w:val="00DE07E9"/>
    <w:rsid w:val="00DE60CC"/>
    <w:rsid w:val="00DE6638"/>
    <w:rsid w:val="00E1374B"/>
    <w:rsid w:val="00E23CDC"/>
    <w:rsid w:val="00E2544A"/>
    <w:rsid w:val="00E26B32"/>
    <w:rsid w:val="00E369FA"/>
    <w:rsid w:val="00E36DF1"/>
    <w:rsid w:val="00E407B6"/>
    <w:rsid w:val="00E41EF1"/>
    <w:rsid w:val="00E42942"/>
    <w:rsid w:val="00E468A6"/>
    <w:rsid w:val="00E50A69"/>
    <w:rsid w:val="00E651F2"/>
    <w:rsid w:val="00E71BDF"/>
    <w:rsid w:val="00E71E44"/>
    <w:rsid w:val="00E72700"/>
    <w:rsid w:val="00E7373F"/>
    <w:rsid w:val="00E83CA7"/>
    <w:rsid w:val="00E848DB"/>
    <w:rsid w:val="00E915CB"/>
    <w:rsid w:val="00EA1FD3"/>
    <w:rsid w:val="00EA4ED3"/>
    <w:rsid w:val="00EB2791"/>
    <w:rsid w:val="00EB5122"/>
    <w:rsid w:val="00EC171D"/>
    <w:rsid w:val="00EC3E66"/>
    <w:rsid w:val="00ED487E"/>
    <w:rsid w:val="00ED6676"/>
    <w:rsid w:val="00ED7DDB"/>
    <w:rsid w:val="00EE25B3"/>
    <w:rsid w:val="00EE4BB7"/>
    <w:rsid w:val="00EE549F"/>
    <w:rsid w:val="00EE7A0D"/>
    <w:rsid w:val="00EF15A2"/>
    <w:rsid w:val="00EF1CBA"/>
    <w:rsid w:val="00F01E85"/>
    <w:rsid w:val="00F0420B"/>
    <w:rsid w:val="00F04D01"/>
    <w:rsid w:val="00F16FD0"/>
    <w:rsid w:val="00F1715A"/>
    <w:rsid w:val="00F17CE1"/>
    <w:rsid w:val="00F20F4C"/>
    <w:rsid w:val="00F2115C"/>
    <w:rsid w:val="00F211F0"/>
    <w:rsid w:val="00F22ABA"/>
    <w:rsid w:val="00F23704"/>
    <w:rsid w:val="00F271CA"/>
    <w:rsid w:val="00F3004E"/>
    <w:rsid w:val="00F36B12"/>
    <w:rsid w:val="00F44452"/>
    <w:rsid w:val="00F45F5D"/>
    <w:rsid w:val="00F60F9F"/>
    <w:rsid w:val="00F64F08"/>
    <w:rsid w:val="00F734F5"/>
    <w:rsid w:val="00F80A69"/>
    <w:rsid w:val="00F82602"/>
    <w:rsid w:val="00F956D5"/>
    <w:rsid w:val="00F95CF9"/>
    <w:rsid w:val="00F966B1"/>
    <w:rsid w:val="00F97D48"/>
    <w:rsid w:val="00FA0311"/>
    <w:rsid w:val="00FC42E5"/>
    <w:rsid w:val="00FC64EC"/>
    <w:rsid w:val="00FD640F"/>
    <w:rsid w:val="00FD6B4C"/>
    <w:rsid w:val="00FD71D2"/>
    <w:rsid w:val="00FE26C4"/>
    <w:rsid w:val="00FF131D"/>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37833B"/>
  <w15:docId w15:val="{532D7CEB-A737-4CE1-95D7-78C6D3CD2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unhideWhenUsed="1" w:qFormat="1"/>
    <w:lsdException w:name="footnote text" w:semiHidden="1" w:unhideWhenUsed="1"/>
    <w:lsdException w:name="annotation text" w:semiHidden="1" w:unhideWhenUsed="1"/>
    <w:lsdException w:name="header" w:uiPriority="24" w:unhideWhenUsed="1"/>
    <w:lsdException w:name="footer" w:uiPriority="24"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C1F72"/>
    <w:pPr>
      <w:keepLines/>
      <w:spacing w:before="160" w:after="100"/>
    </w:pPr>
    <w:rPr>
      <w:spacing w:val="2"/>
    </w:rPr>
  </w:style>
  <w:style w:type="paragraph" w:styleId="Heading1">
    <w:name w:val="heading 1"/>
    <w:next w:val="Normal"/>
    <w:link w:val="Heading1Char"/>
    <w:uiPriority w:val="59"/>
    <w:qFormat/>
    <w:rsid w:val="00643D0B"/>
    <w:pPr>
      <w:keepNext/>
      <w:keepLines/>
      <w:spacing w:before="600" w:after="320"/>
      <w:outlineLvl w:val="0"/>
    </w:pPr>
    <w:rPr>
      <w:rFonts w:asciiTheme="majorHAnsi" w:eastAsiaTheme="majorEastAsia" w:hAnsiTheme="majorHAnsi" w:cstheme="majorBidi"/>
      <w:bCs/>
      <w:color w:val="201547"/>
      <w:spacing w:val="-1"/>
      <w:sz w:val="28"/>
      <w:szCs w:val="28"/>
    </w:rPr>
  </w:style>
  <w:style w:type="paragraph" w:styleId="Heading2">
    <w:name w:val="heading 2"/>
    <w:basedOn w:val="Normal"/>
    <w:next w:val="Normal"/>
    <w:link w:val="Heading2Char"/>
    <w:uiPriority w:val="3"/>
    <w:semiHidden/>
    <w:qFormat/>
    <w:rsid w:val="00470B01"/>
    <w:pPr>
      <w:keepNext/>
      <w:spacing w:before="28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uiPriority w:val="3"/>
    <w:semiHidden/>
    <w:qFormat/>
    <w:rsid w:val="00923C22"/>
    <w:pPr>
      <w:keepNext/>
      <w:spacing w:before="240" w:after="120"/>
      <w:outlineLvl w:val="2"/>
    </w:pPr>
    <w:rPr>
      <w:rFonts w:asciiTheme="majorHAnsi" w:eastAsiaTheme="majorEastAsia" w:hAnsiTheme="majorHAnsi" w:cstheme="majorBidi"/>
      <w:bCs/>
      <w:color w:val="3A3467" w:themeColor="text2"/>
      <w:sz w:val="22"/>
      <w:szCs w:val="22"/>
    </w:rPr>
  </w:style>
  <w:style w:type="paragraph" w:styleId="Heading4">
    <w:name w:val="heading 4"/>
    <w:basedOn w:val="Normal"/>
    <w:next w:val="Normal"/>
    <w:link w:val="Heading4Char"/>
    <w:uiPriority w:val="3"/>
    <w:semiHidden/>
    <w:qFormat/>
    <w:rsid w:val="00923C22"/>
    <w:pPr>
      <w:keepNext/>
      <w:spacing w:before="200" w:after="0"/>
      <w:outlineLvl w:val="3"/>
    </w:pPr>
    <w:rPr>
      <w:rFonts w:asciiTheme="majorHAnsi" w:eastAsiaTheme="majorEastAsia" w:hAnsiTheme="majorHAnsi" w:cstheme="majorBidi"/>
      <w:bCs/>
      <w:iCs/>
      <w:color w:val="323537" w:themeColor="accent4"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171D"/>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6A5F5B"/>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72CE"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2Horz">
      <w:tblPr/>
      <w:tcPr>
        <w:shd w:val="clear" w:color="auto" w:fill="B7DBFF" w:themeFill="accent3" w:themeFillTint="33"/>
      </w:tcPr>
    </w:tblStyle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EC171D"/>
    <w:pPr>
      <w:tabs>
        <w:tab w:val="right" w:leader="dot" w:pos="9000"/>
      </w:tabs>
      <w:ind w:right="432"/>
    </w:pPr>
    <w:rPr>
      <w:sz w:val="24"/>
      <w:szCs w:val="24"/>
    </w:rPr>
  </w:style>
  <w:style w:type="paragraph" w:styleId="TOC2">
    <w:name w:val="toc 2"/>
    <w:next w:val="Normal"/>
    <w:uiPriority w:val="39"/>
    <w:rsid w:val="00EC171D"/>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C171D"/>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53565A" w:themeColor="hyperlink"/>
      <w:u w:val="none"/>
    </w:rPr>
  </w:style>
  <w:style w:type="character" w:customStyle="1" w:styleId="Heading1Char">
    <w:name w:val="Heading 1 Char"/>
    <w:basedOn w:val="DefaultParagraphFont"/>
    <w:link w:val="Heading1"/>
    <w:uiPriority w:val="59"/>
    <w:rsid w:val="00F01E85"/>
    <w:rPr>
      <w:rFonts w:asciiTheme="majorHAnsi" w:eastAsiaTheme="majorEastAsia" w:hAnsiTheme="majorHAnsi" w:cstheme="majorBidi"/>
      <w:bCs/>
      <w:color w:val="201547"/>
      <w:spacing w:val="-1"/>
      <w:sz w:val="28"/>
      <w:szCs w:val="28"/>
    </w:rPr>
  </w:style>
  <w:style w:type="character" w:customStyle="1" w:styleId="Heading2Char">
    <w:name w:val="Heading 2 Char"/>
    <w:basedOn w:val="DefaultParagraphFont"/>
    <w:link w:val="Heading2"/>
    <w:uiPriority w:val="3"/>
    <w:semiHidden/>
    <w:rsid w:val="00923C22"/>
    <w:rPr>
      <w:rFonts w:asciiTheme="majorHAnsi" w:eastAsiaTheme="majorEastAsia" w:hAnsiTheme="majorHAnsi" w:cstheme="majorBidi"/>
      <w:b/>
      <w:bCs/>
      <w:color w:val="3A3467" w:themeColor="text2"/>
      <w:spacing w:val="2"/>
      <w:sz w:val="28"/>
      <w:szCs w:val="26"/>
    </w:rPr>
  </w:style>
  <w:style w:type="paragraph" w:customStyle="1" w:styleId="Bullet1">
    <w:name w:val="Bullet 1"/>
    <w:uiPriority w:val="1"/>
    <w:semiHidden/>
    <w:qFormat/>
    <w:rsid w:val="00EC171D"/>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semiHidden/>
    <w:qFormat/>
    <w:rsid w:val="00EC171D"/>
    <w:pPr>
      <w:numPr>
        <w:ilvl w:val="1"/>
      </w:numPr>
    </w:pPr>
  </w:style>
  <w:style w:type="paragraph" w:customStyle="1" w:styleId="Bulletindent">
    <w:name w:val="Bullet indent"/>
    <w:basedOn w:val="Bullet2"/>
    <w:uiPriority w:val="5"/>
    <w:qFormat/>
    <w:rsid w:val="00EC171D"/>
    <w:pPr>
      <w:numPr>
        <w:ilvl w:val="2"/>
      </w:numPr>
    </w:pPr>
  </w:style>
  <w:style w:type="paragraph" w:customStyle="1" w:styleId="Heading1numbered">
    <w:name w:val="Heading 1 numbered"/>
    <w:basedOn w:val="Heading1"/>
    <w:next w:val="NormalIndent"/>
    <w:uiPriority w:val="4"/>
    <w:qFormat/>
    <w:rsid w:val="006400F0"/>
    <w:pPr>
      <w:numPr>
        <w:ilvl w:val="2"/>
        <w:numId w:val="4"/>
      </w:numPr>
    </w:pPr>
  </w:style>
  <w:style w:type="paragraph" w:customStyle="1" w:styleId="Heading2numbered">
    <w:name w:val="Heading 2 numbered"/>
    <w:basedOn w:val="Heading2"/>
    <w:next w:val="NormalIndent"/>
    <w:uiPriority w:val="4"/>
    <w:qFormat/>
    <w:rsid w:val="00923C22"/>
    <w:pPr>
      <w:numPr>
        <w:ilvl w:val="3"/>
        <w:numId w:val="4"/>
      </w:numPr>
    </w:pPr>
    <w:rPr>
      <w:b w:val="0"/>
      <w:sz w:val="24"/>
      <w:szCs w:val="24"/>
    </w:rPr>
  </w:style>
  <w:style w:type="paragraph" w:customStyle="1" w:styleId="Heading3numbered">
    <w:name w:val="Heading 3 numbered"/>
    <w:basedOn w:val="Heading3"/>
    <w:next w:val="NormalIndent"/>
    <w:uiPriority w:val="4"/>
    <w:qFormat/>
    <w:rsid w:val="00EC171D"/>
    <w:pPr>
      <w:numPr>
        <w:ilvl w:val="4"/>
        <w:numId w:val="4"/>
      </w:numPr>
    </w:pPr>
  </w:style>
  <w:style w:type="character" w:customStyle="1" w:styleId="Heading3Char">
    <w:name w:val="Heading 3 Char"/>
    <w:basedOn w:val="DefaultParagraphFont"/>
    <w:link w:val="Heading3"/>
    <w:uiPriority w:val="3"/>
    <w:semiHidden/>
    <w:rsid w:val="00923C22"/>
    <w:rPr>
      <w:rFonts w:asciiTheme="majorHAnsi" w:eastAsiaTheme="majorEastAsia" w:hAnsiTheme="majorHAnsi" w:cstheme="majorBidi"/>
      <w:bCs/>
      <w:color w:val="3A3467" w:themeColor="text2"/>
      <w:spacing w:val="2"/>
      <w:sz w:val="22"/>
      <w:szCs w:val="22"/>
    </w:rPr>
  </w:style>
  <w:style w:type="paragraph" w:customStyle="1" w:styleId="Heading4numbered">
    <w:name w:val="Heading 4 numbered"/>
    <w:basedOn w:val="Heading4"/>
    <w:next w:val="NormalIndent"/>
    <w:uiPriority w:val="4"/>
    <w:qFormat/>
    <w:rsid w:val="00EC171D"/>
    <w:pPr>
      <w:numPr>
        <w:ilvl w:val="5"/>
        <w:numId w:val="4"/>
      </w:numPr>
    </w:pPr>
  </w:style>
  <w:style w:type="character" w:customStyle="1" w:styleId="Heading4Char">
    <w:name w:val="Heading 4 Char"/>
    <w:basedOn w:val="DefaultParagraphFont"/>
    <w:link w:val="Heading4"/>
    <w:uiPriority w:val="3"/>
    <w:semiHidden/>
    <w:rsid w:val="00923C22"/>
    <w:rPr>
      <w:rFonts w:asciiTheme="majorHAnsi" w:eastAsiaTheme="majorEastAsia" w:hAnsiTheme="majorHAnsi" w:cstheme="majorBidi"/>
      <w:bCs/>
      <w:iCs/>
      <w:color w:val="323537" w:themeColor="accent4" w:themeShade="40"/>
      <w:spacing w:val="2"/>
    </w:rPr>
  </w:style>
  <w:style w:type="paragraph" w:styleId="NormalIndent">
    <w:name w:val="Normal Indent"/>
    <w:basedOn w:val="Normal"/>
    <w:uiPriority w:val="4"/>
    <w:qFormat/>
    <w:rsid w:val="00EC171D"/>
    <w:pPr>
      <w:spacing w:line="252" w:lineRule="auto"/>
      <w:ind w:left="792"/>
    </w:pPr>
  </w:style>
  <w:style w:type="paragraph" w:customStyle="1" w:styleId="Note">
    <w:name w:val="Note"/>
    <w:basedOn w:val="Normal"/>
    <w:uiPriority w:val="49"/>
    <w:rsid w:val="00FC64EC"/>
    <w:pPr>
      <w:spacing w:before="80" w:after="240" w:line="240" w:lineRule="auto"/>
      <w:contextualSpacing/>
    </w:pPr>
    <w:rPr>
      <w:rFonts w:eastAsia="Times New Roman" w:cstheme="minorHAnsi"/>
      <w:color w:val="000000"/>
      <w:spacing w:val="1"/>
      <w:sz w:val="16"/>
      <w:szCs w:val="16"/>
      <w:lang w:val="en-GB" w:eastAsia="en-US"/>
    </w:rPr>
  </w:style>
  <w:style w:type="paragraph" w:customStyle="1" w:styleId="Spacer">
    <w:name w:val="Spacer"/>
    <w:basedOn w:val="Normal"/>
    <w:uiPriority w:val="13"/>
    <w:semiHidden/>
    <w:qFormat/>
    <w:rsid w:val="00EC171D"/>
    <w:pPr>
      <w:spacing w:before="0" w:after="0" w:line="120" w:lineRule="atLeast"/>
    </w:pPr>
    <w:rPr>
      <w:rFonts w:eastAsia="Times New Roman" w:cs="Calibri"/>
      <w:spacing w:val="0"/>
      <w:sz w:val="10"/>
      <w:szCs w:val="22"/>
    </w:rPr>
  </w:style>
  <w:style w:type="paragraph" w:styleId="Subtitle">
    <w:name w:val="Subtitle"/>
    <w:link w:val="SubtitleChar"/>
    <w:uiPriority w:val="99"/>
    <w:rsid w:val="00643D0B"/>
    <w:pPr>
      <w:spacing w:after="0" w:line="440" w:lineRule="exact"/>
    </w:pPr>
    <w:rPr>
      <w:rFonts w:asciiTheme="majorHAnsi" w:eastAsia="Times New Roman" w:hAnsiTheme="majorHAnsi" w:cstheme="majorHAnsi"/>
      <w:color w:val="232B39" w:themeColor="text1"/>
      <w:spacing w:val="-2"/>
      <w:sz w:val="40"/>
      <w:szCs w:val="24"/>
    </w:rPr>
  </w:style>
  <w:style w:type="character" w:customStyle="1" w:styleId="SubtitleChar">
    <w:name w:val="Subtitle Char"/>
    <w:basedOn w:val="DefaultParagraphFont"/>
    <w:link w:val="Subtitle"/>
    <w:uiPriority w:val="99"/>
    <w:rsid w:val="00643D0B"/>
    <w:rPr>
      <w:rFonts w:asciiTheme="majorHAnsi" w:eastAsia="Times New Roman" w:hAnsiTheme="majorHAnsi" w:cstheme="majorHAnsi"/>
      <w:color w:val="232B39" w:themeColor="text1"/>
      <w:spacing w:val="-2"/>
      <w:sz w:val="40"/>
      <w:szCs w:val="24"/>
    </w:rPr>
  </w:style>
  <w:style w:type="paragraph" w:customStyle="1" w:styleId="TertiaryTitle">
    <w:name w:val="Tertiary Title"/>
    <w:next w:val="Normal"/>
    <w:uiPriority w:val="99"/>
    <w:semiHidden/>
    <w:rsid w:val="00EC171D"/>
    <w:pPr>
      <w:spacing w:after="0" w:line="440" w:lineRule="exact"/>
    </w:pPr>
    <w:rPr>
      <w:rFonts w:asciiTheme="majorHAnsi" w:eastAsia="Times New Roman" w:hAnsiTheme="majorHAnsi" w:cstheme="majorHAnsi"/>
      <w:color w:val="0072CE" w:themeColor="accent1"/>
      <w:spacing w:val="-2"/>
      <w:sz w:val="36"/>
      <w:szCs w:val="40"/>
      <w:lang w:eastAsia="en-US"/>
    </w:rPr>
  </w:style>
  <w:style w:type="paragraph" w:styleId="Title">
    <w:name w:val="Title"/>
    <w:link w:val="TitleChar"/>
    <w:uiPriority w:val="99"/>
    <w:rsid w:val="00643D0B"/>
    <w:pPr>
      <w:spacing w:after="300" w:line="252" w:lineRule="auto"/>
    </w:pPr>
    <w:rPr>
      <w:rFonts w:asciiTheme="majorHAnsi" w:eastAsia="Times New Roman" w:hAnsiTheme="majorHAnsi" w:cstheme="majorHAnsi"/>
      <w:color w:val="232B39" w:themeColor="text1"/>
      <w:spacing w:val="-2"/>
      <w:sz w:val="40"/>
      <w:szCs w:val="40"/>
    </w:rPr>
  </w:style>
  <w:style w:type="character" w:customStyle="1" w:styleId="TitleChar">
    <w:name w:val="Title Char"/>
    <w:basedOn w:val="DefaultParagraphFont"/>
    <w:link w:val="Title"/>
    <w:uiPriority w:val="99"/>
    <w:rsid w:val="00643D0B"/>
    <w:rPr>
      <w:rFonts w:asciiTheme="majorHAnsi" w:eastAsia="Times New Roman" w:hAnsiTheme="majorHAnsi" w:cstheme="majorHAnsi"/>
      <w:color w:val="232B39" w:themeColor="text1"/>
      <w:spacing w:val="-2"/>
      <w:sz w:val="40"/>
      <w:szCs w:val="40"/>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5"/>
    <w:qFormat/>
    <w:rsid w:val="00EC171D"/>
    <w:pPr>
      <w:numPr>
        <w:ilvl w:val="3"/>
        <w:numId w:val="1"/>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24"/>
    <w:rsid w:val="00923C22"/>
    <w:pPr>
      <w:tabs>
        <w:tab w:val="center" w:pos="4513"/>
        <w:tab w:val="right" w:pos="9026"/>
      </w:tabs>
      <w:spacing w:before="1000" w:after="280" w:line="240" w:lineRule="auto"/>
      <w:ind w:right="-374"/>
      <w:jc w:val="right"/>
    </w:pPr>
    <w:rPr>
      <w:color w:val="004C97" w:themeColor="accent3"/>
      <w:sz w:val="28"/>
      <w:szCs w:val="28"/>
    </w:rPr>
  </w:style>
  <w:style w:type="character" w:customStyle="1" w:styleId="HeaderChar">
    <w:name w:val="Header Char"/>
    <w:basedOn w:val="DefaultParagraphFont"/>
    <w:link w:val="Header"/>
    <w:uiPriority w:val="24"/>
    <w:rsid w:val="00923C22"/>
    <w:rPr>
      <w:color w:val="004C97" w:themeColor="accent3"/>
      <w:spacing w:val="2"/>
      <w:sz w:val="28"/>
      <w:szCs w:val="28"/>
    </w:rPr>
  </w:style>
  <w:style w:type="paragraph" w:styleId="Footer">
    <w:name w:val="footer"/>
    <w:basedOn w:val="Normal"/>
    <w:link w:val="FooterChar"/>
    <w:uiPriority w:val="24"/>
    <w:rsid w:val="00EC171D"/>
    <w:pPr>
      <w:tabs>
        <w:tab w:val="right" w:pos="9026"/>
      </w:tabs>
      <w:spacing w:after="0" w:line="240" w:lineRule="auto"/>
    </w:pPr>
    <w:rPr>
      <w:noProof/>
      <w:sz w:val="18"/>
      <w:szCs w:val="18"/>
    </w:rPr>
  </w:style>
  <w:style w:type="character" w:customStyle="1" w:styleId="FooterChar">
    <w:name w:val="Footer Char"/>
    <w:basedOn w:val="DefaultParagraphFont"/>
    <w:link w:val="Footer"/>
    <w:uiPriority w:val="24"/>
    <w:rsid w:val="00EC171D"/>
    <w:rPr>
      <w:noProof/>
      <w:spacing w:val="2"/>
      <w:sz w:val="18"/>
      <w:szCs w:val="18"/>
    </w:rPr>
  </w:style>
  <w:style w:type="character" w:styleId="PageNumber">
    <w:name w:val="page number"/>
    <w:uiPriority w:val="49"/>
    <w:semiHidden/>
    <w:rsid w:val="00EC171D"/>
    <w:rPr>
      <w:b w:val="0"/>
      <w:color w:val="4C4C4C"/>
    </w:rPr>
  </w:style>
  <w:style w:type="paragraph" w:styleId="TOCHeading">
    <w:name w:val="TOC Heading"/>
    <w:basedOn w:val="Heading1"/>
    <w:next w:val="Normal"/>
    <w:uiPriority w:val="39"/>
    <w:rsid w:val="00EC171D"/>
    <w:pPr>
      <w:spacing w:before="480" w:after="720"/>
      <w:outlineLvl w:val="9"/>
    </w:pPr>
    <w:rPr>
      <w:spacing w:val="2"/>
    </w:rPr>
  </w:style>
  <w:style w:type="paragraph" w:customStyle="1" w:styleId="NormalTight">
    <w:name w:val="Normal Tight"/>
    <w:uiPriority w:val="99"/>
    <w:semiHidden/>
    <w:rsid w:val="00293A31"/>
    <w:pPr>
      <w:spacing w:before="120" w:after="120" w:line="240" w:lineRule="auto"/>
    </w:pPr>
    <w:rPr>
      <w:rFonts w:eastAsia="Times New Roman" w:cs="Calibri"/>
      <w:sz w:val="18"/>
      <w:szCs w:val="19"/>
      <w:lang w:eastAsia="en-US"/>
    </w:rPr>
  </w:style>
  <w:style w:type="paragraph" w:styleId="BodyText">
    <w:name w:val="Body Text"/>
    <w:basedOn w:val="Normal"/>
    <w:link w:val="BodyTextChar"/>
    <w:rsid w:val="006400F0"/>
    <w:pPr>
      <w:spacing w:before="100" w:line="312" w:lineRule="auto"/>
      <w:ind w:left="576"/>
    </w:pPr>
    <w:rPr>
      <w:rFonts w:eastAsia="Times New Roman" w:cstheme="minorHAnsi"/>
      <w:spacing w:val="0"/>
    </w:rPr>
  </w:style>
  <w:style w:type="character" w:customStyle="1" w:styleId="BodyTextChar">
    <w:name w:val="Body Text Char"/>
    <w:basedOn w:val="DefaultParagraphFont"/>
    <w:link w:val="BodyText"/>
    <w:rsid w:val="00F01E85"/>
    <w:rPr>
      <w:rFonts w:eastAsia="Times New Roman" w:cstheme="minorHAnsi"/>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EC171D"/>
    <w:pPr>
      <w:ind w:left="450" w:hanging="450"/>
    </w:pPr>
    <w:rPr>
      <w:noProof/>
      <w:lang w:eastAsia="en-US"/>
    </w:rPr>
  </w:style>
  <w:style w:type="paragraph" w:styleId="TOC5">
    <w:name w:val="toc 5"/>
    <w:basedOn w:val="TOC2"/>
    <w:next w:val="Normal"/>
    <w:uiPriority w:val="39"/>
    <w:rsid w:val="00EC171D"/>
    <w:pPr>
      <w:ind w:left="1080" w:hanging="634"/>
    </w:pPr>
    <w:rPr>
      <w:lang w:eastAsia="en-US"/>
    </w:rPr>
  </w:style>
  <w:style w:type="paragraph" w:styleId="TOC6">
    <w:name w:val="toc 6"/>
    <w:basedOn w:val="TOC3"/>
    <w:next w:val="Normal"/>
    <w:uiPriority w:val="39"/>
    <w:rsid w:val="00EC171D"/>
    <w:pPr>
      <w:ind w:left="1800" w:hanging="720"/>
    </w:pPr>
    <w:rPr>
      <w:lang w:eastAsia="en-US"/>
    </w:rPr>
  </w:style>
  <w:style w:type="table" w:customStyle="1" w:styleId="Texttable">
    <w:name w:val="Text table"/>
    <w:basedOn w:val="TableGrid"/>
    <w:uiPriority w:val="99"/>
    <w:rsid w:val="00EA4ED3"/>
    <w:pPr>
      <w:spacing w:before="30" w:after="30" w:line="264" w:lineRule="auto"/>
      <w:jc w:val="left"/>
    </w:pPr>
    <w:tblPr>
      <w:tblInd w:w="605" w:type="dxa"/>
      <w:tblBorders>
        <w:bottom w:val="single" w:sz="12" w:space="0" w:color="232B39" w:themeColor="text1"/>
        <w:insideH w:val="single" w:sz="6" w:space="0" w:color="D9D9D9" w:themeColor="background1" w:themeShade="D9"/>
      </w:tblBorders>
    </w:tblPr>
    <w:tblStylePr w:type="firstRow">
      <w:pPr>
        <w:keepNext/>
        <w:keepLines/>
        <w:widowControl/>
        <w:wordWrap/>
        <w:spacing w:beforeLines="0" w:before="120" w:beforeAutospacing="0" w:afterLines="0" w:after="30" w:afterAutospacing="0"/>
        <w:jc w:val="left"/>
      </w:pPr>
      <w:rPr>
        <w:rFonts w:asciiTheme="majorHAnsi" w:hAnsiTheme="majorHAnsi"/>
        <w:b/>
        <w:i w:val="0"/>
        <w:color w:val="FFFFFF" w:themeColor="background1"/>
        <w:sz w:val="18"/>
      </w:rPr>
      <w:tblPr/>
      <w:tcPr>
        <w:tcBorders>
          <w:top w:val="nil"/>
          <w:left w:val="nil"/>
          <w:bottom w:val="nil"/>
          <w:right w:val="nil"/>
          <w:insideH w:val="nil"/>
          <w:insideV w:val="nil"/>
          <w:tl2br w:val="nil"/>
          <w:tr2bl w:val="nil"/>
        </w:tcBorders>
        <w:shd w:val="clear" w:color="auto" w:fill="232B39" w:themeFill="tex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FFFFF" w:themeFill="background1"/>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7E3590"/>
    <w:pPr>
      <w:spacing w:before="30" w:after="30" w:line="264" w:lineRule="auto"/>
    </w:pPr>
    <w:tblPr>
      <w:tblBorders>
        <w:bottom w:val="single" w:sz="12" w:space="0" w:color="232B39" w:themeColor="text1"/>
        <w:insideH w:val="single" w:sz="6" w:space="0" w:color="D9D9D9" w:themeColor="background1" w:themeShade="D9"/>
      </w:tblBorders>
    </w:tblPr>
    <w:tblStylePr w:type="firstRow">
      <w:pPr>
        <w:keepNext/>
        <w:keepLines/>
        <w:widowControl/>
        <w:wordWrap/>
        <w:spacing w:beforeLines="0" w:before="120" w:beforeAutospacing="0" w:afterLines="0" w:after="30" w:afterAutospacing="0"/>
        <w:jc w:val="right"/>
      </w:pPr>
      <w:rPr>
        <w:rFonts w:asciiTheme="majorHAnsi" w:hAnsiTheme="majorHAnsi"/>
        <w:i w:val="0"/>
        <w:color w:val="FFFFFF" w:themeColor="background1"/>
        <w:sz w:val="18"/>
      </w:rPr>
      <w:tblPr/>
      <w:tcPr>
        <w:shd w:val="clear" w:color="auto" w:fill="000000"/>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FFFFF" w:themeFill="background1"/>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text">
    <w:name w:val="Table text"/>
    <w:basedOn w:val="Normal"/>
    <w:uiPriority w:val="6"/>
    <w:qFormat/>
    <w:rsid w:val="00F01E85"/>
    <w:pPr>
      <w:spacing w:before="60" w:after="60" w:line="240" w:lineRule="auto"/>
    </w:pPr>
    <w:rPr>
      <w:rFonts w:eastAsiaTheme="minorHAnsi"/>
      <w:sz w:val="17"/>
      <w:szCs w:val="21"/>
      <w:lang w:eastAsia="en-US"/>
    </w:rPr>
  </w:style>
  <w:style w:type="paragraph" w:customStyle="1" w:styleId="Tabletextright">
    <w:name w:val="Table text right"/>
    <w:basedOn w:val="Tabletext"/>
    <w:uiPriority w:val="6"/>
    <w:qFormat/>
    <w:rsid w:val="00F01E85"/>
    <w:pPr>
      <w:jc w:val="right"/>
    </w:pPr>
  </w:style>
  <w:style w:type="paragraph" w:customStyle="1" w:styleId="Listnumindent2">
    <w:name w:val="List num indent 2"/>
    <w:basedOn w:val="Normal"/>
    <w:uiPriority w:val="5"/>
    <w:qFormat/>
    <w:rsid w:val="00EC171D"/>
    <w:pPr>
      <w:numPr>
        <w:ilvl w:val="7"/>
        <w:numId w:val="4"/>
      </w:numPr>
      <w:spacing w:before="100"/>
      <w:contextualSpacing/>
    </w:pPr>
  </w:style>
  <w:style w:type="paragraph" w:customStyle="1" w:styleId="Listnumindent">
    <w:name w:val="List num indent"/>
    <w:basedOn w:val="Normal"/>
    <w:uiPriority w:val="5"/>
    <w:qFormat/>
    <w:rsid w:val="00EC171D"/>
    <w:pPr>
      <w:numPr>
        <w:ilvl w:val="6"/>
        <w:numId w:val="4"/>
      </w:numPr>
      <w:spacing w:before="100"/>
    </w:pPr>
  </w:style>
  <w:style w:type="paragraph" w:customStyle="1" w:styleId="Listnum">
    <w:name w:val="List num"/>
    <w:basedOn w:val="Normal"/>
    <w:uiPriority w:val="1"/>
    <w:semiHidden/>
    <w:qFormat/>
    <w:rsid w:val="00EC171D"/>
    <w:pPr>
      <w:numPr>
        <w:numId w:val="4"/>
      </w:numPr>
    </w:pPr>
  </w:style>
  <w:style w:type="paragraph" w:customStyle="1" w:styleId="Listnum2">
    <w:name w:val="List num 2"/>
    <w:basedOn w:val="Normal"/>
    <w:uiPriority w:val="1"/>
    <w:semiHidden/>
    <w:qFormat/>
    <w:rsid w:val="00EC171D"/>
    <w:pPr>
      <w:numPr>
        <w:ilvl w:val="1"/>
        <w:numId w:val="4"/>
      </w:numPr>
    </w:pPr>
  </w:style>
  <w:style w:type="paragraph" w:customStyle="1" w:styleId="Tabletextcentred">
    <w:name w:val="Table text centred"/>
    <w:basedOn w:val="Tabletext"/>
    <w:uiPriority w:val="6"/>
    <w:qFormat/>
    <w:rsid w:val="00EC171D"/>
    <w:pPr>
      <w:jc w:val="center"/>
    </w:pPr>
  </w:style>
  <w:style w:type="paragraph" w:customStyle="1" w:styleId="Tableheader">
    <w:name w:val="Table header"/>
    <w:basedOn w:val="Tabletext"/>
    <w:uiPriority w:val="6"/>
    <w:qFormat/>
    <w:rsid w:val="00F01E85"/>
    <w:pPr>
      <w:keepNext/>
    </w:pPr>
    <w:rPr>
      <w:color w:val="FFFFFF" w:themeColor="background1"/>
      <w:sz w:val="20"/>
    </w:rPr>
  </w:style>
  <w:style w:type="paragraph" w:customStyle="1" w:styleId="Tablebullet">
    <w:name w:val="Table bullet"/>
    <w:basedOn w:val="Tabletext"/>
    <w:uiPriority w:val="7"/>
    <w:rsid w:val="00D211E9"/>
    <w:pPr>
      <w:numPr>
        <w:numId w:val="18"/>
      </w:numPr>
    </w:pPr>
  </w:style>
  <w:style w:type="paragraph" w:customStyle="1" w:styleId="Tabledash">
    <w:name w:val="Table dash"/>
    <w:basedOn w:val="Tablebullet"/>
    <w:uiPriority w:val="7"/>
    <w:rsid w:val="00D211E9"/>
    <w:pPr>
      <w:numPr>
        <w:ilvl w:val="1"/>
      </w:numPr>
    </w:pPr>
  </w:style>
  <w:style w:type="paragraph" w:customStyle="1" w:styleId="Tabletextindent">
    <w:name w:val="Table text indent"/>
    <w:basedOn w:val="Tabletext"/>
    <w:uiPriority w:val="6"/>
    <w:qFormat/>
    <w:rsid w:val="00D211E9"/>
    <w:pPr>
      <w:ind w:left="288"/>
    </w:pPr>
  </w:style>
  <w:style w:type="paragraph" w:customStyle="1" w:styleId="Numpara">
    <w:name w:val="Num para"/>
    <w:basedOn w:val="ListParagraph"/>
    <w:uiPriority w:val="3"/>
    <w:semiHidden/>
    <w:qFormat/>
    <w:rsid w:val="006361E7"/>
    <w:pPr>
      <w:numPr>
        <w:numId w:val="19"/>
      </w:numPr>
      <w:tabs>
        <w:tab w:val="num" w:pos="504"/>
        <w:tab w:val="left" w:pos="540"/>
      </w:tabs>
      <w:ind w:left="504" w:hanging="504"/>
    </w:pPr>
  </w:style>
  <w:style w:type="paragraph" w:styleId="ListParagraph">
    <w:name w:val="List Paragraph"/>
    <w:basedOn w:val="Normal"/>
    <w:uiPriority w:val="1"/>
    <w:qFormat/>
    <w:rsid w:val="006361E7"/>
    <w:pPr>
      <w:ind w:left="720"/>
      <w:contextualSpacing/>
    </w:pPr>
  </w:style>
  <w:style w:type="paragraph" w:styleId="ListBullet3">
    <w:name w:val="List Bullet 3"/>
    <w:basedOn w:val="Normal"/>
    <w:uiPriority w:val="99"/>
    <w:semiHidden/>
    <w:unhideWhenUsed/>
    <w:rsid w:val="00342822"/>
    <w:pPr>
      <w:numPr>
        <w:numId w:val="20"/>
      </w:numPr>
      <w:spacing w:before="60" w:after="60" w:line="240" w:lineRule="auto"/>
      <w:contextualSpacing/>
    </w:pPr>
    <w:rPr>
      <w:rFonts w:ascii="Calibri" w:eastAsia="Times New Roman" w:hAnsi="Calibri" w:cs="Calibri"/>
      <w:spacing w:val="0"/>
      <w:sz w:val="22"/>
      <w:szCs w:val="22"/>
    </w:rPr>
  </w:style>
  <w:style w:type="paragraph" w:customStyle="1" w:styleId="Author">
    <w:name w:val="Author"/>
    <w:basedOn w:val="Title"/>
    <w:next w:val="Normal"/>
    <w:uiPriority w:val="99"/>
    <w:qFormat/>
    <w:rsid w:val="00643D0B"/>
    <w:pPr>
      <w:spacing w:before="120" w:after="600" w:line="240" w:lineRule="auto"/>
    </w:pPr>
    <w:rPr>
      <w:rFonts w:asciiTheme="minorHAnsi" w:hAnsiTheme="minorHAnsi" w:cs="Calibri"/>
      <w:spacing w:val="0"/>
      <w:sz w:val="28"/>
      <w:szCs w:val="22"/>
    </w:rPr>
  </w:style>
  <w:style w:type="paragraph" w:customStyle="1" w:styleId="Abstracttext">
    <w:name w:val="Abstract text"/>
    <w:qFormat/>
    <w:rsid w:val="006400F0"/>
    <w:pPr>
      <w:spacing w:before="240" w:after="0" w:line="300" w:lineRule="auto"/>
      <w:ind w:left="576" w:right="576"/>
    </w:pPr>
    <w:rPr>
      <w:rFonts w:eastAsia="Times New Roman" w:cs="Calibri"/>
    </w:rPr>
  </w:style>
  <w:style w:type="paragraph" w:customStyle="1" w:styleId="Referencetext">
    <w:name w:val="Reference text"/>
    <w:basedOn w:val="BodyText"/>
    <w:uiPriority w:val="54"/>
    <w:qFormat/>
    <w:rsid w:val="00EA4ED3"/>
    <w:pPr>
      <w:ind w:left="360" w:hanging="360"/>
    </w:pPr>
  </w:style>
  <w:style w:type="paragraph" w:styleId="Caption">
    <w:name w:val="caption"/>
    <w:basedOn w:val="Normal"/>
    <w:next w:val="Normal"/>
    <w:uiPriority w:val="5"/>
    <w:qFormat/>
    <w:rsid w:val="000C20B3"/>
    <w:pPr>
      <w:keepNext/>
      <w:tabs>
        <w:tab w:val="left" w:pos="851"/>
      </w:tabs>
      <w:spacing w:before="240" w:after="60" w:line="240" w:lineRule="auto"/>
    </w:pPr>
    <w:rPr>
      <w:rFonts w:asciiTheme="majorHAnsi" w:eastAsia="Times New Roman" w:hAnsiTheme="majorHAnsi" w:cs="Calibri"/>
      <w:color w:val="232B39" w:themeColor="text1"/>
      <w:szCs w:val="22"/>
    </w:rPr>
  </w:style>
  <w:style w:type="character" w:styleId="FootnoteReference">
    <w:name w:val="footnote reference"/>
    <w:uiPriority w:val="49"/>
    <w:semiHidden/>
    <w:rsid w:val="00342822"/>
    <w:rPr>
      <w:vertAlign w:val="superscript"/>
    </w:rPr>
  </w:style>
  <w:style w:type="paragraph" w:styleId="FootnoteText">
    <w:name w:val="footnote text"/>
    <w:basedOn w:val="Normal"/>
    <w:link w:val="FootnoteTextChar"/>
    <w:uiPriority w:val="99"/>
    <w:semiHidden/>
    <w:rsid w:val="00293A31"/>
    <w:pPr>
      <w:spacing w:before="60" w:after="60" w:line="240" w:lineRule="auto"/>
    </w:pPr>
    <w:rPr>
      <w:rFonts w:eastAsia="Times New Roman" w:cs="Calibri"/>
      <w:spacing w:val="0"/>
      <w:sz w:val="18"/>
      <w:szCs w:val="22"/>
    </w:rPr>
  </w:style>
  <w:style w:type="character" w:customStyle="1" w:styleId="FootnoteTextChar">
    <w:name w:val="Footnote Text Char"/>
    <w:basedOn w:val="DefaultParagraphFont"/>
    <w:link w:val="FootnoteText"/>
    <w:uiPriority w:val="99"/>
    <w:semiHidden/>
    <w:rsid w:val="00293A31"/>
    <w:rPr>
      <w:rFonts w:eastAsia="Times New Roman" w:cs="Calibri"/>
      <w:sz w:val="18"/>
      <w:szCs w:val="22"/>
    </w:rPr>
  </w:style>
  <w:style w:type="character" w:styleId="PlaceholderText">
    <w:name w:val="Placeholder Text"/>
    <w:uiPriority w:val="99"/>
    <w:semiHidden/>
    <w:rsid w:val="00342822"/>
    <w:rPr>
      <w:color w:val="808080"/>
    </w:rPr>
  </w:style>
  <w:style w:type="paragraph" w:customStyle="1" w:styleId="Source">
    <w:name w:val="Source"/>
    <w:basedOn w:val="Note"/>
    <w:uiPriority w:val="49"/>
    <w:qFormat/>
    <w:rsid w:val="00EA4ED3"/>
    <w:pPr>
      <w:spacing w:after="120"/>
    </w:pPr>
  </w:style>
  <w:style w:type="paragraph" w:styleId="Quote">
    <w:name w:val="Quote"/>
    <w:basedOn w:val="Normal"/>
    <w:next w:val="Normal"/>
    <w:link w:val="QuoteChar"/>
    <w:uiPriority w:val="29"/>
    <w:qFormat/>
    <w:rsid w:val="00F01E85"/>
    <w:pPr>
      <w:shd w:val="clear" w:color="auto" w:fill="F2F2F2" w:themeFill="background1" w:themeFillShade="F2"/>
      <w:spacing w:before="200" w:after="160" w:line="264" w:lineRule="auto"/>
      <w:ind w:left="1080" w:right="864"/>
    </w:pPr>
    <w:rPr>
      <w:i/>
      <w:iCs/>
      <w:color w:val="232B39" w:themeColor="text1"/>
      <w:sz w:val="18"/>
      <w:szCs w:val="18"/>
    </w:rPr>
  </w:style>
  <w:style w:type="character" w:customStyle="1" w:styleId="QuoteChar">
    <w:name w:val="Quote Char"/>
    <w:basedOn w:val="DefaultParagraphFont"/>
    <w:link w:val="Quote"/>
    <w:uiPriority w:val="29"/>
    <w:rsid w:val="00F01E85"/>
    <w:rPr>
      <w:i/>
      <w:iCs/>
      <w:color w:val="232B39" w:themeColor="text1"/>
      <w:spacing w:val="2"/>
      <w:sz w:val="18"/>
      <w:szCs w:val="18"/>
      <w:shd w:val="clear" w:color="auto" w:fill="F2F2F2" w:themeFill="background1" w:themeFillShade="F2"/>
    </w:rPr>
  </w:style>
  <w:style w:type="paragraph" w:customStyle="1" w:styleId="Equation">
    <w:name w:val="Equation"/>
    <w:basedOn w:val="Normal"/>
    <w:uiPriority w:val="99"/>
    <w:qFormat/>
    <w:rsid w:val="00947FD9"/>
    <w:pPr>
      <w:tabs>
        <w:tab w:val="center" w:pos="4500"/>
        <w:tab w:val="right" w:pos="9000"/>
      </w:tabs>
    </w:pPr>
    <w:rPr>
      <w:lang w:eastAsia="en-US"/>
    </w:rPr>
  </w:style>
  <w:style w:type="character" w:styleId="CommentReference">
    <w:name w:val="annotation reference"/>
    <w:basedOn w:val="DefaultParagraphFont"/>
    <w:uiPriority w:val="99"/>
    <w:semiHidden/>
    <w:unhideWhenUsed/>
    <w:rsid w:val="001C61B7"/>
    <w:rPr>
      <w:sz w:val="16"/>
      <w:szCs w:val="16"/>
    </w:rPr>
  </w:style>
  <w:style w:type="paragraph" w:styleId="CommentText">
    <w:name w:val="annotation text"/>
    <w:basedOn w:val="Normal"/>
    <w:link w:val="CommentTextChar"/>
    <w:uiPriority w:val="99"/>
    <w:unhideWhenUsed/>
    <w:rsid w:val="001C61B7"/>
    <w:pPr>
      <w:spacing w:line="240" w:lineRule="auto"/>
    </w:pPr>
  </w:style>
  <w:style w:type="character" w:customStyle="1" w:styleId="CommentTextChar">
    <w:name w:val="Comment Text Char"/>
    <w:basedOn w:val="DefaultParagraphFont"/>
    <w:link w:val="CommentText"/>
    <w:uiPriority w:val="99"/>
    <w:rsid w:val="001C61B7"/>
    <w:rPr>
      <w:spacing w:val="2"/>
    </w:rPr>
  </w:style>
  <w:style w:type="paragraph" w:styleId="CommentSubject">
    <w:name w:val="annotation subject"/>
    <w:basedOn w:val="CommentText"/>
    <w:next w:val="CommentText"/>
    <w:link w:val="CommentSubjectChar"/>
    <w:uiPriority w:val="99"/>
    <w:semiHidden/>
    <w:unhideWhenUsed/>
    <w:rsid w:val="001C61B7"/>
    <w:rPr>
      <w:b/>
      <w:bCs/>
    </w:rPr>
  </w:style>
  <w:style w:type="character" w:customStyle="1" w:styleId="CommentSubjectChar">
    <w:name w:val="Comment Subject Char"/>
    <w:basedOn w:val="CommentTextChar"/>
    <w:link w:val="CommentSubject"/>
    <w:uiPriority w:val="99"/>
    <w:semiHidden/>
    <w:rsid w:val="001C61B7"/>
    <w:rPr>
      <w:b/>
      <w:bCs/>
      <w:spacing w:val="2"/>
    </w:rPr>
  </w:style>
  <w:style w:type="paragraph" w:styleId="Revision">
    <w:name w:val="Revision"/>
    <w:hidden/>
    <w:uiPriority w:val="99"/>
    <w:semiHidden/>
    <w:rsid w:val="00040365"/>
    <w:pPr>
      <w:spacing w:after="0" w:line="240" w:lineRule="auto"/>
    </w:pPr>
    <w:rPr>
      <w:spacing w:val="2"/>
    </w:rPr>
  </w:style>
  <w:style w:type="character" w:customStyle="1" w:styleId="MediumItalic">
    <w:name w:val="Medium Italic"/>
    <w:uiPriority w:val="99"/>
    <w:rsid w:val="00BB7B5F"/>
    <w:rPr>
      <w:i/>
      <w:iCs/>
    </w:rPr>
  </w:style>
  <w:style w:type="character" w:customStyle="1" w:styleId="Cambriaitalic">
    <w:name w:val="Cambria italic"/>
    <w:basedOn w:val="DefaultParagraphFont"/>
    <w:uiPriority w:val="99"/>
    <w:rsid w:val="005F477A"/>
    <w:rPr>
      <w:rFonts w:ascii="Cambria" w:hAnsi="Cambria" w:cs="Cambria"/>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7.sv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2.sv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63PAK4U6Z4MQ-1289146740-75208</_dlc_DocId>
    <_dlc_DocIdUrl xmlns="b6e3d215-38fc-4294-ac6f-e1813d9666dd">
      <Url>https://vicgov.sharepoint.com/sites/DTFStrategicCommunications/_layouts/15/DocIdRedir.aspx?ID=63PAK4U6Z4MQ-1289146740-75208</Url>
      <Description>63PAK4U6Z4MQ-1289146740-75208</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0298CB0-6CFB-4673-BA6A-242895D99EFA}">
  <ds:schemaRefs>
    <ds:schemaRef ds:uri="http://schemas.microsoft.com/sharepoint/v3/contenttype/forms"/>
  </ds:schemaRefs>
</ds:datastoreItem>
</file>

<file path=customXml/itemProps2.xml><?xml version="1.0" encoding="utf-8"?>
<ds:datastoreItem xmlns:ds="http://schemas.openxmlformats.org/officeDocument/2006/customXml" ds:itemID="{E9E2B98E-F797-4F7C-94A9-48D8CA51ADE3}">
  <ds:schemaRefs>
    <ds:schemaRef ds:uri="http://schemas.openxmlformats.org/officeDocument/2006/bibliography"/>
  </ds:schemaRefs>
</ds:datastoreItem>
</file>

<file path=customXml/itemProps3.xml><?xml version="1.0" encoding="utf-8"?>
<ds:datastoreItem xmlns:ds="http://schemas.openxmlformats.org/officeDocument/2006/customXml" ds:itemID="{6556FA5D-60A4-4F15-9B99-5128556CF7B0}">
  <ds:schemaRefs>
    <ds:schemaRef ds:uri="http://schemas.microsoft.com/sharepoint/events"/>
  </ds:schemaRefs>
</ds:datastoreItem>
</file>

<file path=customXml/itemProps4.xml><?xml version="1.0" encoding="utf-8"?>
<ds:datastoreItem xmlns:ds="http://schemas.openxmlformats.org/officeDocument/2006/customXml" ds:itemID="{B24ABF4A-37FD-48CA-8FC4-32D13A4AD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83BE14-0AD0-483C-AC5A-0711D4B16CBE}">
  <ds:schemaRefs>
    <ds:schemaRef ds:uri="http://schemas.microsoft.com/office/infopath/2007/PartnerControls"/>
    <ds:schemaRef ds:uri="e1efcbdc-f8f0-4bac-929e-ffe707bb6387"/>
    <ds:schemaRef ds:uri="http://schemas.microsoft.com/office/2006/documentManagement/types"/>
    <ds:schemaRef ds:uri="http://schemas.microsoft.com/office/2006/metadata/properties"/>
    <ds:schemaRef ds:uri="b6e3d215-38fc-4294-ac6f-e1813d9666dd"/>
    <ds:schemaRef ds:uri="http://purl.org/dc/elements/1.1/"/>
    <ds:schemaRef ds:uri="http://purl.org/dc/terms/"/>
    <ds:schemaRef ds:uri="http://schemas.openxmlformats.org/package/2006/metadata/core-properties"/>
    <ds:schemaRef ds:uri="http://purl.org/dc/dcmitype/"/>
    <ds:schemaRef ds:uri="http://www.w3.org/XML/1998/namespace"/>
  </ds:schemaRefs>
</ds:datastoreItem>
</file>

<file path=customXml/itemProps6.xml><?xml version="1.0" encoding="utf-8"?>
<ds:datastoreItem xmlns:ds="http://schemas.openxmlformats.org/officeDocument/2006/customXml" ds:itemID="{745E867F-4F16-4653-A5FA-57F1211039F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7937</Words>
  <Characters>45005</Characters>
  <Application>Microsoft Office Word</Application>
  <DocSecurity>0</DocSecurity>
  <Lines>1875</Lines>
  <Paragraphs>1323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51619</CharactersWithSpaces>
  <SharedDoc>false</SharedDoc>
  <HLinks>
    <vt:vector size="72" baseType="variant">
      <vt:variant>
        <vt:i4>2097233</vt:i4>
      </vt:variant>
      <vt:variant>
        <vt:i4>33</vt:i4>
      </vt:variant>
      <vt:variant>
        <vt:i4>0</vt:i4>
      </vt:variant>
      <vt:variant>
        <vt:i4>5</vt:i4>
      </vt:variant>
      <vt:variant>
        <vt:lpwstr/>
      </vt:variant>
      <vt:variant>
        <vt:lpwstr>_bookmark25</vt:lpwstr>
      </vt:variant>
      <vt:variant>
        <vt:i4>2097233</vt:i4>
      </vt:variant>
      <vt:variant>
        <vt:i4>30</vt:i4>
      </vt:variant>
      <vt:variant>
        <vt:i4>0</vt:i4>
      </vt:variant>
      <vt:variant>
        <vt:i4>5</vt:i4>
      </vt:variant>
      <vt:variant>
        <vt:lpwstr/>
      </vt:variant>
      <vt:variant>
        <vt:lpwstr>_bookmark25</vt:lpwstr>
      </vt:variant>
      <vt:variant>
        <vt:i4>2097233</vt:i4>
      </vt:variant>
      <vt:variant>
        <vt:i4>27</vt:i4>
      </vt:variant>
      <vt:variant>
        <vt:i4>0</vt:i4>
      </vt:variant>
      <vt:variant>
        <vt:i4>5</vt:i4>
      </vt:variant>
      <vt:variant>
        <vt:lpwstr/>
      </vt:variant>
      <vt:variant>
        <vt:lpwstr>_bookmark26</vt:lpwstr>
      </vt:variant>
      <vt:variant>
        <vt:i4>2097233</vt:i4>
      </vt:variant>
      <vt:variant>
        <vt:i4>24</vt:i4>
      </vt:variant>
      <vt:variant>
        <vt:i4>0</vt:i4>
      </vt:variant>
      <vt:variant>
        <vt:i4>5</vt:i4>
      </vt:variant>
      <vt:variant>
        <vt:lpwstr/>
      </vt:variant>
      <vt:variant>
        <vt:lpwstr>_bookmark22</vt:lpwstr>
      </vt:variant>
      <vt:variant>
        <vt:i4>2097233</vt:i4>
      </vt:variant>
      <vt:variant>
        <vt:i4>21</vt:i4>
      </vt:variant>
      <vt:variant>
        <vt:i4>0</vt:i4>
      </vt:variant>
      <vt:variant>
        <vt:i4>5</vt:i4>
      </vt:variant>
      <vt:variant>
        <vt:lpwstr/>
      </vt:variant>
      <vt:variant>
        <vt:lpwstr>_bookmark23</vt:lpwstr>
      </vt:variant>
      <vt:variant>
        <vt:i4>2097233</vt:i4>
      </vt:variant>
      <vt:variant>
        <vt:i4>18</vt:i4>
      </vt:variant>
      <vt:variant>
        <vt:i4>0</vt:i4>
      </vt:variant>
      <vt:variant>
        <vt:i4>5</vt:i4>
      </vt:variant>
      <vt:variant>
        <vt:lpwstr/>
      </vt:variant>
      <vt:variant>
        <vt:lpwstr>_bookmark21</vt:lpwstr>
      </vt:variant>
      <vt:variant>
        <vt:i4>2555985</vt:i4>
      </vt:variant>
      <vt:variant>
        <vt:i4>15</vt:i4>
      </vt:variant>
      <vt:variant>
        <vt:i4>0</vt:i4>
      </vt:variant>
      <vt:variant>
        <vt:i4>5</vt:i4>
      </vt:variant>
      <vt:variant>
        <vt:lpwstr/>
      </vt:variant>
      <vt:variant>
        <vt:lpwstr>_bookmark53</vt:lpwstr>
      </vt:variant>
      <vt:variant>
        <vt:i4>2359377</vt:i4>
      </vt:variant>
      <vt:variant>
        <vt:i4>12</vt:i4>
      </vt:variant>
      <vt:variant>
        <vt:i4>0</vt:i4>
      </vt:variant>
      <vt:variant>
        <vt:i4>5</vt:i4>
      </vt:variant>
      <vt:variant>
        <vt:lpwstr/>
      </vt:variant>
      <vt:variant>
        <vt:lpwstr>_bookmark69</vt:lpwstr>
      </vt:variant>
      <vt:variant>
        <vt:i4>2293841</vt:i4>
      </vt:variant>
      <vt:variant>
        <vt:i4>9</vt:i4>
      </vt:variant>
      <vt:variant>
        <vt:i4>0</vt:i4>
      </vt:variant>
      <vt:variant>
        <vt:i4>5</vt:i4>
      </vt:variant>
      <vt:variant>
        <vt:lpwstr/>
      </vt:variant>
      <vt:variant>
        <vt:lpwstr>_bookmark17</vt:lpwstr>
      </vt:variant>
      <vt:variant>
        <vt:i4>2359377</vt:i4>
      </vt:variant>
      <vt:variant>
        <vt:i4>6</vt:i4>
      </vt:variant>
      <vt:variant>
        <vt:i4>0</vt:i4>
      </vt:variant>
      <vt:variant>
        <vt:i4>5</vt:i4>
      </vt:variant>
      <vt:variant>
        <vt:lpwstr/>
      </vt:variant>
      <vt:variant>
        <vt:lpwstr>_bookmark63</vt:lpwstr>
      </vt:variant>
      <vt:variant>
        <vt:i4>2555985</vt:i4>
      </vt:variant>
      <vt:variant>
        <vt:i4>3</vt:i4>
      </vt:variant>
      <vt:variant>
        <vt:i4>0</vt:i4>
      </vt:variant>
      <vt:variant>
        <vt:i4>5</vt:i4>
      </vt:variant>
      <vt:variant>
        <vt:lpwstr/>
      </vt:variant>
      <vt:variant>
        <vt:lpwstr>_bookmark59</vt:lpwstr>
      </vt:variant>
      <vt:variant>
        <vt:i4>2555985</vt:i4>
      </vt:variant>
      <vt:variant>
        <vt:i4>0</vt:i4>
      </vt:variant>
      <vt:variant>
        <vt:i4>0</vt:i4>
      </vt:variant>
      <vt:variant>
        <vt:i4>5</vt:i4>
      </vt:variant>
      <vt:variant>
        <vt:lpwstr/>
      </vt:variant>
      <vt:variant>
        <vt:lpwstr>_bookmark57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S Tan (DTF)</dc:creator>
  <cp:keywords/>
  <cp:lastModifiedBy>Paul Bowerman (DTF)</cp:lastModifiedBy>
  <cp:revision>2</cp:revision>
  <cp:lastPrinted>2018-05-15T15:29:00Z</cp:lastPrinted>
  <dcterms:created xsi:type="dcterms:W3CDTF">2025-10-01T23:38:00Z</dcterms:created>
  <dcterms:modified xsi:type="dcterms:W3CDTF">2025-10-01T23:38:00Z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2023-06-07T00:55:56Z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b34ba5b8-cd4d-4412-926f-06df049b6116</vt:lpwstr>
  </property>
  <property fmtid="{D5CDD505-2E9C-101B-9397-08002B2CF9AE}" pid="10" name="MSIP_Label_7158ebbd-6c5e-441f-bfc9-4eb8c11e3978_ContentBits">
    <vt:lpwstr>2</vt:lpwstr>
  </property>
  <property fmtid="{D5CDD505-2E9C-101B-9397-08002B2CF9AE}" pid="11" name="ContentTypeId">
    <vt:lpwstr>0x010100E2859DFB47952C4E911DE9714EC95DB1</vt:lpwstr>
  </property>
  <property fmtid="{D5CDD505-2E9C-101B-9397-08002B2CF9AE}" pid="12" name="_dlc_DocIdItemGuid">
    <vt:lpwstr>04193c91-800c-4428-9d71-6fecdf6cc85c</vt:lpwstr>
  </property>
  <property fmtid="{D5CDD505-2E9C-101B-9397-08002B2CF9AE}" pid="13" name="MediaServiceImageTags">
    <vt:lpwstr/>
  </property>
  <property fmtid="{D5CDD505-2E9C-101B-9397-08002B2CF9AE}" pid="14" name="GrammarlyDocumentId">
    <vt:lpwstr>201ff8c7-7673-49b1-b245-512765927317</vt:lpwstr>
  </property>
</Properties>
</file>