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600C" w14:textId="03BA2B13" w:rsidR="001E349B" w:rsidRDefault="00FB2C3E" w:rsidP="001E349B">
      <w:bookmarkStart w:id="0" w:name="Frontpage_Logo_Negativ"/>
      <w:r>
        <w:rPr>
          <w:noProof/>
          <w:lang w:eastAsia="en-AU"/>
        </w:rPr>
        <w:drawing>
          <wp:anchor distT="0" distB="0" distL="114300" distR="114300" simplePos="0" relativeHeight="251658244" behindDoc="0" locked="0" layoutInCell="1" allowOverlap="1" wp14:anchorId="0F7E0DBC" wp14:editId="71E1AA4E">
            <wp:simplePos x="0" y="0"/>
            <wp:positionH relativeFrom="page">
              <wp:posOffset>428625</wp:posOffset>
            </wp:positionH>
            <wp:positionV relativeFrom="page">
              <wp:posOffset>427990</wp:posOffset>
            </wp:positionV>
            <wp:extent cx="2084070" cy="9144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66776721" name="Frontpage_Logo_Positiv"/>
                    <pic:cNvPicPr/>
                  </pic:nvPicPr>
                  <pic:blipFill>
                    <a:blip r:embed="rId14" cstate="print">
                      <a:extLst>
                        <a:ext uri="{28A0092B-C50C-407E-A947-70E740481C1C}">
                          <a14:useLocalDpi xmlns:a14="http://schemas.microsoft.com/office/drawing/2010/main" val="0"/>
                        </a:ext>
                      </a:extLst>
                    </a:blip>
                    <a:srcRect/>
                    <a:stretch/>
                  </pic:blipFill>
                  <pic:spPr>
                    <a:xfrm>
                      <a:off x="0" y="0"/>
                      <a:ext cx="2084070" cy="914400"/>
                    </a:xfrm>
                    <a:prstGeom prst="rect">
                      <a:avLst/>
                    </a:prstGeom>
                  </pic:spPr>
                </pic:pic>
              </a:graphicData>
            </a:graphic>
          </wp:anchor>
        </w:drawing>
      </w:r>
      <w:bookmarkStart w:id="1" w:name="_Ref152594701"/>
      <w:bookmarkEnd w:id="1"/>
      <w:r w:rsidR="00215C20">
        <w:rPr>
          <w:noProof/>
          <w:lang w:eastAsia="en-AU"/>
        </w:rPr>
        <w:drawing>
          <wp:anchor distT="0" distB="0" distL="0" distR="0" simplePos="0" relativeHeight="251658243" behindDoc="0" locked="0" layoutInCell="1" allowOverlap="1" wp14:anchorId="794F5756" wp14:editId="73D678BF">
            <wp:simplePos x="0" y="0"/>
            <wp:positionH relativeFrom="margin">
              <wp:posOffset>-487680</wp:posOffset>
            </wp:positionH>
            <wp:positionV relativeFrom="page">
              <wp:posOffset>431165</wp:posOffset>
            </wp:positionV>
            <wp:extent cx="2086118" cy="914400"/>
            <wp:effectExtent l="0" t="0" r="0" b="0"/>
            <wp:wrapNone/>
            <wp:docPr id="1489793624" name="Picture 1489793624" hidden="1"/>
            <wp:cNvGraphicFramePr/>
            <a:graphic xmlns:a="http://schemas.openxmlformats.org/drawingml/2006/main">
              <a:graphicData uri="http://schemas.openxmlformats.org/drawingml/2006/picture">
                <pic:pic xmlns:pic="http://schemas.openxmlformats.org/drawingml/2006/picture">
                  <pic:nvPicPr>
                    <pic:cNvPr id="1489793624" name="Frontpage_Logo_Negativ"/>
                    <pic:cNvPicPr/>
                  </pic:nvPicPr>
                  <pic:blipFill>
                    <a:blip r:embed="rId15"/>
                    <a:srcRect/>
                    <a:stretch/>
                  </pic:blipFill>
                  <pic:spPr>
                    <a:xfrm>
                      <a:off x="0" y="0"/>
                      <a:ext cx="2086118" cy="914400"/>
                    </a:xfrm>
                    <a:prstGeom prst="rect">
                      <a:avLst/>
                    </a:prstGeom>
                  </pic:spPr>
                </pic:pic>
              </a:graphicData>
            </a:graphic>
          </wp:anchor>
        </w:drawing>
      </w:r>
      <w:bookmarkEnd w:id="0"/>
      <w:r w:rsidR="008F097C">
        <w:t xml:space="preserve"> </w:t>
      </w:r>
      <w:r w:rsidR="00E25F96">
        <w:t xml:space="preserve">  </w:t>
      </w:r>
    </w:p>
    <w:p w14:paraId="77A19209" w14:textId="77777777" w:rsidR="001E349B" w:rsidRPr="004A7D78" w:rsidRDefault="00031008" w:rsidP="001E349B">
      <w:r>
        <w:rPr>
          <w:noProof/>
          <w:lang w:eastAsia="en-AU"/>
        </w:rPr>
        <w:drawing>
          <wp:anchor distT="0" distB="0" distL="114300" distR="114300" simplePos="0" relativeHeight="251658245" behindDoc="0" locked="0" layoutInCell="1" allowOverlap="1" wp14:anchorId="05E336FE" wp14:editId="78C16EA2">
            <wp:simplePos x="0" y="0"/>
            <wp:positionH relativeFrom="page">
              <wp:posOffset>5148580</wp:posOffset>
            </wp:positionH>
            <wp:positionV relativeFrom="page">
              <wp:posOffset>9595485</wp:posOffset>
            </wp:positionV>
            <wp:extent cx="2005200" cy="529200"/>
            <wp:effectExtent l="0" t="0" r="0" b="0"/>
            <wp:wrapNone/>
            <wp:docPr id="475882791" name="Picture 475882791"/>
            <wp:cNvGraphicFramePr/>
            <a:graphic xmlns:a="http://schemas.openxmlformats.org/drawingml/2006/main">
              <a:graphicData uri="http://schemas.openxmlformats.org/drawingml/2006/picture">
                <pic:pic xmlns:pic="http://schemas.openxmlformats.org/drawingml/2006/picture">
                  <pic:nvPicPr>
                    <pic:cNvPr id="475882791" name="Frontpage_Logo_Positiv"/>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5200" cy="529200"/>
                    </a:xfrm>
                    <a:prstGeom prst="rect">
                      <a:avLst/>
                    </a:prstGeom>
                  </pic:spPr>
                </pic:pic>
              </a:graphicData>
            </a:graphic>
            <wp14:sizeRelH relativeFrom="margin">
              <wp14:pctWidth>0</wp14:pctWidth>
            </wp14:sizeRelH>
            <wp14:sizeRelV relativeFrom="margin">
              <wp14:pctHeight>0</wp14:pctHeight>
            </wp14:sizeRelV>
          </wp:anchor>
        </w:drawing>
      </w:r>
      <w:r w:rsidR="001E349B" w:rsidRPr="004A7D78">
        <w:rPr>
          <w:noProof/>
          <w:lang w:eastAsia="en-AU"/>
        </w:rPr>
        <mc:AlternateContent>
          <mc:Choice Requires="wps">
            <w:drawing>
              <wp:anchor distT="0" distB="0" distL="114300" distR="114300" simplePos="0" relativeHeight="251658241" behindDoc="1" locked="1" layoutInCell="1" allowOverlap="1" wp14:anchorId="2FBE3E2E" wp14:editId="675661FD">
                <wp:simplePos x="0" y="0"/>
                <wp:positionH relativeFrom="page">
                  <wp:align>left</wp:align>
                </wp:positionH>
                <wp:positionV relativeFrom="page">
                  <wp:posOffset>-908050</wp:posOffset>
                </wp:positionV>
                <wp:extent cx="7595870" cy="10727690"/>
                <wp:effectExtent l="0" t="0" r="5080" b="0"/>
                <wp:wrapNone/>
                <wp:docPr id="35" name="Rectangle 35"/>
                <wp:cNvGraphicFramePr/>
                <a:graphic xmlns:a="http://schemas.openxmlformats.org/drawingml/2006/main">
                  <a:graphicData uri="http://schemas.microsoft.com/office/word/2010/wordprocessingShape">
                    <wps:wsp>
                      <wps:cNvSpPr/>
                      <wps:spPr>
                        <a:xfrm>
                          <a:off x="0" y="0"/>
                          <a:ext cx="7595870" cy="1072769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86432C" w14:textId="77777777" w:rsidR="00F12EFB" w:rsidRDefault="00F12EFB" w:rsidP="00F12EF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E3E2E" id="Rectangle 35" o:spid="_x0000_s1026" style="position:absolute;margin-left:0;margin-top:-71.5pt;width:598.1pt;height:844.7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" stroked="f" strokeweight="2pt">
                <v:textbox>
                  <w:txbxContent>
                    <w:p w14:paraId="7986432C" w14:textId="77777777" w:rsidR="00F12EFB" w:rsidRDefault="00F12EFB" w:rsidP="00F12EFB">
                      <w:pPr>
                        <w:jc w:val="center"/>
                      </w:pPr>
                    </w:p>
                  </w:txbxContent>
                </v:textbox>
                <w10:wrap anchorx="page" anchory="page"/>
                <w10:anchorlock/>
              </v:rect>
            </w:pict>
          </mc:Fallback>
        </mc:AlternateContent>
      </w:r>
      <w:r w:rsidR="001E349B" w:rsidRPr="004A7D78">
        <w:rPr>
          <w:noProof/>
          <w:lang w:eastAsia="en-AU"/>
        </w:rPr>
        <mc:AlternateContent>
          <mc:Choice Requires="wps">
            <w:drawing>
              <wp:anchor distT="0" distB="0" distL="114300" distR="114300" simplePos="0" relativeHeight="251658242" behindDoc="0" locked="1" layoutInCell="1" allowOverlap="1" wp14:anchorId="0EDDC6F8" wp14:editId="2F0DE0C0">
                <wp:simplePos x="0" y="0"/>
                <wp:positionH relativeFrom="page">
                  <wp:posOffset>428625</wp:posOffset>
                </wp:positionH>
                <wp:positionV relativeFrom="page">
                  <wp:posOffset>428625</wp:posOffset>
                </wp:positionV>
                <wp:extent cx="6746875" cy="96774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6746875" cy="96774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ayout w:type="fixed"/>
                              <w:tblLook w:val="04A0" w:firstRow="1" w:lastRow="0" w:firstColumn="1" w:lastColumn="0" w:noHBand="0" w:noVBand="1"/>
                            </w:tblPr>
                            <w:tblGrid>
                              <w:gridCol w:w="10603"/>
                            </w:tblGrid>
                            <w:tr w:rsidR="001E349B" w:rsidRPr="00AA1B91" w14:paraId="7C54DFA4" w14:textId="77777777">
                              <w:trPr>
                                <w:cnfStyle w:val="100000000000" w:firstRow="1" w:lastRow="0" w:firstColumn="0" w:lastColumn="0" w:oddVBand="0" w:evenVBand="0" w:oddHBand="0" w:evenHBand="0" w:firstRowFirstColumn="0" w:firstRowLastColumn="0" w:lastRowFirstColumn="0" w:lastRowLastColumn="0"/>
                                <w:trHeight w:val="1604"/>
                              </w:trPr>
                              <w:tc>
                                <w:tcPr>
                                  <w:tcW w:w="10603" w:type="dxa"/>
                                </w:tcPr>
                                <w:p w14:paraId="61DD2803" w14:textId="77777777" w:rsidR="001E349B" w:rsidRPr="00AA1B91" w:rsidRDefault="001E349B"/>
                              </w:tc>
                            </w:tr>
                            <w:tr w:rsidR="001E349B" w:rsidRPr="00AA1B91" w14:paraId="328A982F" w14:textId="77777777" w:rsidTr="00981018">
                              <w:trPr>
                                <w:trHeight w:hRule="exact" w:val="10603"/>
                              </w:trPr>
                              <w:tc>
                                <w:tcPr>
                                  <w:tcW w:w="10603" w:type="dxa"/>
                                </w:tcPr>
                                <w:p w14:paraId="5F148DA3" w14:textId="6492581B" w:rsidR="001E349B" w:rsidRPr="00AA1B91" w:rsidRDefault="0017334E">
                                  <w:pPr>
                                    <w:pStyle w:val="FPPicture"/>
                                  </w:pPr>
                                  <w:r w:rsidRPr="00057927">
                                    <w:rPr>
                                      <w:noProof/>
                                      <w:lang w:eastAsia="en-AU"/>
                                    </w:rPr>
                                    <w:drawing>
                                      <wp:inline distT="0" distB="0" distL="0" distR="0" wp14:anchorId="5D4AF21A" wp14:editId="2B98E9C1">
                                        <wp:extent cx="7062952" cy="7062952"/>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a:extLst>
                                                    <a:ext uri="{28A0092B-C50C-407E-A947-70E740481C1C}">
                                                      <a14:useLocalDpi xmlns:a14="http://schemas.microsoft.com/office/drawing/2010/main" val="0"/>
                                                    </a:ext>
                                                  </a:extLst>
                                                </a:blip>
                                                <a:stretch>
                                                  <a:fillRect/>
                                                </a:stretch>
                                              </pic:blipFill>
                                              <pic:spPr bwMode="auto">
                                                <a:xfrm>
                                                  <a:off x="0" y="0"/>
                                                  <a:ext cx="7070382" cy="707038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FD011E" w14:textId="77777777" w:rsidR="001E349B" w:rsidRDefault="001E349B" w:rsidP="00981018">
                            <w:pPr>
                              <w:pStyle w:val="NoSpacing"/>
                            </w:pPr>
                          </w:p>
                          <w:p w14:paraId="4A209EA9" w14:textId="77777777" w:rsidR="00981018" w:rsidRPr="00AA1B91" w:rsidRDefault="00981018" w:rsidP="00981018">
                            <w:pPr>
                              <w:pStyle w:val="NoSpacing"/>
                            </w:pPr>
                          </w:p>
                          <w:tbl>
                            <w:tblPr>
                              <w:tblStyle w:val="Tabel-Gitter1"/>
                              <w:tblOverlap w:val="never"/>
                              <w:tblW w:w="0" w:type="auto"/>
                              <w:tblLayout w:type="fixed"/>
                              <w:tblLook w:val="04A0" w:firstRow="1" w:lastRow="0" w:firstColumn="1" w:lastColumn="0" w:noHBand="0" w:noVBand="1"/>
                            </w:tblPr>
                            <w:tblGrid>
                              <w:gridCol w:w="6945"/>
                            </w:tblGrid>
                            <w:tr w:rsidR="001E349B" w14:paraId="22C49B5A" w14:textId="77777777">
                              <w:trPr>
                                <w:cnfStyle w:val="100000000000" w:firstRow="1" w:lastRow="0" w:firstColumn="0" w:lastColumn="0" w:oddVBand="0" w:evenVBand="0" w:oddHBand="0" w:evenHBand="0" w:firstRowFirstColumn="0" w:firstRowLastColumn="0" w:lastRowFirstColumn="0" w:lastRowLastColumn="0"/>
                                <w:trHeight w:val="2438"/>
                              </w:trPr>
                              <w:tc>
                                <w:tcPr>
                                  <w:tcW w:w="6945" w:type="dxa"/>
                                  <w:vAlign w:val="bottom"/>
                                  <w:hideMark/>
                                </w:tcPr>
                                <w:p w14:paraId="463B7B91" w14:textId="39449DC8" w:rsidR="009756C6" w:rsidRDefault="00E117F7" w:rsidP="007C4146">
                                  <w:pPr>
                                    <w:pStyle w:val="Documenttitle"/>
                                  </w:pPr>
                                  <w:bookmarkStart w:id="2" w:name="start"/>
                                  <w:r>
                                    <w:t xml:space="preserve">Summary report: </w:t>
                                  </w:r>
                                  <w:r w:rsidR="00467502">
                                    <w:t xml:space="preserve">The </w:t>
                                  </w:r>
                                  <w:r w:rsidR="00003EA4">
                                    <w:t>economic</w:t>
                                  </w:r>
                                  <w:bookmarkEnd w:id="2"/>
                                  <w:r w:rsidR="00467502">
                                    <w:t xml:space="preserve"> impact of the BSBL reforms</w:t>
                                  </w:r>
                                  <w:r w:rsidR="00804734">
                                    <w:t xml:space="preserve"> </w:t>
                                  </w:r>
                                </w:p>
                                <w:p w14:paraId="4BFB60F2" w14:textId="280EC00B" w:rsidR="001E349B" w:rsidRDefault="0017334E" w:rsidP="005D3CA2">
                                  <w:pPr>
                                    <w:pStyle w:val="Documentsubtitle"/>
                                  </w:pPr>
                                  <w:r>
                                    <w:t>Department of Treasury and Finance</w:t>
                                  </w:r>
                                </w:p>
                                <w:p w14:paraId="05C2F1D8" w14:textId="509F91D9" w:rsidR="001E349B" w:rsidRDefault="001B59CF" w:rsidP="005D3CA2">
                                  <w:pPr>
                                    <w:pStyle w:val="Documentdate"/>
                                  </w:pPr>
                                  <w:r>
                                    <w:t>May</w:t>
                                  </w:r>
                                  <w:r w:rsidR="004F4986">
                                    <w:t xml:space="preserve"> 2025</w:t>
                                  </w:r>
                                </w:p>
                              </w:tc>
                            </w:tr>
                          </w:tbl>
                          <w:p w14:paraId="6B8881CB" w14:textId="77777777" w:rsidR="001E349B" w:rsidRPr="00AA1B91" w:rsidRDefault="001E349B" w:rsidP="001E349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DC6F8" id="_x0000_t202" coordsize="21600,21600" o:spt="202" path="m,l,21600r21600,l21600,xe">
                <v:stroke joinstyle="miter"/>
                <v:path gradientshapeok="t" o:connecttype="rect"/>
              </v:shapetype>
              <v:shape id="Text Box 36" o:spid="_x0000_s1027" type="#_x0000_t202" style="position:absolute;margin-left:33.75pt;margin-top:33.75pt;width:531.25pt;height:76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" filled="f" fillcolor="white [3201]" stroked="f" strokeweight=".5pt">
                <v:textbox inset="0,0,0,0">
                  <w:txbxContent>
                    <w:tbl>
                      <w:tblPr>
                        <w:tblStyle w:val="TableGrid"/>
                        <w:tblW w:w="0" w:type="auto"/>
                        <w:tblLayout w:type="fixed"/>
                        <w:tblLook w:val="04A0" w:firstRow="1" w:lastRow="0" w:firstColumn="1" w:lastColumn="0" w:noHBand="0" w:noVBand="1"/>
                      </w:tblPr>
                      <w:tblGrid>
                        <w:gridCol w:w="10603"/>
                      </w:tblGrid>
                      <w:tr w:rsidR="001E349B" w:rsidRPr="00AA1B91" w14:paraId="7C54DFA4" w14:textId="77777777">
                        <w:trPr>
                          <w:cnfStyle w:val="100000000000" w:firstRow="1" w:lastRow="0" w:firstColumn="0" w:lastColumn="0" w:oddVBand="0" w:evenVBand="0" w:oddHBand="0" w:evenHBand="0" w:firstRowFirstColumn="0" w:firstRowLastColumn="0" w:lastRowFirstColumn="0" w:lastRowLastColumn="0"/>
                          <w:trHeight w:val="1604"/>
                        </w:trPr>
                        <w:tc>
                          <w:tcPr>
                            <w:tcW w:w="10603" w:type="dxa"/>
                          </w:tcPr>
                          <w:p w14:paraId="61DD2803" w14:textId="77777777" w:rsidR="001E349B" w:rsidRPr="00AA1B91" w:rsidRDefault="001E349B"/>
                        </w:tc>
                      </w:tr>
                      <w:tr w:rsidR="001E349B" w:rsidRPr="00AA1B91" w14:paraId="328A982F" w14:textId="77777777" w:rsidTr="00981018">
                        <w:trPr>
                          <w:trHeight w:hRule="exact" w:val="10603"/>
                        </w:trPr>
                        <w:tc>
                          <w:tcPr>
                            <w:tcW w:w="10603" w:type="dxa"/>
                          </w:tcPr>
                          <w:p w14:paraId="5F148DA3" w14:textId="6492581B" w:rsidR="001E349B" w:rsidRPr="00AA1B91" w:rsidRDefault="0017334E">
                            <w:pPr>
                              <w:pStyle w:val="FPPicture"/>
                            </w:pPr>
                            <w:r w:rsidRPr="00057927">
                              <w:rPr>
                                <w:noProof/>
                                <w:lang w:eastAsia="en-AU"/>
                              </w:rPr>
                              <w:drawing>
                                <wp:inline distT="0" distB="0" distL="0" distR="0" wp14:anchorId="5D4AF21A" wp14:editId="2B98E9C1">
                                  <wp:extent cx="7062952" cy="7062952"/>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a:extLst>
                                              <a:ext uri="{28A0092B-C50C-407E-A947-70E740481C1C}">
                                                <a14:useLocalDpi xmlns:a14="http://schemas.microsoft.com/office/drawing/2010/main" val="0"/>
                                              </a:ext>
                                            </a:extLst>
                                          </a:blip>
                                          <a:stretch>
                                            <a:fillRect/>
                                          </a:stretch>
                                        </pic:blipFill>
                                        <pic:spPr bwMode="auto">
                                          <a:xfrm>
                                            <a:off x="0" y="0"/>
                                            <a:ext cx="7070382" cy="707038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FD011E" w14:textId="77777777" w:rsidR="001E349B" w:rsidRDefault="001E349B" w:rsidP="00981018">
                      <w:pPr>
                        <w:pStyle w:val="NoSpacing"/>
                      </w:pPr>
                    </w:p>
                    <w:p w14:paraId="4A209EA9" w14:textId="77777777" w:rsidR="00981018" w:rsidRPr="00AA1B91" w:rsidRDefault="00981018" w:rsidP="00981018">
                      <w:pPr>
                        <w:pStyle w:val="NoSpacing"/>
                      </w:pPr>
                    </w:p>
                    <w:tbl>
                      <w:tblPr>
                        <w:tblStyle w:val="Tabel-Gitter1"/>
                        <w:tblOverlap w:val="never"/>
                        <w:tblW w:w="0" w:type="auto"/>
                        <w:tblLayout w:type="fixed"/>
                        <w:tblLook w:val="04A0" w:firstRow="1" w:lastRow="0" w:firstColumn="1" w:lastColumn="0" w:noHBand="0" w:noVBand="1"/>
                      </w:tblPr>
                      <w:tblGrid>
                        <w:gridCol w:w="6945"/>
                      </w:tblGrid>
                      <w:tr w:rsidR="001E349B" w14:paraId="22C49B5A" w14:textId="77777777">
                        <w:trPr>
                          <w:cnfStyle w:val="100000000000" w:firstRow="1" w:lastRow="0" w:firstColumn="0" w:lastColumn="0" w:oddVBand="0" w:evenVBand="0" w:oddHBand="0" w:evenHBand="0" w:firstRowFirstColumn="0" w:firstRowLastColumn="0" w:lastRowFirstColumn="0" w:lastRowLastColumn="0"/>
                          <w:trHeight w:val="2438"/>
                        </w:trPr>
                        <w:tc>
                          <w:tcPr>
                            <w:tcW w:w="6945" w:type="dxa"/>
                            <w:vAlign w:val="bottom"/>
                            <w:hideMark/>
                          </w:tcPr>
                          <w:p w14:paraId="463B7B91" w14:textId="39449DC8" w:rsidR="009756C6" w:rsidRDefault="00E117F7" w:rsidP="007C4146">
                            <w:pPr>
                              <w:pStyle w:val="Documenttitle"/>
                            </w:pPr>
                            <w:bookmarkStart w:id="3" w:name="start"/>
                            <w:r>
                              <w:t xml:space="preserve">Summary report: </w:t>
                            </w:r>
                            <w:r w:rsidR="00467502">
                              <w:t xml:space="preserve">The </w:t>
                            </w:r>
                            <w:r w:rsidR="00003EA4">
                              <w:t>economic</w:t>
                            </w:r>
                            <w:bookmarkEnd w:id="3"/>
                            <w:r w:rsidR="00467502">
                              <w:t xml:space="preserve"> impact of the BSBL reforms</w:t>
                            </w:r>
                            <w:r w:rsidR="00804734">
                              <w:t xml:space="preserve"> </w:t>
                            </w:r>
                          </w:p>
                          <w:p w14:paraId="4BFB60F2" w14:textId="280EC00B" w:rsidR="001E349B" w:rsidRDefault="0017334E" w:rsidP="005D3CA2">
                            <w:pPr>
                              <w:pStyle w:val="Documentsubtitle"/>
                            </w:pPr>
                            <w:r>
                              <w:t>Department of Treasury and Finance</w:t>
                            </w:r>
                          </w:p>
                          <w:p w14:paraId="05C2F1D8" w14:textId="509F91D9" w:rsidR="001E349B" w:rsidRDefault="001B59CF" w:rsidP="005D3CA2">
                            <w:pPr>
                              <w:pStyle w:val="Documentdate"/>
                            </w:pPr>
                            <w:r>
                              <w:t>May</w:t>
                            </w:r>
                            <w:r w:rsidR="004F4986">
                              <w:t xml:space="preserve"> 2025</w:t>
                            </w:r>
                          </w:p>
                        </w:tc>
                      </w:tr>
                    </w:tbl>
                    <w:p w14:paraId="6B8881CB" w14:textId="77777777" w:rsidR="001E349B" w:rsidRPr="00AA1B91" w:rsidRDefault="001E349B" w:rsidP="001E349B"/>
                  </w:txbxContent>
                </v:textbox>
                <w10:wrap anchorx="page" anchory="page"/>
                <w10:anchorlock/>
              </v:shape>
            </w:pict>
          </mc:Fallback>
        </mc:AlternateContent>
      </w:r>
      <w:bookmarkStart w:id="4" w:name="BIT_CoverPage"/>
    </w:p>
    <w:p w14:paraId="0C6C4FC5" w14:textId="77777777" w:rsidR="001E349B" w:rsidRPr="004A7D78" w:rsidRDefault="00031008" w:rsidP="001E349B">
      <w:r>
        <w:rPr>
          <w:noProof/>
          <w:lang w:eastAsia="en-AU"/>
        </w:rPr>
        <w:drawing>
          <wp:anchor distT="0" distB="0" distL="114300" distR="114300" simplePos="0" relativeHeight="251658246" behindDoc="0" locked="0" layoutInCell="1" allowOverlap="1" wp14:anchorId="07FA0812" wp14:editId="1E145D4D">
            <wp:simplePos x="0" y="0"/>
            <wp:positionH relativeFrom="page">
              <wp:posOffset>5154295</wp:posOffset>
            </wp:positionH>
            <wp:positionV relativeFrom="page">
              <wp:posOffset>9591040</wp:posOffset>
            </wp:positionV>
            <wp:extent cx="2003425" cy="528955"/>
            <wp:effectExtent l="0" t="0" r="0" b="0"/>
            <wp:wrapNone/>
            <wp:docPr id="52379519" name="Picture 52379519" hidden="1"/>
            <wp:cNvGraphicFramePr/>
            <a:graphic xmlns:a="http://schemas.openxmlformats.org/drawingml/2006/main">
              <a:graphicData uri="http://schemas.openxmlformats.org/drawingml/2006/picture">
                <pic:pic xmlns:pic="http://schemas.openxmlformats.org/drawingml/2006/picture">
                  <pic:nvPicPr>
                    <pic:cNvPr id="52379519" name="Frontpage_Logo_Negativ"/>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03425" cy="528955"/>
                    </a:xfrm>
                    <a:prstGeom prst="rect">
                      <a:avLst/>
                    </a:prstGeom>
                  </pic:spPr>
                </pic:pic>
              </a:graphicData>
            </a:graphic>
          </wp:anchor>
        </w:drawing>
      </w:r>
    </w:p>
    <w:bookmarkEnd w:id="4"/>
    <w:p w14:paraId="323CECA5" w14:textId="77777777" w:rsidR="001E349B" w:rsidRDefault="001E349B" w:rsidP="00A31EF9"/>
    <w:p w14:paraId="664F32A2" w14:textId="2D8762CE" w:rsidR="001E349B" w:rsidRPr="000F05E4" w:rsidRDefault="001E349B" w:rsidP="00A31EF9"/>
    <w:p w14:paraId="07564FA4" w14:textId="77777777" w:rsidR="00D96296" w:rsidRDefault="00D96296" w:rsidP="008C16DC">
      <w:pPr>
        <w:pageBreakBefore/>
        <w:sectPr w:rsidR="00D96296" w:rsidSect="005F043A">
          <w:headerReference w:type="default" r:id="rId19"/>
          <w:footerReference w:type="even" r:id="rId20"/>
          <w:footerReference w:type="default" r:id="rId21"/>
          <w:footerReference w:type="first" r:id="rId22"/>
          <w:pgSz w:w="11906" w:h="16838" w:code="9"/>
          <w:pgMar w:top="1440" w:right="4281" w:bottom="1440" w:left="1440" w:header="680" w:footer="425" w:gutter="0"/>
          <w:cols w:space="284"/>
          <w:docGrid w:linePitch="360"/>
        </w:sectPr>
      </w:pPr>
    </w:p>
    <w:p w14:paraId="2921CCCA" w14:textId="1AD67D0E" w:rsidR="00BF3260" w:rsidRDefault="00BF3260" w:rsidP="00BF3260">
      <w:pPr>
        <w:pStyle w:val="Heading1un-numbered"/>
      </w:pPr>
      <w:bookmarkStart w:id="5" w:name="_Toc462313127"/>
      <w:bookmarkStart w:id="6" w:name="_Toc462317836"/>
      <w:bookmarkStart w:id="7" w:name="_Toc462397801"/>
      <w:bookmarkStart w:id="8" w:name="_Toc463002428"/>
      <w:bookmarkStart w:id="9" w:name="_Toc472586340"/>
      <w:bookmarkStart w:id="10" w:name="_Toc482168118"/>
      <w:bookmarkStart w:id="11" w:name="_Toc482174905"/>
      <w:bookmarkStart w:id="12" w:name="_Toc152334889"/>
      <w:bookmarkStart w:id="13" w:name="_Toc209718537"/>
      <w:r>
        <w:lastRenderedPageBreak/>
        <w:t>Glossary</w:t>
      </w:r>
      <w:bookmarkEnd w:id="5"/>
      <w:bookmarkEnd w:id="6"/>
      <w:bookmarkEnd w:id="7"/>
      <w:bookmarkEnd w:id="8"/>
      <w:bookmarkEnd w:id="9"/>
      <w:bookmarkEnd w:id="10"/>
      <w:bookmarkEnd w:id="11"/>
      <w:bookmarkEnd w:id="12"/>
      <w:r w:rsidR="000813C7">
        <w:t xml:space="preserve"> and definitions</w:t>
      </w:r>
      <w:bookmarkEnd w:id="13"/>
    </w:p>
    <w:p w14:paraId="3535EFC6" w14:textId="526B4706" w:rsidR="005D7C92" w:rsidRDefault="000813C7" w:rsidP="005D7C92">
      <w:pPr>
        <w:pStyle w:val="Heading3un-numbered"/>
      </w:pPr>
      <w:r>
        <w:t>Glossary</w:t>
      </w:r>
    </w:p>
    <w:tbl>
      <w:tblPr>
        <w:tblStyle w:val="Deloittetable"/>
        <w:tblW w:w="0" w:type="auto"/>
        <w:tblInd w:w="20" w:type="dxa"/>
        <w:tblLayout w:type="fixed"/>
        <w:tblLook w:val="04A0" w:firstRow="1" w:lastRow="0" w:firstColumn="1" w:lastColumn="0" w:noHBand="0" w:noVBand="1"/>
      </w:tblPr>
      <w:tblGrid>
        <w:gridCol w:w="3472"/>
        <w:gridCol w:w="3493"/>
      </w:tblGrid>
      <w:tr w:rsidR="005D7C92" w:rsidRPr="004B4D01" w14:paraId="46466D14" w14:textId="77777777" w:rsidTr="001C2286">
        <w:trPr>
          <w:cnfStyle w:val="100000000000" w:firstRow="1" w:lastRow="0" w:firstColumn="0" w:lastColumn="0" w:oddVBand="0" w:evenVBand="0" w:oddHBand="0" w:evenHBand="0" w:firstRowFirstColumn="0" w:firstRowLastColumn="0" w:lastRowFirstColumn="0" w:lastRowLastColumn="0"/>
        </w:trPr>
        <w:tc>
          <w:tcPr>
            <w:tcW w:w="3472" w:type="dxa"/>
          </w:tcPr>
          <w:p w14:paraId="713C52EC" w14:textId="77777777" w:rsidR="005D7C92" w:rsidRPr="00F502A8" w:rsidRDefault="005D7C92" w:rsidP="001C2286">
            <w:pPr>
              <w:pStyle w:val="TabletextLeft"/>
              <w:rPr>
                <w:b/>
                <w:bCs/>
              </w:rPr>
            </w:pPr>
            <w:r w:rsidRPr="00F502A8">
              <w:rPr>
                <w:b/>
                <w:bCs/>
              </w:rPr>
              <w:t>Acronym/term</w:t>
            </w:r>
          </w:p>
        </w:tc>
        <w:tc>
          <w:tcPr>
            <w:tcW w:w="3493" w:type="dxa"/>
          </w:tcPr>
          <w:p w14:paraId="32461954" w14:textId="77777777" w:rsidR="005D7C92" w:rsidRPr="00F502A8" w:rsidRDefault="005D7C92" w:rsidP="001C2286">
            <w:pPr>
              <w:pStyle w:val="TabletextLeft"/>
              <w:rPr>
                <w:b/>
                <w:bCs/>
              </w:rPr>
            </w:pPr>
            <w:r w:rsidRPr="00F502A8">
              <w:rPr>
                <w:b/>
                <w:bCs/>
              </w:rPr>
              <w:t>Full name/description</w:t>
            </w:r>
          </w:p>
        </w:tc>
      </w:tr>
      <w:tr w:rsidR="005D7C92" w:rsidRPr="004B4D01" w14:paraId="4F286CAE" w14:textId="77777777" w:rsidTr="001C2286">
        <w:tc>
          <w:tcPr>
            <w:tcW w:w="3472" w:type="dxa"/>
          </w:tcPr>
          <w:p w14:paraId="16D36FA3" w14:textId="77777777" w:rsidR="005D7C92" w:rsidRDefault="005D7C92" w:rsidP="001C2286">
            <w:pPr>
              <w:pStyle w:val="TabletextLeft"/>
            </w:pPr>
            <w:r>
              <w:t>BSBL</w:t>
            </w:r>
          </w:p>
        </w:tc>
        <w:tc>
          <w:tcPr>
            <w:tcW w:w="3493" w:type="dxa"/>
          </w:tcPr>
          <w:p w14:paraId="486E6BBF" w14:textId="77777777" w:rsidR="005D7C92" w:rsidRDefault="005D7C92" w:rsidP="001C2286">
            <w:pPr>
              <w:pStyle w:val="TabletextLeft"/>
            </w:pPr>
            <w:r w:rsidRPr="00F502A8">
              <w:t>Best Start, Best Life</w:t>
            </w:r>
          </w:p>
        </w:tc>
      </w:tr>
      <w:tr w:rsidR="005D7C92" w:rsidRPr="004B4D01" w14:paraId="5B13CC16" w14:textId="77777777" w:rsidTr="001C2286">
        <w:tc>
          <w:tcPr>
            <w:tcW w:w="3472" w:type="dxa"/>
          </w:tcPr>
          <w:p w14:paraId="5CDE376F" w14:textId="77777777" w:rsidR="005D7C92" w:rsidRPr="00BD24A2" w:rsidRDefault="005D7C92" w:rsidP="001C2286">
            <w:pPr>
              <w:pStyle w:val="TabletextLeft"/>
            </w:pPr>
            <w:r>
              <w:t>CCS</w:t>
            </w:r>
          </w:p>
        </w:tc>
        <w:tc>
          <w:tcPr>
            <w:tcW w:w="3493" w:type="dxa"/>
          </w:tcPr>
          <w:p w14:paraId="54019090" w14:textId="77777777" w:rsidR="005D7C92" w:rsidRPr="00BD24A2" w:rsidRDefault="005D7C92" w:rsidP="001C2286">
            <w:pPr>
              <w:pStyle w:val="TabletextLeft"/>
            </w:pPr>
            <w:r>
              <w:rPr>
                <w:lang w:val="de-DE"/>
              </w:rPr>
              <w:t>Child Care Subsidy</w:t>
            </w:r>
          </w:p>
        </w:tc>
      </w:tr>
      <w:tr w:rsidR="005D7C92" w:rsidRPr="004B4D01" w14:paraId="7DB5B013" w14:textId="77777777" w:rsidTr="001C2286">
        <w:tc>
          <w:tcPr>
            <w:tcW w:w="3472" w:type="dxa"/>
          </w:tcPr>
          <w:p w14:paraId="218957CA" w14:textId="77777777" w:rsidR="005D7C92" w:rsidRPr="005D550E" w:rsidRDefault="005D7C92" w:rsidP="001C2286">
            <w:pPr>
              <w:pStyle w:val="TabletextLeft"/>
            </w:pPr>
            <w:r w:rsidRPr="00BD24A2">
              <w:t>CGE</w:t>
            </w:r>
          </w:p>
        </w:tc>
        <w:tc>
          <w:tcPr>
            <w:tcW w:w="3493" w:type="dxa"/>
          </w:tcPr>
          <w:p w14:paraId="2CF99429" w14:textId="77777777" w:rsidR="005D7C92" w:rsidRPr="005D550E" w:rsidRDefault="005D7C92" w:rsidP="001C2286">
            <w:pPr>
              <w:pStyle w:val="TabletextLeft"/>
            </w:pPr>
            <w:r w:rsidRPr="00F502A8">
              <w:t xml:space="preserve">Computable </w:t>
            </w:r>
            <w:r>
              <w:t>G</w:t>
            </w:r>
            <w:r w:rsidRPr="00F502A8">
              <w:t xml:space="preserve">eneral </w:t>
            </w:r>
            <w:r>
              <w:t>E</w:t>
            </w:r>
            <w:r w:rsidRPr="00F502A8">
              <w:t>quilibrium</w:t>
            </w:r>
            <w:r w:rsidRPr="00F502A8" w:rsidDel="00BD24A2">
              <w:t xml:space="preserve"> </w:t>
            </w:r>
          </w:p>
        </w:tc>
      </w:tr>
      <w:tr w:rsidR="005D7C92" w:rsidRPr="004B4D01" w14:paraId="6699C6A7" w14:textId="77777777" w:rsidTr="001C2286">
        <w:tc>
          <w:tcPr>
            <w:tcW w:w="3472" w:type="dxa"/>
          </w:tcPr>
          <w:p w14:paraId="3E30B82C" w14:textId="77777777" w:rsidR="005D7C92" w:rsidRPr="00BD24A2" w:rsidRDefault="005D7C92" w:rsidP="001C2286">
            <w:pPr>
              <w:pStyle w:val="TabletextLeft"/>
            </w:pPr>
            <w:r w:rsidRPr="00BD24A2">
              <w:t>DAE-RGEM</w:t>
            </w:r>
          </w:p>
        </w:tc>
        <w:tc>
          <w:tcPr>
            <w:tcW w:w="3493" w:type="dxa"/>
          </w:tcPr>
          <w:p w14:paraId="6E163FC8" w14:textId="77777777" w:rsidR="005D7C92" w:rsidRPr="00F502A8" w:rsidRDefault="005D7C92" w:rsidP="001C2286">
            <w:pPr>
              <w:pStyle w:val="TabletextLeft"/>
            </w:pPr>
            <w:r w:rsidRPr="00F502A8">
              <w:t>Deloitte Access Economics’ in-house Regional General Equilibrium Model</w:t>
            </w:r>
          </w:p>
        </w:tc>
      </w:tr>
      <w:tr w:rsidR="005D7C92" w:rsidRPr="004B4D01" w14:paraId="6BE9BD83" w14:textId="77777777" w:rsidTr="001C2286">
        <w:tc>
          <w:tcPr>
            <w:tcW w:w="3472" w:type="dxa"/>
          </w:tcPr>
          <w:p w14:paraId="3466DD32" w14:textId="77777777" w:rsidR="005D7C92" w:rsidRPr="00BD24A2" w:rsidRDefault="005D7C92" w:rsidP="001C2286">
            <w:pPr>
              <w:pStyle w:val="TabletextLeft"/>
            </w:pPr>
            <w:r>
              <w:t>DE</w:t>
            </w:r>
          </w:p>
        </w:tc>
        <w:tc>
          <w:tcPr>
            <w:tcW w:w="3493" w:type="dxa"/>
          </w:tcPr>
          <w:p w14:paraId="6940898C" w14:textId="77777777" w:rsidR="005D7C92" w:rsidRPr="00F502A8" w:rsidRDefault="005D7C92" w:rsidP="001C2286">
            <w:pPr>
              <w:pStyle w:val="TabletextLeft"/>
            </w:pPr>
            <w:r>
              <w:t>Department of Education</w:t>
            </w:r>
          </w:p>
        </w:tc>
      </w:tr>
      <w:tr w:rsidR="005D7C92" w:rsidRPr="004B4D01" w14:paraId="2CD7D505" w14:textId="77777777" w:rsidTr="001C2286">
        <w:tc>
          <w:tcPr>
            <w:tcW w:w="3472" w:type="dxa"/>
          </w:tcPr>
          <w:p w14:paraId="01183BE3" w14:textId="77777777" w:rsidR="005D7C92" w:rsidRDefault="005D7C92" w:rsidP="001C2286">
            <w:pPr>
              <w:pStyle w:val="TabletextLeft"/>
            </w:pPr>
            <w:r w:rsidRPr="00BD24A2">
              <w:t>DTF</w:t>
            </w:r>
          </w:p>
        </w:tc>
        <w:tc>
          <w:tcPr>
            <w:tcW w:w="3493" w:type="dxa"/>
          </w:tcPr>
          <w:p w14:paraId="19BE1928" w14:textId="77777777" w:rsidR="005D7C92" w:rsidRPr="00F502A8" w:rsidRDefault="005D7C92" w:rsidP="001C2286">
            <w:pPr>
              <w:pStyle w:val="TabletextLeft"/>
            </w:pPr>
            <w:r w:rsidRPr="00F502A8">
              <w:t xml:space="preserve">Department of Treasury and Finance </w:t>
            </w:r>
          </w:p>
        </w:tc>
      </w:tr>
      <w:tr w:rsidR="005D7C92" w:rsidRPr="004B4D01" w14:paraId="707AC2CF" w14:textId="77777777" w:rsidTr="001C2286">
        <w:tc>
          <w:tcPr>
            <w:tcW w:w="3472" w:type="dxa"/>
          </w:tcPr>
          <w:p w14:paraId="6F13FCB7" w14:textId="77777777" w:rsidR="005D7C92" w:rsidRDefault="005D7C92" w:rsidP="001C2286">
            <w:pPr>
              <w:pStyle w:val="TabletextLeft"/>
            </w:pPr>
            <w:r w:rsidRPr="00BD24A2">
              <w:t>ECEC</w:t>
            </w:r>
          </w:p>
        </w:tc>
        <w:tc>
          <w:tcPr>
            <w:tcW w:w="3493" w:type="dxa"/>
          </w:tcPr>
          <w:p w14:paraId="6CD2DD25" w14:textId="77777777" w:rsidR="005D7C92" w:rsidRPr="00F502A8" w:rsidRDefault="005D7C92" w:rsidP="001C2286">
            <w:pPr>
              <w:pStyle w:val="TabletextLeft"/>
            </w:pPr>
            <w:r w:rsidRPr="00F502A8">
              <w:t>Early Childhood Education and Care</w:t>
            </w:r>
          </w:p>
        </w:tc>
      </w:tr>
      <w:tr w:rsidR="005D7C92" w:rsidRPr="004B4D01" w14:paraId="5C0A0453" w14:textId="77777777" w:rsidTr="001C2286">
        <w:tc>
          <w:tcPr>
            <w:tcW w:w="3472" w:type="dxa"/>
          </w:tcPr>
          <w:p w14:paraId="30906E78" w14:textId="77777777" w:rsidR="005D7C92" w:rsidRPr="00BD24A2" w:rsidRDefault="005D7C92" w:rsidP="001C2286">
            <w:pPr>
              <w:pStyle w:val="TabletextLeft"/>
            </w:pPr>
            <w:r>
              <w:t>FTE</w:t>
            </w:r>
          </w:p>
        </w:tc>
        <w:tc>
          <w:tcPr>
            <w:tcW w:w="3493" w:type="dxa"/>
          </w:tcPr>
          <w:p w14:paraId="2FEAC165" w14:textId="77777777" w:rsidR="005D7C92" w:rsidRPr="00F502A8" w:rsidRDefault="005D7C92" w:rsidP="001C2286">
            <w:pPr>
              <w:pStyle w:val="TabletextLeft"/>
            </w:pPr>
            <w:r>
              <w:t>Full Time Equivalent</w:t>
            </w:r>
          </w:p>
        </w:tc>
      </w:tr>
      <w:tr w:rsidR="005D7C92" w:rsidRPr="004B4D01" w14:paraId="4C0D51E0" w14:textId="77777777" w:rsidTr="001C2286">
        <w:tc>
          <w:tcPr>
            <w:tcW w:w="3472" w:type="dxa"/>
          </w:tcPr>
          <w:p w14:paraId="0754CCAE" w14:textId="77777777" w:rsidR="005D7C92" w:rsidRDefault="005D7C92" w:rsidP="001C2286">
            <w:pPr>
              <w:pStyle w:val="TabletextLeft"/>
            </w:pPr>
            <w:r>
              <w:t>GDP</w:t>
            </w:r>
          </w:p>
        </w:tc>
        <w:tc>
          <w:tcPr>
            <w:tcW w:w="3493" w:type="dxa"/>
          </w:tcPr>
          <w:p w14:paraId="5B3CF199" w14:textId="77777777" w:rsidR="005D7C92" w:rsidRDefault="005D7C92" w:rsidP="001C2286">
            <w:pPr>
              <w:pStyle w:val="TabletextLeft"/>
            </w:pPr>
            <w:r>
              <w:t>Gross Domestic Product</w:t>
            </w:r>
          </w:p>
        </w:tc>
      </w:tr>
      <w:tr w:rsidR="005D7C92" w:rsidRPr="004B4D01" w14:paraId="71459AD0" w14:textId="77777777" w:rsidTr="001C2286">
        <w:tc>
          <w:tcPr>
            <w:tcW w:w="3472" w:type="dxa"/>
          </w:tcPr>
          <w:p w14:paraId="360AC94E" w14:textId="77777777" w:rsidR="005D7C92" w:rsidRDefault="005D7C92" w:rsidP="001C2286">
            <w:pPr>
              <w:pStyle w:val="TabletextLeft"/>
            </w:pPr>
            <w:r>
              <w:t>GSP</w:t>
            </w:r>
          </w:p>
        </w:tc>
        <w:tc>
          <w:tcPr>
            <w:tcW w:w="3493" w:type="dxa"/>
          </w:tcPr>
          <w:p w14:paraId="56D98163" w14:textId="77777777" w:rsidR="005D7C92" w:rsidRDefault="005D7C92" w:rsidP="001C2286">
            <w:pPr>
              <w:pStyle w:val="TabletextLeft"/>
            </w:pPr>
            <w:r>
              <w:t>Gross State Product</w:t>
            </w:r>
          </w:p>
        </w:tc>
      </w:tr>
      <w:tr w:rsidR="005D7C92" w:rsidRPr="004B4D01" w14:paraId="0115616A" w14:textId="77777777" w:rsidTr="001C2286">
        <w:tc>
          <w:tcPr>
            <w:tcW w:w="3472" w:type="dxa"/>
          </w:tcPr>
          <w:p w14:paraId="16511454" w14:textId="77777777" w:rsidR="005D7C92" w:rsidRPr="00BD24A2" w:rsidRDefault="005D7C92" w:rsidP="001C2286">
            <w:pPr>
              <w:pStyle w:val="TabletextLeft"/>
            </w:pPr>
            <w:r w:rsidRPr="00BD24A2">
              <w:t>LDC</w:t>
            </w:r>
          </w:p>
        </w:tc>
        <w:tc>
          <w:tcPr>
            <w:tcW w:w="3493" w:type="dxa"/>
          </w:tcPr>
          <w:p w14:paraId="3F858A3F" w14:textId="77777777" w:rsidR="005D7C92" w:rsidRPr="00F502A8" w:rsidRDefault="005D7C92" w:rsidP="001C2286">
            <w:pPr>
              <w:pStyle w:val="TabletextLeft"/>
            </w:pPr>
            <w:r w:rsidRPr="00F502A8">
              <w:t>Long Day Care</w:t>
            </w:r>
          </w:p>
        </w:tc>
      </w:tr>
      <w:tr w:rsidR="005D7C92" w:rsidRPr="004B4D01" w14:paraId="7BD4681D" w14:textId="77777777" w:rsidTr="001C2286">
        <w:tc>
          <w:tcPr>
            <w:tcW w:w="3472" w:type="dxa"/>
          </w:tcPr>
          <w:p w14:paraId="2C46E0C6" w14:textId="77777777" w:rsidR="005D7C92" w:rsidRPr="00BD24A2" w:rsidRDefault="005D7C92" w:rsidP="001C2286">
            <w:pPr>
              <w:pStyle w:val="TabletextLeft"/>
            </w:pPr>
            <w:r w:rsidRPr="00BD24A2">
              <w:t>NAPLAN</w:t>
            </w:r>
          </w:p>
        </w:tc>
        <w:tc>
          <w:tcPr>
            <w:tcW w:w="3493" w:type="dxa"/>
          </w:tcPr>
          <w:p w14:paraId="3629C76D" w14:textId="77777777" w:rsidR="005D7C92" w:rsidRPr="00F502A8" w:rsidRDefault="005D7C92" w:rsidP="001C2286">
            <w:pPr>
              <w:pStyle w:val="TabletextLeft"/>
            </w:pPr>
            <w:r w:rsidRPr="00F502A8">
              <w:t>The National Assessment Program – Literacy and Numeracy</w:t>
            </w:r>
          </w:p>
        </w:tc>
      </w:tr>
      <w:tr w:rsidR="005D7C92" w:rsidRPr="004B4D01" w14:paraId="3C0BBB28" w14:textId="77777777" w:rsidTr="001C2286">
        <w:tc>
          <w:tcPr>
            <w:tcW w:w="3472" w:type="dxa"/>
          </w:tcPr>
          <w:p w14:paraId="1EAB1C05" w14:textId="77777777" w:rsidR="005D7C92" w:rsidRPr="00BD24A2" w:rsidRDefault="005D7C92" w:rsidP="001C2286">
            <w:pPr>
              <w:pStyle w:val="TabletextLeft"/>
            </w:pPr>
            <w:r w:rsidRPr="00BD24A2">
              <w:t>NVP</w:t>
            </w:r>
          </w:p>
        </w:tc>
        <w:tc>
          <w:tcPr>
            <w:tcW w:w="3493" w:type="dxa"/>
          </w:tcPr>
          <w:p w14:paraId="255EAC7B" w14:textId="77777777" w:rsidR="005D7C92" w:rsidRPr="00F502A8" w:rsidRDefault="005D7C92" w:rsidP="001C2286">
            <w:pPr>
              <w:pStyle w:val="TabletextLeft"/>
            </w:pPr>
            <w:r w:rsidRPr="00F502A8">
              <w:t>Net Present Value</w:t>
            </w:r>
          </w:p>
        </w:tc>
      </w:tr>
      <w:tr w:rsidR="005D7C92" w:rsidRPr="004B4D01" w14:paraId="5A1F98DF" w14:textId="77777777" w:rsidTr="001C2286">
        <w:tc>
          <w:tcPr>
            <w:tcW w:w="3472" w:type="dxa"/>
          </w:tcPr>
          <w:p w14:paraId="2917CA85" w14:textId="77777777" w:rsidR="005D7C92" w:rsidRPr="00BD24A2" w:rsidRDefault="005D7C92" w:rsidP="001C2286">
            <w:pPr>
              <w:pStyle w:val="TabletextLeft"/>
            </w:pPr>
            <w:r>
              <w:t>SD</w:t>
            </w:r>
          </w:p>
        </w:tc>
        <w:tc>
          <w:tcPr>
            <w:tcW w:w="3493" w:type="dxa"/>
          </w:tcPr>
          <w:p w14:paraId="10C113C1" w14:textId="77777777" w:rsidR="005D7C92" w:rsidRPr="00BD24A2" w:rsidRDefault="005D7C92" w:rsidP="001C2286">
            <w:pPr>
              <w:pStyle w:val="TabletextLeft"/>
            </w:pPr>
            <w:r>
              <w:t>Standard Deviation</w:t>
            </w:r>
          </w:p>
        </w:tc>
      </w:tr>
      <w:tr w:rsidR="005D7C92" w:rsidRPr="004B4D01" w14:paraId="61224606" w14:textId="77777777" w:rsidTr="001C2286">
        <w:tc>
          <w:tcPr>
            <w:tcW w:w="3472" w:type="dxa"/>
          </w:tcPr>
          <w:p w14:paraId="093880FA" w14:textId="77777777" w:rsidR="005D7C92" w:rsidRPr="00BD24A2" w:rsidRDefault="005D7C92" w:rsidP="001C2286">
            <w:pPr>
              <w:pStyle w:val="TabletextLeft"/>
            </w:pPr>
            <w:r w:rsidRPr="00BD24A2">
              <w:t>SEIFA</w:t>
            </w:r>
          </w:p>
        </w:tc>
        <w:tc>
          <w:tcPr>
            <w:tcW w:w="3493" w:type="dxa"/>
          </w:tcPr>
          <w:p w14:paraId="57B8A1C1" w14:textId="77777777" w:rsidR="005D7C92" w:rsidRPr="00BD24A2" w:rsidRDefault="005D7C92" w:rsidP="001C2286">
            <w:pPr>
              <w:pStyle w:val="TabletextLeft"/>
            </w:pPr>
            <w:r w:rsidRPr="00F502A8">
              <w:t>Socio-Economic Indexes for Areas</w:t>
            </w:r>
          </w:p>
        </w:tc>
      </w:tr>
      <w:tr w:rsidR="005D7C92" w:rsidRPr="004B4D01" w14:paraId="267C02D5" w14:textId="77777777" w:rsidTr="001C2286">
        <w:tc>
          <w:tcPr>
            <w:tcW w:w="3472" w:type="dxa"/>
          </w:tcPr>
          <w:p w14:paraId="7AE53702" w14:textId="77777777" w:rsidR="005D7C92" w:rsidRPr="00BD24A2" w:rsidRDefault="005D7C92" w:rsidP="001C2286">
            <w:pPr>
              <w:pStyle w:val="TabletextLeft"/>
            </w:pPr>
            <w:r>
              <w:t>VEFU</w:t>
            </w:r>
          </w:p>
        </w:tc>
        <w:tc>
          <w:tcPr>
            <w:tcW w:w="3493" w:type="dxa"/>
          </w:tcPr>
          <w:p w14:paraId="467C37F8" w14:textId="77777777" w:rsidR="005D7C92" w:rsidRPr="00F502A8" w:rsidRDefault="005D7C92" w:rsidP="001C2286">
            <w:pPr>
              <w:pStyle w:val="TabletextLeft"/>
            </w:pPr>
            <w:r>
              <w:t>Victorian Economic and Fiscal Update</w:t>
            </w:r>
          </w:p>
        </w:tc>
      </w:tr>
    </w:tbl>
    <w:p w14:paraId="4D286079" w14:textId="77777777" w:rsidR="00C57555" w:rsidRDefault="00C57555" w:rsidP="00305EAF"/>
    <w:p w14:paraId="6C325242" w14:textId="77777777" w:rsidR="00305EAF" w:rsidRDefault="00305EAF" w:rsidP="00305EAF">
      <w:pPr>
        <w:pStyle w:val="Heading3un-numbered"/>
      </w:pPr>
      <w:r>
        <w:t>Key definitions</w:t>
      </w:r>
    </w:p>
    <w:tbl>
      <w:tblPr>
        <w:tblStyle w:val="Deloittetable"/>
        <w:tblW w:w="0" w:type="auto"/>
        <w:tblLayout w:type="fixed"/>
        <w:tblLook w:val="04A0" w:firstRow="1" w:lastRow="0" w:firstColumn="1" w:lastColumn="0" w:noHBand="0" w:noVBand="1"/>
      </w:tblPr>
      <w:tblGrid>
        <w:gridCol w:w="2132"/>
        <w:gridCol w:w="4813"/>
      </w:tblGrid>
      <w:tr w:rsidR="00571DC9" w:rsidRPr="004B4D01" w14:paraId="52A162FF" w14:textId="77777777">
        <w:trPr>
          <w:cnfStyle w:val="100000000000" w:firstRow="1" w:lastRow="0" w:firstColumn="0" w:lastColumn="0" w:oddVBand="0" w:evenVBand="0" w:oddHBand="0" w:evenHBand="0" w:firstRowFirstColumn="0" w:firstRowLastColumn="0" w:lastRowFirstColumn="0" w:lastRowLastColumn="0"/>
        </w:trPr>
        <w:tc>
          <w:tcPr>
            <w:tcW w:w="2132" w:type="dxa"/>
          </w:tcPr>
          <w:p w14:paraId="2821720B" w14:textId="77777777" w:rsidR="00571DC9" w:rsidRPr="00AA514F" w:rsidRDefault="00571DC9">
            <w:pPr>
              <w:pStyle w:val="TabletextLeft"/>
              <w:rPr>
                <w:b/>
                <w:bCs/>
              </w:rPr>
            </w:pPr>
            <w:r w:rsidRPr="00AA514F">
              <w:rPr>
                <w:b/>
                <w:bCs/>
              </w:rPr>
              <w:t>Acronym/term</w:t>
            </w:r>
          </w:p>
        </w:tc>
        <w:tc>
          <w:tcPr>
            <w:tcW w:w="4813" w:type="dxa"/>
          </w:tcPr>
          <w:p w14:paraId="2620C7E5" w14:textId="77777777" w:rsidR="00571DC9" w:rsidRPr="00AA514F" w:rsidRDefault="00571DC9">
            <w:pPr>
              <w:pStyle w:val="TabletextLeft"/>
              <w:rPr>
                <w:b/>
                <w:bCs/>
              </w:rPr>
            </w:pPr>
            <w:r w:rsidRPr="00AA514F">
              <w:rPr>
                <w:b/>
                <w:bCs/>
              </w:rPr>
              <w:t>Full name/description</w:t>
            </w:r>
          </w:p>
        </w:tc>
      </w:tr>
      <w:tr w:rsidR="00571DC9" w:rsidRPr="004B4D01" w14:paraId="7A6B3640" w14:textId="77777777">
        <w:tc>
          <w:tcPr>
            <w:tcW w:w="2132" w:type="dxa"/>
          </w:tcPr>
          <w:p w14:paraId="145FC36E" w14:textId="77777777" w:rsidR="00571DC9" w:rsidRPr="00F502A8" w:rsidRDefault="00571DC9">
            <w:pPr>
              <w:pStyle w:val="TabletextLeft"/>
              <w:rPr>
                <w:highlight w:val="yellow"/>
              </w:rPr>
            </w:pPr>
            <w:proofErr w:type="gramStart"/>
            <w:r>
              <w:t>Child care</w:t>
            </w:r>
            <w:proofErr w:type="gramEnd"/>
          </w:p>
        </w:tc>
        <w:tc>
          <w:tcPr>
            <w:tcW w:w="4813" w:type="dxa"/>
          </w:tcPr>
          <w:p w14:paraId="38D910ED" w14:textId="77777777" w:rsidR="00571DC9" w:rsidRPr="00F502A8" w:rsidRDefault="00571DC9">
            <w:pPr>
              <w:pStyle w:val="TabletextLeft"/>
              <w:rPr>
                <w:highlight w:val="yellow"/>
                <w:lang w:val="en-US"/>
              </w:rPr>
            </w:pPr>
            <w:r>
              <w:rPr>
                <w:lang w:val="en-US"/>
              </w:rPr>
              <w:t>Includes a</w:t>
            </w:r>
            <w:r w:rsidRPr="00440E07">
              <w:rPr>
                <w:lang w:val="en-US"/>
              </w:rPr>
              <w:t xml:space="preserve"> long day care or family day care program, not including kindergarten</w:t>
            </w:r>
          </w:p>
        </w:tc>
      </w:tr>
      <w:tr w:rsidR="00571DC9" w:rsidRPr="004B4D01" w14:paraId="011247BF" w14:textId="77777777">
        <w:tc>
          <w:tcPr>
            <w:tcW w:w="2132" w:type="dxa"/>
          </w:tcPr>
          <w:p w14:paraId="7E0D3380" w14:textId="77777777" w:rsidR="00571DC9" w:rsidRPr="005D550E" w:rsidRDefault="00571DC9">
            <w:pPr>
              <w:pStyle w:val="TabletextLeft"/>
            </w:pPr>
            <w:r>
              <w:rPr>
                <w:lang w:val="en-US"/>
              </w:rPr>
              <w:t>Early Childhood Education and Care</w:t>
            </w:r>
          </w:p>
        </w:tc>
        <w:tc>
          <w:tcPr>
            <w:tcW w:w="4813" w:type="dxa"/>
          </w:tcPr>
          <w:p w14:paraId="5B7DB840" w14:textId="77777777" w:rsidR="00571DC9" w:rsidRPr="005D550E" w:rsidRDefault="00571DC9">
            <w:pPr>
              <w:pStyle w:val="TabletextLeft"/>
            </w:pPr>
            <w:r>
              <w:rPr>
                <w:lang w:val="en-US"/>
              </w:rPr>
              <w:t xml:space="preserve">Includes kindergarten and </w:t>
            </w:r>
            <w:proofErr w:type="gramStart"/>
            <w:r>
              <w:rPr>
                <w:lang w:val="en-US"/>
              </w:rPr>
              <w:t>child care</w:t>
            </w:r>
            <w:proofErr w:type="gramEnd"/>
            <w:r>
              <w:rPr>
                <w:lang w:val="en-US"/>
              </w:rPr>
              <w:t>.</w:t>
            </w:r>
          </w:p>
        </w:tc>
      </w:tr>
      <w:tr w:rsidR="00571DC9" w:rsidRPr="004B4D01" w14:paraId="3B3A08E7" w14:textId="77777777">
        <w:tc>
          <w:tcPr>
            <w:tcW w:w="2132" w:type="dxa"/>
          </w:tcPr>
          <w:p w14:paraId="35570B5B" w14:textId="77777777" w:rsidR="00571DC9" w:rsidRDefault="00571DC9">
            <w:pPr>
              <w:pStyle w:val="TabletextLeft"/>
            </w:pPr>
            <w:r>
              <w:t>Kindergarten</w:t>
            </w:r>
          </w:p>
        </w:tc>
        <w:tc>
          <w:tcPr>
            <w:tcW w:w="4813" w:type="dxa"/>
          </w:tcPr>
          <w:p w14:paraId="675B78E6" w14:textId="77777777" w:rsidR="00571DC9" w:rsidRDefault="00571DC9">
            <w:pPr>
              <w:pStyle w:val="TabletextLeft"/>
              <w:rPr>
                <w:lang w:val="en-US"/>
              </w:rPr>
            </w:pPr>
            <w:r>
              <w:rPr>
                <w:lang w:val="en-US"/>
              </w:rPr>
              <w:t xml:space="preserve">Educational </w:t>
            </w:r>
            <w:proofErr w:type="gramStart"/>
            <w:r>
              <w:rPr>
                <w:lang w:val="en-US"/>
              </w:rPr>
              <w:t>program</w:t>
            </w:r>
            <w:proofErr w:type="gramEnd"/>
            <w:r>
              <w:rPr>
                <w:lang w:val="en-US"/>
              </w:rPr>
              <w:t xml:space="preserve"> </w:t>
            </w:r>
            <w:r w:rsidRPr="007C7B2B">
              <w:rPr>
                <w:lang w:val="en-US"/>
              </w:rPr>
              <w:t xml:space="preserve">that </w:t>
            </w:r>
            <w:proofErr w:type="gramStart"/>
            <w:r w:rsidRPr="007C7B2B">
              <w:rPr>
                <w:lang w:val="en-US"/>
              </w:rPr>
              <w:t>is</w:t>
            </w:r>
            <w:proofErr w:type="gramEnd"/>
            <w:r w:rsidRPr="007C7B2B">
              <w:rPr>
                <w:lang w:val="en-US"/>
              </w:rPr>
              <w:t xml:space="preserve"> delivered in sessional services</w:t>
            </w:r>
            <w:r>
              <w:rPr>
                <w:lang w:val="en-US"/>
              </w:rPr>
              <w:t xml:space="preserve"> or</w:t>
            </w:r>
            <w:r w:rsidRPr="007C7B2B">
              <w:rPr>
                <w:lang w:val="en-US"/>
              </w:rPr>
              <w:t xml:space="preserve"> long day care services</w:t>
            </w:r>
            <w:r>
              <w:rPr>
                <w:lang w:val="en-US"/>
              </w:rPr>
              <w:t xml:space="preserve"> </w:t>
            </w:r>
            <w:r w:rsidRPr="00902674">
              <w:rPr>
                <w:lang w:val="en-US"/>
              </w:rPr>
              <w:t xml:space="preserve">for children aged </w:t>
            </w:r>
            <w:r>
              <w:rPr>
                <w:lang w:val="en-US"/>
              </w:rPr>
              <w:t xml:space="preserve">between </w:t>
            </w:r>
            <w:r w:rsidRPr="00902674">
              <w:rPr>
                <w:lang w:val="en-US"/>
              </w:rPr>
              <w:t>three and five years old</w:t>
            </w:r>
            <w:r>
              <w:rPr>
                <w:lang w:val="en-US"/>
              </w:rPr>
              <w:t>.</w:t>
            </w:r>
          </w:p>
        </w:tc>
      </w:tr>
      <w:tr w:rsidR="00571DC9" w:rsidRPr="004B4D01" w14:paraId="4A9B3AE4" w14:textId="77777777">
        <w:tc>
          <w:tcPr>
            <w:tcW w:w="2132" w:type="dxa"/>
          </w:tcPr>
          <w:p w14:paraId="3C7452F2" w14:textId="77777777" w:rsidR="00571DC9" w:rsidRDefault="00571DC9">
            <w:pPr>
              <w:pStyle w:val="TabletextLeft"/>
            </w:pPr>
            <w:r>
              <w:t>Kindergarten equivalent programs</w:t>
            </w:r>
          </w:p>
        </w:tc>
        <w:tc>
          <w:tcPr>
            <w:tcW w:w="4813" w:type="dxa"/>
          </w:tcPr>
          <w:p w14:paraId="559EDD43" w14:textId="77777777" w:rsidR="00571DC9" w:rsidRDefault="00571DC9">
            <w:pPr>
              <w:pStyle w:val="TabletextLeft"/>
              <w:rPr>
                <w:lang w:val="en-US"/>
              </w:rPr>
            </w:pPr>
            <w:r>
              <w:t xml:space="preserve">A program is delivered by a </w:t>
            </w:r>
            <w:r w:rsidRPr="001B365C">
              <w:t>degree qualified early childhood teacher</w:t>
            </w:r>
            <w:r>
              <w:t>, meets National Quality Framework qualification requirements, and is functionally equivalent to kindergarten. The program may not be funded as a kindergarten.</w:t>
            </w:r>
          </w:p>
        </w:tc>
      </w:tr>
      <w:tr w:rsidR="00571DC9" w:rsidRPr="004B4D01" w14:paraId="46F8629B" w14:textId="77777777">
        <w:tc>
          <w:tcPr>
            <w:tcW w:w="2132" w:type="dxa"/>
          </w:tcPr>
          <w:p w14:paraId="402F17B7" w14:textId="77777777" w:rsidR="00571DC9" w:rsidRDefault="00571DC9">
            <w:pPr>
              <w:pStyle w:val="TabletextLeft"/>
            </w:pPr>
            <w:r>
              <w:t>Long Day Care</w:t>
            </w:r>
          </w:p>
        </w:tc>
        <w:tc>
          <w:tcPr>
            <w:tcW w:w="4813" w:type="dxa"/>
          </w:tcPr>
          <w:p w14:paraId="69ADADFB" w14:textId="77777777" w:rsidR="00571DC9" w:rsidRDefault="00571DC9">
            <w:pPr>
              <w:pStyle w:val="TabletextLeft"/>
              <w:rPr>
                <w:lang w:val="en-US"/>
              </w:rPr>
            </w:pPr>
            <w:r>
              <w:rPr>
                <w:lang w:val="en-US"/>
              </w:rPr>
              <w:t>Does not include kindergarten programs delivered in LDCs.</w:t>
            </w:r>
          </w:p>
        </w:tc>
      </w:tr>
    </w:tbl>
    <w:p w14:paraId="09633E5A" w14:textId="77777777" w:rsidR="00571DC9" w:rsidRDefault="00571DC9" w:rsidP="00571DC9"/>
    <w:p w14:paraId="71E193BB" w14:textId="77777777" w:rsidR="00571DC9" w:rsidRPr="00571DC9" w:rsidRDefault="00571DC9" w:rsidP="00571DC9"/>
    <w:p w14:paraId="195716EB" w14:textId="1592530B" w:rsidR="00BC164B" w:rsidRDefault="00BC164B" w:rsidP="00BC164B">
      <w:pPr>
        <w:pStyle w:val="ExecutiveHeading"/>
      </w:pPr>
      <w:bookmarkStart w:id="14" w:name="_Toc209718538"/>
      <w:r>
        <w:lastRenderedPageBreak/>
        <w:t>Key findings</w:t>
      </w:r>
      <w:bookmarkEnd w:id="14"/>
    </w:p>
    <w:p w14:paraId="3490EBE4" w14:textId="236CA6D0" w:rsidR="00FB672D" w:rsidRDefault="001456AE" w:rsidP="00DC772C">
      <w:r>
        <w:t xml:space="preserve">The Victorian Government is currently undertaking an unprecedented series of </w:t>
      </w:r>
      <w:r w:rsidR="001B6A0C">
        <w:t>Early Childhood Education and Care (</w:t>
      </w:r>
      <w:r>
        <w:t>ECEC</w:t>
      </w:r>
      <w:r w:rsidR="001B6A0C">
        <w:t>)</w:t>
      </w:r>
      <w:r>
        <w:t xml:space="preserve"> reforms</w:t>
      </w:r>
      <w:r w:rsidR="00A609BC">
        <w:t xml:space="preserve"> – known as the Best Start</w:t>
      </w:r>
      <w:r w:rsidR="1A94C83C">
        <w:t>,</w:t>
      </w:r>
      <w:r w:rsidR="00A609BC">
        <w:t xml:space="preserve"> Best Life (BSBL) reforms –</w:t>
      </w:r>
      <w:r>
        <w:t xml:space="preserve"> aimed at improving accessibility and affordabilit</w:t>
      </w:r>
      <w:r w:rsidR="00704CF3">
        <w:t xml:space="preserve">y. The </w:t>
      </w:r>
      <w:r w:rsidR="00510B2C">
        <w:t>reforms encompass</w:t>
      </w:r>
      <w:r w:rsidR="00FB672D">
        <w:t>:</w:t>
      </w:r>
    </w:p>
    <w:p w14:paraId="51F2496F" w14:textId="7B8854D1" w:rsidR="00FB672D" w:rsidRPr="00FB672D" w:rsidRDefault="00FB672D" w:rsidP="008763FA">
      <w:pPr>
        <w:pStyle w:val="ListParagraph"/>
        <w:numPr>
          <w:ilvl w:val="0"/>
          <w:numId w:val="86"/>
        </w:numPr>
        <w:rPr>
          <w:lang w:val="en-US"/>
        </w:rPr>
      </w:pPr>
      <w:r>
        <w:rPr>
          <w:lang w:val="en-US"/>
        </w:rPr>
        <w:t>T</w:t>
      </w:r>
      <w:r w:rsidRPr="00FB672D">
        <w:rPr>
          <w:lang w:val="en-US"/>
        </w:rPr>
        <w:t>he progressive roll-out of 15 hours of funded three-year-old kindergarten across the state by 2029</w:t>
      </w:r>
      <w:r w:rsidRPr="00334B83">
        <w:t>.</w:t>
      </w:r>
      <w:r w:rsidRPr="00FB672D">
        <w:rPr>
          <w:lang w:val="en-US"/>
        </w:rPr>
        <w:t xml:space="preserve"> </w:t>
      </w:r>
    </w:p>
    <w:p w14:paraId="00ACD54B" w14:textId="501D68F1" w:rsidR="00FB672D" w:rsidRDefault="00FB672D" w:rsidP="008763FA">
      <w:pPr>
        <w:pStyle w:val="ListParagraph"/>
        <w:numPr>
          <w:ilvl w:val="0"/>
          <w:numId w:val="86"/>
        </w:numPr>
      </w:pPr>
      <w:r>
        <w:t>M</w:t>
      </w:r>
      <w:r w:rsidRPr="00A01FD8">
        <w:t>ak</w:t>
      </w:r>
      <w:r w:rsidR="00C9540F">
        <w:t>ing</w:t>
      </w:r>
      <w:r w:rsidRPr="00A01FD8">
        <w:t xml:space="preserve"> </w:t>
      </w:r>
      <w:r w:rsidRPr="00550FD8">
        <w:t>kinder</w:t>
      </w:r>
      <w:r>
        <w:t>garten</w:t>
      </w:r>
      <w:r w:rsidRPr="00A01FD8">
        <w:t xml:space="preserve"> free for three- and four-year old children across Victoria</w:t>
      </w:r>
      <w:r w:rsidR="00E300A3">
        <w:t>.</w:t>
      </w:r>
    </w:p>
    <w:p w14:paraId="59EDAD06" w14:textId="1A483894" w:rsidR="00FB672D" w:rsidRPr="00A01FD8" w:rsidRDefault="00FB672D" w:rsidP="008763FA">
      <w:pPr>
        <w:pStyle w:val="ListParagraph"/>
        <w:numPr>
          <w:ilvl w:val="0"/>
          <w:numId w:val="86"/>
        </w:numPr>
      </w:pPr>
      <w:r>
        <w:t>Deliver</w:t>
      </w:r>
      <w:r w:rsidR="00987F58">
        <w:t>ing</w:t>
      </w:r>
      <w:r>
        <w:t xml:space="preserve"> a new year of universal pre-prep for four-year-olds, which w</w:t>
      </w:r>
      <w:r w:rsidR="00E300A3">
        <w:t>ill</w:t>
      </w:r>
      <w:r>
        <w:t xml:space="preserve"> provide 30 funded hours of kindergarten per week by </w:t>
      </w:r>
      <w:r w:rsidR="66378DEF">
        <w:t>2036</w:t>
      </w:r>
      <w:r w:rsidR="00E300A3">
        <w:t>.</w:t>
      </w:r>
    </w:p>
    <w:p w14:paraId="69705256" w14:textId="77777777" w:rsidR="00FB672D" w:rsidRDefault="00FB672D" w:rsidP="008763FA">
      <w:pPr>
        <w:pStyle w:val="ListParagraph"/>
        <w:numPr>
          <w:ilvl w:val="0"/>
          <w:numId w:val="86"/>
        </w:numPr>
      </w:pPr>
      <w:r>
        <w:t>E</w:t>
      </w:r>
      <w:r w:rsidRPr="00A01FD8">
        <w:t xml:space="preserve">stablishing 50 </w:t>
      </w:r>
      <w:r>
        <w:t xml:space="preserve">Victorian </w:t>
      </w:r>
      <w:r w:rsidRPr="00A01FD8">
        <w:t>government</w:t>
      </w:r>
      <w:r>
        <w:t>-owned and affordable</w:t>
      </w:r>
      <w:r w:rsidRPr="00A01FD8">
        <w:t xml:space="preserve"> </w:t>
      </w:r>
      <w:proofErr w:type="gramStart"/>
      <w:r>
        <w:t>child care</w:t>
      </w:r>
      <w:proofErr w:type="gramEnd"/>
      <w:r w:rsidRPr="00A01FD8">
        <w:t xml:space="preserve"> centres</w:t>
      </w:r>
      <w:r>
        <w:t xml:space="preserve">. </w:t>
      </w:r>
    </w:p>
    <w:p w14:paraId="3B697454" w14:textId="7394C353" w:rsidR="009136E8" w:rsidRDefault="00773A4C" w:rsidP="00672300">
      <w:pPr>
        <w:rPr>
          <w:lang w:val="en-US"/>
        </w:rPr>
      </w:pPr>
      <w:r>
        <w:t>If</w:t>
      </w:r>
      <w:r w:rsidRPr="009B7F31">
        <w:t xml:space="preserve"> </w:t>
      </w:r>
      <w:r w:rsidR="004153FC" w:rsidRPr="009B7F31">
        <w:t xml:space="preserve">96 per cent participation </w:t>
      </w:r>
      <w:r>
        <w:t>can be</w:t>
      </w:r>
      <w:r w:rsidRPr="009B7F31">
        <w:t xml:space="preserve"> </w:t>
      </w:r>
      <w:r w:rsidR="004153FC" w:rsidRPr="009B7F31">
        <w:t>achieved for both three-year-olds and four-year-olds</w:t>
      </w:r>
      <w:r w:rsidR="004153FC">
        <w:t xml:space="preserve">, </w:t>
      </w:r>
      <w:r w:rsidR="00F90107">
        <w:t>the reforms are</w:t>
      </w:r>
      <w:r w:rsidR="00AB3D51">
        <w:t xml:space="preserve"> estimated to</w:t>
      </w:r>
      <w:r w:rsidR="004153FC">
        <w:t xml:space="preserve"> result in</w:t>
      </w:r>
      <w:r w:rsidR="004153FC">
        <w:rPr>
          <w:lang w:val="en-US"/>
        </w:rPr>
        <w:t xml:space="preserve"> </w:t>
      </w:r>
      <w:r w:rsidR="004153FC" w:rsidRPr="00E11620">
        <w:rPr>
          <w:lang w:val="en-US"/>
        </w:rPr>
        <w:t xml:space="preserve">an </w:t>
      </w:r>
      <w:r w:rsidR="004153FC" w:rsidRPr="00736FDD">
        <w:rPr>
          <w:lang w:val="en-US"/>
        </w:rPr>
        <w:t xml:space="preserve">additional </w:t>
      </w:r>
      <w:r w:rsidR="00C85200" w:rsidRPr="00EB3261">
        <w:rPr>
          <w:lang w:val="en-US"/>
        </w:rPr>
        <w:t>9</w:t>
      </w:r>
      <w:r w:rsidR="00736FDD" w:rsidRPr="00EB3261">
        <w:rPr>
          <w:lang w:val="en-US"/>
        </w:rPr>
        <w:t>7</w:t>
      </w:r>
      <w:r w:rsidR="004153FC" w:rsidRPr="00EB3261">
        <w:rPr>
          <w:lang w:val="en-US"/>
        </w:rPr>
        <w:t>,000</w:t>
      </w:r>
      <w:r w:rsidR="004153FC" w:rsidRPr="00736FDD">
        <w:rPr>
          <w:lang w:val="en-US"/>
        </w:rPr>
        <w:t xml:space="preserve"> children enrolling</w:t>
      </w:r>
      <w:r w:rsidR="004153FC" w:rsidRPr="00736FDD">
        <w:rPr>
          <w:lang w:val="nl-NL"/>
        </w:rPr>
        <w:t xml:space="preserve"> in kindergarten</w:t>
      </w:r>
      <w:r w:rsidR="00196AC3" w:rsidRPr="00736FDD">
        <w:rPr>
          <w:lang w:val="nl-NL"/>
        </w:rPr>
        <w:t xml:space="preserve"> </w:t>
      </w:r>
      <w:r w:rsidR="004153FC" w:rsidRPr="00736FDD">
        <w:rPr>
          <w:lang w:val="nl-NL"/>
        </w:rPr>
        <w:t>equivalent</w:t>
      </w:r>
      <w:r w:rsidR="004153FC" w:rsidRPr="00736FDD">
        <w:rPr>
          <w:lang w:val="en-US"/>
        </w:rPr>
        <w:t xml:space="preserve"> programs in </w:t>
      </w:r>
      <w:r w:rsidR="00F72C21" w:rsidRPr="00736FDD">
        <w:rPr>
          <w:lang w:val="en-US"/>
        </w:rPr>
        <w:t>206</w:t>
      </w:r>
      <w:r w:rsidR="00736FDD" w:rsidRPr="00736FDD">
        <w:rPr>
          <w:lang w:val="en-US"/>
        </w:rPr>
        <w:t>5</w:t>
      </w:r>
      <w:r w:rsidR="00F72C21" w:rsidRPr="00736FDD">
        <w:rPr>
          <w:lang w:val="en-US"/>
        </w:rPr>
        <w:t>-6</w:t>
      </w:r>
      <w:r w:rsidR="00736FDD" w:rsidRPr="00736FDD">
        <w:rPr>
          <w:lang w:val="en-US"/>
        </w:rPr>
        <w:t>6</w:t>
      </w:r>
      <w:r w:rsidR="004153FC" w:rsidRPr="00736FDD">
        <w:rPr>
          <w:lang w:val="en-US"/>
        </w:rPr>
        <w:t xml:space="preserve"> and an additional </w:t>
      </w:r>
      <w:r w:rsidR="00C85200" w:rsidRPr="00EB3261">
        <w:rPr>
          <w:lang w:val="en-US"/>
        </w:rPr>
        <w:t>6</w:t>
      </w:r>
      <w:r w:rsidR="00736FDD" w:rsidRPr="00EB3261">
        <w:rPr>
          <w:lang w:val="en-US"/>
        </w:rPr>
        <w:t>2</w:t>
      </w:r>
      <w:r w:rsidR="004153FC" w:rsidRPr="00EB3261">
        <w:rPr>
          <w:lang w:val="en-US"/>
        </w:rPr>
        <w:t>,</w:t>
      </w:r>
      <w:r w:rsidR="00736FDD" w:rsidRPr="00EB3261">
        <w:rPr>
          <w:lang w:val="en-US"/>
        </w:rPr>
        <w:t>7</w:t>
      </w:r>
      <w:r w:rsidR="004153FC" w:rsidRPr="00EB3261">
        <w:rPr>
          <w:lang w:val="en-US"/>
        </w:rPr>
        <w:t>00</w:t>
      </w:r>
      <w:r w:rsidR="004153FC" w:rsidRPr="00736FDD">
        <w:rPr>
          <w:lang w:val="en-US"/>
        </w:rPr>
        <w:t xml:space="preserve"> </w:t>
      </w:r>
      <w:r w:rsidR="004153FC">
        <w:rPr>
          <w:lang w:val="en-US"/>
        </w:rPr>
        <w:t>ECEC enrolments</w:t>
      </w:r>
      <w:r w:rsidR="004153FC" w:rsidRPr="009B7F31">
        <w:rPr>
          <w:lang w:val="en-US"/>
        </w:rPr>
        <w:t>.</w:t>
      </w:r>
      <w:r w:rsidR="00C85200">
        <w:rPr>
          <w:rStyle w:val="FootnoteReference"/>
        </w:rPr>
        <w:footnoteReference w:id="2"/>
      </w:r>
    </w:p>
    <w:p w14:paraId="4F911287" w14:textId="6C2F91D2" w:rsidR="00436DDF" w:rsidRDefault="0050199E" w:rsidP="007E2706">
      <w:r>
        <w:t xml:space="preserve">This report is concerned with estimating the social and economic impacts of </w:t>
      </w:r>
      <w:r w:rsidR="003C5089">
        <w:t>this</w:t>
      </w:r>
      <w:r>
        <w:t xml:space="preserve"> uplift</w:t>
      </w:r>
      <w:r w:rsidR="003C5089">
        <w:t xml:space="preserve"> in participation</w:t>
      </w:r>
      <w:r>
        <w:t xml:space="preserve">. </w:t>
      </w:r>
      <w:r w:rsidR="00436DDF">
        <w:t xml:space="preserve">The estimated value of </w:t>
      </w:r>
      <w:r w:rsidR="003C5089">
        <w:t>these impacts</w:t>
      </w:r>
      <w:r w:rsidR="00436DDF">
        <w:t xml:space="preserve"> </w:t>
      </w:r>
      <w:r w:rsidR="001D199D">
        <w:t>is</w:t>
      </w:r>
      <w:r w:rsidR="00436DDF">
        <w:t xml:space="preserve"> </w:t>
      </w:r>
      <w:r w:rsidR="001D199D">
        <w:t xml:space="preserve">sensitive to a range of parameters around which there are varying degrees of uncertainty.  Recognising this, the impacts are examined </w:t>
      </w:r>
      <w:r w:rsidR="001A7751">
        <w:t>a</w:t>
      </w:r>
      <w:r w:rsidR="00745AAB">
        <w:t>nd</w:t>
      </w:r>
      <w:r w:rsidR="001A7751">
        <w:t xml:space="preserve"> presented </w:t>
      </w:r>
      <w:r w:rsidR="001D199D">
        <w:t xml:space="preserve">under two scenarios: </w:t>
      </w:r>
    </w:p>
    <w:p w14:paraId="20B2E571" w14:textId="1FE60096" w:rsidR="007E2706" w:rsidRDefault="007E2706" w:rsidP="007E2706">
      <w:pPr>
        <w:pStyle w:val="ListParagraph"/>
        <w:numPr>
          <w:ilvl w:val="0"/>
          <w:numId w:val="88"/>
        </w:numPr>
        <w:rPr>
          <w:lang w:val="en-US"/>
        </w:rPr>
      </w:pPr>
      <w:r>
        <w:rPr>
          <w:lang w:val="en-US"/>
        </w:rPr>
        <w:t xml:space="preserve">The </w:t>
      </w:r>
      <w:r w:rsidRPr="00345658">
        <w:rPr>
          <w:b/>
          <w:bCs/>
          <w:lang w:val="en-US"/>
        </w:rPr>
        <w:t>low scenario</w:t>
      </w:r>
      <w:r>
        <w:rPr>
          <w:lang w:val="en-US"/>
        </w:rPr>
        <w:t xml:space="preserve"> assumes </w:t>
      </w:r>
      <w:r w:rsidR="005A4342">
        <w:rPr>
          <w:lang w:val="en-US"/>
        </w:rPr>
        <w:t xml:space="preserve">relatively </w:t>
      </w:r>
      <w:r>
        <w:rPr>
          <w:lang w:val="en-US"/>
        </w:rPr>
        <w:t>l</w:t>
      </w:r>
      <w:r w:rsidRPr="00183749">
        <w:rPr>
          <w:lang w:val="en-US"/>
        </w:rPr>
        <w:t>ow impact</w:t>
      </w:r>
      <w:r>
        <w:rPr>
          <w:lang w:val="en-US"/>
        </w:rPr>
        <w:t xml:space="preserve"> on </w:t>
      </w:r>
      <w:r w:rsidRPr="00183749">
        <w:rPr>
          <w:lang w:val="en-US"/>
        </w:rPr>
        <w:t>developmental outcomes</w:t>
      </w:r>
      <w:r>
        <w:rPr>
          <w:lang w:val="en-US"/>
        </w:rPr>
        <w:t xml:space="preserve">, which reflects </w:t>
      </w:r>
      <w:r>
        <w:t xml:space="preserve">estimates of the return to an additional year of preschool prior to the introduction of the NQF. The scenario also assumes the labour supply response of primary carers is at the lower end of what has been found in the academic literature. </w:t>
      </w:r>
    </w:p>
    <w:p w14:paraId="0A18F061" w14:textId="4FCE235B" w:rsidR="007E2706" w:rsidRPr="002549C2" w:rsidRDefault="007E2706" w:rsidP="007E2706">
      <w:pPr>
        <w:pStyle w:val="ListParagraph"/>
        <w:numPr>
          <w:ilvl w:val="0"/>
          <w:numId w:val="88"/>
        </w:numPr>
        <w:rPr>
          <w:lang w:val="en-US"/>
        </w:rPr>
      </w:pPr>
      <w:r w:rsidRPr="6C25D9D9">
        <w:rPr>
          <w:lang w:val="en-US"/>
        </w:rPr>
        <w:t xml:space="preserve">The </w:t>
      </w:r>
      <w:r w:rsidRPr="6C25D9D9">
        <w:rPr>
          <w:b/>
          <w:bCs/>
          <w:lang w:val="en-US"/>
        </w:rPr>
        <w:t>high scenario</w:t>
      </w:r>
      <w:r w:rsidRPr="6C25D9D9">
        <w:rPr>
          <w:lang w:val="en-US"/>
        </w:rPr>
        <w:t xml:space="preserve"> assumes high impact on developmental outcomes, </w:t>
      </w:r>
      <w:r>
        <w:t xml:space="preserve">based on evidence </w:t>
      </w:r>
      <w:r w:rsidR="7732843E">
        <w:t xml:space="preserve">from the UK </w:t>
      </w:r>
      <w:r>
        <w:t xml:space="preserve">of the additional improvement in outcomes for preschools that were rated ‘high quality’ </w:t>
      </w:r>
      <w:r w:rsidR="32A2A2A1">
        <w:t>com</w:t>
      </w:r>
      <w:r w:rsidR="32A2A2A1" w:rsidRPr="00EB3261">
        <w:rPr>
          <w:rFonts w:eastAsiaTheme="minorEastAsia"/>
        </w:rPr>
        <w:t>pared to the average improvement in outcomes</w:t>
      </w:r>
      <w:r w:rsidRPr="00EB3261">
        <w:rPr>
          <w:rFonts w:eastAsiaTheme="minorEastAsia"/>
        </w:rPr>
        <w:t>. T</w:t>
      </w:r>
      <w:r>
        <w:t xml:space="preserve">he scenario </w:t>
      </w:r>
      <w:proofErr w:type="gramStart"/>
      <w:r>
        <w:t xml:space="preserve">assumes </w:t>
      </w:r>
      <w:r w:rsidR="060C488C">
        <w:t xml:space="preserve"> the</w:t>
      </w:r>
      <w:proofErr w:type="gramEnd"/>
      <w:r w:rsidR="060C488C">
        <w:t xml:space="preserve"> labour supply response of primary carers is at the higher end of what has been found in the academic literature</w:t>
      </w:r>
      <w:r>
        <w:t xml:space="preserve">. </w:t>
      </w:r>
    </w:p>
    <w:tbl>
      <w:tblPr>
        <w:tblStyle w:val="TableGrid"/>
        <w:tblW w:w="8943" w:type="dxa"/>
        <w:shd w:val="clear" w:color="auto" w:fill="DFF0F9" w:themeFill="accent3" w:themeFillTint="33"/>
        <w:tblCellMar>
          <w:top w:w="57" w:type="dxa"/>
          <w:left w:w="57" w:type="dxa"/>
          <w:bottom w:w="57" w:type="dxa"/>
          <w:right w:w="57" w:type="dxa"/>
        </w:tblCellMar>
        <w:tblLook w:val="04A0" w:firstRow="1" w:lastRow="0" w:firstColumn="1" w:lastColumn="0" w:noHBand="0" w:noVBand="1"/>
      </w:tblPr>
      <w:tblGrid>
        <w:gridCol w:w="8943"/>
      </w:tblGrid>
      <w:tr w:rsidR="00273A05" w14:paraId="7FD249A5" w14:textId="77777777" w:rsidTr="00EB3261">
        <w:trPr>
          <w:cnfStyle w:val="100000000000" w:firstRow="1" w:lastRow="0" w:firstColumn="0" w:lastColumn="0" w:oddVBand="0" w:evenVBand="0" w:oddHBand="0" w:evenHBand="0" w:firstRowFirstColumn="0" w:firstRowLastColumn="0" w:lastRowFirstColumn="0" w:lastRowLastColumn="0"/>
          <w:trHeight w:val="952"/>
        </w:trPr>
        <w:tc>
          <w:tcPr>
            <w:tcW w:w="8943" w:type="dxa"/>
            <w:shd w:val="clear" w:color="auto" w:fill="DFF0F9" w:themeFill="accent3" w:themeFillTint="33"/>
          </w:tcPr>
          <w:p w14:paraId="7707C30A" w14:textId="226E8402" w:rsidR="00273A05" w:rsidRDefault="000172F1" w:rsidP="00EB3261">
            <w:pPr>
              <w:spacing w:after="0"/>
              <w:rPr>
                <w:lang w:val="en-US"/>
              </w:rPr>
            </w:pPr>
            <w:r w:rsidRPr="00046FB7">
              <w:rPr>
                <w:lang w:val="en-US"/>
              </w:rPr>
              <w:t xml:space="preserve">The core analysis in this report draws on literature reviews and modeling completed </w:t>
            </w:r>
            <w:r w:rsidR="009B616E" w:rsidRPr="00EB3261">
              <w:rPr>
                <w:lang w:val="en-US"/>
              </w:rPr>
              <w:t>between</w:t>
            </w:r>
            <w:r w:rsidRPr="00046FB7">
              <w:rPr>
                <w:lang w:val="en-US"/>
              </w:rPr>
              <w:t xml:space="preserve"> 202</w:t>
            </w:r>
            <w:r w:rsidR="009B616E" w:rsidRPr="00EB3261">
              <w:rPr>
                <w:lang w:val="en-US"/>
              </w:rPr>
              <w:t>2</w:t>
            </w:r>
            <w:r w:rsidR="00154657" w:rsidRPr="00046FB7">
              <w:rPr>
                <w:lang w:val="en-US"/>
              </w:rPr>
              <w:t xml:space="preserve"> and </w:t>
            </w:r>
            <w:r w:rsidRPr="00046FB7">
              <w:rPr>
                <w:lang w:val="en-US"/>
              </w:rPr>
              <w:t>202</w:t>
            </w:r>
            <w:r w:rsidR="009B616E" w:rsidRPr="00EB3261">
              <w:rPr>
                <w:lang w:val="en-US"/>
              </w:rPr>
              <w:t>3</w:t>
            </w:r>
            <w:r w:rsidRPr="00046FB7">
              <w:rPr>
                <w:lang w:val="en-US"/>
              </w:rPr>
              <w:t xml:space="preserve"> </w:t>
            </w:r>
            <w:r w:rsidR="00154657" w:rsidRPr="00046FB7">
              <w:rPr>
                <w:lang w:val="en-US"/>
              </w:rPr>
              <w:t xml:space="preserve">using the best available </w:t>
            </w:r>
            <w:r w:rsidRPr="00046FB7">
              <w:rPr>
                <w:lang w:val="en-US"/>
              </w:rPr>
              <w:t>evidence</w:t>
            </w:r>
            <w:r w:rsidR="00154657" w:rsidRPr="00046FB7">
              <w:rPr>
                <w:lang w:val="en-US"/>
              </w:rPr>
              <w:t xml:space="preserve"> at that point in time</w:t>
            </w:r>
            <w:r w:rsidRPr="00046FB7">
              <w:rPr>
                <w:lang w:val="en-US"/>
              </w:rPr>
              <w:t>.</w:t>
            </w:r>
            <w:r w:rsidR="00B13BCB" w:rsidRPr="00046FB7">
              <w:rPr>
                <w:lang w:val="en-US"/>
              </w:rPr>
              <w:t xml:space="preserve"> </w:t>
            </w:r>
            <w:r w:rsidR="0044490C" w:rsidRPr="00046FB7">
              <w:rPr>
                <w:lang w:val="en-US"/>
              </w:rPr>
              <w:t xml:space="preserve">The </w:t>
            </w:r>
            <w:r w:rsidR="00F219FF">
              <w:rPr>
                <w:lang w:val="en-US"/>
              </w:rPr>
              <w:t xml:space="preserve">initial </w:t>
            </w:r>
            <w:r w:rsidR="006313AC" w:rsidRPr="00EB3261">
              <w:rPr>
                <w:lang w:val="en-US"/>
              </w:rPr>
              <w:t>modelling was</w:t>
            </w:r>
            <w:r w:rsidR="00154657" w:rsidRPr="00046FB7">
              <w:rPr>
                <w:lang w:val="en-US"/>
              </w:rPr>
              <w:t xml:space="preserve"> </w:t>
            </w:r>
            <w:r w:rsidR="004B2417" w:rsidRPr="00046FB7">
              <w:rPr>
                <w:lang w:val="en-US"/>
              </w:rPr>
              <w:t xml:space="preserve">updated </w:t>
            </w:r>
            <w:r w:rsidR="0044490C" w:rsidRPr="00046FB7">
              <w:rPr>
                <w:lang w:val="en-US"/>
              </w:rPr>
              <w:t xml:space="preserve">in 2025 to reflect </w:t>
            </w:r>
            <w:r w:rsidR="0089600D" w:rsidRPr="00EB3261">
              <w:rPr>
                <w:lang w:val="en-US"/>
              </w:rPr>
              <w:t>the latest</w:t>
            </w:r>
            <w:r w:rsidR="0044490C" w:rsidRPr="00046FB7">
              <w:rPr>
                <w:lang w:val="en-US"/>
              </w:rPr>
              <w:t xml:space="preserve"> </w:t>
            </w:r>
            <w:r w:rsidR="00154657" w:rsidRPr="00046FB7">
              <w:rPr>
                <w:lang w:val="en-US"/>
              </w:rPr>
              <w:t>BSBL program</w:t>
            </w:r>
            <w:r w:rsidR="0044490C" w:rsidRPr="00046FB7">
              <w:rPr>
                <w:lang w:val="en-US"/>
              </w:rPr>
              <w:t xml:space="preserve"> </w:t>
            </w:r>
            <w:r w:rsidR="0089600D" w:rsidRPr="00EB3261">
              <w:rPr>
                <w:lang w:val="en-US"/>
              </w:rPr>
              <w:t xml:space="preserve">information, </w:t>
            </w:r>
            <w:r w:rsidR="0089600D" w:rsidRPr="00046FB7">
              <w:rPr>
                <w:lang w:val="en-US"/>
              </w:rPr>
              <w:t>including revised implementation timelines and expenditure profiles</w:t>
            </w:r>
            <w:r w:rsidR="00B0398E">
              <w:rPr>
                <w:lang w:val="en-US"/>
              </w:rPr>
              <w:t xml:space="preserve">. </w:t>
            </w:r>
            <w:r w:rsidR="00604B08">
              <w:rPr>
                <w:lang w:val="en-US"/>
              </w:rPr>
              <w:t>Estimates of the benefits to children’s development and impacts on parent</w:t>
            </w:r>
            <w:r w:rsidR="005F691F">
              <w:rPr>
                <w:lang w:val="en-US"/>
              </w:rPr>
              <w:t>al</w:t>
            </w:r>
            <w:r w:rsidR="00604B08">
              <w:rPr>
                <w:lang w:val="en-US"/>
              </w:rPr>
              <w:t xml:space="preserve"> </w:t>
            </w:r>
            <w:proofErr w:type="spellStart"/>
            <w:r w:rsidR="00604B08">
              <w:rPr>
                <w:lang w:val="en-US"/>
              </w:rPr>
              <w:t>labour</w:t>
            </w:r>
            <w:proofErr w:type="spellEnd"/>
            <w:r w:rsidR="00604B08">
              <w:rPr>
                <w:lang w:val="en-US"/>
              </w:rPr>
              <w:t xml:space="preserve"> force participation are based on evidence from the literature review completed in </w:t>
            </w:r>
            <w:r w:rsidR="005F691F">
              <w:rPr>
                <w:lang w:val="en-US"/>
              </w:rPr>
              <w:t>2022 and 2023.</w:t>
            </w:r>
          </w:p>
        </w:tc>
      </w:tr>
    </w:tbl>
    <w:p w14:paraId="11E09A49" w14:textId="77777777" w:rsidR="00273A05" w:rsidRPr="00273A05" w:rsidRDefault="00273A05" w:rsidP="00EB3261">
      <w:pPr>
        <w:rPr>
          <w:lang w:val="en-US"/>
        </w:rPr>
      </w:pPr>
    </w:p>
    <w:p w14:paraId="130CA92A" w14:textId="630C3253" w:rsidR="00E7561D" w:rsidRPr="008763FA" w:rsidRDefault="00A35BC9" w:rsidP="008179E5">
      <w:pPr>
        <w:rPr>
          <w:b/>
          <w:bCs/>
          <w:lang w:val="en-US"/>
        </w:rPr>
      </w:pPr>
      <w:r>
        <w:rPr>
          <w:b/>
          <w:bCs/>
          <w:lang w:val="en-US"/>
        </w:rPr>
        <w:t>Impacts</w:t>
      </w:r>
      <w:r w:rsidR="00E7561D" w:rsidRPr="008763FA">
        <w:rPr>
          <w:b/>
          <w:bCs/>
          <w:lang w:val="en-US"/>
        </w:rPr>
        <w:t xml:space="preserve"> arising from children’s participation in ECEC</w:t>
      </w:r>
    </w:p>
    <w:p w14:paraId="087C5D51" w14:textId="634B3A7F" w:rsidR="00EE7DE5" w:rsidRDefault="00BE6A2A" w:rsidP="008179E5">
      <w:r>
        <w:rPr>
          <w:lang w:val="en-US"/>
        </w:rPr>
        <w:t xml:space="preserve">One of the key benefits of expanding access to quality early childhood education and care is its role in improving developmental outcomes for children and in turn supporting </w:t>
      </w:r>
      <w:r w:rsidR="007920B9">
        <w:rPr>
          <w:lang w:val="en-US"/>
        </w:rPr>
        <w:t xml:space="preserve">their engagement </w:t>
      </w:r>
      <w:r w:rsidR="003403C4">
        <w:rPr>
          <w:lang w:val="en-US"/>
        </w:rPr>
        <w:t xml:space="preserve">in further education and transition to </w:t>
      </w:r>
      <w:r w:rsidR="004004EC">
        <w:rPr>
          <w:lang w:val="en-US"/>
        </w:rPr>
        <w:t xml:space="preserve">employment. </w:t>
      </w:r>
      <w:r w:rsidR="008179E5">
        <w:t xml:space="preserve">As more children who have participated in the BSBL programs join the labour market, the overall productive capacity of the workforce is expected to expand. </w:t>
      </w:r>
    </w:p>
    <w:p w14:paraId="69788235" w14:textId="366BC926" w:rsidR="008179E5" w:rsidRPr="00716BE4" w:rsidRDefault="008179E5" w:rsidP="008179E5">
      <w:r>
        <w:t xml:space="preserve">By </w:t>
      </w:r>
      <w:r w:rsidR="00F72C21">
        <w:t>206</w:t>
      </w:r>
      <w:r w:rsidR="00736FDD">
        <w:t>5</w:t>
      </w:r>
      <w:r w:rsidR="00F72C21">
        <w:t>-</w:t>
      </w:r>
      <w:r w:rsidR="00736FDD">
        <w:t>66</w:t>
      </w:r>
      <w:r>
        <w:t xml:space="preserve">, </w:t>
      </w:r>
      <w:r w:rsidR="00CB4F80" w:rsidRPr="00CB4F80">
        <w:t>27</w:t>
      </w:r>
      <w:r w:rsidR="00CB4F80" w:rsidRPr="008271F5">
        <w:t xml:space="preserve"> </w:t>
      </w:r>
      <w:r w:rsidRPr="008271F5">
        <w:t xml:space="preserve">cohorts of children who have benefited from the BSBL reforms will have entered the workforce. </w:t>
      </w:r>
      <w:r w:rsidR="006D270F">
        <w:t>O</w:t>
      </w:r>
      <w:r w:rsidR="005C2262" w:rsidRPr="008271F5">
        <w:t>verall</w:t>
      </w:r>
      <w:r w:rsidRPr="008271F5">
        <w:t xml:space="preserve"> labour </w:t>
      </w:r>
      <w:r w:rsidRPr="00B11AFD">
        <w:t xml:space="preserve">productivity </w:t>
      </w:r>
      <w:r w:rsidR="004004EC" w:rsidRPr="00B11AFD">
        <w:t>is estimated to</w:t>
      </w:r>
      <w:r w:rsidR="005C2262" w:rsidRPr="00B11AFD">
        <w:t xml:space="preserve"> be higher by</w:t>
      </w:r>
      <w:r w:rsidRPr="00B11AFD">
        <w:t xml:space="preserve"> between </w:t>
      </w:r>
      <w:r w:rsidRPr="00EB3261">
        <w:t>$</w:t>
      </w:r>
      <w:r w:rsidR="001F0604">
        <w:t>800</w:t>
      </w:r>
      <w:r w:rsidR="00B11AFD" w:rsidRPr="00EB3261">
        <w:t xml:space="preserve"> </w:t>
      </w:r>
      <w:r w:rsidRPr="00EB3261">
        <w:t>million and $</w:t>
      </w:r>
      <w:r w:rsidR="00B11AFD" w:rsidRPr="00EB3261">
        <w:t>1,</w:t>
      </w:r>
      <w:r w:rsidR="001F0604">
        <w:t>13</w:t>
      </w:r>
      <w:r w:rsidR="00B11AFD" w:rsidRPr="00EB3261">
        <w:t>0</w:t>
      </w:r>
      <w:r w:rsidRPr="00EB3261">
        <w:t xml:space="preserve"> million</w:t>
      </w:r>
      <w:r w:rsidRPr="00B11AFD">
        <w:t xml:space="preserve"> </w:t>
      </w:r>
      <w:r w:rsidR="005C2262" w:rsidRPr="00B11AFD">
        <w:t>by 206</w:t>
      </w:r>
      <w:r w:rsidR="007B2CDE">
        <w:t>5</w:t>
      </w:r>
      <w:r w:rsidR="005C2262" w:rsidRPr="00B11AFD">
        <w:t>-6</w:t>
      </w:r>
      <w:r w:rsidR="007B2CDE">
        <w:t>6</w:t>
      </w:r>
      <w:r w:rsidR="005C2262" w:rsidRPr="00B11AFD">
        <w:t>, with an</w:t>
      </w:r>
      <w:r w:rsidRPr="00B11AFD">
        <w:t xml:space="preserve"> additional </w:t>
      </w:r>
      <w:r w:rsidR="00B11AFD" w:rsidRPr="00EB3261">
        <w:t>5</w:t>
      </w:r>
      <w:r w:rsidRPr="00EB3261">
        <w:t>,</w:t>
      </w:r>
      <w:r w:rsidR="00B11AFD" w:rsidRPr="00EB3261">
        <w:t>3</w:t>
      </w:r>
      <w:r w:rsidRPr="00EB3261">
        <w:t>00 to 7,</w:t>
      </w:r>
      <w:r w:rsidR="00B11AFD" w:rsidRPr="00EB3261">
        <w:t>5</w:t>
      </w:r>
      <w:r w:rsidRPr="00EB3261">
        <w:t>00</w:t>
      </w:r>
      <w:r w:rsidRPr="00B11AFD">
        <w:t xml:space="preserve"> participan</w:t>
      </w:r>
      <w:r w:rsidRPr="008271F5">
        <w:t>ts in the labour force</w:t>
      </w:r>
      <w:r>
        <w:t>.</w:t>
      </w:r>
    </w:p>
    <w:p w14:paraId="4D2AA039" w14:textId="76BA8DE5" w:rsidR="00E7561D" w:rsidRDefault="0091454D" w:rsidP="00672300">
      <w:r w:rsidRPr="00E6735F">
        <w:lastRenderedPageBreak/>
        <w:t xml:space="preserve">In addition </w:t>
      </w:r>
      <w:r>
        <w:t xml:space="preserve">to building human capital and improving children’s </w:t>
      </w:r>
      <w:r w:rsidR="00D60DEC">
        <w:t xml:space="preserve">future </w:t>
      </w:r>
      <w:r>
        <w:t xml:space="preserve">labour market outcomes, the BSBL reforms are also expected to </w:t>
      </w:r>
      <w:r w:rsidR="001B533E">
        <w:t xml:space="preserve">increase year 12 attainment rates, </w:t>
      </w:r>
      <w:r>
        <w:t xml:space="preserve">improve children’s longer term health outcomes, reduce reliance on welfare and reduce crime. </w:t>
      </w:r>
      <w:r w:rsidR="00AA3330">
        <w:t xml:space="preserve">In this way, the BSBL reforms are estimated to </w:t>
      </w:r>
      <w:r w:rsidR="0031316C">
        <w:t>reduce annual social costs by</w:t>
      </w:r>
      <w:r>
        <w:t xml:space="preserve"> </w:t>
      </w:r>
      <w:r w:rsidRPr="00B11AFD">
        <w:t xml:space="preserve">between </w:t>
      </w:r>
      <w:r w:rsidRPr="00EB3261">
        <w:t>$</w:t>
      </w:r>
      <w:r w:rsidR="00B11AFD" w:rsidRPr="00EB3261">
        <w:t>2</w:t>
      </w:r>
      <w:r w:rsidR="00E432C3">
        <w:t>12</w:t>
      </w:r>
      <w:r w:rsidRPr="00EB3261">
        <w:t xml:space="preserve"> million and $</w:t>
      </w:r>
      <w:r w:rsidR="00E432C3">
        <w:t>284</w:t>
      </w:r>
      <w:r w:rsidRPr="00EB3261">
        <w:t xml:space="preserve"> million</w:t>
      </w:r>
      <w:r w:rsidRPr="00B11AFD">
        <w:t xml:space="preserve"> by </w:t>
      </w:r>
      <w:r w:rsidR="00F72C21" w:rsidRPr="00B11AFD">
        <w:t>206</w:t>
      </w:r>
      <w:r w:rsidR="00B11AFD" w:rsidRPr="00B11AFD">
        <w:t>5</w:t>
      </w:r>
      <w:r w:rsidR="00F72C21" w:rsidRPr="00B11AFD">
        <w:t>-6</w:t>
      </w:r>
      <w:r w:rsidR="00B11AFD" w:rsidRPr="00B11AFD">
        <w:t>6</w:t>
      </w:r>
      <w:r w:rsidRPr="00B11AFD">
        <w:t>.</w:t>
      </w:r>
    </w:p>
    <w:p w14:paraId="2D9BCDE7" w14:textId="259116A6" w:rsidR="00E7561D" w:rsidRPr="00345658" w:rsidRDefault="00A35BC9" w:rsidP="00E7561D">
      <w:pPr>
        <w:rPr>
          <w:b/>
          <w:bCs/>
          <w:lang w:val="en-US"/>
        </w:rPr>
      </w:pPr>
      <w:r>
        <w:rPr>
          <w:b/>
          <w:bCs/>
          <w:lang w:val="en-US"/>
        </w:rPr>
        <w:t>Impacts</w:t>
      </w:r>
      <w:r w:rsidR="00E7561D" w:rsidRPr="00345658">
        <w:rPr>
          <w:b/>
          <w:bCs/>
          <w:lang w:val="en-US"/>
        </w:rPr>
        <w:t xml:space="preserve"> arising from </w:t>
      </w:r>
      <w:r w:rsidR="00E7561D">
        <w:rPr>
          <w:b/>
          <w:bCs/>
          <w:lang w:val="en-US"/>
        </w:rPr>
        <w:t>parents’ participation in the workforce</w:t>
      </w:r>
    </w:p>
    <w:p w14:paraId="0AC936CB" w14:textId="1954ADCB" w:rsidR="0076198F" w:rsidRDefault="0076198F" w:rsidP="00672300">
      <w:pPr>
        <w:rPr>
          <w:lang w:val="en-US"/>
        </w:rPr>
      </w:pPr>
      <w:r>
        <w:rPr>
          <w:lang w:val="en-US"/>
        </w:rPr>
        <w:t xml:space="preserve">Achieving the aspirations of the BSBL reform </w:t>
      </w:r>
      <w:r w:rsidR="0031316C">
        <w:rPr>
          <w:lang w:val="en-US"/>
        </w:rPr>
        <w:t>is estimated to</w:t>
      </w:r>
      <w:r>
        <w:rPr>
          <w:lang w:val="en-US"/>
        </w:rPr>
        <w:t xml:space="preserve"> support an </w:t>
      </w:r>
      <w:r w:rsidRPr="00965E31">
        <w:rPr>
          <w:lang w:val="en-US"/>
        </w:rPr>
        <w:t xml:space="preserve">additional </w:t>
      </w:r>
      <w:r w:rsidRPr="00EB3261">
        <w:rPr>
          <w:lang w:val="en-US"/>
        </w:rPr>
        <w:t>13,</w:t>
      </w:r>
      <w:r w:rsidR="00965E31" w:rsidRPr="00EB3261">
        <w:rPr>
          <w:lang w:val="en-US"/>
        </w:rPr>
        <w:t>8</w:t>
      </w:r>
      <w:r w:rsidRPr="00EB3261">
        <w:rPr>
          <w:lang w:val="en-US"/>
        </w:rPr>
        <w:t xml:space="preserve">00 to </w:t>
      </w:r>
      <w:r w:rsidR="00965E31" w:rsidRPr="00EB3261">
        <w:rPr>
          <w:lang w:val="en-US"/>
        </w:rPr>
        <w:t>20</w:t>
      </w:r>
      <w:r w:rsidRPr="00EB3261">
        <w:rPr>
          <w:lang w:val="en-US"/>
        </w:rPr>
        <w:t>,</w:t>
      </w:r>
      <w:r w:rsidR="00965E31" w:rsidRPr="00EB3261">
        <w:rPr>
          <w:lang w:val="en-US"/>
        </w:rPr>
        <w:t>2</w:t>
      </w:r>
      <w:r w:rsidRPr="00EB3261">
        <w:rPr>
          <w:lang w:val="en-US"/>
        </w:rPr>
        <w:t>00</w:t>
      </w:r>
      <w:r w:rsidRPr="00965E31">
        <w:rPr>
          <w:lang w:val="en-US"/>
        </w:rPr>
        <w:t xml:space="preserve"> primary carers </w:t>
      </w:r>
      <w:r w:rsidRPr="00965E31">
        <w:rPr>
          <w:rFonts w:asciiTheme="majorHAnsi" w:hAnsiTheme="majorHAnsi"/>
        </w:rPr>
        <w:t>with</w:t>
      </w:r>
      <w:r w:rsidRPr="00965E31">
        <w:rPr>
          <w:rFonts w:asciiTheme="majorHAnsi" w:hAnsiTheme="majorHAnsi"/>
          <w:bCs/>
          <w:sz w:val="16"/>
          <w:szCs w:val="16"/>
        </w:rPr>
        <w:t xml:space="preserve"> </w:t>
      </w:r>
      <w:r w:rsidRPr="00965E31">
        <w:rPr>
          <w:rFonts w:asciiTheme="majorHAnsi" w:hAnsiTheme="majorHAnsi"/>
        </w:rPr>
        <w:t>a child aged under five</w:t>
      </w:r>
      <w:r w:rsidRPr="00965E31">
        <w:rPr>
          <w:rFonts w:asciiTheme="majorHAnsi" w:hAnsiTheme="majorHAnsi"/>
          <w:b/>
          <w:sz w:val="16"/>
          <w:szCs w:val="16"/>
        </w:rPr>
        <w:t xml:space="preserve"> </w:t>
      </w:r>
      <w:r w:rsidRPr="00965E31">
        <w:rPr>
          <w:lang w:val="en-US"/>
        </w:rPr>
        <w:t xml:space="preserve">to participate in the </w:t>
      </w:r>
      <w:proofErr w:type="spellStart"/>
      <w:r w:rsidRPr="00965E31">
        <w:rPr>
          <w:lang w:val="en-US"/>
        </w:rPr>
        <w:t>labour</w:t>
      </w:r>
      <w:proofErr w:type="spellEnd"/>
      <w:r w:rsidRPr="00965E31">
        <w:rPr>
          <w:lang w:val="en-US"/>
        </w:rPr>
        <w:t xml:space="preserve"> force by </w:t>
      </w:r>
      <w:r w:rsidR="00F72C21" w:rsidRPr="00965E31">
        <w:rPr>
          <w:lang w:val="en-US"/>
        </w:rPr>
        <w:t>203</w:t>
      </w:r>
      <w:r w:rsidR="00965E31" w:rsidRPr="00965E31">
        <w:rPr>
          <w:lang w:val="en-US"/>
        </w:rPr>
        <w:t>5</w:t>
      </w:r>
      <w:r w:rsidR="00F72C21" w:rsidRPr="00965E31">
        <w:rPr>
          <w:lang w:val="en-US"/>
        </w:rPr>
        <w:t>-3</w:t>
      </w:r>
      <w:r w:rsidR="00965E31" w:rsidRPr="00965E31">
        <w:rPr>
          <w:lang w:val="en-US"/>
        </w:rPr>
        <w:t>6</w:t>
      </w:r>
      <w:r w:rsidRPr="00965E31">
        <w:rPr>
          <w:lang w:val="en-US"/>
        </w:rPr>
        <w:t xml:space="preserve">, and increase their total hours </w:t>
      </w:r>
      <w:proofErr w:type="gramStart"/>
      <w:r w:rsidRPr="00965E31">
        <w:rPr>
          <w:lang w:val="en-US"/>
        </w:rPr>
        <w:t>worked by</w:t>
      </w:r>
      <w:proofErr w:type="gramEnd"/>
      <w:r w:rsidRPr="00965E31">
        <w:rPr>
          <w:lang w:val="en-US"/>
        </w:rPr>
        <w:t xml:space="preserve"> </w:t>
      </w:r>
      <w:r w:rsidR="0031316C" w:rsidRPr="00965E31">
        <w:rPr>
          <w:lang w:val="en-US"/>
        </w:rPr>
        <w:t xml:space="preserve">between </w:t>
      </w:r>
      <w:r w:rsidR="00036990" w:rsidRPr="00EB3261">
        <w:rPr>
          <w:lang w:val="en-US"/>
        </w:rPr>
        <w:t>3.8 to 5.5</w:t>
      </w:r>
      <w:r w:rsidR="006F4D85" w:rsidRPr="00EB3261">
        <w:rPr>
          <w:lang w:val="en-US"/>
        </w:rPr>
        <w:t xml:space="preserve"> per cent</w:t>
      </w:r>
      <w:r w:rsidR="00A80133" w:rsidRPr="00965E31">
        <w:rPr>
          <w:lang w:val="en-US"/>
        </w:rPr>
        <w:t xml:space="preserve"> (depending</w:t>
      </w:r>
      <w:r w:rsidR="00A80133">
        <w:rPr>
          <w:lang w:val="en-US"/>
        </w:rPr>
        <w:t xml:space="preserve"> on the assumed </w:t>
      </w:r>
      <w:proofErr w:type="spellStart"/>
      <w:r w:rsidR="00A80133">
        <w:rPr>
          <w:lang w:val="en-US"/>
        </w:rPr>
        <w:t>labour</w:t>
      </w:r>
      <w:proofErr w:type="spellEnd"/>
      <w:r w:rsidR="00A80133">
        <w:rPr>
          <w:lang w:val="en-US"/>
        </w:rPr>
        <w:t xml:space="preserve"> supply response)</w:t>
      </w:r>
      <w:r w:rsidR="00036990">
        <w:rPr>
          <w:lang w:val="en-US"/>
        </w:rPr>
        <w:t xml:space="preserve">. This arises because </w:t>
      </w:r>
      <w:r w:rsidR="00FE1FC7">
        <w:rPr>
          <w:lang w:val="en-US"/>
        </w:rPr>
        <w:t xml:space="preserve">the expansion of preschool allows parents </w:t>
      </w:r>
      <w:r w:rsidR="006F65F0">
        <w:rPr>
          <w:lang w:val="en-US"/>
        </w:rPr>
        <w:t>greater scope to enter the workfor</w:t>
      </w:r>
      <w:r w:rsidR="00AA6FAD">
        <w:rPr>
          <w:lang w:val="en-US"/>
        </w:rPr>
        <w:t xml:space="preserve">ce or to increase their hours of work. There </w:t>
      </w:r>
      <w:proofErr w:type="gramStart"/>
      <w:r w:rsidR="00AA6FAD">
        <w:rPr>
          <w:lang w:val="en-US"/>
        </w:rPr>
        <w:t>are</w:t>
      </w:r>
      <w:proofErr w:type="gramEnd"/>
      <w:r w:rsidR="00AA6FAD">
        <w:rPr>
          <w:lang w:val="en-US"/>
        </w:rPr>
        <w:t xml:space="preserve"> also longer term, or lifetime effects, associated with a return to work that are not captured in these figures but are captured in the aggregate economic impacts. </w:t>
      </w:r>
      <w:r w:rsidR="00752499">
        <w:rPr>
          <w:lang w:val="en-US"/>
        </w:rPr>
        <w:t xml:space="preserve">These lifetime effects capture the impact of an earlier return to work </w:t>
      </w:r>
      <w:r w:rsidR="00A80133">
        <w:rPr>
          <w:lang w:val="en-US"/>
        </w:rPr>
        <w:t xml:space="preserve">on the likelihood that primary carers remain connected to the workforce and experience greater wage growth over time. </w:t>
      </w:r>
    </w:p>
    <w:p w14:paraId="51631020" w14:textId="77777777" w:rsidR="00A35BC9" w:rsidRPr="008763FA" w:rsidRDefault="00A35BC9" w:rsidP="0076198F">
      <w:pPr>
        <w:rPr>
          <w:b/>
          <w:bCs/>
        </w:rPr>
      </w:pPr>
      <w:r w:rsidRPr="008763FA">
        <w:rPr>
          <w:b/>
          <w:bCs/>
        </w:rPr>
        <w:t>Aggregate economic impacts</w:t>
      </w:r>
    </w:p>
    <w:p w14:paraId="35B08203" w14:textId="4332DB32" w:rsidR="0076198F" w:rsidRDefault="00C114D6" w:rsidP="0076198F">
      <w:pPr>
        <w:rPr>
          <w:lang w:val="en-US"/>
        </w:rPr>
      </w:pPr>
      <w:r>
        <w:t xml:space="preserve">By enabling more primary carers to enter and participate in the workforce and by </w:t>
      </w:r>
      <w:r w:rsidR="003C51C6">
        <w:t xml:space="preserve">enhancing children’s development and hence </w:t>
      </w:r>
      <w:proofErr w:type="gramStart"/>
      <w:r w:rsidR="003C51C6">
        <w:t>longer term</w:t>
      </w:r>
      <w:proofErr w:type="gramEnd"/>
      <w:r w:rsidR="00CD758D">
        <w:t xml:space="preserve"> productivity and</w:t>
      </w:r>
      <w:r w:rsidR="003C51C6">
        <w:t xml:space="preserve"> attach</w:t>
      </w:r>
      <w:r w:rsidR="00CD758D">
        <w:t xml:space="preserve">ment to the labour </w:t>
      </w:r>
      <w:r w:rsidR="002826B7">
        <w:t>market,</w:t>
      </w:r>
      <w:r w:rsidR="00CD758D">
        <w:t xml:space="preserve"> </w:t>
      </w:r>
      <w:r w:rsidR="0076198F">
        <w:t xml:space="preserve">the BSBL reforms </w:t>
      </w:r>
      <w:r w:rsidR="00C20C5C">
        <w:t xml:space="preserve">can </w:t>
      </w:r>
      <w:r w:rsidR="0076198F" w:rsidRPr="008319CC">
        <w:rPr>
          <w:lang w:val="en-US"/>
        </w:rPr>
        <w:t xml:space="preserve">enable faster growth for both the Victorian and Australian economy. </w:t>
      </w:r>
      <w:r w:rsidR="00D0535D">
        <w:rPr>
          <w:lang w:val="en-US"/>
        </w:rPr>
        <w:t>Over the period to</w:t>
      </w:r>
      <w:r w:rsidR="0076198F">
        <w:rPr>
          <w:lang w:val="en-US"/>
        </w:rPr>
        <w:t xml:space="preserve"> </w:t>
      </w:r>
      <w:r w:rsidR="00F72C21">
        <w:rPr>
          <w:lang w:val="en-US"/>
        </w:rPr>
        <w:t>206</w:t>
      </w:r>
      <w:r w:rsidR="007B2CDE">
        <w:rPr>
          <w:lang w:val="en-US"/>
        </w:rPr>
        <w:t>5</w:t>
      </w:r>
      <w:r w:rsidR="00F72C21">
        <w:rPr>
          <w:lang w:val="en-US"/>
        </w:rPr>
        <w:t>-6</w:t>
      </w:r>
      <w:r w:rsidR="007B2CDE">
        <w:rPr>
          <w:lang w:val="en-US"/>
        </w:rPr>
        <w:t>6</w:t>
      </w:r>
      <w:r w:rsidR="0076198F">
        <w:rPr>
          <w:lang w:val="en-US"/>
        </w:rPr>
        <w:t xml:space="preserve">, Gross State Product (GSP) is projected to be higher by </w:t>
      </w:r>
      <w:r w:rsidR="00D0535D">
        <w:rPr>
          <w:lang w:val="en-US"/>
        </w:rPr>
        <w:t xml:space="preserve">an average of </w:t>
      </w:r>
      <w:r w:rsidR="0076198F" w:rsidRPr="00617700">
        <w:rPr>
          <w:lang w:val="en-US"/>
        </w:rPr>
        <w:t xml:space="preserve">between </w:t>
      </w:r>
      <w:r w:rsidR="00D0535D" w:rsidRPr="00EB3261">
        <w:rPr>
          <w:lang w:val="en-US"/>
        </w:rPr>
        <w:t>0.</w:t>
      </w:r>
      <w:r w:rsidR="00B55607">
        <w:rPr>
          <w:lang w:val="en-US"/>
        </w:rPr>
        <w:t>9</w:t>
      </w:r>
      <w:r w:rsidR="00B55607" w:rsidRPr="00EB3261">
        <w:rPr>
          <w:lang w:val="en-US"/>
        </w:rPr>
        <w:t xml:space="preserve"> </w:t>
      </w:r>
      <w:r w:rsidR="00FB125C" w:rsidRPr="00EB3261">
        <w:rPr>
          <w:lang w:val="en-US"/>
        </w:rPr>
        <w:t>and 1.</w:t>
      </w:r>
      <w:r w:rsidR="00B55607">
        <w:rPr>
          <w:lang w:val="en-US"/>
        </w:rPr>
        <w:t>3</w:t>
      </w:r>
      <w:r w:rsidR="00FB125C" w:rsidRPr="00617700">
        <w:rPr>
          <w:lang w:val="en-US"/>
        </w:rPr>
        <w:t xml:space="preserve"> per cent</w:t>
      </w:r>
      <w:r w:rsidR="00D31A34" w:rsidRPr="00617700">
        <w:rPr>
          <w:lang w:val="en-US"/>
        </w:rPr>
        <w:t xml:space="preserve"> per annum</w:t>
      </w:r>
      <w:r w:rsidR="00FB125C" w:rsidRPr="00617700">
        <w:rPr>
          <w:lang w:val="en-US"/>
        </w:rPr>
        <w:t xml:space="preserve">, while employment is projected to be higher by between </w:t>
      </w:r>
      <w:r w:rsidR="00B55607">
        <w:rPr>
          <w:lang w:val="en-US"/>
        </w:rPr>
        <w:t>1.0</w:t>
      </w:r>
      <w:r w:rsidR="007E0AB8" w:rsidRPr="00EB3261">
        <w:rPr>
          <w:lang w:val="en-US"/>
        </w:rPr>
        <w:t xml:space="preserve"> and </w:t>
      </w:r>
      <w:r w:rsidR="00D0535D" w:rsidRPr="00EB3261">
        <w:rPr>
          <w:lang w:val="en-US"/>
        </w:rPr>
        <w:t>1.</w:t>
      </w:r>
      <w:r w:rsidR="00B55607">
        <w:rPr>
          <w:lang w:val="en-US"/>
        </w:rPr>
        <w:t>5</w:t>
      </w:r>
      <w:r w:rsidR="00B55607" w:rsidRPr="00617700">
        <w:rPr>
          <w:lang w:val="en-US"/>
        </w:rPr>
        <w:t xml:space="preserve"> </w:t>
      </w:r>
      <w:r w:rsidR="007E0AB8" w:rsidRPr="00617700">
        <w:rPr>
          <w:lang w:val="en-US"/>
        </w:rPr>
        <w:t>per cent</w:t>
      </w:r>
      <w:r w:rsidR="00D31A34">
        <w:rPr>
          <w:lang w:val="en-US"/>
        </w:rPr>
        <w:t xml:space="preserve"> per annum</w:t>
      </w:r>
      <w:r w:rsidR="007E0AB8">
        <w:rPr>
          <w:lang w:val="en-US"/>
        </w:rPr>
        <w:t xml:space="preserve">. </w:t>
      </w:r>
    </w:p>
    <w:p w14:paraId="63C590FC" w14:textId="659A65F3" w:rsidR="006F54B6" w:rsidRDefault="006F54B6" w:rsidP="0076198F">
      <w:pPr>
        <w:rPr>
          <w:lang w:val="en-US"/>
        </w:rPr>
      </w:pPr>
      <w:r w:rsidRPr="00A25942">
        <w:rPr>
          <w:lang w:val="en-US"/>
        </w:rPr>
        <w:t xml:space="preserve">A larger economy </w:t>
      </w:r>
      <w:r w:rsidR="00F866BD">
        <w:rPr>
          <w:lang w:val="en-US"/>
        </w:rPr>
        <w:t xml:space="preserve">is estimated to </w:t>
      </w:r>
      <w:r w:rsidRPr="00A25942">
        <w:rPr>
          <w:lang w:val="en-US"/>
        </w:rPr>
        <w:t xml:space="preserve">lift Victorian Government real taxation revenue by an estimated </w:t>
      </w:r>
      <w:r w:rsidRPr="00EB3261">
        <w:rPr>
          <w:lang w:val="en-US"/>
        </w:rPr>
        <w:t>$</w:t>
      </w:r>
      <w:r w:rsidR="00244A2B" w:rsidRPr="00EB3261">
        <w:rPr>
          <w:lang w:val="en-US"/>
        </w:rPr>
        <w:t>524</w:t>
      </w:r>
      <w:r w:rsidRPr="00EB3261">
        <w:rPr>
          <w:lang w:val="en-US"/>
        </w:rPr>
        <w:t xml:space="preserve"> million to $</w:t>
      </w:r>
      <w:r w:rsidR="00244A2B" w:rsidRPr="00EB3261">
        <w:rPr>
          <w:lang w:val="en-US"/>
        </w:rPr>
        <w:t>767</w:t>
      </w:r>
      <w:r w:rsidRPr="00EB3261">
        <w:rPr>
          <w:lang w:val="en-US"/>
        </w:rPr>
        <w:t xml:space="preserve"> million</w:t>
      </w:r>
      <w:r w:rsidRPr="00244A2B">
        <w:rPr>
          <w:lang w:val="en-US"/>
        </w:rPr>
        <w:t xml:space="preserve"> on</w:t>
      </w:r>
      <w:r w:rsidRPr="00A25942">
        <w:rPr>
          <w:lang w:val="en-US"/>
        </w:rPr>
        <w:t xml:space="preserve"> average each year over the period to </w:t>
      </w:r>
      <w:r w:rsidR="00F72C21">
        <w:rPr>
          <w:lang w:val="en-US"/>
        </w:rPr>
        <w:t>206</w:t>
      </w:r>
      <w:r w:rsidR="00244A2B">
        <w:rPr>
          <w:lang w:val="en-US"/>
        </w:rPr>
        <w:t>6</w:t>
      </w:r>
      <w:r w:rsidR="00D31A34">
        <w:rPr>
          <w:lang w:val="en-US"/>
        </w:rPr>
        <w:t xml:space="preserve"> (in 202</w:t>
      </w:r>
      <w:r w:rsidR="00244A2B">
        <w:rPr>
          <w:lang w:val="en-US"/>
        </w:rPr>
        <w:t>5</w:t>
      </w:r>
      <w:r w:rsidR="00D31A34">
        <w:rPr>
          <w:lang w:val="en-US"/>
        </w:rPr>
        <w:t xml:space="preserve"> dollars)</w:t>
      </w:r>
      <w:r w:rsidRPr="00A25942">
        <w:rPr>
          <w:lang w:val="en-US"/>
        </w:rPr>
        <w:t>.</w:t>
      </w:r>
      <w:r>
        <w:rPr>
          <w:lang w:val="en-US"/>
        </w:rPr>
        <w:t xml:space="preserve"> </w:t>
      </w:r>
      <w:r w:rsidRPr="008319CC">
        <w:rPr>
          <w:lang w:val="en-US"/>
        </w:rPr>
        <w:t xml:space="preserve">The </w:t>
      </w:r>
      <w:r>
        <w:rPr>
          <w:lang w:val="en-US"/>
        </w:rPr>
        <w:t xml:space="preserve">BSBL reforms are </w:t>
      </w:r>
      <w:r w:rsidRPr="008319CC">
        <w:rPr>
          <w:lang w:val="en-US"/>
        </w:rPr>
        <w:t xml:space="preserve">also </w:t>
      </w:r>
      <w:r>
        <w:rPr>
          <w:lang w:val="en-US"/>
        </w:rPr>
        <w:t xml:space="preserve">expected to increase the </w:t>
      </w:r>
      <w:r w:rsidRPr="006A7F7A">
        <w:rPr>
          <w:lang w:val="en-US"/>
        </w:rPr>
        <w:t>revenue collected by the Australian Government</w:t>
      </w:r>
      <w:r>
        <w:rPr>
          <w:lang w:val="en-US"/>
        </w:rPr>
        <w:t xml:space="preserve">, through </w:t>
      </w:r>
      <w:r w:rsidRPr="00096AB8">
        <w:rPr>
          <w:lang w:val="en-US"/>
        </w:rPr>
        <w:t xml:space="preserve">taxation and Goods and Service Tax (GST) contributions. There is also expected to be an average </w:t>
      </w:r>
      <w:r w:rsidRPr="00EB3261">
        <w:rPr>
          <w:lang w:val="en-US"/>
        </w:rPr>
        <w:t>of $</w:t>
      </w:r>
      <w:r w:rsidR="00096AB8" w:rsidRPr="00EB3261">
        <w:rPr>
          <w:lang w:val="en-US"/>
        </w:rPr>
        <w:t>4</w:t>
      </w:r>
      <w:r w:rsidR="001D4000">
        <w:rPr>
          <w:lang w:val="en-US"/>
        </w:rPr>
        <w:t>7</w:t>
      </w:r>
      <w:r w:rsidRPr="00EB3261">
        <w:rPr>
          <w:lang w:val="en-US"/>
        </w:rPr>
        <w:t xml:space="preserve"> million to $</w:t>
      </w:r>
      <w:r w:rsidR="001D4000">
        <w:rPr>
          <w:lang w:val="en-US"/>
        </w:rPr>
        <w:t>6</w:t>
      </w:r>
      <w:r w:rsidR="009D2C89">
        <w:rPr>
          <w:lang w:val="en-US"/>
        </w:rPr>
        <w:t>3</w:t>
      </w:r>
      <w:r w:rsidRPr="00096AB8">
        <w:rPr>
          <w:lang w:val="en-US"/>
        </w:rPr>
        <w:t xml:space="preserve"> million</w:t>
      </w:r>
      <w:r w:rsidRPr="00A25942">
        <w:rPr>
          <w:lang w:val="en-US"/>
        </w:rPr>
        <w:t xml:space="preserve"> in avoided fiscal costs</w:t>
      </w:r>
      <w:r>
        <w:rPr>
          <w:lang w:val="en-US"/>
        </w:rPr>
        <w:t xml:space="preserve"> over the period to </w:t>
      </w:r>
      <w:r w:rsidR="00F72C21">
        <w:rPr>
          <w:lang w:val="en-US"/>
        </w:rPr>
        <w:t>206</w:t>
      </w:r>
      <w:r w:rsidR="009D2C89">
        <w:rPr>
          <w:lang w:val="en-US"/>
        </w:rPr>
        <w:t>6</w:t>
      </w:r>
      <w:r w:rsidRPr="00A25942">
        <w:rPr>
          <w:lang w:val="en-US"/>
        </w:rPr>
        <w:t xml:space="preserve"> </w:t>
      </w:r>
      <w:r w:rsidR="009D0C90">
        <w:rPr>
          <w:lang w:val="en-US"/>
        </w:rPr>
        <w:t>by reducing fiscal expenditure by</w:t>
      </w:r>
      <w:r w:rsidRPr="00A25942">
        <w:rPr>
          <w:lang w:val="en-US"/>
        </w:rPr>
        <w:t xml:space="preserve"> the Victorian and Australian </w:t>
      </w:r>
      <w:r>
        <w:rPr>
          <w:lang w:val="en-US"/>
        </w:rPr>
        <w:t>g</w:t>
      </w:r>
      <w:r w:rsidRPr="00A25942">
        <w:rPr>
          <w:lang w:val="en-US"/>
        </w:rPr>
        <w:t>overnments</w:t>
      </w:r>
      <w:r w:rsidR="00DC5F03">
        <w:rPr>
          <w:lang w:val="en-US"/>
        </w:rPr>
        <w:t>,</w:t>
      </w:r>
      <w:r w:rsidRPr="00533F3A">
        <w:rPr>
          <w:lang w:val="en-US"/>
        </w:rPr>
        <w:t xml:space="preserve"> </w:t>
      </w:r>
      <w:r w:rsidR="00DC5F03">
        <w:rPr>
          <w:lang w:val="en-US"/>
        </w:rPr>
        <w:t xml:space="preserve">resulting </w:t>
      </w:r>
      <w:r>
        <w:rPr>
          <w:lang w:val="en-US"/>
        </w:rPr>
        <w:t>from reduced public expenditure on health, welfare payments and crime and law enforcement.</w:t>
      </w:r>
      <w:r w:rsidR="00DC5F03">
        <w:rPr>
          <w:rStyle w:val="FootnoteReference"/>
        </w:rPr>
        <w:footnoteReference w:id="3"/>
      </w:r>
      <w:r>
        <w:rPr>
          <w:lang w:val="en-US"/>
        </w:rPr>
        <w:t xml:space="preserve">  </w:t>
      </w:r>
    </w:p>
    <w:p w14:paraId="100A2FE1" w14:textId="7A4D53D1" w:rsidR="00A02BD1" w:rsidRDefault="002662E5" w:rsidP="00571DC9">
      <w:pPr>
        <w:rPr>
          <w:lang w:val="en-US"/>
        </w:rPr>
      </w:pPr>
      <w:r>
        <w:rPr>
          <w:lang w:val="en-US"/>
        </w:rPr>
        <w:t xml:space="preserve">The results presented above are </w:t>
      </w:r>
      <w:proofErr w:type="spellStart"/>
      <w:r>
        <w:rPr>
          <w:lang w:val="en-US"/>
        </w:rPr>
        <w:t>summarised</w:t>
      </w:r>
      <w:proofErr w:type="spellEnd"/>
      <w:r>
        <w:rPr>
          <w:lang w:val="en-US"/>
        </w:rPr>
        <w:t xml:space="preserve"> in Table </w:t>
      </w:r>
      <w:proofErr w:type="spellStart"/>
      <w:r>
        <w:rPr>
          <w:lang w:val="en-US"/>
        </w:rPr>
        <w:t>i</w:t>
      </w:r>
      <w:proofErr w:type="spellEnd"/>
      <w:r>
        <w:rPr>
          <w:lang w:val="en-US"/>
        </w:rPr>
        <w:t xml:space="preserve">, below. </w:t>
      </w:r>
    </w:p>
    <w:p w14:paraId="1591988D" w14:textId="09C1A33D" w:rsidR="00571DC9" w:rsidRDefault="002C374B" w:rsidP="00571DC9">
      <w:pPr>
        <w:rPr>
          <w:lang w:val="en-US"/>
        </w:rPr>
      </w:pPr>
      <w:r w:rsidRPr="007D1666">
        <w:t>Through increasing kindergarten and ECEC participation, t</w:t>
      </w:r>
      <w:r w:rsidR="00C3531D" w:rsidRPr="007D1666">
        <w:t xml:space="preserve">he BSBL reforms </w:t>
      </w:r>
      <w:r w:rsidR="00121AA5" w:rsidRPr="007D1666">
        <w:t xml:space="preserve">could enable </w:t>
      </w:r>
      <w:r w:rsidR="00C3531D" w:rsidRPr="007D1666">
        <w:t>significant economic and community benefits for Victoria</w:t>
      </w:r>
      <w:r w:rsidRPr="007D1666">
        <w:t xml:space="preserve">. However, the benefits are </w:t>
      </w:r>
      <w:r w:rsidR="00C3531D" w:rsidRPr="007D1666">
        <w:t>contingent upon achieving the 96% participation target, delivering high-quality education programs, and securing sufficient workforce and infrastructure</w:t>
      </w:r>
      <w:r w:rsidRPr="007D1666">
        <w:t xml:space="preserve"> to support the implementation</w:t>
      </w:r>
      <w:r w:rsidR="003001B5" w:rsidRPr="007D1666">
        <w:t>, with further cost-benefit analysis required to evaluate the overall return on investment.</w:t>
      </w:r>
      <w:r w:rsidR="00571DC9">
        <w:rPr>
          <w:lang w:val="en-US"/>
        </w:rPr>
        <w:br w:type="page"/>
      </w:r>
    </w:p>
    <w:p w14:paraId="05A9CA4A" w14:textId="0E0D8584" w:rsidR="009136E8" w:rsidRPr="008816AF" w:rsidRDefault="009136E8" w:rsidP="009136E8">
      <w:pPr>
        <w:pStyle w:val="ExecTableCaption"/>
      </w:pPr>
      <w:bookmarkStart w:id="15" w:name="_Ref175578823"/>
      <w:r w:rsidRPr="00C904C9">
        <w:lastRenderedPageBreak/>
        <w:t xml:space="preserve">: </w:t>
      </w:r>
      <w:r w:rsidR="00611202" w:rsidRPr="00C64671">
        <w:t>Key</w:t>
      </w:r>
      <w:r w:rsidRPr="00C64671">
        <w:t xml:space="preserve"> </w:t>
      </w:r>
      <w:r w:rsidR="0026588E" w:rsidRPr="00C64671">
        <w:t xml:space="preserve">findings on impact </w:t>
      </w:r>
      <w:r w:rsidRPr="00C64671">
        <w:t xml:space="preserve">of </w:t>
      </w:r>
      <w:r w:rsidR="0026588E" w:rsidRPr="00C64671">
        <w:t xml:space="preserve">BSBL </w:t>
      </w:r>
      <w:r w:rsidRPr="00C64671">
        <w:t xml:space="preserve">reforms </w:t>
      </w:r>
      <w:r w:rsidRPr="00C85200">
        <w:t>relative to base case</w:t>
      </w:r>
      <w:bookmarkEnd w:id="15"/>
    </w:p>
    <w:tbl>
      <w:tblPr>
        <w:tblStyle w:val="Deloittetable"/>
        <w:tblW w:w="5014" w:type="pct"/>
        <w:tblCellMar>
          <w:left w:w="28" w:type="dxa"/>
          <w:right w:w="28" w:type="dxa"/>
        </w:tblCellMar>
        <w:tblLook w:val="04A0" w:firstRow="1" w:lastRow="0" w:firstColumn="1" w:lastColumn="0" w:noHBand="0" w:noVBand="1"/>
      </w:tblPr>
      <w:tblGrid>
        <w:gridCol w:w="2035"/>
        <w:gridCol w:w="1101"/>
        <w:gridCol w:w="1043"/>
        <w:gridCol w:w="1566"/>
        <w:gridCol w:w="1101"/>
        <w:gridCol w:w="1101"/>
        <w:gridCol w:w="1001"/>
        <w:gridCol w:w="103"/>
      </w:tblGrid>
      <w:tr w:rsidR="00742609" w:rsidRPr="00E774CF" w14:paraId="28604261" w14:textId="77777777" w:rsidTr="00B55607">
        <w:trPr>
          <w:gridAfter w:val="1"/>
          <w:cnfStyle w:val="100000000000" w:firstRow="1" w:lastRow="0" w:firstColumn="0" w:lastColumn="0" w:oddVBand="0" w:evenVBand="0" w:oddHBand="0" w:evenHBand="0" w:firstRowFirstColumn="0" w:firstRowLastColumn="0" w:lastRowFirstColumn="0" w:lastRowLastColumn="0"/>
          <w:wAfter w:w="57" w:type="pct"/>
          <w:trHeight w:val="315"/>
        </w:trPr>
        <w:tc>
          <w:tcPr>
            <w:tcW w:w="1125" w:type="pct"/>
            <w:vMerge w:val="restart"/>
            <w:hideMark/>
          </w:tcPr>
          <w:p w14:paraId="1154F51C" w14:textId="77777777" w:rsidR="00D0535D" w:rsidRPr="00C0001F" w:rsidRDefault="00D0535D">
            <w:pPr>
              <w:spacing w:after="0" w:line="240" w:lineRule="auto"/>
              <w:rPr>
                <w:rFonts w:asciiTheme="majorHAnsi" w:eastAsia="Times New Roman" w:hAnsiTheme="majorHAnsi" w:cs="Calibri"/>
                <w:b/>
                <w:bCs/>
                <w:color w:val="000000"/>
                <w:sz w:val="16"/>
                <w:szCs w:val="16"/>
                <w:lang w:eastAsia="en-AU"/>
              </w:rPr>
            </w:pPr>
            <w:r w:rsidRPr="00C0001F">
              <w:rPr>
                <w:rFonts w:asciiTheme="majorHAnsi" w:eastAsia="Times New Roman" w:hAnsiTheme="majorHAnsi" w:cs="Calibri"/>
                <w:b/>
                <w:bCs/>
                <w:color w:val="000000"/>
                <w:sz w:val="16"/>
                <w:szCs w:val="16"/>
                <w:lang w:eastAsia="en-AU"/>
              </w:rPr>
              <w:t> </w:t>
            </w:r>
          </w:p>
        </w:tc>
        <w:tc>
          <w:tcPr>
            <w:tcW w:w="2049" w:type="pct"/>
            <w:gridSpan w:val="3"/>
            <w:tcBorders>
              <w:right w:val="single" w:sz="4" w:space="0" w:color="auto"/>
            </w:tcBorders>
            <w:hideMark/>
          </w:tcPr>
          <w:p w14:paraId="034BDAE3" w14:textId="77777777" w:rsidR="00D0535D" w:rsidRPr="00C0001F" w:rsidRDefault="00D0535D">
            <w:pPr>
              <w:spacing w:after="0" w:line="240" w:lineRule="auto"/>
              <w:jc w:val="center"/>
              <w:rPr>
                <w:rFonts w:asciiTheme="majorHAnsi" w:eastAsia="Times New Roman" w:hAnsiTheme="majorHAnsi" w:cs="Calibri"/>
                <w:b/>
                <w:bCs/>
                <w:color w:val="000000"/>
                <w:sz w:val="16"/>
                <w:szCs w:val="16"/>
                <w:lang w:eastAsia="en-AU"/>
              </w:rPr>
            </w:pPr>
            <w:r w:rsidRPr="00C0001F">
              <w:rPr>
                <w:rFonts w:asciiTheme="majorHAnsi" w:eastAsia="Times New Roman" w:hAnsiTheme="majorHAnsi" w:cs="Calibri"/>
                <w:b/>
                <w:bCs/>
                <w:color w:val="000000"/>
                <w:sz w:val="16"/>
                <w:szCs w:val="16"/>
                <w:lang w:eastAsia="en-AU"/>
              </w:rPr>
              <w:t>Low scenario</w:t>
            </w:r>
          </w:p>
        </w:tc>
        <w:tc>
          <w:tcPr>
            <w:tcW w:w="1768" w:type="pct"/>
            <w:gridSpan w:val="3"/>
            <w:tcBorders>
              <w:left w:val="single" w:sz="4" w:space="0" w:color="auto"/>
            </w:tcBorders>
            <w:hideMark/>
          </w:tcPr>
          <w:p w14:paraId="1018F449" w14:textId="77777777" w:rsidR="00D0535D" w:rsidRPr="00C0001F" w:rsidRDefault="00D0535D">
            <w:pPr>
              <w:spacing w:after="0" w:line="240" w:lineRule="auto"/>
              <w:jc w:val="center"/>
              <w:rPr>
                <w:rFonts w:asciiTheme="majorHAnsi" w:eastAsia="Times New Roman" w:hAnsiTheme="majorHAnsi" w:cs="Calibri"/>
                <w:b/>
                <w:bCs/>
                <w:color w:val="000000"/>
                <w:sz w:val="16"/>
                <w:szCs w:val="16"/>
                <w:lang w:eastAsia="en-AU"/>
              </w:rPr>
            </w:pPr>
            <w:r w:rsidRPr="00C0001F">
              <w:rPr>
                <w:rFonts w:asciiTheme="majorHAnsi" w:eastAsia="Times New Roman" w:hAnsiTheme="majorHAnsi" w:cs="Calibri"/>
                <w:b/>
                <w:bCs/>
                <w:color w:val="000000"/>
                <w:sz w:val="16"/>
                <w:szCs w:val="16"/>
                <w:lang w:eastAsia="en-AU"/>
              </w:rPr>
              <w:t>High scenario</w:t>
            </w:r>
          </w:p>
        </w:tc>
      </w:tr>
      <w:tr w:rsidR="00E1075F" w:rsidRPr="00E774CF" w14:paraId="3EABC475" w14:textId="77777777" w:rsidTr="00B55607">
        <w:trPr>
          <w:gridAfter w:val="1"/>
          <w:wAfter w:w="57" w:type="pct"/>
          <w:trHeight w:val="76"/>
        </w:trPr>
        <w:tc>
          <w:tcPr>
            <w:tcW w:w="1125" w:type="pct"/>
            <w:vMerge/>
            <w:hideMark/>
          </w:tcPr>
          <w:p w14:paraId="0FDF5404" w14:textId="77777777" w:rsidR="00D0535D" w:rsidRPr="00C0001F" w:rsidRDefault="00D0535D">
            <w:pPr>
              <w:spacing w:after="0" w:line="240" w:lineRule="auto"/>
              <w:rPr>
                <w:rFonts w:asciiTheme="majorHAnsi" w:eastAsia="Times New Roman" w:hAnsiTheme="majorHAnsi" w:cs="Calibri"/>
                <w:b/>
                <w:bCs/>
                <w:color w:val="000000"/>
                <w:sz w:val="16"/>
                <w:szCs w:val="16"/>
                <w:lang w:eastAsia="en-AU"/>
              </w:rPr>
            </w:pPr>
          </w:p>
        </w:tc>
        <w:tc>
          <w:tcPr>
            <w:tcW w:w="2049" w:type="pct"/>
            <w:gridSpan w:val="3"/>
            <w:tcBorders>
              <w:top w:val="single" w:sz="4" w:space="0" w:color="000000" w:themeColor="text1"/>
              <w:right w:val="single" w:sz="4" w:space="0" w:color="auto"/>
            </w:tcBorders>
            <w:hideMark/>
          </w:tcPr>
          <w:p w14:paraId="05A6C997" w14:textId="77777777" w:rsidR="00D0535D" w:rsidRPr="00C0001F" w:rsidRDefault="00D0535D">
            <w:pPr>
              <w:spacing w:after="0" w:line="240" w:lineRule="auto"/>
              <w:jc w:val="center"/>
              <w:rPr>
                <w:rFonts w:asciiTheme="majorHAnsi" w:eastAsia="Times New Roman" w:hAnsiTheme="majorHAnsi" w:cs="Calibri"/>
                <w:color w:val="000000"/>
                <w:sz w:val="16"/>
                <w:szCs w:val="16"/>
                <w:lang w:eastAsia="en-AU"/>
              </w:rPr>
            </w:pPr>
            <w:r w:rsidRPr="00C0001F">
              <w:rPr>
                <w:rFonts w:asciiTheme="majorHAnsi" w:eastAsia="Times New Roman" w:hAnsiTheme="majorHAnsi" w:cs="Calibri"/>
                <w:color w:val="000000"/>
                <w:sz w:val="16"/>
                <w:szCs w:val="16"/>
                <w:lang w:eastAsia="en-AU"/>
              </w:rPr>
              <w:t>Low impact developmental outcomes; Low labour supply response</w:t>
            </w:r>
          </w:p>
        </w:tc>
        <w:tc>
          <w:tcPr>
            <w:tcW w:w="1768" w:type="pct"/>
            <w:gridSpan w:val="3"/>
            <w:tcBorders>
              <w:left w:val="single" w:sz="4" w:space="0" w:color="auto"/>
            </w:tcBorders>
            <w:hideMark/>
          </w:tcPr>
          <w:p w14:paraId="6A9058CE" w14:textId="77777777" w:rsidR="00D0535D" w:rsidRPr="00C0001F" w:rsidRDefault="00D0535D">
            <w:pPr>
              <w:spacing w:after="0" w:line="240" w:lineRule="auto"/>
              <w:jc w:val="center"/>
              <w:rPr>
                <w:rFonts w:asciiTheme="majorHAnsi" w:eastAsia="Times New Roman" w:hAnsiTheme="majorHAnsi" w:cs="Calibri"/>
                <w:color w:val="000000"/>
                <w:sz w:val="16"/>
                <w:szCs w:val="16"/>
                <w:lang w:eastAsia="en-AU"/>
              </w:rPr>
            </w:pPr>
            <w:r w:rsidRPr="00C0001F">
              <w:rPr>
                <w:rFonts w:asciiTheme="majorHAnsi" w:eastAsia="Times New Roman" w:hAnsiTheme="majorHAnsi" w:cs="Calibri"/>
                <w:color w:val="000000"/>
                <w:sz w:val="16"/>
                <w:szCs w:val="16"/>
                <w:lang w:eastAsia="en-AU"/>
              </w:rPr>
              <w:t>High impact developmental outcomes; High labour supply response</w:t>
            </w:r>
          </w:p>
        </w:tc>
      </w:tr>
      <w:tr w:rsidR="00B55607" w:rsidRPr="00E774CF" w14:paraId="3408D3DA" w14:textId="77777777" w:rsidTr="00B55607">
        <w:trPr>
          <w:trHeight w:val="39"/>
        </w:trPr>
        <w:tc>
          <w:tcPr>
            <w:tcW w:w="1125" w:type="pct"/>
            <w:hideMark/>
          </w:tcPr>
          <w:p w14:paraId="5E9C8C60" w14:textId="77777777" w:rsidR="00D0535D" w:rsidRPr="00C0001F" w:rsidRDefault="00D0535D">
            <w:pPr>
              <w:spacing w:after="0" w:line="240" w:lineRule="auto"/>
              <w:rPr>
                <w:rFonts w:asciiTheme="majorHAnsi" w:eastAsia="Times New Roman" w:hAnsiTheme="majorHAnsi" w:cs="Calibri"/>
                <w:color w:val="000000"/>
                <w:sz w:val="16"/>
                <w:szCs w:val="16"/>
                <w:lang w:eastAsia="en-AU"/>
              </w:rPr>
            </w:pPr>
            <w:r w:rsidRPr="00C0001F">
              <w:rPr>
                <w:rFonts w:asciiTheme="majorHAnsi" w:eastAsia="Times New Roman" w:hAnsiTheme="majorHAnsi" w:cs="Calibri"/>
                <w:color w:val="000000"/>
                <w:sz w:val="16"/>
                <w:szCs w:val="16"/>
                <w:lang w:eastAsia="en-AU"/>
              </w:rPr>
              <w:t> </w:t>
            </w:r>
          </w:p>
        </w:tc>
        <w:tc>
          <w:tcPr>
            <w:tcW w:w="608" w:type="pct"/>
            <w:vAlign w:val="center"/>
            <w:hideMark/>
          </w:tcPr>
          <w:p w14:paraId="36C230D8" w14:textId="69788ABE" w:rsidR="00D0535D" w:rsidRPr="00EB3261" w:rsidRDefault="004E7A81">
            <w:pPr>
              <w:spacing w:after="0" w:line="240" w:lineRule="auto"/>
              <w:jc w:val="right"/>
              <w:rPr>
                <w:rFonts w:asciiTheme="majorHAnsi" w:eastAsia="Times New Roman" w:hAnsiTheme="majorHAnsi" w:cs="Calibri"/>
                <w:b/>
                <w:bCs/>
                <w:color w:val="000000"/>
                <w:sz w:val="16"/>
                <w:szCs w:val="16"/>
                <w:lang w:eastAsia="en-AU"/>
              </w:rPr>
            </w:pPr>
            <w:r w:rsidRPr="00EB3261">
              <w:rPr>
                <w:rFonts w:asciiTheme="majorHAnsi" w:hAnsiTheme="majorHAnsi"/>
                <w:b/>
                <w:sz w:val="16"/>
                <w:szCs w:val="16"/>
              </w:rPr>
              <w:t>Annual avg</w:t>
            </w:r>
            <w:r w:rsidR="00D0535D" w:rsidRPr="00EB3261">
              <w:rPr>
                <w:rFonts w:asciiTheme="majorHAnsi" w:hAnsiTheme="majorHAnsi"/>
                <w:b/>
                <w:sz w:val="16"/>
                <w:szCs w:val="16"/>
              </w:rPr>
              <w:t xml:space="preserve"> to </w:t>
            </w:r>
            <w:r w:rsidRPr="00EB3261">
              <w:rPr>
                <w:rFonts w:asciiTheme="majorHAnsi" w:hAnsiTheme="majorHAnsi"/>
                <w:b/>
                <w:sz w:val="16"/>
                <w:szCs w:val="16"/>
              </w:rPr>
              <w:br/>
            </w:r>
            <w:r w:rsidR="00F72C21" w:rsidRPr="00EB3261">
              <w:rPr>
                <w:rFonts w:asciiTheme="majorHAnsi" w:hAnsiTheme="majorHAnsi"/>
                <w:b/>
                <w:sz w:val="16"/>
                <w:szCs w:val="16"/>
              </w:rPr>
              <w:t>206</w:t>
            </w:r>
            <w:r w:rsidR="002941F2" w:rsidRPr="00EB3261">
              <w:rPr>
                <w:rFonts w:asciiTheme="majorHAnsi" w:hAnsiTheme="majorHAnsi"/>
                <w:b/>
                <w:sz w:val="16"/>
                <w:szCs w:val="16"/>
              </w:rPr>
              <w:t>5</w:t>
            </w:r>
            <w:r w:rsidR="00F72C21" w:rsidRPr="00EB3261">
              <w:rPr>
                <w:rFonts w:asciiTheme="majorHAnsi" w:hAnsiTheme="majorHAnsi"/>
                <w:b/>
                <w:sz w:val="16"/>
                <w:szCs w:val="16"/>
              </w:rPr>
              <w:t>-6</w:t>
            </w:r>
            <w:r w:rsidR="002941F2" w:rsidRPr="00EB3261">
              <w:rPr>
                <w:rFonts w:asciiTheme="majorHAnsi" w:hAnsiTheme="majorHAnsi"/>
                <w:b/>
                <w:sz w:val="16"/>
                <w:szCs w:val="16"/>
              </w:rPr>
              <w:t>6</w:t>
            </w:r>
          </w:p>
        </w:tc>
        <w:tc>
          <w:tcPr>
            <w:tcW w:w="576" w:type="pct"/>
            <w:vAlign w:val="center"/>
            <w:hideMark/>
          </w:tcPr>
          <w:p w14:paraId="52D88C82" w14:textId="5FB4EA84" w:rsidR="00D0535D" w:rsidRPr="00EB3261" w:rsidRDefault="00F72C21">
            <w:pPr>
              <w:spacing w:after="0" w:line="240" w:lineRule="auto"/>
              <w:jc w:val="right"/>
              <w:rPr>
                <w:rFonts w:asciiTheme="majorHAnsi" w:eastAsia="Times New Roman" w:hAnsiTheme="majorHAnsi" w:cs="Calibri"/>
                <w:b/>
                <w:bCs/>
                <w:color w:val="000000"/>
                <w:sz w:val="16"/>
                <w:szCs w:val="16"/>
                <w:lang w:eastAsia="en-AU"/>
              </w:rPr>
            </w:pPr>
            <w:r w:rsidRPr="00EB3261">
              <w:rPr>
                <w:rFonts w:asciiTheme="majorHAnsi" w:eastAsia="Times New Roman" w:hAnsiTheme="majorHAnsi" w:cs="Calibri"/>
                <w:b/>
                <w:bCs/>
                <w:color w:val="000000"/>
                <w:sz w:val="16"/>
                <w:szCs w:val="16"/>
                <w:lang w:eastAsia="en-AU"/>
              </w:rPr>
              <w:t>203</w:t>
            </w:r>
            <w:r w:rsidR="002941F2" w:rsidRPr="00EB3261">
              <w:rPr>
                <w:rFonts w:asciiTheme="majorHAnsi" w:eastAsia="Times New Roman" w:hAnsiTheme="majorHAnsi" w:cs="Calibri"/>
                <w:b/>
                <w:bCs/>
                <w:color w:val="000000"/>
                <w:sz w:val="16"/>
                <w:szCs w:val="16"/>
                <w:lang w:eastAsia="en-AU"/>
              </w:rPr>
              <w:t>5</w:t>
            </w:r>
            <w:r w:rsidRPr="00EB3261">
              <w:rPr>
                <w:rFonts w:asciiTheme="majorHAnsi" w:eastAsia="Times New Roman" w:hAnsiTheme="majorHAnsi" w:cs="Calibri"/>
                <w:b/>
                <w:bCs/>
                <w:color w:val="000000"/>
                <w:sz w:val="16"/>
                <w:szCs w:val="16"/>
                <w:lang w:eastAsia="en-AU"/>
              </w:rPr>
              <w:t>-3</w:t>
            </w:r>
            <w:r w:rsidR="002941F2" w:rsidRPr="00EB3261">
              <w:rPr>
                <w:rFonts w:asciiTheme="majorHAnsi" w:eastAsia="Times New Roman" w:hAnsiTheme="majorHAnsi" w:cs="Calibri"/>
                <w:b/>
                <w:bCs/>
                <w:color w:val="000000"/>
                <w:sz w:val="16"/>
                <w:szCs w:val="16"/>
                <w:lang w:eastAsia="en-AU"/>
              </w:rPr>
              <w:t>6</w:t>
            </w:r>
          </w:p>
        </w:tc>
        <w:tc>
          <w:tcPr>
            <w:tcW w:w="865" w:type="pct"/>
            <w:tcBorders>
              <w:top w:val="single" w:sz="4" w:space="0" w:color="000000" w:themeColor="text1"/>
              <w:right w:val="single" w:sz="4" w:space="0" w:color="auto"/>
            </w:tcBorders>
            <w:vAlign w:val="center"/>
            <w:hideMark/>
          </w:tcPr>
          <w:p w14:paraId="5893405A" w14:textId="1A910AB9" w:rsidR="00D0535D" w:rsidRPr="00EB3261" w:rsidRDefault="00F72C21">
            <w:pPr>
              <w:spacing w:after="0" w:line="240" w:lineRule="auto"/>
              <w:jc w:val="right"/>
              <w:rPr>
                <w:rFonts w:asciiTheme="majorHAnsi" w:eastAsia="Times New Roman" w:hAnsiTheme="majorHAnsi" w:cs="Calibri"/>
                <w:b/>
                <w:bCs/>
                <w:color w:val="000000"/>
                <w:sz w:val="16"/>
                <w:szCs w:val="16"/>
                <w:lang w:eastAsia="en-AU"/>
              </w:rPr>
            </w:pPr>
            <w:r w:rsidRPr="00EB3261">
              <w:rPr>
                <w:rFonts w:asciiTheme="majorHAnsi" w:eastAsia="Times New Roman" w:hAnsiTheme="majorHAnsi" w:cs="Calibri"/>
                <w:b/>
                <w:bCs/>
                <w:color w:val="000000"/>
                <w:sz w:val="16"/>
                <w:szCs w:val="16"/>
                <w:lang w:eastAsia="en-AU"/>
              </w:rPr>
              <w:t>206</w:t>
            </w:r>
            <w:r w:rsidR="002941F2" w:rsidRPr="00EB3261">
              <w:rPr>
                <w:rFonts w:asciiTheme="majorHAnsi" w:eastAsia="Times New Roman" w:hAnsiTheme="majorHAnsi" w:cs="Calibri"/>
                <w:b/>
                <w:bCs/>
                <w:color w:val="000000"/>
                <w:sz w:val="16"/>
                <w:szCs w:val="16"/>
                <w:lang w:eastAsia="en-AU"/>
              </w:rPr>
              <w:t>5</w:t>
            </w:r>
            <w:r w:rsidRPr="00EB3261">
              <w:rPr>
                <w:rFonts w:asciiTheme="majorHAnsi" w:eastAsia="Times New Roman" w:hAnsiTheme="majorHAnsi" w:cs="Calibri"/>
                <w:b/>
                <w:bCs/>
                <w:color w:val="000000"/>
                <w:sz w:val="16"/>
                <w:szCs w:val="16"/>
                <w:lang w:eastAsia="en-AU"/>
              </w:rPr>
              <w:t>-6</w:t>
            </w:r>
            <w:r w:rsidR="002941F2" w:rsidRPr="00EB3261">
              <w:rPr>
                <w:rFonts w:asciiTheme="majorHAnsi" w:eastAsia="Times New Roman" w:hAnsiTheme="majorHAnsi" w:cs="Calibri"/>
                <w:b/>
                <w:bCs/>
                <w:color w:val="000000"/>
                <w:sz w:val="16"/>
                <w:szCs w:val="16"/>
                <w:lang w:eastAsia="en-AU"/>
              </w:rPr>
              <w:t>6</w:t>
            </w:r>
          </w:p>
        </w:tc>
        <w:tc>
          <w:tcPr>
            <w:tcW w:w="608" w:type="pct"/>
            <w:tcBorders>
              <w:left w:val="single" w:sz="4" w:space="0" w:color="auto"/>
            </w:tcBorders>
            <w:vAlign w:val="center"/>
            <w:hideMark/>
          </w:tcPr>
          <w:p w14:paraId="24189078" w14:textId="5EBC85C5" w:rsidR="00D0535D" w:rsidRPr="00EB3261" w:rsidRDefault="004E7A81">
            <w:pPr>
              <w:spacing w:after="0" w:line="240" w:lineRule="auto"/>
              <w:jc w:val="right"/>
              <w:rPr>
                <w:rFonts w:asciiTheme="majorHAnsi" w:eastAsia="Times New Roman" w:hAnsiTheme="majorHAnsi" w:cs="Calibri"/>
                <w:b/>
                <w:bCs/>
                <w:color w:val="000000"/>
                <w:sz w:val="16"/>
                <w:szCs w:val="16"/>
                <w:lang w:eastAsia="en-AU"/>
              </w:rPr>
            </w:pPr>
            <w:r w:rsidRPr="00EB3261">
              <w:rPr>
                <w:rFonts w:asciiTheme="majorHAnsi" w:hAnsiTheme="majorHAnsi"/>
                <w:b/>
                <w:sz w:val="16"/>
                <w:szCs w:val="16"/>
              </w:rPr>
              <w:t>Annual avg</w:t>
            </w:r>
            <w:r w:rsidR="00D0535D" w:rsidRPr="00EB3261">
              <w:rPr>
                <w:rFonts w:asciiTheme="majorHAnsi" w:hAnsiTheme="majorHAnsi"/>
                <w:b/>
                <w:sz w:val="16"/>
                <w:szCs w:val="16"/>
              </w:rPr>
              <w:t xml:space="preserve"> to </w:t>
            </w:r>
            <w:r w:rsidRPr="00EB3261">
              <w:rPr>
                <w:rFonts w:asciiTheme="majorHAnsi" w:hAnsiTheme="majorHAnsi"/>
                <w:b/>
                <w:sz w:val="16"/>
                <w:szCs w:val="16"/>
              </w:rPr>
              <w:br/>
            </w:r>
            <w:r w:rsidR="00F72C21" w:rsidRPr="00EB3261">
              <w:rPr>
                <w:rFonts w:asciiTheme="majorHAnsi" w:hAnsiTheme="majorHAnsi"/>
                <w:b/>
                <w:sz w:val="16"/>
                <w:szCs w:val="16"/>
              </w:rPr>
              <w:t>206</w:t>
            </w:r>
            <w:r w:rsidR="002941F2" w:rsidRPr="00EB3261">
              <w:rPr>
                <w:rFonts w:asciiTheme="majorHAnsi" w:hAnsiTheme="majorHAnsi"/>
                <w:b/>
                <w:sz w:val="16"/>
                <w:szCs w:val="16"/>
              </w:rPr>
              <w:t>5</w:t>
            </w:r>
            <w:r w:rsidR="00F72C21" w:rsidRPr="00EB3261">
              <w:rPr>
                <w:rFonts w:asciiTheme="majorHAnsi" w:hAnsiTheme="majorHAnsi"/>
                <w:b/>
                <w:sz w:val="16"/>
                <w:szCs w:val="16"/>
              </w:rPr>
              <w:t>-6</w:t>
            </w:r>
            <w:r w:rsidR="002941F2" w:rsidRPr="00EB3261">
              <w:rPr>
                <w:rFonts w:asciiTheme="majorHAnsi" w:hAnsiTheme="majorHAnsi"/>
                <w:b/>
                <w:sz w:val="16"/>
                <w:szCs w:val="16"/>
              </w:rPr>
              <w:t>6</w:t>
            </w:r>
          </w:p>
        </w:tc>
        <w:tc>
          <w:tcPr>
            <w:tcW w:w="608" w:type="pct"/>
            <w:vAlign w:val="center"/>
            <w:hideMark/>
          </w:tcPr>
          <w:p w14:paraId="5D6B01EA" w14:textId="651042A7" w:rsidR="00D0535D" w:rsidRPr="00EB3261" w:rsidRDefault="00F72C21">
            <w:pPr>
              <w:spacing w:after="0" w:line="240" w:lineRule="auto"/>
              <w:jc w:val="right"/>
              <w:rPr>
                <w:rFonts w:asciiTheme="majorHAnsi" w:eastAsia="Times New Roman" w:hAnsiTheme="majorHAnsi" w:cs="Calibri"/>
                <w:b/>
                <w:bCs/>
                <w:color w:val="000000"/>
                <w:sz w:val="16"/>
                <w:szCs w:val="16"/>
                <w:lang w:eastAsia="en-AU"/>
              </w:rPr>
            </w:pPr>
            <w:r w:rsidRPr="00EB3261">
              <w:rPr>
                <w:rFonts w:asciiTheme="majorHAnsi" w:eastAsia="Times New Roman" w:hAnsiTheme="majorHAnsi" w:cs="Calibri"/>
                <w:b/>
                <w:bCs/>
                <w:color w:val="000000"/>
                <w:sz w:val="16"/>
                <w:szCs w:val="16"/>
                <w:lang w:eastAsia="en-AU"/>
              </w:rPr>
              <w:t>203</w:t>
            </w:r>
            <w:r w:rsidR="002941F2" w:rsidRPr="00EB3261">
              <w:rPr>
                <w:rFonts w:asciiTheme="majorHAnsi" w:eastAsia="Times New Roman" w:hAnsiTheme="majorHAnsi" w:cs="Calibri"/>
                <w:b/>
                <w:bCs/>
                <w:color w:val="000000"/>
                <w:sz w:val="16"/>
                <w:szCs w:val="16"/>
                <w:lang w:eastAsia="en-AU"/>
              </w:rPr>
              <w:t>5</w:t>
            </w:r>
            <w:r w:rsidRPr="00EB3261">
              <w:rPr>
                <w:rFonts w:asciiTheme="majorHAnsi" w:eastAsia="Times New Roman" w:hAnsiTheme="majorHAnsi" w:cs="Calibri"/>
                <w:b/>
                <w:bCs/>
                <w:color w:val="000000"/>
                <w:sz w:val="16"/>
                <w:szCs w:val="16"/>
                <w:lang w:eastAsia="en-AU"/>
              </w:rPr>
              <w:t>-</w:t>
            </w:r>
            <w:r w:rsidR="002941F2" w:rsidRPr="00EB3261">
              <w:rPr>
                <w:rFonts w:asciiTheme="majorHAnsi" w:eastAsia="Times New Roman" w:hAnsiTheme="majorHAnsi" w:cs="Calibri"/>
                <w:b/>
                <w:bCs/>
                <w:color w:val="000000"/>
                <w:sz w:val="16"/>
                <w:szCs w:val="16"/>
                <w:lang w:eastAsia="en-AU"/>
              </w:rPr>
              <w:t>36</w:t>
            </w:r>
          </w:p>
        </w:tc>
        <w:tc>
          <w:tcPr>
            <w:tcW w:w="609" w:type="pct"/>
            <w:gridSpan w:val="2"/>
            <w:vAlign w:val="center"/>
            <w:hideMark/>
          </w:tcPr>
          <w:p w14:paraId="6D35624B" w14:textId="33DD9E1E" w:rsidR="00D0535D" w:rsidRPr="00EB3261" w:rsidRDefault="00F72C21">
            <w:pPr>
              <w:spacing w:after="0" w:line="240" w:lineRule="auto"/>
              <w:jc w:val="right"/>
              <w:rPr>
                <w:rFonts w:asciiTheme="majorHAnsi" w:eastAsia="Times New Roman" w:hAnsiTheme="majorHAnsi" w:cs="Calibri"/>
                <w:b/>
                <w:bCs/>
                <w:color w:val="000000"/>
                <w:sz w:val="16"/>
                <w:szCs w:val="16"/>
                <w:lang w:eastAsia="en-AU"/>
              </w:rPr>
            </w:pPr>
            <w:r w:rsidRPr="00EB3261">
              <w:rPr>
                <w:rFonts w:asciiTheme="majorHAnsi" w:eastAsia="Times New Roman" w:hAnsiTheme="majorHAnsi" w:cs="Calibri"/>
                <w:b/>
                <w:bCs/>
                <w:color w:val="000000"/>
                <w:sz w:val="16"/>
                <w:szCs w:val="16"/>
                <w:lang w:eastAsia="en-AU"/>
              </w:rPr>
              <w:t>206</w:t>
            </w:r>
            <w:r w:rsidR="002941F2" w:rsidRPr="00EB3261">
              <w:rPr>
                <w:rFonts w:asciiTheme="majorHAnsi" w:eastAsia="Times New Roman" w:hAnsiTheme="majorHAnsi" w:cs="Calibri"/>
                <w:b/>
                <w:bCs/>
                <w:color w:val="000000"/>
                <w:sz w:val="16"/>
                <w:szCs w:val="16"/>
                <w:lang w:eastAsia="en-AU"/>
              </w:rPr>
              <w:t>5</w:t>
            </w:r>
            <w:r w:rsidRPr="00EB3261">
              <w:rPr>
                <w:rFonts w:asciiTheme="majorHAnsi" w:eastAsia="Times New Roman" w:hAnsiTheme="majorHAnsi" w:cs="Calibri"/>
                <w:b/>
                <w:bCs/>
                <w:color w:val="000000"/>
                <w:sz w:val="16"/>
                <w:szCs w:val="16"/>
                <w:lang w:eastAsia="en-AU"/>
              </w:rPr>
              <w:t>-6</w:t>
            </w:r>
            <w:r w:rsidR="002941F2" w:rsidRPr="00EB3261">
              <w:rPr>
                <w:rFonts w:asciiTheme="majorHAnsi" w:eastAsia="Times New Roman" w:hAnsiTheme="majorHAnsi" w:cs="Calibri"/>
                <w:b/>
                <w:bCs/>
                <w:color w:val="000000"/>
                <w:sz w:val="16"/>
                <w:szCs w:val="16"/>
                <w:lang w:eastAsia="en-AU"/>
              </w:rPr>
              <w:t>6</w:t>
            </w:r>
          </w:p>
        </w:tc>
      </w:tr>
      <w:tr w:rsidR="00D0535D" w:rsidRPr="00E774CF" w14:paraId="0871A24A" w14:textId="77777777" w:rsidTr="00EB3261">
        <w:trPr>
          <w:gridAfter w:val="1"/>
          <w:wAfter w:w="57" w:type="pct"/>
          <w:trHeight w:val="39"/>
        </w:trPr>
        <w:tc>
          <w:tcPr>
            <w:tcW w:w="4943" w:type="pct"/>
            <w:gridSpan w:val="7"/>
            <w:shd w:val="clear" w:color="auto" w:fill="F2F2F2" w:themeFill="background1" w:themeFillShade="F2"/>
            <w:hideMark/>
          </w:tcPr>
          <w:p w14:paraId="51B42EBB" w14:textId="77777777" w:rsidR="00D0535D" w:rsidRPr="00C0001F" w:rsidRDefault="00D0535D" w:rsidP="00C64671">
            <w:pPr>
              <w:spacing w:after="0" w:line="240" w:lineRule="auto"/>
              <w:ind w:left="0"/>
              <w:rPr>
                <w:rFonts w:asciiTheme="majorHAnsi" w:eastAsia="Times New Roman" w:hAnsiTheme="majorHAnsi" w:cs="Calibri"/>
                <w:b/>
                <w:bCs/>
                <w:color w:val="000000"/>
                <w:sz w:val="16"/>
                <w:szCs w:val="16"/>
                <w:lang w:eastAsia="en-AU"/>
              </w:rPr>
            </w:pPr>
            <w:r w:rsidRPr="00C0001F">
              <w:rPr>
                <w:rFonts w:asciiTheme="majorHAnsi" w:eastAsia="Times New Roman" w:hAnsiTheme="majorHAnsi" w:cs="Calibri"/>
                <w:b/>
                <w:bCs/>
                <w:color w:val="000000"/>
                <w:sz w:val="16"/>
                <w:szCs w:val="16"/>
                <w:lang w:eastAsia="en-AU"/>
              </w:rPr>
              <w:t>Additional enrolments</w:t>
            </w:r>
          </w:p>
        </w:tc>
      </w:tr>
      <w:tr w:rsidR="00B55607" w:rsidRPr="002D259B" w14:paraId="0448EE30" w14:textId="77777777" w:rsidTr="00B55607">
        <w:trPr>
          <w:trHeight w:val="39"/>
        </w:trPr>
        <w:tc>
          <w:tcPr>
            <w:tcW w:w="1125" w:type="pct"/>
            <w:hideMark/>
          </w:tcPr>
          <w:p w14:paraId="0A6BA902" w14:textId="77777777" w:rsidR="00D0535D" w:rsidRPr="00C0001F" w:rsidRDefault="00D0535D" w:rsidP="00EB3261">
            <w:pPr>
              <w:spacing w:after="0" w:line="240" w:lineRule="auto"/>
              <w:ind w:left="0" w:right="0"/>
              <w:rPr>
                <w:rFonts w:asciiTheme="majorHAnsi" w:eastAsia="Times New Roman" w:hAnsiTheme="majorHAnsi" w:cs="Calibri"/>
                <w:color w:val="000000"/>
                <w:sz w:val="16"/>
                <w:szCs w:val="16"/>
                <w:lang w:eastAsia="en-AU"/>
              </w:rPr>
            </w:pPr>
            <w:r w:rsidRPr="00C0001F">
              <w:rPr>
                <w:rFonts w:asciiTheme="majorHAnsi" w:eastAsia="Times New Roman" w:hAnsiTheme="majorHAnsi" w:cs="Calibri"/>
                <w:color w:val="000000"/>
                <w:sz w:val="16"/>
                <w:szCs w:val="16"/>
                <w:lang w:eastAsia="en-AU"/>
              </w:rPr>
              <w:t>Additional Kinder equivalent enrolments (</w:t>
            </w:r>
            <w:proofErr w:type="gramStart"/>
            <w:r w:rsidRPr="00C0001F">
              <w:rPr>
                <w:rFonts w:asciiTheme="majorHAnsi" w:eastAsia="Times New Roman" w:hAnsiTheme="majorHAnsi" w:cs="Calibri"/>
                <w:color w:val="000000"/>
                <w:sz w:val="16"/>
                <w:szCs w:val="16"/>
                <w:lang w:eastAsia="en-AU"/>
              </w:rPr>
              <w:t>0-5 year olds</w:t>
            </w:r>
            <w:proofErr w:type="gramEnd"/>
            <w:r w:rsidRPr="00C0001F">
              <w:rPr>
                <w:rFonts w:asciiTheme="majorHAnsi" w:eastAsia="Times New Roman" w:hAnsiTheme="majorHAnsi" w:cs="Calibri"/>
                <w:color w:val="000000"/>
                <w:sz w:val="16"/>
                <w:szCs w:val="16"/>
                <w:lang w:eastAsia="en-AU"/>
              </w:rPr>
              <w:t>)</w:t>
            </w:r>
          </w:p>
        </w:tc>
        <w:tc>
          <w:tcPr>
            <w:tcW w:w="608" w:type="pct"/>
            <w:vAlign w:val="center"/>
            <w:hideMark/>
          </w:tcPr>
          <w:p w14:paraId="5F3F6713" w14:textId="12B50EE1" w:rsidR="00D0535D" w:rsidRPr="00C0001F" w:rsidRDefault="00E774CF" w:rsidP="00C64671">
            <w:pPr>
              <w:spacing w:after="0" w:line="240" w:lineRule="auto"/>
              <w:jc w:val="right"/>
              <w:rPr>
                <w:rFonts w:asciiTheme="majorHAnsi" w:eastAsia="Times New Roman" w:hAnsiTheme="majorHAnsi" w:cs="Calibri"/>
                <w:color w:val="000000"/>
                <w:sz w:val="16"/>
                <w:szCs w:val="16"/>
                <w:lang w:eastAsia="en-AU"/>
              </w:rPr>
            </w:pPr>
            <w:r w:rsidRPr="00E774CF">
              <w:rPr>
                <w:rFonts w:asciiTheme="majorHAnsi" w:eastAsia="Times New Roman" w:hAnsiTheme="majorHAnsi" w:cs="Calibri"/>
                <w:color w:val="000000"/>
                <w:sz w:val="16"/>
                <w:szCs w:val="16"/>
                <w:lang w:eastAsia="en-AU"/>
              </w:rPr>
              <w:t>n/a</w:t>
            </w:r>
          </w:p>
        </w:tc>
        <w:tc>
          <w:tcPr>
            <w:tcW w:w="576" w:type="pct"/>
            <w:vAlign w:val="center"/>
            <w:hideMark/>
          </w:tcPr>
          <w:p w14:paraId="1E622A55" w14:textId="397589A1" w:rsidR="00D0535D" w:rsidRPr="00B13370" w:rsidRDefault="00B13370">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73</w:t>
            </w:r>
            <w:r w:rsidR="00D0535D" w:rsidRPr="00EB3261">
              <w:rPr>
                <w:rFonts w:asciiTheme="majorHAnsi" w:eastAsia="Times New Roman" w:hAnsiTheme="majorHAnsi" w:cs="Calibri"/>
                <w:color w:val="000000"/>
                <w:sz w:val="16"/>
                <w:szCs w:val="16"/>
                <w:lang w:eastAsia="en-AU"/>
              </w:rPr>
              <w:t>,</w:t>
            </w:r>
            <w:r w:rsidRPr="00EB3261">
              <w:rPr>
                <w:rFonts w:asciiTheme="majorHAnsi" w:eastAsia="Times New Roman" w:hAnsiTheme="majorHAnsi" w:cs="Calibri"/>
                <w:color w:val="000000"/>
                <w:sz w:val="16"/>
                <w:szCs w:val="16"/>
                <w:lang w:eastAsia="en-AU"/>
              </w:rPr>
              <w:t>2</w:t>
            </w:r>
            <w:r w:rsidR="00D0535D" w:rsidRPr="00EB3261">
              <w:rPr>
                <w:rFonts w:asciiTheme="majorHAnsi" w:eastAsia="Times New Roman" w:hAnsiTheme="majorHAnsi" w:cs="Calibri"/>
                <w:color w:val="000000"/>
                <w:sz w:val="16"/>
                <w:szCs w:val="16"/>
                <w:lang w:eastAsia="en-AU"/>
              </w:rPr>
              <w:t>00</w:t>
            </w:r>
          </w:p>
        </w:tc>
        <w:tc>
          <w:tcPr>
            <w:tcW w:w="865" w:type="pct"/>
            <w:tcBorders>
              <w:top w:val="single" w:sz="4" w:space="0" w:color="000000" w:themeColor="text1"/>
              <w:right w:val="single" w:sz="4" w:space="0" w:color="auto"/>
            </w:tcBorders>
            <w:vAlign w:val="center"/>
            <w:hideMark/>
          </w:tcPr>
          <w:p w14:paraId="36FEBDF8" w14:textId="6D2DBEBA" w:rsidR="00D0535D" w:rsidRPr="00B13370" w:rsidRDefault="00D0535D">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9</w:t>
            </w:r>
            <w:r w:rsidR="00B13370" w:rsidRPr="00EB3261">
              <w:rPr>
                <w:rFonts w:asciiTheme="majorHAnsi" w:eastAsia="Times New Roman" w:hAnsiTheme="majorHAnsi" w:cs="Calibri"/>
                <w:color w:val="000000"/>
                <w:sz w:val="16"/>
                <w:szCs w:val="16"/>
                <w:lang w:eastAsia="en-AU"/>
              </w:rPr>
              <w:t>7</w:t>
            </w:r>
            <w:r w:rsidRPr="00EB3261">
              <w:rPr>
                <w:rFonts w:asciiTheme="majorHAnsi" w:eastAsia="Times New Roman" w:hAnsiTheme="majorHAnsi" w:cs="Calibri"/>
                <w:color w:val="000000"/>
                <w:sz w:val="16"/>
                <w:szCs w:val="16"/>
                <w:lang w:eastAsia="en-AU"/>
              </w:rPr>
              <w:t>,000</w:t>
            </w:r>
          </w:p>
        </w:tc>
        <w:tc>
          <w:tcPr>
            <w:tcW w:w="608" w:type="pct"/>
            <w:tcBorders>
              <w:left w:val="single" w:sz="4" w:space="0" w:color="auto"/>
            </w:tcBorders>
            <w:vAlign w:val="center"/>
            <w:hideMark/>
          </w:tcPr>
          <w:p w14:paraId="65CAAAAF" w14:textId="35803024" w:rsidR="00D0535D" w:rsidRPr="00B13370" w:rsidRDefault="00E774CF">
            <w:pPr>
              <w:spacing w:after="0" w:line="240" w:lineRule="auto"/>
              <w:jc w:val="right"/>
              <w:rPr>
                <w:rFonts w:asciiTheme="majorHAnsi" w:eastAsia="Times New Roman" w:hAnsiTheme="majorHAnsi" w:cs="Calibri"/>
                <w:color w:val="000000"/>
                <w:sz w:val="16"/>
                <w:szCs w:val="16"/>
                <w:lang w:eastAsia="en-AU"/>
              </w:rPr>
            </w:pPr>
            <w:r w:rsidRPr="00B13370">
              <w:rPr>
                <w:rFonts w:asciiTheme="majorHAnsi" w:eastAsia="Times New Roman" w:hAnsiTheme="majorHAnsi" w:cs="Calibri"/>
                <w:color w:val="000000"/>
                <w:sz w:val="16"/>
                <w:szCs w:val="16"/>
                <w:lang w:eastAsia="en-AU"/>
              </w:rPr>
              <w:t>n/a</w:t>
            </w:r>
          </w:p>
        </w:tc>
        <w:tc>
          <w:tcPr>
            <w:tcW w:w="608" w:type="pct"/>
            <w:vAlign w:val="center"/>
            <w:hideMark/>
          </w:tcPr>
          <w:p w14:paraId="2B02E261" w14:textId="46797ADA" w:rsidR="00D0535D" w:rsidRPr="00B13370" w:rsidRDefault="00B13370">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73</w:t>
            </w:r>
            <w:r w:rsidR="00D0535D" w:rsidRPr="00EB3261">
              <w:rPr>
                <w:rFonts w:asciiTheme="majorHAnsi" w:eastAsia="Times New Roman" w:hAnsiTheme="majorHAnsi" w:cs="Calibri"/>
                <w:color w:val="000000"/>
                <w:sz w:val="16"/>
                <w:szCs w:val="16"/>
                <w:lang w:eastAsia="en-AU"/>
              </w:rPr>
              <w:t>,</w:t>
            </w:r>
            <w:r w:rsidRPr="00EB3261">
              <w:rPr>
                <w:rFonts w:asciiTheme="majorHAnsi" w:eastAsia="Times New Roman" w:hAnsiTheme="majorHAnsi" w:cs="Calibri"/>
                <w:color w:val="000000"/>
                <w:sz w:val="16"/>
                <w:szCs w:val="16"/>
                <w:lang w:eastAsia="en-AU"/>
              </w:rPr>
              <w:t>2</w:t>
            </w:r>
            <w:r w:rsidR="00D0535D" w:rsidRPr="00EB3261">
              <w:rPr>
                <w:rFonts w:asciiTheme="majorHAnsi" w:eastAsia="Times New Roman" w:hAnsiTheme="majorHAnsi" w:cs="Calibri"/>
                <w:color w:val="000000"/>
                <w:sz w:val="16"/>
                <w:szCs w:val="16"/>
                <w:lang w:eastAsia="en-AU"/>
              </w:rPr>
              <w:t>00</w:t>
            </w:r>
          </w:p>
        </w:tc>
        <w:tc>
          <w:tcPr>
            <w:tcW w:w="609" w:type="pct"/>
            <w:gridSpan w:val="2"/>
            <w:vAlign w:val="center"/>
            <w:hideMark/>
          </w:tcPr>
          <w:p w14:paraId="28B35ECF" w14:textId="3D6AD65C" w:rsidR="00D0535D" w:rsidRPr="00B13370" w:rsidRDefault="00D0535D">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9</w:t>
            </w:r>
            <w:r w:rsidR="00B13370" w:rsidRPr="00EB3261">
              <w:rPr>
                <w:rFonts w:asciiTheme="majorHAnsi" w:eastAsia="Times New Roman" w:hAnsiTheme="majorHAnsi" w:cs="Calibri"/>
                <w:color w:val="000000"/>
                <w:sz w:val="16"/>
                <w:szCs w:val="16"/>
                <w:lang w:eastAsia="en-AU"/>
              </w:rPr>
              <w:t>7</w:t>
            </w:r>
            <w:r w:rsidRPr="00EB3261">
              <w:rPr>
                <w:rFonts w:asciiTheme="majorHAnsi" w:eastAsia="Times New Roman" w:hAnsiTheme="majorHAnsi" w:cs="Calibri"/>
                <w:color w:val="000000"/>
                <w:sz w:val="16"/>
                <w:szCs w:val="16"/>
                <w:lang w:eastAsia="en-AU"/>
              </w:rPr>
              <w:t>,000</w:t>
            </w:r>
          </w:p>
        </w:tc>
      </w:tr>
      <w:tr w:rsidR="00B55607" w:rsidRPr="002D259B" w14:paraId="2C039761" w14:textId="77777777" w:rsidTr="00B55607">
        <w:trPr>
          <w:trHeight w:val="39"/>
        </w:trPr>
        <w:tc>
          <w:tcPr>
            <w:tcW w:w="1125" w:type="pct"/>
            <w:hideMark/>
          </w:tcPr>
          <w:p w14:paraId="7CE669BF" w14:textId="77777777" w:rsidR="00D0535D" w:rsidRPr="00C0001F" w:rsidRDefault="00D0535D" w:rsidP="00EB3261">
            <w:pPr>
              <w:spacing w:after="0" w:line="240" w:lineRule="auto"/>
              <w:ind w:left="0" w:right="0"/>
              <w:rPr>
                <w:rFonts w:asciiTheme="majorHAnsi" w:eastAsia="Times New Roman" w:hAnsiTheme="majorHAnsi" w:cs="Calibri"/>
                <w:color w:val="000000"/>
                <w:sz w:val="16"/>
                <w:szCs w:val="16"/>
                <w:lang w:eastAsia="en-AU"/>
              </w:rPr>
            </w:pPr>
            <w:r w:rsidRPr="00C0001F">
              <w:rPr>
                <w:rFonts w:asciiTheme="majorHAnsi" w:eastAsia="Times New Roman" w:hAnsiTheme="majorHAnsi" w:cs="Calibri"/>
                <w:color w:val="000000"/>
                <w:sz w:val="16"/>
                <w:szCs w:val="16"/>
                <w:lang w:eastAsia="en-AU"/>
              </w:rPr>
              <w:t>Additional ECEC enrolments (</w:t>
            </w:r>
            <w:proofErr w:type="gramStart"/>
            <w:r w:rsidRPr="00C0001F">
              <w:rPr>
                <w:rFonts w:asciiTheme="majorHAnsi" w:eastAsia="Times New Roman" w:hAnsiTheme="majorHAnsi" w:cs="Calibri"/>
                <w:color w:val="000000"/>
                <w:sz w:val="16"/>
                <w:szCs w:val="16"/>
                <w:lang w:eastAsia="en-AU"/>
              </w:rPr>
              <w:t>0-5 year olds</w:t>
            </w:r>
            <w:proofErr w:type="gramEnd"/>
            <w:r w:rsidRPr="00C0001F">
              <w:rPr>
                <w:rFonts w:asciiTheme="majorHAnsi" w:eastAsia="Times New Roman" w:hAnsiTheme="majorHAnsi" w:cs="Calibri"/>
                <w:color w:val="000000"/>
                <w:sz w:val="16"/>
                <w:szCs w:val="16"/>
                <w:lang w:eastAsia="en-AU"/>
              </w:rPr>
              <w:t>)</w:t>
            </w:r>
          </w:p>
        </w:tc>
        <w:tc>
          <w:tcPr>
            <w:tcW w:w="608" w:type="pct"/>
            <w:vAlign w:val="center"/>
            <w:hideMark/>
          </w:tcPr>
          <w:p w14:paraId="2E73BB13" w14:textId="5AF8DCC7" w:rsidR="00D0535D" w:rsidRPr="00C0001F" w:rsidRDefault="00E774CF" w:rsidP="00C64671">
            <w:pPr>
              <w:spacing w:after="0" w:line="240" w:lineRule="auto"/>
              <w:jc w:val="right"/>
              <w:rPr>
                <w:rFonts w:asciiTheme="majorHAnsi" w:eastAsia="Times New Roman" w:hAnsiTheme="majorHAnsi" w:cs="Calibri"/>
                <w:color w:val="000000"/>
                <w:sz w:val="16"/>
                <w:szCs w:val="16"/>
                <w:lang w:eastAsia="en-AU"/>
              </w:rPr>
            </w:pPr>
            <w:r w:rsidRPr="00E774CF">
              <w:rPr>
                <w:rFonts w:asciiTheme="majorHAnsi" w:eastAsia="Times New Roman" w:hAnsiTheme="majorHAnsi" w:cs="Calibri"/>
                <w:color w:val="000000"/>
                <w:sz w:val="16"/>
                <w:szCs w:val="16"/>
                <w:lang w:eastAsia="en-AU"/>
              </w:rPr>
              <w:t>n/a</w:t>
            </w:r>
          </w:p>
        </w:tc>
        <w:tc>
          <w:tcPr>
            <w:tcW w:w="576" w:type="pct"/>
            <w:vAlign w:val="center"/>
            <w:hideMark/>
          </w:tcPr>
          <w:p w14:paraId="28DC96F4" w14:textId="2BB64EED" w:rsidR="00D0535D" w:rsidRPr="00B13370" w:rsidRDefault="00D0535D">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4</w:t>
            </w:r>
            <w:r w:rsidR="00B13370" w:rsidRPr="00EB3261">
              <w:rPr>
                <w:rFonts w:asciiTheme="majorHAnsi" w:eastAsia="Times New Roman" w:hAnsiTheme="majorHAnsi" w:cs="Calibri"/>
                <w:color w:val="000000"/>
                <w:sz w:val="16"/>
                <w:szCs w:val="16"/>
                <w:lang w:eastAsia="en-AU"/>
              </w:rPr>
              <w:t>7</w:t>
            </w:r>
            <w:r w:rsidRPr="00EB3261">
              <w:rPr>
                <w:rFonts w:asciiTheme="majorHAnsi" w:eastAsia="Times New Roman" w:hAnsiTheme="majorHAnsi" w:cs="Calibri"/>
                <w:color w:val="000000"/>
                <w:sz w:val="16"/>
                <w:szCs w:val="16"/>
                <w:lang w:eastAsia="en-AU"/>
              </w:rPr>
              <w:t>,</w:t>
            </w:r>
            <w:r w:rsidR="00B13370" w:rsidRPr="00EB3261">
              <w:rPr>
                <w:rFonts w:asciiTheme="majorHAnsi" w:eastAsia="Times New Roman" w:hAnsiTheme="majorHAnsi" w:cs="Calibri"/>
                <w:color w:val="000000"/>
                <w:sz w:val="16"/>
                <w:szCs w:val="16"/>
                <w:lang w:eastAsia="en-AU"/>
              </w:rPr>
              <w:t>8</w:t>
            </w:r>
            <w:r w:rsidRPr="00EB3261">
              <w:rPr>
                <w:rFonts w:asciiTheme="majorHAnsi" w:eastAsia="Times New Roman" w:hAnsiTheme="majorHAnsi" w:cs="Calibri"/>
                <w:color w:val="000000"/>
                <w:sz w:val="16"/>
                <w:szCs w:val="16"/>
                <w:lang w:eastAsia="en-AU"/>
              </w:rPr>
              <w:t>00</w:t>
            </w:r>
          </w:p>
        </w:tc>
        <w:tc>
          <w:tcPr>
            <w:tcW w:w="865" w:type="pct"/>
            <w:tcBorders>
              <w:top w:val="single" w:sz="4" w:space="0" w:color="000000" w:themeColor="text1"/>
              <w:right w:val="single" w:sz="4" w:space="0" w:color="auto"/>
            </w:tcBorders>
            <w:vAlign w:val="center"/>
            <w:hideMark/>
          </w:tcPr>
          <w:p w14:paraId="3197DA52" w14:textId="14B54A2F" w:rsidR="00D0535D" w:rsidRPr="00B13370" w:rsidRDefault="00D0535D">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6</w:t>
            </w:r>
            <w:r w:rsidR="00B13370" w:rsidRPr="00EB3261">
              <w:rPr>
                <w:rFonts w:asciiTheme="majorHAnsi" w:eastAsia="Times New Roman" w:hAnsiTheme="majorHAnsi" w:cs="Calibri"/>
                <w:color w:val="000000"/>
                <w:sz w:val="16"/>
                <w:szCs w:val="16"/>
                <w:lang w:eastAsia="en-AU"/>
              </w:rPr>
              <w:t>2,7</w:t>
            </w:r>
            <w:r w:rsidRPr="00EB3261">
              <w:rPr>
                <w:rFonts w:asciiTheme="majorHAnsi" w:eastAsia="Times New Roman" w:hAnsiTheme="majorHAnsi" w:cs="Calibri"/>
                <w:color w:val="000000"/>
                <w:sz w:val="16"/>
                <w:szCs w:val="16"/>
                <w:lang w:eastAsia="en-AU"/>
              </w:rPr>
              <w:t>00</w:t>
            </w:r>
          </w:p>
        </w:tc>
        <w:tc>
          <w:tcPr>
            <w:tcW w:w="608" w:type="pct"/>
            <w:tcBorders>
              <w:left w:val="single" w:sz="4" w:space="0" w:color="auto"/>
            </w:tcBorders>
            <w:vAlign w:val="center"/>
            <w:hideMark/>
          </w:tcPr>
          <w:p w14:paraId="299F40CD" w14:textId="19F22C5E" w:rsidR="00D0535D" w:rsidRPr="00B13370" w:rsidRDefault="00E774CF">
            <w:pPr>
              <w:spacing w:after="0" w:line="240" w:lineRule="auto"/>
              <w:jc w:val="right"/>
              <w:rPr>
                <w:rFonts w:asciiTheme="majorHAnsi" w:eastAsia="Times New Roman" w:hAnsiTheme="majorHAnsi" w:cs="Calibri"/>
                <w:color w:val="000000"/>
                <w:sz w:val="16"/>
                <w:szCs w:val="16"/>
                <w:lang w:eastAsia="en-AU"/>
              </w:rPr>
            </w:pPr>
            <w:r w:rsidRPr="00B13370">
              <w:rPr>
                <w:rFonts w:asciiTheme="majorHAnsi" w:eastAsia="Times New Roman" w:hAnsiTheme="majorHAnsi" w:cs="Calibri"/>
                <w:color w:val="000000"/>
                <w:sz w:val="16"/>
                <w:szCs w:val="16"/>
                <w:lang w:eastAsia="en-AU"/>
              </w:rPr>
              <w:t>n/a</w:t>
            </w:r>
          </w:p>
        </w:tc>
        <w:tc>
          <w:tcPr>
            <w:tcW w:w="608" w:type="pct"/>
            <w:vAlign w:val="center"/>
            <w:hideMark/>
          </w:tcPr>
          <w:p w14:paraId="5D85B71C" w14:textId="2E0283D6" w:rsidR="00D0535D" w:rsidRPr="00B13370" w:rsidRDefault="00D0535D">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4</w:t>
            </w:r>
            <w:r w:rsidR="00B13370" w:rsidRPr="00EB3261">
              <w:rPr>
                <w:rFonts w:asciiTheme="majorHAnsi" w:eastAsia="Times New Roman" w:hAnsiTheme="majorHAnsi" w:cs="Calibri"/>
                <w:color w:val="000000"/>
                <w:sz w:val="16"/>
                <w:szCs w:val="16"/>
                <w:lang w:eastAsia="en-AU"/>
              </w:rPr>
              <w:t>7</w:t>
            </w:r>
            <w:r w:rsidRPr="00EB3261">
              <w:rPr>
                <w:rFonts w:asciiTheme="majorHAnsi" w:eastAsia="Times New Roman" w:hAnsiTheme="majorHAnsi" w:cs="Calibri"/>
                <w:color w:val="000000"/>
                <w:sz w:val="16"/>
                <w:szCs w:val="16"/>
                <w:lang w:eastAsia="en-AU"/>
              </w:rPr>
              <w:t>,</w:t>
            </w:r>
            <w:r w:rsidR="00B13370" w:rsidRPr="00EB3261">
              <w:rPr>
                <w:rFonts w:asciiTheme="majorHAnsi" w:eastAsia="Times New Roman" w:hAnsiTheme="majorHAnsi" w:cs="Calibri"/>
                <w:color w:val="000000"/>
                <w:sz w:val="16"/>
                <w:szCs w:val="16"/>
                <w:lang w:eastAsia="en-AU"/>
              </w:rPr>
              <w:t>8</w:t>
            </w:r>
            <w:r w:rsidRPr="00EB3261">
              <w:rPr>
                <w:rFonts w:asciiTheme="majorHAnsi" w:eastAsia="Times New Roman" w:hAnsiTheme="majorHAnsi" w:cs="Calibri"/>
                <w:color w:val="000000"/>
                <w:sz w:val="16"/>
                <w:szCs w:val="16"/>
                <w:lang w:eastAsia="en-AU"/>
              </w:rPr>
              <w:t>00</w:t>
            </w:r>
          </w:p>
        </w:tc>
        <w:tc>
          <w:tcPr>
            <w:tcW w:w="609" w:type="pct"/>
            <w:gridSpan w:val="2"/>
            <w:vAlign w:val="center"/>
            <w:hideMark/>
          </w:tcPr>
          <w:p w14:paraId="6DCEA7AD" w14:textId="5D5F7BCA" w:rsidR="00D0535D" w:rsidRPr="00B13370" w:rsidRDefault="00D0535D">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6</w:t>
            </w:r>
            <w:r w:rsidR="00B13370" w:rsidRPr="00EB3261">
              <w:rPr>
                <w:rFonts w:asciiTheme="majorHAnsi" w:eastAsia="Times New Roman" w:hAnsiTheme="majorHAnsi" w:cs="Calibri"/>
                <w:color w:val="000000"/>
                <w:sz w:val="16"/>
                <w:szCs w:val="16"/>
                <w:lang w:eastAsia="en-AU"/>
              </w:rPr>
              <w:t>2</w:t>
            </w:r>
            <w:r w:rsidRPr="00EB3261">
              <w:rPr>
                <w:rFonts w:asciiTheme="majorHAnsi" w:eastAsia="Times New Roman" w:hAnsiTheme="majorHAnsi" w:cs="Calibri"/>
                <w:color w:val="000000"/>
                <w:sz w:val="16"/>
                <w:szCs w:val="16"/>
                <w:lang w:eastAsia="en-AU"/>
              </w:rPr>
              <w:t>,</w:t>
            </w:r>
            <w:r w:rsidR="00B13370" w:rsidRPr="00EB3261">
              <w:rPr>
                <w:rFonts w:asciiTheme="majorHAnsi" w:eastAsia="Times New Roman" w:hAnsiTheme="majorHAnsi" w:cs="Calibri"/>
                <w:color w:val="000000"/>
                <w:sz w:val="16"/>
                <w:szCs w:val="16"/>
                <w:lang w:eastAsia="en-AU"/>
              </w:rPr>
              <w:t>7</w:t>
            </w:r>
            <w:r w:rsidRPr="00EB3261">
              <w:rPr>
                <w:rFonts w:asciiTheme="majorHAnsi" w:eastAsia="Times New Roman" w:hAnsiTheme="majorHAnsi" w:cs="Calibri"/>
                <w:color w:val="000000"/>
                <w:sz w:val="16"/>
                <w:szCs w:val="16"/>
                <w:lang w:eastAsia="en-AU"/>
              </w:rPr>
              <w:t>00</w:t>
            </w:r>
          </w:p>
        </w:tc>
      </w:tr>
      <w:tr w:rsidR="00D0535D" w:rsidRPr="00E774CF" w14:paraId="5E278ECE" w14:textId="77777777" w:rsidTr="00EB3261">
        <w:trPr>
          <w:gridAfter w:val="1"/>
          <w:wAfter w:w="57" w:type="pct"/>
          <w:trHeight w:val="28"/>
        </w:trPr>
        <w:tc>
          <w:tcPr>
            <w:tcW w:w="4943" w:type="pct"/>
            <w:gridSpan w:val="7"/>
            <w:shd w:val="clear" w:color="auto" w:fill="F2F2F2" w:themeFill="background1" w:themeFillShade="F2"/>
            <w:hideMark/>
          </w:tcPr>
          <w:p w14:paraId="20D31DB6" w14:textId="77777777" w:rsidR="00D0535D" w:rsidRPr="00C0001F" w:rsidRDefault="00D0535D" w:rsidP="00EB3261">
            <w:pPr>
              <w:spacing w:after="0" w:line="240" w:lineRule="auto"/>
              <w:ind w:left="0" w:right="0"/>
              <w:rPr>
                <w:rFonts w:asciiTheme="majorHAnsi" w:eastAsia="Times New Roman" w:hAnsiTheme="majorHAnsi" w:cs="Calibri"/>
                <w:b/>
                <w:bCs/>
                <w:color w:val="000000"/>
                <w:sz w:val="16"/>
                <w:szCs w:val="16"/>
                <w:lang w:eastAsia="en-AU"/>
              </w:rPr>
            </w:pPr>
            <w:r w:rsidRPr="00C0001F">
              <w:rPr>
                <w:rFonts w:asciiTheme="majorHAnsi" w:eastAsia="Times New Roman" w:hAnsiTheme="majorHAnsi" w:cs="Calibri"/>
                <w:b/>
                <w:bCs/>
                <w:color w:val="000000"/>
                <w:sz w:val="16"/>
                <w:szCs w:val="16"/>
                <w:lang w:eastAsia="en-AU"/>
              </w:rPr>
              <w:t xml:space="preserve">Impacts on child developmental outcomes </w:t>
            </w:r>
          </w:p>
        </w:tc>
      </w:tr>
      <w:tr w:rsidR="00B55607" w:rsidRPr="002D259B" w14:paraId="3B58EF57" w14:textId="77777777" w:rsidTr="00B55607">
        <w:trPr>
          <w:trHeight w:val="39"/>
        </w:trPr>
        <w:tc>
          <w:tcPr>
            <w:tcW w:w="1125" w:type="pct"/>
            <w:hideMark/>
          </w:tcPr>
          <w:p w14:paraId="3078964E" w14:textId="77777777" w:rsidR="004948D7" w:rsidRDefault="00FA7B08" w:rsidP="002941F2">
            <w:pPr>
              <w:spacing w:after="0" w:line="240" w:lineRule="auto"/>
              <w:ind w:left="0" w:right="0"/>
              <w:rPr>
                <w:rFonts w:asciiTheme="majorHAnsi" w:eastAsia="Times New Roman" w:hAnsiTheme="majorHAnsi" w:cs="Calibri"/>
                <w:color w:val="000000"/>
                <w:sz w:val="16"/>
                <w:szCs w:val="16"/>
                <w:lang w:eastAsia="en-AU"/>
              </w:rPr>
            </w:pPr>
            <w:r>
              <w:rPr>
                <w:rFonts w:asciiTheme="majorHAnsi" w:eastAsia="Times New Roman" w:hAnsiTheme="majorHAnsi" w:cs="Calibri"/>
                <w:color w:val="000000"/>
                <w:sz w:val="16"/>
                <w:szCs w:val="16"/>
                <w:lang w:eastAsia="en-AU"/>
              </w:rPr>
              <w:t>Productivity b</w:t>
            </w:r>
            <w:r w:rsidR="00E774CF" w:rsidRPr="00E774CF">
              <w:rPr>
                <w:rFonts w:asciiTheme="majorHAnsi" w:eastAsia="Times New Roman" w:hAnsiTheme="majorHAnsi" w:cs="Calibri"/>
                <w:color w:val="000000"/>
                <w:sz w:val="16"/>
                <w:szCs w:val="16"/>
                <w:lang w:eastAsia="en-AU"/>
              </w:rPr>
              <w:t>enefit</w:t>
            </w:r>
            <w:r w:rsidR="00AB254F">
              <w:rPr>
                <w:rFonts w:asciiTheme="majorHAnsi" w:eastAsia="Times New Roman" w:hAnsiTheme="majorHAnsi" w:cs="Calibri"/>
                <w:color w:val="000000"/>
                <w:sz w:val="16"/>
                <w:szCs w:val="16"/>
                <w:lang w:eastAsia="en-AU"/>
              </w:rPr>
              <w:t xml:space="preserve"> </w:t>
            </w:r>
          </w:p>
          <w:p w14:paraId="2E9E5DD0" w14:textId="2AC3B161" w:rsidR="00D0535D" w:rsidRPr="00C0001F" w:rsidRDefault="00E774CF" w:rsidP="00EB3261">
            <w:pPr>
              <w:spacing w:after="0" w:line="240" w:lineRule="auto"/>
              <w:ind w:left="0" w:right="0"/>
              <w:rPr>
                <w:rFonts w:asciiTheme="majorHAnsi" w:eastAsia="Times New Roman" w:hAnsiTheme="majorHAnsi" w:cs="Calibri"/>
                <w:color w:val="000000"/>
                <w:sz w:val="16"/>
                <w:szCs w:val="16"/>
                <w:lang w:eastAsia="en-AU"/>
              </w:rPr>
            </w:pPr>
            <w:r w:rsidRPr="00E774CF">
              <w:rPr>
                <w:rFonts w:asciiTheme="majorHAnsi" w:eastAsia="Times New Roman" w:hAnsiTheme="majorHAnsi" w:cs="Calibri"/>
                <w:color w:val="000000"/>
                <w:sz w:val="16"/>
                <w:szCs w:val="16"/>
                <w:lang w:eastAsia="en-AU"/>
              </w:rPr>
              <w:t>($m, %)</w:t>
            </w:r>
          </w:p>
        </w:tc>
        <w:tc>
          <w:tcPr>
            <w:tcW w:w="608" w:type="pct"/>
            <w:vAlign w:val="center"/>
            <w:hideMark/>
          </w:tcPr>
          <w:p w14:paraId="0C81BA66" w14:textId="718037E7" w:rsidR="00D0535D" w:rsidRPr="00C0001F" w:rsidRDefault="00E774CF" w:rsidP="00C64671">
            <w:pPr>
              <w:spacing w:after="0" w:line="240" w:lineRule="auto"/>
              <w:jc w:val="right"/>
              <w:rPr>
                <w:rFonts w:asciiTheme="majorHAnsi" w:eastAsia="Times New Roman" w:hAnsiTheme="majorHAnsi" w:cs="Calibri"/>
                <w:color w:val="000000"/>
                <w:sz w:val="16"/>
                <w:szCs w:val="16"/>
                <w:lang w:eastAsia="en-AU"/>
              </w:rPr>
            </w:pPr>
            <w:r w:rsidRPr="00E774CF">
              <w:rPr>
                <w:rFonts w:asciiTheme="majorHAnsi" w:eastAsia="Times New Roman" w:hAnsiTheme="majorHAnsi" w:cs="Calibri"/>
                <w:color w:val="000000"/>
                <w:sz w:val="16"/>
                <w:szCs w:val="16"/>
                <w:lang w:eastAsia="en-AU"/>
              </w:rPr>
              <w:t>n/a</w:t>
            </w:r>
          </w:p>
        </w:tc>
        <w:tc>
          <w:tcPr>
            <w:tcW w:w="576" w:type="pct"/>
            <w:vAlign w:val="center"/>
            <w:hideMark/>
          </w:tcPr>
          <w:p w14:paraId="67D8999E" w14:textId="77777777" w:rsidR="00D0535D" w:rsidRPr="00D206E5" w:rsidRDefault="00D0535D">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 xml:space="preserve"> -   </w:t>
            </w:r>
          </w:p>
        </w:tc>
        <w:tc>
          <w:tcPr>
            <w:tcW w:w="865" w:type="pct"/>
            <w:tcBorders>
              <w:top w:val="single" w:sz="4" w:space="0" w:color="000000" w:themeColor="text1"/>
              <w:right w:val="single" w:sz="4" w:space="0" w:color="auto"/>
            </w:tcBorders>
            <w:vAlign w:val="center"/>
            <w:hideMark/>
          </w:tcPr>
          <w:p w14:paraId="7B8A35EF" w14:textId="5FEAF1C8" w:rsidR="00D0535D" w:rsidRPr="00D206E5" w:rsidRDefault="00D0535D">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 xml:space="preserve"> </w:t>
            </w:r>
            <w:r w:rsidR="001F0604">
              <w:rPr>
                <w:rFonts w:asciiTheme="majorHAnsi" w:eastAsia="Times New Roman" w:hAnsiTheme="majorHAnsi" w:cs="Calibri"/>
                <w:color w:val="000000"/>
                <w:sz w:val="16"/>
                <w:szCs w:val="16"/>
                <w:lang w:eastAsia="en-AU"/>
              </w:rPr>
              <w:t>800</w:t>
            </w:r>
            <w:r w:rsidR="00D206E5" w:rsidRPr="00EB3261">
              <w:rPr>
                <w:rFonts w:asciiTheme="majorHAnsi" w:eastAsia="Times New Roman" w:hAnsiTheme="majorHAnsi" w:cs="Calibri"/>
                <w:color w:val="000000"/>
                <w:sz w:val="16"/>
                <w:szCs w:val="16"/>
                <w:lang w:eastAsia="en-AU"/>
              </w:rPr>
              <w:t xml:space="preserve"> </w:t>
            </w:r>
            <w:r w:rsidRPr="00EB3261">
              <w:rPr>
                <w:rFonts w:asciiTheme="majorHAnsi" w:eastAsia="Times New Roman" w:hAnsiTheme="majorHAnsi" w:cs="Calibri"/>
                <w:color w:val="000000"/>
                <w:sz w:val="16"/>
                <w:szCs w:val="16"/>
                <w:lang w:eastAsia="en-AU"/>
              </w:rPr>
              <w:t xml:space="preserve">(0.13%) </w:t>
            </w:r>
          </w:p>
        </w:tc>
        <w:tc>
          <w:tcPr>
            <w:tcW w:w="608" w:type="pct"/>
            <w:tcBorders>
              <w:left w:val="single" w:sz="4" w:space="0" w:color="auto"/>
            </w:tcBorders>
            <w:vAlign w:val="center"/>
            <w:hideMark/>
          </w:tcPr>
          <w:p w14:paraId="0044157A" w14:textId="2A93260A" w:rsidR="00D0535D" w:rsidRPr="00D206E5" w:rsidRDefault="00E774CF">
            <w:pPr>
              <w:spacing w:after="0" w:line="240" w:lineRule="auto"/>
              <w:jc w:val="right"/>
              <w:rPr>
                <w:rFonts w:asciiTheme="majorHAnsi" w:eastAsia="Times New Roman" w:hAnsiTheme="majorHAnsi" w:cs="Calibri"/>
                <w:color w:val="000000"/>
                <w:sz w:val="16"/>
                <w:szCs w:val="16"/>
                <w:lang w:eastAsia="en-AU"/>
              </w:rPr>
            </w:pPr>
            <w:r w:rsidRPr="00D206E5">
              <w:rPr>
                <w:rFonts w:asciiTheme="majorHAnsi" w:eastAsia="Times New Roman" w:hAnsiTheme="majorHAnsi" w:cs="Calibri"/>
                <w:color w:val="000000"/>
                <w:sz w:val="16"/>
                <w:szCs w:val="16"/>
                <w:lang w:eastAsia="en-AU"/>
              </w:rPr>
              <w:t>n/a</w:t>
            </w:r>
          </w:p>
        </w:tc>
        <w:tc>
          <w:tcPr>
            <w:tcW w:w="608" w:type="pct"/>
            <w:vAlign w:val="center"/>
            <w:hideMark/>
          </w:tcPr>
          <w:p w14:paraId="4EF8A257" w14:textId="77777777" w:rsidR="00D0535D" w:rsidRPr="00D206E5" w:rsidRDefault="00D0535D">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 xml:space="preserve"> -   </w:t>
            </w:r>
          </w:p>
        </w:tc>
        <w:tc>
          <w:tcPr>
            <w:tcW w:w="609" w:type="pct"/>
            <w:gridSpan w:val="2"/>
            <w:vAlign w:val="center"/>
            <w:hideMark/>
          </w:tcPr>
          <w:p w14:paraId="3378C637" w14:textId="2DB81045" w:rsidR="00D0535D" w:rsidRPr="00D206E5" w:rsidRDefault="00D0535D">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 xml:space="preserve"> </w:t>
            </w:r>
            <w:r w:rsidR="00D206E5" w:rsidRPr="00EB3261">
              <w:rPr>
                <w:rFonts w:asciiTheme="majorHAnsi" w:eastAsia="Times New Roman" w:hAnsiTheme="majorHAnsi" w:cs="Calibri"/>
                <w:color w:val="000000"/>
                <w:sz w:val="16"/>
                <w:szCs w:val="16"/>
                <w:lang w:eastAsia="en-AU"/>
              </w:rPr>
              <w:t>1,</w:t>
            </w:r>
            <w:r w:rsidR="001F0604">
              <w:rPr>
                <w:rFonts w:asciiTheme="majorHAnsi" w:eastAsia="Times New Roman" w:hAnsiTheme="majorHAnsi" w:cs="Calibri"/>
                <w:color w:val="000000"/>
                <w:sz w:val="16"/>
                <w:szCs w:val="16"/>
                <w:lang w:eastAsia="en-AU"/>
              </w:rPr>
              <w:t>13</w:t>
            </w:r>
            <w:r w:rsidR="00D206E5" w:rsidRPr="00EB3261">
              <w:rPr>
                <w:rFonts w:asciiTheme="majorHAnsi" w:eastAsia="Times New Roman" w:hAnsiTheme="majorHAnsi" w:cs="Calibri"/>
                <w:color w:val="000000"/>
                <w:sz w:val="16"/>
                <w:szCs w:val="16"/>
                <w:lang w:eastAsia="en-AU"/>
              </w:rPr>
              <w:t xml:space="preserve">0 </w:t>
            </w:r>
            <w:r w:rsidRPr="00EB3261">
              <w:rPr>
                <w:rFonts w:asciiTheme="majorHAnsi" w:eastAsia="Times New Roman" w:hAnsiTheme="majorHAnsi" w:cs="Calibri"/>
                <w:color w:val="000000"/>
                <w:sz w:val="16"/>
                <w:szCs w:val="16"/>
                <w:lang w:eastAsia="en-AU"/>
              </w:rPr>
              <w:t>(0.1</w:t>
            </w:r>
            <w:r w:rsidR="00D206E5" w:rsidRPr="00EB3261">
              <w:rPr>
                <w:rFonts w:asciiTheme="majorHAnsi" w:eastAsia="Times New Roman" w:hAnsiTheme="majorHAnsi" w:cs="Calibri"/>
                <w:color w:val="000000"/>
                <w:sz w:val="16"/>
                <w:szCs w:val="16"/>
                <w:lang w:eastAsia="en-AU"/>
              </w:rPr>
              <w:t>8</w:t>
            </w:r>
            <w:r w:rsidRPr="00EB3261">
              <w:rPr>
                <w:rFonts w:asciiTheme="majorHAnsi" w:eastAsia="Times New Roman" w:hAnsiTheme="majorHAnsi" w:cs="Calibri"/>
                <w:color w:val="000000"/>
                <w:sz w:val="16"/>
                <w:szCs w:val="16"/>
                <w:lang w:eastAsia="en-AU"/>
              </w:rPr>
              <w:t xml:space="preserve">%) </w:t>
            </w:r>
          </w:p>
        </w:tc>
      </w:tr>
      <w:tr w:rsidR="00B55607" w:rsidRPr="002D259B" w14:paraId="21A22614" w14:textId="77777777" w:rsidTr="00B55607">
        <w:trPr>
          <w:trHeight w:val="39"/>
        </w:trPr>
        <w:tc>
          <w:tcPr>
            <w:tcW w:w="1125" w:type="pct"/>
            <w:hideMark/>
          </w:tcPr>
          <w:p w14:paraId="3569C7AE" w14:textId="59AFAB73" w:rsidR="004948D7" w:rsidRDefault="00D0535D" w:rsidP="00EB3261">
            <w:pPr>
              <w:spacing w:after="0" w:line="240" w:lineRule="auto"/>
              <w:ind w:left="0" w:right="0"/>
              <w:rPr>
                <w:rFonts w:asciiTheme="majorHAnsi" w:eastAsia="Times New Roman" w:hAnsiTheme="majorHAnsi" w:cs="Calibri"/>
                <w:color w:val="000000"/>
                <w:sz w:val="16"/>
                <w:szCs w:val="16"/>
                <w:lang w:eastAsia="en-AU"/>
              </w:rPr>
            </w:pPr>
            <w:r w:rsidRPr="00C0001F">
              <w:rPr>
                <w:rFonts w:asciiTheme="majorHAnsi" w:eastAsia="Times New Roman" w:hAnsiTheme="majorHAnsi" w:cs="Calibri"/>
                <w:color w:val="000000"/>
                <w:sz w:val="16"/>
                <w:szCs w:val="16"/>
                <w:lang w:eastAsia="en-AU"/>
              </w:rPr>
              <w:t xml:space="preserve">Additional </w:t>
            </w:r>
            <w:r w:rsidR="004948D7">
              <w:rPr>
                <w:rFonts w:asciiTheme="majorHAnsi" w:eastAsia="Times New Roman" w:hAnsiTheme="majorHAnsi" w:cs="Calibri"/>
                <w:color w:val="000000"/>
                <w:sz w:val="16"/>
                <w:szCs w:val="16"/>
                <w:lang w:eastAsia="en-AU"/>
              </w:rPr>
              <w:t>workers</w:t>
            </w:r>
          </w:p>
          <w:p w14:paraId="5DE2C1C2" w14:textId="2662BFEE" w:rsidR="00D0535D" w:rsidRPr="00C0001F" w:rsidRDefault="00D0535D" w:rsidP="00EB3261">
            <w:pPr>
              <w:spacing w:after="0" w:line="240" w:lineRule="auto"/>
              <w:ind w:left="0" w:right="0"/>
              <w:rPr>
                <w:rFonts w:asciiTheme="majorHAnsi" w:eastAsia="Times New Roman" w:hAnsiTheme="majorHAnsi" w:cs="Calibri"/>
                <w:color w:val="000000"/>
                <w:sz w:val="16"/>
                <w:szCs w:val="16"/>
                <w:lang w:eastAsia="en-AU"/>
              </w:rPr>
            </w:pPr>
            <w:r w:rsidRPr="00C0001F">
              <w:rPr>
                <w:rFonts w:asciiTheme="majorHAnsi" w:eastAsia="Times New Roman" w:hAnsiTheme="majorHAnsi" w:cs="Calibri"/>
                <w:color w:val="000000"/>
                <w:sz w:val="16"/>
                <w:szCs w:val="16"/>
                <w:lang w:eastAsia="en-AU"/>
              </w:rPr>
              <w:t xml:space="preserve">(FTE </w:t>
            </w:r>
            <w:proofErr w:type="spellStart"/>
            <w:r w:rsidRPr="00C0001F">
              <w:rPr>
                <w:rFonts w:asciiTheme="majorHAnsi" w:eastAsia="Times New Roman" w:hAnsiTheme="majorHAnsi" w:cs="Calibri"/>
                <w:color w:val="000000"/>
                <w:sz w:val="16"/>
                <w:szCs w:val="16"/>
                <w:lang w:eastAsia="en-AU"/>
              </w:rPr>
              <w:t>equiv</w:t>
            </w:r>
            <w:proofErr w:type="spellEnd"/>
            <w:r w:rsidRPr="00C0001F">
              <w:rPr>
                <w:rFonts w:asciiTheme="majorHAnsi" w:eastAsia="Times New Roman" w:hAnsiTheme="majorHAnsi" w:cs="Calibri"/>
                <w:color w:val="000000"/>
                <w:sz w:val="16"/>
                <w:szCs w:val="16"/>
                <w:lang w:eastAsia="en-AU"/>
              </w:rPr>
              <w:t>)</w:t>
            </w:r>
          </w:p>
        </w:tc>
        <w:tc>
          <w:tcPr>
            <w:tcW w:w="608" w:type="pct"/>
            <w:vAlign w:val="center"/>
            <w:hideMark/>
          </w:tcPr>
          <w:p w14:paraId="5F30118E" w14:textId="5EED97EB" w:rsidR="00D0535D" w:rsidRPr="00C0001F" w:rsidRDefault="00E774CF" w:rsidP="00C64671">
            <w:pPr>
              <w:spacing w:after="0" w:line="240" w:lineRule="auto"/>
              <w:jc w:val="right"/>
              <w:rPr>
                <w:rFonts w:asciiTheme="majorHAnsi" w:eastAsia="Times New Roman" w:hAnsiTheme="majorHAnsi" w:cs="Calibri"/>
                <w:color w:val="000000"/>
                <w:sz w:val="16"/>
                <w:szCs w:val="16"/>
                <w:lang w:eastAsia="en-AU"/>
              </w:rPr>
            </w:pPr>
            <w:r w:rsidRPr="00E774CF">
              <w:rPr>
                <w:rFonts w:asciiTheme="majorHAnsi" w:eastAsia="Times New Roman" w:hAnsiTheme="majorHAnsi" w:cs="Calibri"/>
                <w:color w:val="000000"/>
                <w:sz w:val="16"/>
                <w:szCs w:val="16"/>
                <w:lang w:eastAsia="en-AU"/>
              </w:rPr>
              <w:t>n/a</w:t>
            </w:r>
          </w:p>
        </w:tc>
        <w:tc>
          <w:tcPr>
            <w:tcW w:w="576" w:type="pct"/>
            <w:vAlign w:val="center"/>
            <w:hideMark/>
          </w:tcPr>
          <w:p w14:paraId="521E6BDF" w14:textId="77777777" w:rsidR="00D0535D" w:rsidRPr="00EF303B" w:rsidRDefault="00D0535D">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 xml:space="preserve"> -   </w:t>
            </w:r>
          </w:p>
        </w:tc>
        <w:tc>
          <w:tcPr>
            <w:tcW w:w="865" w:type="pct"/>
            <w:tcBorders>
              <w:top w:val="single" w:sz="4" w:space="0" w:color="000000" w:themeColor="text1"/>
              <w:right w:val="single" w:sz="4" w:space="0" w:color="auto"/>
            </w:tcBorders>
            <w:vAlign w:val="center"/>
            <w:hideMark/>
          </w:tcPr>
          <w:p w14:paraId="741D2A71" w14:textId="1D1095F5" w:rsidR="00D0535D" w:rsidRPr="00EF303B" w:rsidRDefault="00EF303B">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5</w:t>
            </w:r>
            <w:r w:rsidR="00D0535D" w:rsidRPr="00EB3261">
              <w:rPr>
                <w:rFonts w:asciiTheme="majorHAnsi" w:eastAsia="Times New Roman" w:hAnsiTheme="majorHAnsi" w:cs="Calibri"/>
                <w:color w:val="000000"/>
                <w:sz w:val="16"/>
                <w:szCs w:val="16"/>
                <w:lang w:eastAsia="en-AU"/>
              </w:rPr>
              <w:t>,</w:t>
            </w:r>
            <w:r w:rsidRPr="00EB3261">
              <w:rPr>
                <w:rFonts w:asciiTheme="majorHAnsi" w:eastAsia="Times New Roman" w:hAnsiTheme="majorHAnsi" w:cs="Calibri"/>
                <w:color w:val="000000"/>
                <w:sz w:val="16"/>
                <w:szCs w:val="16"/>
                <w:lang w:eastAsia="en-AU"/>
              </w:rPr>
              <w:t>3</w:t>
            </w:r>
            <w:r w:rsidR="00D0535D" w:rsidRPr="00EB3261">
              <w:rPr>
                <w:rFonts w:asciiTheme="majorHAnsi" w:eastAsia="Times New Roman" w:hAnsiTheme="majorHAnsi" w:cs="Calibri"/>
                <w:color w:val="000000"/>
                <w:sz w:val="16"/>
                <w:szCs w:val="16"/>
                <w:lang w:eastAsia="en-AU"/>
              </w:rPr>
              <w:t>00</w:t>
            </w:r>
          </w:p>
        </w:tc>
        <w:tc>
          <w:tcPr>
            <w:tcW w:w="608" w:type="pct"/>
            <w:tcBorders>
              <w:left w:val="single" w:sz="4" w:space="0" w:color="auto"/>
            </w:tcBorders>
            <w:vAlign w:val="center"/>
            <w:hideMark/>
          </w:tcPr>
          <w:p w14:paraId="1DF2287D" w14:textId="7ADA41DC" w:rsidR="00D0535D" w:rsidRPr="00EF303B" w:rsidRDefault="00E774CF">
            <w:pPr>
              <w:spacing w:after="0" w:line="240" w:lineRule="auto"/>
              <w:jc w:val="right"/>
              <w:rPr>
                <w:rFonts w:asciiTheme="majorHAnsi" w:eastAsia="Times New Roman" w:hAnsiTheme="majorHAnsi" w:cs="Calibri"/>
                <w:color w:val="000000"/>
                <w:sz w:val="16"/>
                <w:szCs w:val="16"/>
                <w:lang w:eastAsia="en-AU"/>
              </w:rPr>
            </w:pPr>
            <w:r w:rsidRPr="00EF303B">
              <w:rPr>
                <w:rFonts w:asciiTheme="majorHAnsi" w:eastAsia="Times New Roman" w:hAnsiTheme="majorHAnsi" w:cs="Calibri"/>
                <w:color w:val="000000"/>
                <w:sz w:val="16"/>
                <w:szCs w:val="16"/>
                <w:lang w:eastAsia="en-AU"/>
              </w:rPr>
              <w:t>n/a</w:t>
            </w:r>
          </w:p>
        </w:tc>
        <w:tc>
          <w:tcPr>
            <w:tcW w:w="608" w:type="pct"/>
            <w:vAlign w:val="center"/>
            <w:hideMark/>
          </w:tcPr>
          <w:p w14:paraId="6E080B90" w14:textId="77777777" w:rsidR="00D0535D" w:rsidRPr="00EF303B" w:rsidRDefault="00D0535D">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 xml:space="preserve"> -   </w:t>
            </w:r>
          </w:p>
        </w:tc>
        <w:tc>
          <w:tcPr>
            <w:tcW w:w="609" w:type="pct"/>
            <w:gridSpan w:val="2"/>
            <w:vAlign w:val="center"/>
            <w:hideMark/>
          </w:tcPr>
          <w:p w14:paraId="45B09071" w14:textId="0CC38023" w:rsidR="00D0535D" w:rsidRPr="00EF303B" w:rsidRDefault="00D0535D">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7,</w:t>
            </w:r>
            <w:r w:rsidR="00625D25">
              <w:rPr>
                <w:rFonts w:asciiTheme="majorHAnsi" w:eastAsia="Times New Roman" w:hAnsiTheme="majorHAnsi" w:cs="Calibri"/>
                <w:color w:val="000000"/>
                <w:sz w:val="16"/>
                <w:szCs w:val="16"/>
                <w:lang w:eastAsia="en-AU"/>
              </w:rPr>
              <w:t>5</w:t>
            </w:r>
            <w:r w:rsidRPr="00EB3261">
              <w:rPr>
                <w:rFonts w:asciiTheme="majorHAnsi" w:eastAsia="Times New Roman" w:hAnsiTheme="majorHAnsi" w:cs="Calibri"/>
                <w:color w:val="000000"/>
                <w:sz w:val="16"/>
                <w:szCs w:val="16"/>
                <w:lang w:eastAsia="en-AU"/>
              </w:rPr>
              <w:t>00</w:t>
            </w:r>
          </w:p>
        </w:tc>
      </w:tr>
      <w:tr w:rsidR="00B55607" w:rsidRPr="002D259B" w14:paraId="5D1EC83B" w14:textId="77777777" w:rsidTr="00B55607">
        <w:trPr>
          <w:trHeight w:val="39"/>
        </w:trPr>
        <w:tc>
          <w:tcPr>
            <w:tcW w:w="1125" w:type="pct"/>
            <w:hideMark/>
          </w:tcPr>
          <w:p w14:paraId="649B9DBD" w14:textId="77777777" w:rsidR="00D0535D" w:rsidRPr="00C0001F" w:rsidRDefault="00D0535D" w:rsidP="00EB3261">
            <w:pPr>
              <w:spacing w:after="0" w:line="240" w:lineRule="auto"/>
              <w:ind w:left="0" w:right="0"/>
              <w:rPr>
                <w:rFonts w:asciiTheme="majorHAnsi" w:eastAsia="Times New Roman" w:hAnsiTheme="majorHAnsi" w:cs="Calibri"/>
                <w:color w:val="000000"/>
                <w:sz w:val="16"/>
                <w:szCs w:val="16"/>
                <w:lang w:eastAsia="en-AU"/>
              </w:rPr>
            </w:pPr>
            <w:r w:rsidRPr="00C0001F">
              <w:rPr>
                <w:rFonts w:asciiTheme="majorHAnsi" w:eastAsia="Times New Roman" w:hAnsiTheme="majorHAnsi" w:cs="Calibri"/>
                <w:color w:val="000000"/>
                <w:sz w:val="16"/>
                <w:szCs w:val="16"/>
                <w:lang w:eastAsia="en-AU"/>
              </w:rPr>
              <w:t>Broader social benefits ($m)</w:t>
            </w:r>
          </w:p>
        </w:tc>
        <w:tc>
          <w:tcPr>
            <w:tcW w:w="608" w:type="pct"/>
            <w:vAlign w:val="center"/>
            <w:hideMark/>
          </w:tcPr>
          <w:p w14:paraId="40FF38A5" w14:textId="5BEA0E14" w:rsidR="00D0535D" w:rsidRPr="00C0001F" w:rsidRDefault="00E774CF" w:rsidP="00C64671">
            <w:pPr>
              <w:spacing w:after="0" w:line="240" w:lineRule="auto"/>
              <w:jc w:val="right"/>
              <w:rPr>
                <w:rFonts w:asciiTheme="majorHAnsi" w:eastAsia="Times New Roman" w:hAnsiTheme="majorHAnsi" w:cs="Calibri"/>
                <w:color w:val="000000"/>
                <w:sz w:val="16"/>
                <w:szCs w:val="16"/>
                <w:lang w:eastAsia="en-AU"/>
              </w:rPr>
            </w:pPr>
            <w:r w:rsidRPr="00E774CF">
              <w:rPr>
                <w:rFonts w:asciiTheme="majorHAnsi" w:eastAsia="Times New Roman" w:hAnsiTheme="majorHAnsi" w:cs="Calibri"/>
                <w:color w:val="000000"/>
                <w:sz w:val="16"/>
                <w:szCs w:val="16"/>
                <w:lang w:eastAsia="en-AU"/>
              </w:rPr>
              <w:t>n/a</w:t>
            </w:r>
          </w:p>
        </w:tc>
        <w:tc>
          <w:tcPr>
            <w:tcW w:w="576" w:type="pct"/>
            <w:vAlign w:val="center"/>
            <w:hideMark/>
          </w:tcPr>
          <w:p w14:paraId="1A2CFBBE" w14:textId="77777777" w:rsidR="00D0535D" w:rsidRPr="00BC13AE" w:rsidRDefault="00D0535D">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w:t>
            </w:r>
          </w:p>
        </w:tc>
        <w:tc>
          <w:tcPr>
            <w:tcW w:w="865" w:type="pct"/>
            <w:tcBorders>
              <w:top w:val="single" w:sz="4" w:space="0" w:color="000000" w:themeColor="text1"/>
              <w:right w:val="single" w:sz="4" w:space="0" w:color="auto"/>
            </w:tcBorders>
            <w:vAlign w:val="center"/>
            <w:hideMark/>
          </w:tcPr>
          <w:p w14:paraId="4AC26DC8" w14:textId="7E649EE6" w:rsidR="00D0535D" w:rsidRPr="00BC13AE" w:rsidRDefault="002E3BAA">
            <w:pPr>
              <w:spacing w:after="0" w:line="240" w:lineRule="auto"/>
              <w:jc w:val="right"/>
              <w:rPr>
                <w:rFonts w:asciiTheme="majorHAnsi" w:eastAsia="Times New Roman" w:hAnsiTheme="majorHAnsi" w:cs="Calibri"/>
                <w:color w:val="000000"/>
                <w:sz w:val="16"/>
                <w:szCs w:val="16"/>
                <w:lang w:eastAsia="en-AU"/>
              </w:rPr>
            </w:pPr>
            <w:r>
              <w:rPr>
                <w:rFonts w:asciiTheme="majorHAnsi" w:eastAsia="Times New Roman" w:hAnsiTheme="majorHAnsi" w:cs="Calibri"/>
                <w:color w:val="000000"/>
                <w:sz w:val="16"/>
                <w:szCs w:val="16"/>
                <w:lang w:eastAsia="en-AU"/>
              </w:rPr>
              <w:t>212</w:t>
            </w:r>
          </w:p>
        </w:tc>
        <w:tc>
          <w:tcPr>
            <w:tcW w:w="608" w:type="pct"/>
            <w:tcBorders>
              <w:left w:val="single" w:sz="4" w:space="0" w:color="auto"/>
            </w:tcBorders>
            <w:vAlign w:val="center"/>
            <w:hideMark/>
          </w:tcPr>
          <w:p w14:paraId="1FFA6F9E" w14:textId="620EB3E4" w:rsidR="00D0535D" w:rsidRPr="00BC13AE" w:rsidRDefault="00E774CF">
            <w:pPr>
              <w:spacing w:after="0" w:line="240" w:lineRule="auto"/>
              <w:jc w:val="right"/>
              <w:rPr>
                <w:rFonts w:asciiTheme="majorHAnsi" w:eastAsia="Times New Roman" w:hAnsiTheme="majorHAnsi" w:cs="Calibri"/>
                <w:color w:val="000000"/>
                <w:sz w:val="16"/>
                <w:szCs w:val="16"/>
                <w:lang w:eastAsia="en-AU"/>
              </w:rPr>
            </w:pPr>
            <w:r w:rsidRPr="00BC13AE">
              <w:rPr>
                <w:rFonts w:asciiTheme="majorHAnsi" w:eastAsia="Times New Roman" w:hAnsiTheme="majorHAnsi" w:cs="Calibri"/>
                <w:color w:val="000000"/>
                <w:sz w:val="16"/>
                <w:szCs w:val="16"/>
                <w:lang w:eastAsia="en-AU"/>
              </w:rPr>
              <w:t>n/a</w:t>
            </w:r>
          </w:p>
        </w:tc>
        <w:tc>
          <w:tcPr>
            <w:tcW w:w="608" w:type="pct"/>
            <w:vAlign w:val="center"/>
            <w:hideMark/>
          </w:tcPr>
          <w:p w14:paraId="6598D1B2" w14:textId="77777777" w:rsidR="00D0535D" w:rsidRPr="00BC13AE" w:rsidRDefault="00D0535D">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w:t>
            </w:r>
          </w:p>
        </w:tc>
        <w:tc>
          <w:tcPr>
            <w:tcW w:w="609" w:type="pct"/>
            <w:gridSpan w:val="2"/>
            <w:vAlign w:val="center"/>
            <w:hideMark/>
          </w:tcPr>
          <w:p w14:paraId="32B17694" w14:textId="036ACFCC" w:rsidR="00D0535D" w:rsidRPr="00BC13AE" w:rsidRDefault="00E432C3">
            <w:pPr>
              <w:spacing w:after="0" w:line="240" w:lineRule="auto"/>
              <w:jc w:val="right"/>
              <w:rPr>
                <w:rFonts w:asciiTheme="majorHAnsi" w:eastAsia="Times New Roman" w:hAnsiTheme="majorHAnsi" w:cs="Calibri"/>
                <w:color w:val="000000"/>
                <w:sz w:val="16"/>
                <w:szCs w:val="16"/>
                <w:lang w:eastAsia="en-AU"/>
              </w:rPr>
            </w:pPr>
            <w:r>
              <w:rPr>
                <w:rFonts w:asciiTheme="majorHAnsi" w:eastAsia="Times New Roman" w:hAnsiTheme="majorHAnsi" w:cs="Calibri"/>
                <w:color w:val="000000"/>
                <w:sz w:val="16"/>
                <w:szCs w:val="16"/>
                <w:lang w:eastAsia="en-AU"/>
              </w:rPr>
              <w:t>284</w:t>
            </w:r>
          </w:p>
        </w:tc>
      </w:tr>
      <w:tr w:rsidR="00D0535D" w:rsidRPr="00E774CF" w14:paraId="3C6D1D6F" w14:textId="77777777" w:rsidTr="00EB3261">
        <w:trPr>
          <w:gridAfter w:val="1"/>
          <w:wAfter w:w="57" w:type="pct"/>
          <w:trHeight w:val="39"/>
        </w:trPr>
        <w:tc>
          <w:tcPr>
            <w:tcW w:w="4943" w:type="pct"/>
            <w:gridSpan w:val="7"/>
            <w:shd w:val="clear" w:color="auto" w:fill="F2F2F2" w:themeFill="background1" w:themeFillShade="F2"/>
            <w:hideMark/>
          </w:tcPr>
          <w:p w14:paraId="00F46FAE" w14:textId="0550458D" w:rsidR="00D0535D" w:rsidRPr="00C0001F" w:rsidRDefault="00034765" w:rsidP="00EB3261">
            <w:pPr>
              <w:spacing w:after="0" w:line="240" w:lineRule="auto"/>
              <w:ind w:left="0" w:right="0"/>
              <w:rPr>
                <w:rFonts w:asciiTheme="majorHAnsi" w:eastAsia="Times New Roman" w:hAnsiTheme="majorHAnsi" w:cs="Calibri"/>
                <w:b/>
                <w:bCs/>
                <w:color w:val="000000"/>
                <w:sz w:val="16"/>
                <w:szCs w:val="16"/>
                <w:lang w:eastAsia="en-AU"/>
              </w:rPr>
            </w:pPr>
            <w:r>
              <w:rPr>
                <w:rFonts w:asciiTheme="majorHAnsi" w:eastAsia="Times New Roman" w:hAnsiTheme="majorHAnsi" w:cs="Calibri"/>
                <w:b/>
                <w:bCs/>
                <w:sz w:val="16"/>
                <w:szCs w:val="16"/>
                <w:lang w:eastAsia="en-AU"/>
              </w:rPr>
              <w:t>Direct i</w:t>
            </w:r>
            <w:r w:rsidRPr="00C0001F">
              <w:rPr>
                <w:rFonts w:asciiTheme="majorHAnsi" w:eastAsia="Times New Roman" w:hAnsiTheme="majorHAnsi" w:cs="Calibri"/>
                <w:b/>
                <w:bCs/>
                <w:sz w:val="16"/>
                <w:szCs w:val="16"/>
                <w:lang w:eastAsia="en-AU"/>
              </w:rPr>
              <w:t>mpacts</w:t>
            </w:r>
            <w:r w:rsidR="00D0535D" w:rsidRPr="00C0001F">
              <w:rPr>
                <w:rFonts w:asciiTheme="majorHAnsi" w:eastAsia="Times New Roman" w:hAnsiTheme="majorHAnsi" w:cs="Calibri"/>
                <w:b/>
                <w:bCs/>
                <w:sz w:val="16"/>
                <w:szCs w:val="16"/>
                <w:lang w:eastAsia="en-AU"/>
              </w:rPr>
              <w:t xml:space="preserve"> on primary carer labour supply and productivity</w:t>
            </w:r>
            <w:r>
              <w:rPr>
                <w:rFonts w:asciiTheme="majorHAnsi" w:eastAsia="Times New Roman" w:hAnsiTheme="majorHAnsi" w:cs="Calibri"/>
                <w:b/>
                <w:bCs/>
                <w:sz w:val="16"/>
                <w:szCs w:val="16"/>
                <w:lang w:eastAsia="en-AU"/>
              </w:rPr>
              <w:t>*</w:t>
            </w:r>
          </w:p>
        </w:tc>
      </w:tr>
      <w:tr w:rsidR="00742609" w:rsidRPr="002D259B" w14:paraId="12B0FD02" w14:textId="77777777" w:rsidTr="00B55607">
        <w:trPr>
          <w:trHeight w:val="39"/>
        </w:trPr>
        <w:tc>
          <w:tcPr>
            <w:tcW w:w="1125" w:type="pct"/>
            <w:hideMark/>
          </w:tcPr>
          <w:p w14:paraId="410F0025" w14:textId="6CD054D1" w:rsidR="00D0535D" w:rsidRPr="00C0001F" w:rsidRDefault="00D0535D" w:rsidP="00EB3261">
            <w:pPr>
              <w:spacing w:after="0" w:line="240" w:lineRule="auto"/>
              <w:ind w:left="0" w:right="0"/>
              <w:rPr>
                <w:rFonts w:asciiTheme="majorHAnsi" w:eastAsia="Times New Roman" w:hAnsiTheme="majorHAnsi" w:cs="Calibri"/>
                <w:color w:val="000000"/>
                <w:sz w:val="16"/>
                <w:szCs w:val="16"/>
                <w:lang w:eastAsia="en-AU"/>
              </w:rPr>
            </w:pPr>
            <w:r w:rsidRPr="00C0001F">
              <w:rPr>
                <w:rFonts w:asciiTheme="majorHAnsi" w:eastAsia="Times New Roman" w:hAnsiTheme="majorHAnsi" w:cs="Calibri"/>
                <w:color w:val="000000"/>
                <w:sz w:val="16"/>
                <w:szCs w:val="16"/>
                <w:lang w:eastAsia="en-AU"/>
              </w:rPr>
              <w:t xml:space="preserve">Additional </w:t>
            </w:r>
            <w:r w:rsidR="00C86D49">
              <w:rPr>
                <w:rFonts w:asciiTheme="majorHAnsi" w:eastAsia="Times New Roman" w:hAnsiTheme="majorHAnsi" w:cs="Calibri"/>
                <w:color w:val="000000"/>
                <w:sz w:val="16"/>
                <w:szCs w:val="16"/>
                <w:lang w:eastAsia="en-AU"/>
              </w:rPr>
              <w:t>workers</w:t>
            </w:r>
            <w:r w:rsidRPr="00C0001F">
              <w:rPr>
                <w:rFonts w:asciiTheme="majorHAnsi" w:eastAsia="Times New Roman" w:hAnsiTheme="majorHAnsi" w:cs="Calibri"/>
                <w:color w:val="000000"/>
                <w:sz w:val="16"/>
                <w:szCs w:val="16"/>
                <w:lang w:eastAsia="en-AU"/>
              </w:rPr>
              <w:t xml:space="preserve"> (no.)</w:t>
            </w:r>
          </w:p>
        </w:tc>
        <w:tc>
          <w:tcPr>
            <w:tcW w:w="608" w:type="pct"/>
            <w:vAlign w:val="center"/>
            <w:hideMark/>
          </w:tcPr>
          <w:p w14:paraId="7785620E" w14:textId="22BD67C8" w:rsidR="00D0535D" w:rsidRPr="00FE4596" w:rsidRDefault="00E774CF" w:rsidP="00C64671">
            <w:pPr>
              <w:spacing w:after="0" w:line="240" w:lineRule="auto"/>
              <w:jc w:val="right"/>
              <w:rPr>
                <w:rFonts w:asciiTheme="majorHAnsi" w:eastAsia="Times New Roman" w:hAnsiTheme="majorHAnsi" w:cs="Calibri"/>
                <w:color w:val="000000"/>
                <w:sz w:val="16"/>
                <w:szCs w:val="16"/>
                <w:lang w:eastAsia="en-AU"/>
              </w:rPr>
            </w:pPr>
            <w:r w:rsidRPr="00FE4596">
              <w:rPr>
                <w:rFonts w:asciiTheme="majorHAnsi" w:eastAsia="Times New Roman" w:hAnsiTheme="majorHAnsi" w:cs="Calibri"/>
                <w:color w:val="000000"/>
                <w:sz w:val="16"/>
                <w:szCs w:val="16"/>
                <w:lang w:eastAsia="en-AU"/>
              </w:rPr>
              <w:t>n/a</w:t>
            </w:r>
          </w:p>
        </w:tc>
        <w:tc>
          <w:tcPr>
            <w:tcW w:w="576" w:type="pct"/>
            <w:vAlign w:val="center"/>
            <w:hideMark/>
          </w:tcPr>
          <w:p w14:paraId="530FB263" w14:textId="33B27C08" w:rsidR="00D0535D" w:rsidRPr="00FE4596" w:rsidRDefault="00D0535D">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13,</w:t>
            </w:r>
            <w:r w:rsidR="00FE4596" w:rsidRPr="00EB3261">
              <w:rPr>
                <w:rFonts w:asciiTheme="majorHAnsi" w:eastAsia="Times New Roman" w:hAnsiTheme="majorHAnsi" w:cs="Calibri"/>
                <w:color w:val="000000"/>
                <w:sz w:val="16"/>
                <w:szCs w:val="16"/>
                <w:lang w:eastAsia="en-AU"/>
              </w:rPr>
              <w:t>8</w:t>
            </w:r>
            <w:r w:rsidRPr="00EB3261">
              <w:rPr>
                <w:rFonts w:asciiTheme="majorHAnsi" w:eastAsia="Times New Roman" w:hAnsiTheme="majorHAnsi" w:cs="Calibri"/>
                <w:color w:val="000000"/>
                <w:sz w:val="16"/>
                <w:szCs w:val="16"/>
                <w:lang w:eastAsia="en-AU"/>
              </w:rPr>
              <w:t>00</w:t>
            </w:r>
          </w:p>
        </w:tc>
        <w:tc>
          <w:tcPr>
            <w:tcW w:w="865" w:type="pct"/>
            <w:tcBorders>
              <w:top w:val="single" w:sz="4" w:space="0" w:color="000000" w:themeColor="text1"/>
              <w:right w:val="single" w:sz="4" w:space="0" w:color="auto"/>
            </w:tcBorders>
            <w:vAlign w:val="center"/>
            <w:hideMark/>
          </w:tcPr>
          <w:p w14:paraId="1C3B712F" w14:textId="614D1E37" w:rsidR="00D0535D" w:rsidRPr="00FE4596" w:rsidRDefault="00D0535D">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1</w:t>
            </w:r>
            <w:r w:rsidR="00FE4596" w:rsidRPr="00EB3261">
              <w:rPr>
                <w:rFonts w:asciiTheme="majorHAnsi" w:eastAsia="Times New Roman" w:hAnsiTheme="majorHAnsi" w:cs="Calibri"/>
                <w:color w:val="000000"/>
                <w:sz w:val="16"/>
                <w:szCs w:val="16"/>
                <w:lang w:eastAsia="en-AU"/>
              </w:rPr>
              <w:t>9</w:t>
            </w:r>
            <w:r w:rsidRPr="00EB3261">
              <w:rPr>
                <w:rFonts w:asciiTheme="majorHAnsi" w:eastAsia="Times New Roman" w:hAnsiTheme="majorHAnsi" w:cs="Calibri"/>
                <w:color w:val="000000"/>
                <w:sz w:val="16"/>
                <w:szCs w:val="16"/>
                <w:lang w:eastAsia="en-AU"/>
              </w:rPr>
              <w:t>,000</w:t>
            </w:r>
          </w:p>
        </w:tc>
        <w:tc>
          <w:tcPr>
            <w:tcW w:w="608" w:type="pct"/>
            <w:tcBorders>
              <w:left w:val="single" w:sz="4" w:space="0" w:color="auto"/>
            </w:tcBorders>
            <w:vAlign w:val="center"/>
            <w:hideMark/>
          </w:tcPr>
          <w:p w14:paraId="2F71DD29" w14:textId="286F3ACB" w:rsidR="00D0535D" w:rsidRPr="00FE4596" w:rsidRDefault="00E774CF">
            <w:pPr>
              <w:spacing w:after="0" w:line="240" w:lineRule="auto"/>
              <w:jc w:val="right"/>
              <w:rPr>
                <w:rFonts w:asciiTheme="majorHAnsi" w:eastAsia="Times New Roman" w:hAnsiTheme="majorHAnsi" w:cs="Calibri"/>
                <w:color w:val="000000"/>
                <w:sz w:val="16"/>
                <w:szCs w:val="16"/>
                <w:lang w:eastAsia="en-AU"/>
              </w:rPr>
            </w:pPr>
            <w:r w:rsidRPr="00FE4596">
              <w:rPr>
                <w:rFonts w:asciiTheme="majorHAnsi" w:eastAsia="Times New Roman" w:hAnsiTheme="majorHAnsi" w:cs="Calibri"/>
                <w:color w:val="000000"/>
                <w:sz w:val="16"/>
                <w:szCs w:val="16"/>
                <w:lang w:eastAsia="en-AU"/>
              </w:rPr>
              <w:t>n/a</w:t>
            </w:r>
          </w:p>
        </w:tc>
        <w:tc>
          <w:tcPr>
            <w:tcW w:w="608" w:type="pct"/>
            <w:vAlign w:val="center"/>
            <w:hideMark/>
          </w:tcPr>
          <w:p w14:paraId="3E3E3381" w14:textId="4A372FDB" w:rsidR="00D0535D" w:rsidRPr="00FE4596" w:rsidRDefault="00FE4596">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20</w:t>
            </w:r>
            <w:r w:rsidR="00D0535D" w:rsidRPr="00EB3261">
              <w:rPr>
                <w:rFonts w:asciiTheme="majorHAnsi" w:eastAsia="Times New Roman" w:hAnsiTheme="majorHAnsi" w:cs="Calibri"/>
                <w:color w:val="000000"/>
                <w:sz w:val="16"/>
                <w:szCs w:val="16"/>
                <w:lang w:eastAsia="en-AU"/>
              </w:rPr>
              <w:t>,</w:t>
            </w:r>
            <w:r w:rsidRPr="00EB3261">
              <w:rPr>
                <w:rFonts w:asciiTheme="majorHAnsi" w:eastAsia="Times New Roman" w:hAnsiTheme="majorHAnsi" w:cs="Calibri"/>
                <w:color w:val="000000"/>
                <w:sz w:val="16"/>
                <w:szCs w:val="16"/>
                <w:lang w:eastAsia="en-AU"/>
              </w:rPr>
              <w:t>2</w:t>
            </w:r>
            <w:r w:rsidR="00D0535D" w:rsidRPr="00EB3261">
              <w:rPr>
                <w:rFonts w:asciiTheme="majorHAnsi" w:eastAsia="Times New Roman" w:hAnsiTheme="majorHAnsi" w:cs="Calibri"/>
                <w:color w:val="000000"/>
                <w:sz w:val="16"/>
                <w:szCs w:val="16"/>
                <w:lang w:eastAsia="en-AU"/>
              </w:rPr>
              <w:t>00</w:t>
            </w:r>
          </w:p>
        </w:tc>
        <w:tc>
          <w:tcPr>
            <w:tcW w:w="609" w:type="pct"/>
            <w:gridSpan w:val="2"/>
            <w:vAlign w:val="center"/>
            <w:hideMark/>
          </w:tcPr>
          <w:p w14:paraId="734AABE2" w14:textId="5877C591" w:rsidR="00D0535D" w:rsidRPr="00FE4596" w:rsidRDefault="00D0535D">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2</w:t>
            </w:r>
            <w:r w:rsidR="00FE4596" w:rsidRPr="00EB3261">
              <w:rPr>
                <w:rFonts w:asciiTheme="majorHAnsi" w:eastAsia="Times New Roman" w:hAnsiTheme="majorHAnsi" w:cs="Calibri"/>
                <w:color w:val="000000"/>
                <w:sz w:val="16"/>
                <w:szCs w:val="16"/>
                <w:lang w:eastAsia="en-AU"/>
              </w:rPr>
              <w:t>7</w:t>
            </w:r>
            <w:r w:rsidRPr="00EB3261">
              <w:rPr>
                <w:rFonts w:asciiTheme="majorHAnsi" w:eastAsia="Times New Roman" w:hAnsiTheme="majorHAnsi" w:cs="Calibri"/>
                <w:color w:val="000000"/>
                <w:sz w:val="16"/>
                <w:szCs w:val="16"/>
                <w:lang w:eastAsia="en-AU"/>
              </w:rPr>
              <w:t>,</w:t>
            </w:r>
            <w:r w:rsidR="00FE4596" w:rsidRPr="00EB3261">
              <w:rPr>
                <w:rFonts w:asciiTheme="majorHAnsi" w:eastAsia="Times New Roman" w:hAnsiTheme="majorHAnsi" w:cs="Calibri"/>
                <w:color w:val="000000"/>
                <w:sz w:val="16"/>
                <w:szCs w:val="16"/>
                <w:lang w:eastAsia="en-AU"/>
              </w:rPr>
              <w:t>8</w:t>
            </w:r>
            <w:r w:rsidRPr="00EB3261">
              <w:rPr>
                <w:rFonts w:asciiTheme="majorHAnsi" w:eastAsia="Times New Roman" w:hAnsiTheme="majorHAnsi" w:cs="Calibri"/>
                <w:color w:val="000000"/>
                <w:sz w:val="16"/>
                <w:szCs w:val="16"/>
                <w:lang w:eastAsia="en-AU"/>
              </w:rPr>
              <w:t>00</w:t>
            </w:r>
          </w:p>
        </w:tc>
      </w:tr>
      <w:tr w:rsidR="00B55607" w:rsidRPr="002D259B" w14:paraId="776EE694" w14:textId="77777777" w:rsidTr="00B55607">
        <w:trPr>
          <w:trHeight w:val="39"/>
        </w:trPr>
        <w:tc>
          <w:tcPr>
            <w:tcW w:w="1125" w:type="pct"/>
            <w:hideMark/>
          </w:tcPr>
          <w:p w14:paraId="2AE6EB9A" w14:textId="05E33601" w:rsidR="00D0535D" w:rsidRPr="00C0001F" w:rsidRDefault="00D379A6" w:rsidP="00EB3261">
            <w:pPr>
              <w:spacing w:after="0" w:line="240" w:lineRule="auto"/>
              <w:ind w:left="0" w:right="0"/>
              <w:rPr>
                <w:rFonts w:asciiTheme="majorHAnsi" w:eastAsia="Times New Roman" w:hAnsiTheme="majorHAnsi" w:cs="Calibri"/>
                <w:color w:val="000000"/>
                <w:sz w:val="16"/>
                <w:szCs w:val="16"/>
                <w:lang w:eastAsia="en-AU"/>
              </w:rPr>
            </w:pPr>
            <w:r>
              <w:rPr>
                <w:rFonts w:asciiTheme="majorHAnsi" w:eastAsia="Times New Roman" w:hAnsiTheme="majorHAnsi" w:cs="Calibri"/>
                <w:color w:val="000000" w:themeColor="text1"/>
                <w:sz w:val="16"/>
                <w:szCs w:val="16"/>
                <w:lang w:eastAsia="en-AU"/>
              </w:rPr>
              <w:t>Additional a</w:t>
            </w:r>
            <w:r w:rsidRPr="6C25D9D9">
              <w:rPr>
                <w:rFonts w:asciiTheme="majorHAnsi" w:eastAsia="Times New Roman" w:hAnsiTheme="majorHAnsi" w:cs="Calibri"/>
                <w:color w:val="000000" w:themeColor="text1"/>
                <w:sz w:val="16"/>
                <w:szCs w:val="16"/>
                <w:lang w:eastAsia="en-AU"/>
              </w:rPr>
              <w:t xml:space="preserve">verage </w:t>
            </w:r>
            <w:r w:rsidR="00D0535D" w:rsidRPr="6C25D9D9">
              <w:rPr>
                <w:rFonts w:asciiTheme="majorHAnsi" w:eastAsia="Times New Roman" w:hAnsiTheme="majorHAnsi" w:cs="Calibri"/>
                <w:color w:val="000000" w:themeColor="text1"/>
                <w:sz w:val="16"/>
                <w:szCs w:val="16"/>
                <w:lang w:eastAsia="en-AU"/>
              </w:rPr>
              <w:t xml:space="preserve">weekly hours worked </w:t>
            </w:r>
            <w:r w:rsidR="602E8068" w:rsidRPr="6C25D9D9">
              <w:rPr>
                <w:rFonts w:asciiTheme="majorHAnsi" w:eastAsia="Times New Roman" w:hAnsiTheme="majorHAnsi" w:cs="Calibri"/>
                <w:color w:val="000000" w:themeColor="text1"/>
                <w:sz w:val="16"/>
                <w:szCs w:val="16"/>
                <w:lang w:eastAsia="en-AU"/>
              </w:rPr>
              <w:t>(</w:t>
            </w:r>
            <w:r w:rsidR="36CBCB70" w:rsidRPr="6C25D9D9">
              <w:rPr>
                <w:rFonts w:asciiTheme="majorHAnsi" w:eastAsia="Times New Roman" w:hAnsiTheme="majorHAnsi" w:cs="Calibri"/>
                <w:color w:val="000000" w:themeColor="text1"/>
                <w:sz w:val="16"/>
                <w:szCs w:val="16"/>
                <w:lang w:eastAsia="en-AU"/>
              </w:rPr>
              <w:t xml:space="preserve">hr, </w:t>
            </w:r>
            <w:r w:rsidR="602E8068" w:rsidRPr="6C25D9D9">
              <w:rPr>
                <w:rFonts w:asciiTheme="majorHAnsi" w:eastAsia="Times New Roman" w:hAnsiTheme="majorHAnsi" w:cs="Calibri"/>
                <w:color w:val="000000" w:themeColor="text1"/>
                <w:sz w:val="16"/>
                <w:szCs w:val="16"/>
                <w:lang w:eastAsia="en-AU"/>
              </w:rPr>
              <w:t>%)</w:t>
            </w:r>
          </w:p>
        </w:tc>
        <w:tc>
          <w:tcPr>
            <w:tcW w:w="608" w:type="pct"/>
            <w:vAlign w:val="center"/>
            <w:hideMark/>
          </w:tcPr>
          <w:p w14:paraId="77E93D6C" w14:textId="574331CE" w:rsidR="00D0535D" w:rsidRPr="00C0001F" w:rsidRDefault="00E774CF" w:rsidP="00C64671">
            <w:pPr>
              <w:spacing w:after="0" w:line="240" w:lineRule="auto"/>
              <w:jc w:val="right"/>
              <w:rPr>
                <w:rFonts w:asciiTheme="majorHAnsi" w:eastAsia="Times New Roman" w:hAnsiTheme="majorHAnsi" w:cs="Calibri"/>
                <w:color w:val="000000"/>
                <w:sz w:val="16"/>
                <w:szCs w:val="16"/>
                <w:lang w:eastAsia="en-AU"/>
              </w:rPr>
            </w:pPr>
            <w:r w:rsidRPr="00E774CF">
              <w:rPr>
                <w:rFonts w:asciiTheme="majorHAnsi" w:eastAsia="Times New Roman" w:hAnsiTheme="majorHAnsi" w:cs="Calibri"/>
                <w:color w:val="000000"/>
                <w:sz w:val="16"/>
                <w:szCs w:val="16"/>
                <w:lang w:eastAsia="en-AU"/>
              </w:rPr>
              <w:t>n/a</w:t>
            </w:r>
          </w:p>
        </w:tc>
        <w:tc>
          <w:tcPr>
            <w:tcW w:w="576" w:type="pct"/>
            <w:vAlign w:val="center"/>
            <w:hideMark/>
          </w:tcPr>
          <w:p w14:paraId="71E1E876" w14:textId="2ABE1BDB" w:rsidR="00093294" w:rsidRPr="00EB3261" w:rsidRDefault="00093294" w:rsidP="00AD231B">
            <w:pPr>
              <w:spacing w:after="0" w:line="240" w:lineRule="auto"/>
              <w:ind w:left="0" w:right="0"/>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1.0</w:t>
            </w:r>
            <w:r w:rsidR="00AD231B" w:rsidRPr="00EB3261">
              <w:rPr>
                <w:rFonts w:asciiTheme="majorHAnsi" w:eastAsia="Times New Roman" w:hAnsiTheme="majorHAnsi" w:cs="Calibri"/>
                <w:color w:val="000000"/>
                <w:sz w:val="16"/>
                <w:szCs w:val="16"/>
                <w:lang w:eastAsia="en-AU"/>
              </w:rPr>
              <w:t xml:space="preserve">  </w:t>
            </w:r>
          </w:p>
          <w:p w14:paraId="49E64734" w14:textId="4EE63DE9" w:rsidR="00D0535D" w:rsidRPr="00EB3261" w:rsidRDefault="00093294">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w:t>
            </w:r>
            <w:r w:rsidR="00D0535D" w:rsidRPr="00EB3261">
              <w:rPr>
                <w:rFonts w:asciiTheme="majorHAnsi" w:eastAsia="Times New Roman" w:hAnsiTheme="majorHAnsi" w:cs="Calibri"/>
                <w:color w:val="000000"/>
                <w:sz w:val="16"/>
                <w:szCs w:val="16"/>
                <w:lang w:eastAsia="en-AU"/>
              </w:rPr>
              <w:t>3.8</w:t>
            </w:r>
            <w:r w:rsidRPr="00EB3261">
              <w:rPr>
                <w:rFonts w:asciiTheme="majorHAnsi" w:eastAsia="Times New Roman" w:hAnsiTheme="majorHAnsi" w:cs="Calibri"/>
                <w:color w:val="000000"/>
                <w:sz w:val="16"/>
                <w:szCs w:val="16"/>
                <w:lang w:eastAsia="en-AU"/>
              </w:rPr>
              <w:t>%)</w:t>
            </w:r>
          </w:p>
        </w:tc>
        <w:tc>
          <w:tcPr>
            <w:tcW w:w="865" w:type="pct"/>
            <w:tcBorders>
              <w:top w:val="single" w:sz="4" w:space="0" w:color="000000" w:themeColor="text1"/>
              <w:right w:val="single" w:sz="4" w:space="0" w:color="auto"/>
            </w:tcBorders>
            <w:vAlign w:val="center"/>
            <w:hideMark/>
          </w:tcPr>
          <w:p w14:paraId="6AF57F4A" w14:textId="4D338A7B" w:rsidR="00093294" w:rsidRPr="00EB3261" w:rsidRDefault="00093294" w:rsidP="00E774CF">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1.0</w:t>
            </w:r>
          </w:p>
          <w:p w14:paraId="2246702E" w14:textId="1E096F09" w:rsidR="00D0535D" w:rsidRPr="00EB3261" w:rsidRDefault="00093294">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w:t>
            </w:r>
            <w:r w:rsidR="00D0535D" w:rsidRPr="00EB3261">
              <w:rPr>
                <w:rFonts w:asciiTheme="majorHAnsi" w:eastAsia="Times New Roman" w:hAnsiTheme="majorHAnsi" w:cs="Calibri"/>
                <w:color w:val="000000"/>
                <w:sz w:val="16"/>
                <w:szCs w:val="16"/>
                <w:lang w:eastAsia="en-AU"/>
              </w:rPr>
              <w:t>3.8</w:t>
            </w:r>
            <w:r w:rsidRPr="00EB3261">
              <w:rPr>
                <w:rFonts w:asciiTheme="majorHAnsi" w:eastAsia="Times New Roman" w:hAnsiTheme="majorHAnsi" w:cs="Calibri"/>
                <w:color w:val="000000"/>
                <w:sz w:val="16"/>
                <w:szCs w:val="16"/>
                <w:lang w:eastAsia="en-AU"/>
              </w:rPr>
              <w:t>%)</w:t>
            </w:r>
          </w:p>
        </w:tc>
        <w:tc>
          <w:tcPr>
            <w:tcW w:w="608" w:type="pct"/>
            <w:tcBorders>
              <w:left w:val="single" w:sz="4" w:space="0" w:color="auto"/>
            </w:tcBorders>
            <w:vAlign w:val="center"/>
            <w:hideMark/>
          </w:tcPr>
          <w:p w14:paraId="034A69D5" w14:textId="4E2F503E" w:rsidR="00D0535D" w:rsidRPr="00EB3261" w:rsidRDefault="00E774CF">
            <w:pPr>
              <w:spacing w:after="0" w:line="240" w:lineRule="auto"/>
              <w:jc w:val="right"/>
              <w:rPr>
                <w:rFonts w:asciiTheme="majorHAnsi" w:eastAsia="Times New Roman" w:hAnsiTheme="majorHAnsi" w:cs="Calibri"/>
                <w:color w:val="000000"/>
                <w:sz w:val="16"/>
                <w:szCs w:val="16"/>
                <w:lang w:eastAsia="en-AU"/>
              </w:rPr>
            </w:pPr>
            <w:r w:rsidRPr="00196AC3">
              <w:rPr>
                <w:rFonts w:asciiTheme="majorHAnsi" w:eastAsia="Times New Roman" w:hAnsiTheme="majorHAnsi" w:cs="Calibri"/>
                <w:color w:val="000000"/>
                <w:sz w:val="16"/>
                <w:szCs w:val="16"/>
                <w:lang w:eastAsia="en-AU"/>
              </w:rPr>
              <w:t>n/a</w:t>
            </w:r>
          </w:p>
        </w:tc>
        <w:tc>
          <w:tcPr>
            <w:tcW w:w="608" w:type="pct"/>
            <w:vAlign w:val="center"/>
            <w:hideMark/>
          </w:tcPr>
          <w:p w14:paraId="34924E33" w14:textId="5A2EDD97" w:rsidR="00093294" w:rsidRPr="00EB3261" w:rsidRDefault="000531F1" w:rsidP="00E774CF">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1.</w:t>
            </w:r>
            <w:r w:rsidR="00D0535D" w:rsidRPr="00EB3261">
              <w:rPr>
                <w:rFonts w:asciiTheme="majorHAnsi" w:eastAsia="Times New Roman" w:hAnsiTheme="majorHAnsi" w:cs="Calibri"/>
                <w:color w:val="000000"/>
                <w:sz w:val="16"/>
                <w:szCs w:val="16"/>
                <w:lang w:eastAsia="en-AU"/>
              </w:rPr>
              <w:t>5</w:t>
            </w:r>
          </w:p>
          <w:p w14:paraId="58CAD10A" w14:textId="7769E565" w:rsidR="00D0535D" w:rsidRPr="00EB3261" w:rsidRDefault="00093294">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w:t>
            </w:r>
            <w:r w:rsidR="00D0535D" w:rsidRPr="00EB3261">
              <w:rPr>
                <w:rFonts w:asciiTheme="majorHAnsi" w:eastAsia="Times New Roman" w:hAnsiTheme="majorHAnsi" w:cs="Calibri"/>
                <w:color w:val="000000"/>
                <w:sz w:val="16"/>
                <w:szCs w:val="16"/>
                <w:lang w:eastAsia="en-AU"/>
              </w:rPr>
              <w:t>5</w:t>
            </w:r>
            <w:r w:rsidR="00E774CF" w:rsidRPr="00EB3261">
              <w:rPr>
                <w:rFonts w:asciiTheme="majorHAnsi" w:eastAsia="Times New Roman" w:hAnsiTheme="majorHAnsi" w:cs="Calibri"/>
                <w:color w:val="000000"/>
                <w:sz w:val="16"/>
                <w:szCs w:val="16"/>
                <w:lang w:eastAsia="en-AU"/>
              </w:rPr>
              <w:t>.5</w:t>
            </w:r>
            <w:r w:rsidRPr="00EB3261">
              <w:rPr>
                <w:rFonts w:asciiTheme="majorHAnsi" w:eastAsia="Times New Roman" w:hAnsiTheme="majorHAnsi" w:cs="Calibri"/>
                <w:color w:val="000000"/>
                <w:sz w:val="16"/>
                <w:szCs w:val="16"/>
                <w:lang w:eastAsia="en-AU"/>
              </w:rPr>
              <w:t>%)</w:t>
            </w:r>
          </w:p>
        </w:tc>
        <w:tc>
          <w:tcPr>
            <w:tcW w:w="609" w:type="pct"/>
            <w:gridSpan w:val="2"/>
            <w:vAlign w:val="center"/>
            <w:hideMark/>
          </w:tcPr>
          <w:p w14:paraId="3CD74952" w14:textId="7E85E052" w:rsidR="000531F1" w:rsidRPr="00EB3261" w:rsidRDefault="000531F1" w:rsidP="00E774CF">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1.</w:t>
            </w:r>
            <w:r w:rsidR="00D0535D" w:rsidRPr="00EB3261">
              <w:rPr>
                <w:rFonts w:asciiTheme="majorHAnsi" w:eastAsia="Times New Roman" w:hAnsiTheme="majorHAnsi" w:cs="Calibri"/>
                <w:color w:val="000000"/>
                <w:sz w:val="16"/>
                <w:szCs w:val="16"/>
                <w:lang w:eastAsia="en-AU"/>
              </w:rPr>
              <w:t>5</w:t>
            </w:r>
          </w:p>
          <w:p w14:paraId="77C26378" w14:textId="0A24B242" w:rsidR="00D0535D" w:rsidRPr="00EB3261" w:rsidRDefault="000531F1">
            <w:pPr>
              <w:spacing w:after="0" w:line="240" w:lineRule="auto"/>
              <w:jc w:val="right"/>
              <w:rPr>
                <w:rFonts w:asciiTheme="majorHAnsi" w:eastAsia="Times New Roman" w:hAnsiTheme="majorHAnsi" w:cs="Calibri"/>
                <w:color w:val="000000"/>
                <w:sz w:val="16"/>
                <w:szCs w:val="16"/>
                <w:lang w:eastAsia="en-AU"/>
              </w:rPr>
            </w:pPr>
            <w:r w:rsidRPr="00EB3261">
              <w:rPr>
                <w:rFonts w:asciiTheme="majorHAnsi" w:eastAsia="Times New Roman" w:hAnsiTheme="majorHAnsi" w:cs="Calibri"/>
                <w:color w:val="000000"/>
                <w:sz w:val="16"/>
                <w:szCs w:val="16"/>
                <w:lang w:eastAsia="en-AU"/>
              </w:rPr>
              <w:t>(</w:t>
            </w:r>
            <w:r w:rsidR="00D0535D" w:rsidRPr="00EB3261">
              <w:rPr>
                <w:rFonts w:asciiTheme="majorHAnsi" w:eastAsia="Times New Roman" w:hAnsiTheme="majorHAnsi" w:cs="Calibri"/>
                <w:color w:val="000000"/>
                <w:sz w:val="16"/>
                <w:szCs w:val="16"/>
                <w:lang w:eastAsia="en-AU"/>
              </w:rPr>
              <w:t>5</w:t>
            </w:r>
            <w:r w:rsidR="00E774CF" w:rsidRPr="00EB3261">
              <w:rPr>
                <w:rFonts w:asciiTheme="majorHAnsi" w:eastAsia="Times New Roman" w:hAnsiTheme="majorHAnsi" w:cs="Calibri"/>
                <w:color w:val="000000"/>
                <w:sz w:val="16"/>
                <w:szCs w:val="16"/>
                <w:lang w:eastAsia="en-AU"/>
              </w:rPr>
              <w:t>.5</w:t>
            </w:r>
            <w:r w:rsidR="00093294" w:rsidRPr="00EB3261">
              <w:rPr>
                <w:rFonts w:asciiTheme="majorHAnsi" w:eastAsia="Times New Roman" w:hAnsiTheme="majorHAnsi" w:cs="Calibri"/>
                <w:color w:val="000000"/>
                <w:sz w:val="16"/>
                <w:szCs w:val="16"/>
                <w:lang w:eastAsia="en-AU"/>
              </w:rPr>
              <w:t>%</w:t>
            </w:r>
            <w:r w:rsidRPr="00EB3261">
              <w:rPr>
                <w:rFonts w:asciiTheme="majorHAnsi" w:eastAsia="Times New Roman" w:hAnsiTheme="majorHAnsi" w:cs="Calibri"/>
                <w:color w:val="000000"/>
                <w:sz w:val="16"/>
                <w:szCs w:val="16"/>
                <w:lang w:eastAsia="en-AU"/>
              </w:rPr>
              <w:t>)</w:t>
            </w:r>
          </w:p>
        </w:tc>
      </w:tr>
      <w:tr w:rsidR="00D0535D" w:rsidRPr="00E774CF" w14:paraId="70905EF1" w14:textId="77777777" w:rsidTr="00EB3261">
        <w:trPr>
          <w:gridAfter w:val="1"/>
          <w:wAfter w:w="57" w:type="pct"/>
          <w:trHeight w:val="28"/>
        </w:trPr>
        <w:tc>
          <w:tcPr>
            <w:tcW w:w="4943" w:type="pct"/>
            <w:gridSpan w:val="7"/>
            <w:shd w:val="clear" w:color="auto" w:fill="F2F2F2" w:themeFill="background1" w:themeFillShade="F2"/>
            <w:hideMark/>
          </w:tcPr>
          <w:p w14:paraId="7490C2DC" w14:textId="77777777" w:rsidR="00D0535D" w:rsidRPr="00C0001F" w:rsidRDefault="00D0535D" w:rsidP="00EB3261">
            <w:pPr>
              <w:spacing w:after="0" w:line="240" w:lineRule="auto"/>
              <w:ind w:left="0" w:right="0"/>
              <w:rPr>
                <w:rFonts w:asciiTheme="majorHAnsi" w:eastAsia="Times New Roman" w:hAnsiTheme="majorHAnsi" w:cs="Calibri"/>
                <w:b/>
                <w:bCs/>
                <w:color w:val="000000"/>
                <w:sz w:val="16"/>
                <w:szCs w:val="16"/>
                <w:lang w:eastAsia="en-AU"/>
              </w:rPr>
            </w:pPr>
            <w:r w:rsidRPr="00C0001F">
              <w:rPr>
                <w:rFonts w:asciiTheme="majorHAnsi" w:eastAsia="Times New Roman" w:hAnsiTheme="majorHAnsi" w:cs="Calibri"/>
                <w:b/>
                <w:bCs/>
                <w:sz w:val="16"/>
                <w:szCs w:val="16"/>
                <w:lang w:eastAsia="en-AU"/>
              </w:rPr>
              <w:t>Economy-</w:t>
            </w:r>
            <w:r w:rsidRPr="00C64671">
              <w:rPr>
                <w:rFonts w:asciiTheme="majorHAnsi" w:eastAsia="Times New Roman" w:hAnsiTheme="majorHAnsi" w:cs="Calibri"/>
                <w:b/>
                <w:bCs/>
                <w:sz w:val="16"/>
                <w:szCs w:val="16"/>
                <w:shd w:val="clear" w:color="auto" w:fill="F2F2F2" w:themeFill="background1" w:themeFillShade="F2"/>
                <w:lang w:eastAsia="en-AU"/>
              </w:rPr>
              <w:t>wide impacts</w:t>
            </w:r>
          </w:p>
        </w:tc>
      </w:tr>
      <w:tr w:rsidR="005C768D" w:rsidRPr="002D259B" w14:paraId="57F26E4A" w14:textId="77777777" w:rsidTr="00B55607">
        <w:trPr>
          <w:trHeight w:val="39"/>
        </w:trPr>
        <w:tc>
          <w:tcPr>
            <w:tcW w:w="1125" w:type="pct"/>
            <w:hideMark/>
          </w:tcPr>
          <w:p w14:paraId="6D97287A" w14:textId="77777777" w:rsidR="005C768D" w:rsidRPr="00C0001F" w:rsidRDefault="005C768D" w:rsidP="00EB3261">
            <w:pPr>
              <w:spacing w:after="0" w:line="240" w:lineRule="auto"/>
              <w:ind w:left="0" w:right="0"/>
              <w:rPr>
                <w:rFonts w:asciiTheme="majorHAnsi" w:eastAsia="Times New Roman" w:hAnsiTheme="majorHAnsi" w:cs="Calibri"/>
                <w:color w:val="000000"/>
                <w:sz w:val="16"/>
                <w:szCs w:val="16"/>
                <w:lang w:eastAsia="en-AU"/>
              </w:rPr>
            </w:pPr>
            <w:r w:rsidRPr="00C0001F">
              <w:rPr>
                <w:rFonts w:asciiTheme="majorHAnsi" w:eastAsia="Times New Roman" w:hAnsiTheme="majorHAnsi" w:cs="Calibri"/>
                <w:color w:val="000000"/>
                <w:sz w:val="16"/>
                <w:szCs w:val="16"/>
                <w:lang w:eastAsia="en-AU"/>
              </w:rPr>
              <w:t>Change in Victorian GSP (%)</w:t>
            </w:r>
          </w:p>
        </w:tc>
        <w:tc>
          <w:tcPr>
            <w:tcW w:w="608" w:type="pct"/>
            <w:vAlign w:val="center"/>
            <w:hideMark/>
          </w:tcPr>
          <w:p w14:paraId="5AF8C3EF" w14:textId="5F3D5A11" w:rsidR="005C768D" w:rsidRPr="00C0001F" w:rsidRDefault="005C768D" w:rsidP="005C768D">
            <w:pPr>
              <w:spacing w:after="0" w:line="240" w:lineRule="auto"/>
              <w:jc w:val="right"/>
              <w:rPr>
                <w:rFonts w:asciiTheme="majorHAnsi" w:eastAsia="Times New Roman" w:hAnsiTheme="majorHAnsi" w:cs="Calibri"/>
                <w:color w:val="000000"/>
                <w:sz w:val="16"/>
                <w:szCs w:val="16"/>
                <w:highlight w:val="lightGray"/>
                <w:lang w:eastAsia="en-AU"/>
              </w:rPr>
            </w:pPr>
            <w:r>
              <w:rPr>
                <w:color w:val="000000"/>
                <w:sz w:val="16"/>
                <w:szCs w:val="16"/>
              </w:rPr>
              <w:t>0.90</w:t>
            </w:r>
          </w:p>
        </w:tc>
        <w:tc>
          <w:tcPr>
            <w:tcW w:w="576" w:type="pct"/>
            <w:vAlign w:val="center"/>
            <w:hideMark/>
          </w:tcPr>
          <w:p w14:paraId="14818C28" w14:textId="741BE3F4" w:rsidR="005C768D" w:rsidRPr="00C0001F" w:rsidRDefault="005C768D" w:rsidP="005C768D">
            <w:pPr>
              <w:spacing w:after="0" w:line="240" w:lineRule="auto"/>
              <w:jc w:val="right"/>
              <w:rPr>
                <w:rFonts w:asciiTheme="majorHAnsi" w:eastAsia="Times New Roman" w:hAnsiTheme="majorHAnsi" w:cs="Calibri"/>
                <w:color w:val="000000"/>
                <w:sz w:val="16"/>
                <w:szCs w:val="16"/>
                <w:highlight w:val="lightGray"/>
                <w:lang w:eastAsia="en-AU"/>
              </w:rPr>
            </w:pPr>
            <w:r>
              <w:rPr>
                <w:color w:val="000000"/>
                <w:sz w:val="16"/>
                <w:szCs w:val="16"/>
              </w:rPr>
              <w:t>0.86</w:t>
            </w:r>
          </w:p>
        </w:tc>
        <w:tc>
          <w:tcPr>
            <w:tcW w:w="865" w:type="pct"/>
            <w:tcBorders>
              <w:top w:val="single" w:sz="4" w:space="0" w:color="000000" w:themeColor="text1"/>
              <w:right w:val="single" w:sz="4" w:space="0" w:color="auto"/>
            </w:tcBorders>
            <w:vAlign w:val="center"/>
            <w:hideMark/>
          </w:tcPr>
          <w:p w14:paraId="48EA9653" w14:textId="6D050BA9" w:rsidR="005C768D" w:rsidRPr="00C0001F" w:rsidRDefault="005C768D" w:rsidP="005C768D">
            <w:pPr>
              <w:spacing w:after="0" w:line="240" w:lineRule="auto"/>
              <w:jc w:val="right"/>
              <w:rPr>
                <w:rFonts w:asciiTheme="majorHAnsi" w:eastAsia="Times New Roman" w:hAnsiTheme="majorHAnsi" w:cs="Calibri"/>
                <w:color w:val="000000"/>
                <w:sz w:val="16"/>
                <w:szCs w:val="16"/>
                <w:highlight w:val="lightGray"/>
                <w:lang w:eastAsia="en-AU"/>
              </w:rPr>
            </w:pPr>
            <w:r>
              <w:rPr>
                <w:color w:val="000000"/>
                <w:sz w:val="16"/>
                <w:szCs w:val="16"/>
              </w:rPr>
              <w:t>1.34</w:t>
            </w:r>
          </w:p>
        </w:tc>
        <w:tc>
          <w:tcPr>
            <w:tcW w:w="608" w:type="pct"/>
            <w:tcBorders>
              <w:left w:val="single" w:sz="4" w:space="0" w:color="auto"/>
            </w:tcBorders>
            <w:vAlign w:val="center"/>
            <w:hideMark/>
          </w:tcPr>
          <w:p w14:paraId="6A95C60A" w14:textId="759D54B1" w:rsidR="005C768D" w:rsidRPr="00C0001F" w:rsidRDefault="005C768D" w:rsidP="005C768D">
            <w:pPr>
              <w:spacing w:after="0" w:line="240" w:lineRule="auto"/>
              <w:jc w:val="right"/>
              <w:rPr>
                <w:rFonts w:asciiTheme="majorHAnsi" w:eastAsia="Times New Roman" w:hAnsiTheme="majorHAnsi" w:cs="Calibri"/>
                <w:color w:val="000000"/>
                <w:sz w:val="16"/>
                <w:szCs w:val="16"/>
                <w:highlight w:val="lightGray"/>
                <w:lang w:eastAsia="en-AU"/>
              </w:rPr>
            </w:pPr>
            <w:r>
              <w:rPr>
                <w:color w:val="000000"/>
                <w:sz w:val="16"/>
                <w:szCs w:val="16"/>
              </w:rPr>
              <w:t>1.31</w:t>
            </w:r>
          </w:p>
        </w:tc>
        <w:tc>
          <w:tcPr>
            <w:tcW w:w="608" w:type="pct"/>
            <w:vAlign w:val="center"/>
            <w:hideMark/>
          </w:tcPr>
          <w:p w14:paraId="0EDB7050" w14:textId="2FC705B6" w:rsidR="005C768D" w:rsidRPr="00C0001F" w:rsidRDefault="005C768D" w:rsidP="005C768D">
            <w:pPr>
              <w:spacing w:after="0" w:line="240" w:lineRule="auto"/>
              <w:jc w:val="right"/>
              <w:rPr>
                <w:rFonts w:asciiTheme="majorHAnsi" w:eastAsia="Times New Roman" w:hAnsiTheme="majorHAnsi" w:cs="Calibri"/>
                <w:color w:val="000000"/>
                <w:sz w:val="16"/>
                <w:szCs w:val="16"/>
                <w:highlight w:val="lightGray"/>
                <w:lang w:eastAsia="en-AU"/>
              </w:rPr>
            </w:pPr>
            <w:r>
              <w:rPr>
                <w:color w:val="000000"/>
                <w:sz w:val="16"/>
                <w:szCs w:val="16"/>
              </w:rPr>
              <w:t>1.17</w:t>
            </w:r>
          </w:p>
        </w:tc>
        <w:tc>
          <w:tcPr>
            <w:tcW w:w="609" w:type="pct"/>
            <w:gridSpan w:val="2"/>
            <w:vAlign w:val="center"/>
            <w:hideMark/>
          </w:tcPr>
          <w:p w14:paraId="13705826" w14:textId="0132D0E4" w:rsidR="005C768D" w:rsidRPr="00C0001F" w:rsidRDefault="005C768D" w:rsidP="005C768D">
            <w:pPr>
              <w:spacing w:after="0" w:line="240" w:lineRule="auto"/>
              <w:jc w:val="right"/>
              <w:rPr>
                <w:rFonts w:asciiTheme="majorHAnsi" w:eastAsia="Times New Roman" w:hAnsiTheme="majorHAnsi" w:cs="Calibri"/>
                <w:color w:val="000000"/>
                <w:sz w:val="16"/>
                <w:szCs w:val="16"/>
                <w:highlight w:val="lightGray"/>
                <w:lang w:eastAsia="en-AU"/>
              </w:rPr>
            </w:pPr>
            <w:r>
              <w:rPr>
                <w:color w:val="000000"/>
                <w:sz w:val="16"/>
                <w:szCs w:val="16"/>
              </w:rPr>
              <w:t>2.02</w:t>
            </w:r>
          </w:p>
        </w:tc>
      </w:tr>
      <w:tr w:rsidR="00B55607" w:rsidRPr="002D259B" w14:paraId="7C93F2CF" w14:textId="77777777" w:rsidTr="00B55607">
        <w:trPr>
          <w:trHeight w:val="39"/>
        </w:trPr>
        <w:tc>
          <w:tcPr>
            <w:tcW w:w="1125" w:type="pct"/>
            <w:hideMark/>
          </w:tcPr>
          <w:p w14:paraId="0A7DE77A" w14:textId="77777777" w:rsidR="00B55607" w:rsidRPr="00C0001F" w:rsidRDefault="00B55607" w:rsidP="00EB3261">
            <w:pPr>
              <w:spacing w:after="0" w:line="240" w:lineRule="auto"/>
              <w:ind w:left="0" w:right="0"/>
              <w:rPr>
                <w:rFonts w:asciiTheme="majorHAnsi" w:eastAsia="Times New Roman" w:hAnsiTheme="majorHAnsi" w:cs="Calibri"/>
                <w:color w:val="000000"/>
                <w:sz w:val="16"/>
                <w:szCs w:val="16"/>
                <w:lang w:eastAsia="en-AU"/>
              </w:rPr>
            </w:pPr>
            <w:r w:rsidRPr="00C0001F">
              <w:rPr>
                <w:rFonts w:asciiTheme="majorHAnsi" w:eastAsia="Times New Roman" w:hAnsiTheme="majorHAnsi" w:cs="Calibri"/>
                <w:color w:val="000000"/>
                <w:sz w:val="16"/>
                <w:szCs w:val="16"/>
                <w:lang w:eastAsia="en-AU"/>
              </w:rPr>
              <w:t>Change in Victorian FTE employment (%)</w:t>
            </w:r>
          </w:p>
        </w:tc>
        <w:tc>
          <w:tcPr>
            <w:tcW w:w="608" w:type="pct"/>
            <w:vAlign w:val="center"/>
            <w:hideMark/>
          </w:tcPr>
          <w:p w14:paraId="1B25D797" w14:textId="15847008" w:rsidR="00B55607" w:rsidRPr="00C0001F" w:rsidRDefault="00B55607" w:rsidP="00B55607">
            <w:pPr>
              <w:spacing w:after="0" w:line="240" w:lineRule="auto"/>
              <w:jc w:val="right"/>
              <w:rPr>
                <w:rFonts w:asciiTheme="majorHAnsi" w:eastAsia="Times New Roman" w:hAnsiTheme="majorHAnsi" w:cs="Calibri"/>
                <w:color w:val="000000"/>
                <w:sz w:val="16"/>
                <w:szCs w:val="16"/>
                <w:highlight w:val="lightGray"/>
                <w:lang w:eastAsia="en-AU"/>
              </w:rPr>
            </w:pPr>
            <w:r>
              <w:rPr>
                <w:color w:val="000000"/>
                <w:sz w:val="16"/>
                <w:szCs w:val="16"/>
              </w:rPr>
              <w:t>1.01</w:t>
            </w:r>
          </w:p>
        </w:tc>
        <w:tc>
          <w:tcPr>
            <w:tcW w:w="576" w:type="pct"/>
            <w:vAlign w:val="center"/>
            <w:hideMark/>
          </w:tcPr>
          <w:p w14:paraId="15CC6C0A" w14:textId="14CA950A" w:rsidR="00B55607" w:rsidRPr="00C0001F" w:rsidRDefault="00B55607" w:rsidP="00B55607">
            <w:pPr>
              <w:spacing w:after="0" w:line="240" w:lineRule="auto"/>
              <w:jc w:val="right"/>
              <w:rPr>
                <w:rFonts w:asciiTheme="majorHAnsi" w:eastAsia="Times New Roman" w:hAnsiTheme="majorHAnsi" w:cs="Calibri"/>
                <w:color w:val="000000"/>
                <w:sz w:val="16"/>
                <w:szCs w:val="16"/>
                <w:highlight w:val="lightGray"/>
                <w:lang w:eastAsia="en-AU"/>
              </w:rPr>
            </w:pPr>
            <w:r>
              <w:rPr>
                <w:color w:val="000000"/>
                <w:sz w:val="16"/>
                <w:szCs w:val="16"/>
              </w:rPr>
              <w:t>0.98</w:t>
            </w:r>
          </w:p>
        </w:tc>
        <w:tc>
          <w:tcPr>
            <w:tcW w:w="865" w:type="pct"/>
            <w:tcBorders>
              <w:top w:val="single" w:sz="4" w:space="0" w:color="000000" w:themeColor="text1"/>
              <w:right w:val="single" w:sz="4" w:space="0" w:color="auto"/>
            </w:tcBorders>
            <w:vAlign w:val="center"/>
            <w:hideMark/>
          </w:tcPr>
          <w:p w14:paraId="5E59673D" w14:textId="3AC44D1A" w:rsidR="00B55607" w:rsidRPr="00C0001F" w:rsidRDefault="00B55607" w:rsidP="00B55607">
            <w:pPr>
              <w:spacing w:after="0" w:line="240" w:lineRule="auto"/>
              <w:jc w:val="right"/>
              <w:rPr>
                <w:rFonts w:asciiTheme="majorHAnsi" w:eastAsia="Times New Roman" w:hAnsiTheme="majorHAnsi" w:cs="Calibri"/>
                <w:color w:val="000000"/>
                <w:sz w:val="16"/>
                <w:szCs w:val="16"/>
                <w:highlight w:val="lightGray"/>
                <w:lang w:eastAsia="en-AU"/>
              </w:rPr>
            </w:pPr>
            <w:r>
              <w:rPr>
                <w:color w:val="000000"/>
                <w:sz w:val="16"/>
                <w:szCs w:val="16"/>
              </w:rPr>
              <w:t>1.39</w:t>
            </w:r>
          </w:p>
        </w:tc>
        <w:tc>
          <w:tcPr>
            <w:tcW w:w="608" w:type="pct"/>
            <w:tcBorders>
              <w:left w:val="single" w:sz="4" w:space="0" w:color="auto"/>
            </w:tcBorders>
            <w:vAlign w:val="center"/>
            <w:hideMark/>
          </w:tcPr>
          <w:p w14:paraId="26DA846D" w14:textId="17CEC3F0" w:rsidR="00B55607" w:rsidRPr="00C0001F" w:rsidRDefault="00B55607" w:rsidP="00B55607">
            <w:pPr>
              <w:spacing w:after="0" w:line="240" w:lineRule="auto"/>
              <w:jc w:val="right"/>
              <w:rPr>
                <w:rFonts w:asciiTheme="majorHAnsi" w:eastAsia="Times New Roman" w:hAnsiTheme="majorHAnsi" w:cs="Calibri"/>
                <w:color w:val="000000"/>
                <w:sz w:val="16"/>
                <w:szCs w:val="16"/>
                <w:highlight w:val="lightGray"/>
                <w:lang w:eastAsia="en-AU"/>
              </w:rPr>
            </w:pPr>
            <w:r>
              <w:rPr>
                <w:color w:val="000000"/>
                <w:sz w:val="16"/>
                <w:szCs w:val="16"/>
              </w:rPr>
              <w:t>1.48</w:t>
            </w:r>
          </w:p>
        </w:tc>
        <w:tc>
          <w:tcPr>
            <w:tcW w:w="608" w:type="pct"/>
            <w:vAlign w:val="center"/>
            <w:hideMark/>
          </w:tcPr>
          <w:p w14:paraId="28170757" w14:textId="723F961E" w:rsidR="00B55607" w:rsidRPr="00C0001F" w:rsidRDefault="00B55607" w:rsidP="00B55607">
            <w:pPr>
              <w:spacing w:after="0" w:line="240" w:lineRule="auto"/>
              <w:jc w:val="right"/>
              <w:rPr>
                <w:rFonts w:asciiTheme="majorHAnsi" w:eastAsia="Times New Roman" w:hAnsiTheme="majorHAnsi" w:cs="Calibri"/>
                <w:color w:val="000000"/>
                <w:sz w:val="16"/>
                <w:szCs w:val="16"/>
                <w:highlight w:val="lightGray"/>
                <w:lang w:eastAsia="en-AU"/>
              </w:rPr>
            </w:pPr>
            <w:r>
              <w:rPr>
                <w:color w:val="000000"/>
                <w:sz w:val="16"/>
                <w:szCs w:val="16"/>
              </w:rPr>
              <w:t>1.37</w:t>
            </w:r>
          </w:p>
        </w:tc>
        <w:tc>
          <w:tcPr>
            <w:tcW w:w="609" w:type="pct"/>
            <w:gridSpan w:val="2"/>
            <w:vAlign w:val="center"/>
            <w:hideMark/>
          </w:tcPr>
          <w:p w14:paraId="168161DC" w14:textId="0C6EE521" w:rsidR="00B55607" w:rsidRPr="00C0001F" w:rsidRDefault="00B55607" w:rsidP="00B55607">
            <w:pPr>
              <w:spacing w:after="0" w:line="240" w:lineRule="auto"/>
              <w:jc w:val="right"/>
              <w:rPr>
                <w:rFonts w:asciiTheme="majorHAnsi" w:eastAsia="Times New Roman" w:hAnsiTheme="majorHAnsi" w:cs="Calibri"/>
                <w:color w:val="000000"/>
                <w:sz w:val="16"/>
                <w:szCs w:val="16"/>
                <w:highlight w:val="lightGray"/>
                <w:lang w:eastAsia="en-AU"/>
              </w:rPr>
            </w:pPr>
            <w:r>
              <w:rPr>
                <w:color w:val="000000"/>
                <w:sz w:val="16"/>
                <w:szCs w:val="16"/>
              </w:rPr>
              <w:t>2.14</w:t>
            </w:r>
          </w:p>
        </w:tc>
      </w:tr>
      <w:tr w:rsidR="00D0535D" w:rsidRPr="00E774CF" w14:paraId="1ADED1D7" w14:textId="77777777" w:rsidTr="00EB3261">
        <w:trPr>
          <w:gridAfter w:val="1"/>
          <w:wAfter w:w="57" w:type="pct"/>
          <w:trHeight w:val="39"/>
        </w:trPr>
        <w:tc>
          <w:tcPr>
            <w:tcW w:w="4943" w:type="pct"/>
            <w:gridSpan w:val="7"/>
            <w:shd w:val="clear" w:color="auto" w:fill="F2F2F2" w:themeFill="background1" w:themeFillShade="F2"/>
            <w:hideMark/>
          </w:tcPr>
          <w:p w14:paraId="52D6F0C0" w14:textId="1558C994" w:rsidR="00D0535D" w:rsidRPr="00C0001F" w:rsidRDefault="00D0535D" w:rsidP="00EB3261">
            <w:pPr>
              <w:spacing w:after="0" w:line="240" w:lineRule="auto"/>
              <w:ind w:left="0" w:right="0"/>
              <w:rPr>
                <w:rFonts w:asciiTheme="majorHAnsi" w:eastAsia="Times New Roman" w:hAnsiTheme="majorHAnsi" w:cs="Calibri"/>
                <w:b/>
                <w:bCs/>
                <w:color w:val="000000"/>
                <w:sz w:val="16"/>
                <w:szCs w:val="16"/>
                <w:lang w:eastAsia="en-AU"/>
              </w:rPr>
            </w:pPr>
            <w:r w:rsidRPr="00C0001F">
              <w:rPr>
                <w:rFonts w:asciiTheme="majorHAnsi" w:eastAsia="Times New Roman" w:hAnsiTheme="majorHAnsi" w:cs="Calibri"/>
                <w:b/>
                <w:bCs/>
                <w:sz w:val="16"/>
                <w:szCs w:val="16"/>
                <w:lang w:eastAsia="en-AU"/>
              </w:rPr>
              <w:t>Fiscal impacts</w:t>
            </w:r>
            <w:r w:rsidR="007E6105">
              <w:rPr>
                <w:rFonts w:asciiTheme="majorHAnsi" w:eastAsia="Times New Roman" w:hAnsiTheme="majorHAnsi" w:cs="Calibri"/>
                <w:b/>
                <w:bCs/>
                <w:sz w:val="16"/>
                <w:szCs w:val="16"/>
                <w:lang w:eastAsia="en-AU"/>
              </w:rPr>
              <w:t xml:space="preserve"> (202</w:t>
            </w:r>
            <w:r w:rsidR="00E8417B">
              <w:rPr>
                <w:rFonts w:asciiTheme="majorHAnsi" w:eastAsia="Times New Roman" w:hAnsiTheme="majorHAnsi" w:cs="Calibri"/>
                <w:b/>
                <w:bCs/>
                <w:sz w:val="16"/>
                <w:szCs w:val="16"/>
                <w:lang w:eastAsia="en-AU"/>
              </w:rPr>
              <w:t>5</w:t>
            </w:r>
            <w:r w:rsidR="007E6105">
              <w:rPr>
                <w:rFonts w:asciiTheme="majorHAnsi" w:eastAsia="Times New Roman" w:hAnsiTheme="majorHAnsi" w:cs="Calibri"/>
                <w:b/>
                <w:bCs/>
                <w:sz w:val="16"/>
                <w:szCs w:val="16"/>
                <w:lang w:eastAsia="en-AU"/>
              </w:rPr>
              <w:t xml:space="preserve"> dollars)</w:t>
            </w:r>
          </w:p>
        </w:tc>
      </w:tr>
      <w:tr w:rsidR="00EB3261" w:rsidRPr="002D259B" w14:paraId="71B38BB5" w14:textId="77777777" w:rsidTr="00EB3261">
        <w:trPr>
          <w:trHeight w:val="39"/>
        </w:trPr>
        <w:tc>
          <w:tcPr>
            <w:tcW w:w="1125" w:type="pct"/>
            <w:hideMark/>
          </w:tcPr>
          <w:p w14:paraId="7124E1A5" w14:textId="2C570EA0" w:rsidR="00F93904" w:rsidRPr="00C0001F" w:rsidRDefault="00F93904" w:rsidP="00EB3261">
            <w:pPr>
              <w:spacing w:after="0" w:line="240" w:lineRule="auto"/>
              <w:ind w:left="0" w:right="0"/>
              <w:rPr>
                <w:rFonts w:asciiTheme="majorHAnsi" w:eastAsia="Times New Roman" w:hAnsiTheme="majorHAnsi" w:cs="Calibri"/>
                <w:color w:val="000000"/>
                <w:sz w:val="16"/>
                <w:szCs w:val="16"/>
                <w:lang w:eastAsia="en-AU"/>
              </w:rPr>
            </w:pPr>
            <w:r>
              <w:rPr>
                <w:rFonts w:asciiTheme="majorHAnsi" w:eastAsia="Times New Roman" w:hAnsiTheme="majorHAnsi" w:cs="Calibri"/>
                <w:color w:val="000000" w:themeColor="text1"/>
                <w:sz w:val="16"/>
                <w:szCs w:val="16"/>
                <w:lang w:eastAsia="en-AU"/>
              </w:rPr>
              <w:t xml:space="preserve">Additional </w:t>
            </w:r>
            <w:r w:rsidRPr="6C25D9D9">
              <w:rPr>
                <w:rFonts w:asciiTheme="majorHAnsi" w:eastAsia="Times New Roman" w:hAnsiTheme="majorHAnsi" w:cs="Calibri"/>
                <w:color w:val="000000" w:themeColor="text1"/>
                <w:sz w:val="16"/>
                <w:szCs w:val="16"/>
                <w:lang w:eastAsia="en-AU"/>
              </w:rPr>
              <w:t>Vic. Gov taxation ($m)</w:t>
            </w:r>
          </w:p>
        </w:tc>
        <w:tc>
          <w:tcPr>
            <w:tcW w:w="0" w:type="pct"/>
            <w:vAlign w:val="center"/>
            <w:hideMark/>
          </w:tcPr>
          <w:p w14:paraId="2EF16E27" w14:textId="0A39FB26" w:rsidR="00F93904" w:rsidRPr="00D35594" w:rsidRDefault="00F93904" w:rsidP="004F2D44">
            <w:pPr>
              <w:spacing w:after="0" w:line="240" w:lineRule="auto"/>
              <w:jc w:val="right"/>
              <w:rPr>
                <w:rFonts w:asciiTheme="majorHAnsi" w:eastAsia="Times New Roman" w:hAnsiTheme="majorHAnsi" w:cs="Calibri"/>
                <w:color w:val="000000"/>
                <w:sz w:val="16"/>
                <w:szCs w:val="16"/>
                <w:highlight w:val="lightGray"/>
                <w:lang w:eastAsia="en-AU"/>
              </w:rPr>
            </w:pPr>
            <w:r w:rsidRPr="00EB3261">
              <w:rPr>
                <w:color w:val="000000"/>
                <w:sz w:val="16"/>
                <w:szCs w:val="16"/>
              </w:rPr>
              <w:t>524</w:t>
            </w:r>
          </w:p>
        </w:tc>
        <w:tc>
          <w:tcPr>
            <w:tcW w:w="0" w:type="pct"/>
            <w:vAlign w:val="center"/>
            <w:hideMark/>
          </w:tcPr>
          <w:p w14:paraId="7F1BA7B4" w14:textId="6D64A61C" w:rsidR="00F93904" w:rsidRPr="00D35594" w:rsidRDefault="00F93904" w:rsidP="004F2D44">
            <w:pPr>
              <w:spacing w:after="0" w:line="240" w:lineRule="auto"/>
              <w:jc w:val="right"/>
              <w:rPr>
                <w:rFonts w:asciiTheme="majorHAnsi" w:eastAsia="Times New Roman" w:hAnsiTheme="majorHAnsi" w:cs="Calibri"/>
                <w:color w:val="000000"/>
                <w:sz w:val="16"/>
                <w:szCs w:val="16"/>
                <w:highlight w:val="lightGray"/>
                <w:lang w:eastAsia="en-AU"/>
              </w:rPr>
            </w:pPr>
            <w:r w:rsidRPr="00EB3261">
              <w:rPr>
                <w:color w:val="000000"/>
                <w:sz w:val="16"/>
                <w:szCs w:val="16"/>
              </w:rPr>
              <w:t>347</w:t>
            </w:r>
          </w:p>
        </w:tc>
        <w:tc>
          <w:tcPr>
            <w:tcW w:w="865" w:type="pct"/>
            <w:tcBorders>
              <w:top w:val="single" w:sz="4" w:space="0" w:color="000000" w:themeColor="text1"/>
              <w:right w:val="single" w:sz="4" w:space="0" w:color="auto"/>
            </w:tcBorders>
            <w:vAlign w:val="center"/>
            <w:hideMark/>
          </w:tcPr>
          <w:p w14:paraId="62FDA6EA" w14:textId="0A749363" w:rsidR="00F93904" w:rsidRPr="00D35594" w:rsidRDefault="00F93904" w:rsidP="004F2D44">
            <w:pPr>
              <w:spacing w:after="0" w:line="240" w:lineRule="auto"/>
              <w:jc w:val="right"/>
              <w:rPr>
                <w:rFonts w:asciiTheme="majorHAnsi" w:eastAsia="Times New Roman" w:hAnsiTheme="majorHAnsi" w:cs="Calibri"/>
                <w:color w:val="000000"/>
                <w:sz w:val="16"/>
                <w:szCs w:val="16"/>
                <w:highlight w:val="lightGray"/>
                <w:lang w:eastAsia="en-AU"/>
              </w:rPr>
            </w:pPr>
            <w:r w:rsidRPr="00EB3261">
              <w:rPr>
                <w:color w:val="000000"/>
                <w:sz w:val="16"/>
                <w:szCs w:val="16"/>
              </w:rPr>
              <w:t>1,1</w:t>
            </w:r>
            <w:r w:rsidR="00790867">
              <w:rPr>
                <w:color w:val="000000"/>
                <w:sz w:val="16"/>
                <w:szCs w:val="16"/>
              </w:rPr>
              <w:t>34</w:t>
            </w:r>
          </w:p>
        </w:tc>
        <w:tc>
          <w:tcPr>
            <w:tcW w:w="608" w:type="pct"/>
            <w:tcBorders>
              <w:left w:val="single" w:sz="4" w:space="0" w:color="auto"/>
            </w:tcBorders>
            <w:vAlign w:val="center"/>
            <w:hideMark/>
          </w:tcPr>
          <w:p w14:paraId="37F94908" w14:textId="3546F144" w:rsidR="00F93904" w:rsidRPr="00D35594" w:rsidRDefault="00F93904" w:rsidP="004F2D44">
            <w:pPr>
              <w:spacing w:after="0" w:line="240" w:lineRule="auto"/>
              <w:jc w:val="right"/>
              <w:rPr>
                <w:rFonts w:asciiTheme="majorHAnsi" w:eastAsia="Times New Roman" w:hAnsiTheme="majorHAnsi" w:cs="Calibri"/>
                <w:color w:val="000000"/>
                <w:sz w:val="16"/>
                <w:szCs w:val="16"/>
                <w:highlight w:val="lightGray"/>
                <w:lang w:eastAsia="en-AU"/>
              </w:rPr>
            </w:pPr>
            <w:r w:rsidRPr="00EB3261">
              <w:rPr>
                <w:color w:val="000000"/>
                <w:sz w:val="16"/>
                <w:szCs w:val="16"/>
              </w:rPr>
              <w:t>767</w:t>
            </w:r>
          </w:p>
        </w:tc>
        <w:tc>
          <w:tcPr>
            <w:tcW w:w="0" w:type="pct"/>
            <w:vAlign w:val="center"/>
            <w:hideMark/>
          </w:tcPr>
          <w:p w14:paraId="71739291" w14:textId="7DA28F4C" w:rsidR="00F93904" w:rsidRPr="00D35594" w:rsidRDefault="00F93904" w:rsidP="004F2D44">
            <w:pPr>
              <w:spacing w:after="0" w:line="240" w:lineRule="auto"/>
              <w:jc w:val="right"/>
              <w:rPr>
                <w:rFonts w:asciiTheme="majorHAnsi" w:eastAsia="Times New Roman" w:hAnsiTheme="majorHAnsi" w:cs="Calibri"/>
                <w:color w:val="000000"/>
                <w:sz w:val="16"/>
                <w:szCs w:val="16"/>
                <w:highlight w:val="lightGray"/>
                <w:lang w:eastAsia="en-AU"/>
              </w:rPr>
            </w:pPr>
            <w:r w:rsidRPr="00EB3261">
              <w:rPr>
                <w:color w:val="000000"/>
                <w:sz w:val="16"/>
                <w:szCs w:val="16"/>
              </w:rPr>
              <w:t>472</w:t>
            </w:r>
          </w:p>
        </w:tc>
        <w:tc>
          <w:tcPr>
            <w:tcW w:w="0" w:type="pct"/>
            <w:gridSpan w:val="2"/>
            <w:vAlign w:val="center"/>
            <w:hideMark/>
          </w:tcPr>
          <w:p w14:paraId="79CABCA2" w14:textId="60604F64" w:rsidR="00F93904" w:rsidRPr="00D35594" w:rsidRDefault="00F93904" w:rsidP="004F2D44">
            <w:pPr>
              <w:spacing w:after="0" w:line="240" w:lineRule="auto"/>
              <w:jc w:val="right"/>
              <w:rPr>
                <w:rFonts w:asciiTheme="majorHAnsi" w:eastAsia="Times New Roman" w:hAnsiTheme="majorHAnsi" w:cs="Calibri"/>
                <w:color w:val="000000"/>
                <w:sz w:val="16"/>
                <w:szCs w:val="16"/>
                <w:highlight w:val="lightGray"/>
                <w:lang w:eastAsia="en-AU"/>
              </w:rPr>
            </w:pPr>
            <w:r w:rsidRPr="00EB3261">
              <w:rPr>
                <w:color w:val="000000"/>
                <w:sz w:val="16"/>
                <w:szCs w:val="16"/>
              </w:rPr>
              <w:t>1,713</w:t>
            </w:r>
          </w:p>
        </w:tc>
      </w:tr>
      <w:tr w:rsidR="00EB3261" w:rsidRPr="00E774CF" w14:paraId="3880851F" w14:textId="77777777" w:rsidTr="00EB3261">
        <w:trPr>
          <w:trHeight w:val="39"/>
        </w:trPr>
        <w:tc>
          <w:tcPr>
            <w:tcW w:w="1125" w:type="pct"/>
            <w:hideMark/>
          </w:tcPr>
          <w:p w14:paraId="10039E83" w14:textId="118DA235" w:rsidR="00C24386" w:rsidRPr="00C0001F" w:rsidRDefault="00C24386" w:rsidP="00EB3261">
            <w:pPr>
              <w:spacing w:after="0" w:line="240" w:lineRule="auto"/>
              <w:ind w:left="0" w:right="0"/>
              <w:rPr>
                <w:rFonts w:asciiTheme="majorHAnsi" w:eastAsia="Times New Roman" w:hAnsiTheme="majorHAnsi" w:cs="Calibri"/>
                <w:color w:val="000000"/>
                <w:sz w:val="16"/>
                <w:szCs w:val="16"/>
                <w:lang w:eastAsia="en-AU"/>
              </w:rPr>
            </w:pPr>
            <w:r>
              <w:rPr>
                <w:rFonts w:asciiTheme="majorHAnsi" w:eastAsia="Times New Roman" w:hAnsiTheme="majorHAnsi" w:cs="Calibri"/>
                <w:color w:val="000000" w:themeColor="text1"/>
                <w:sz w:val="16"/>
                <w:szCs w:val="16"/>
                <w:lang w:eastAsia="en-AU"/>
              </w:rPr>
              <w:t xml:space="preserve">Additional </w:t>
            </w:r>
            <w:r w:rsidRPr="6C25D9D9">
              <w:rPr>
                <w:rFonts w:asciiTheme="majorHAnsi" w:eastAsia="Times New Roman" w:hAnsiTheme="majorHAnsi" w:cs="Calibri"/>
                <w:color w:val="000000" w:themeColor="text1"/>
                <w:sz w:val="16"/>
                <w:szCs w:val="16"/>
                <w:lang w:eastAsia="en-AU"/>
              </w:rPr>
              <w:t>Aus. Gov taxation + GST contribution ($m)</w:t>
            </w:r>
          </w:p>
        </w:tc>
        <w:tc>
          <w:tcPr>
            <w:tcW w:w="0" w:type="pct"/>
            <w:vAlign w:val="center"/>
            <w:hideMark/>
          </w:tcPr>
          <w:p w14:paraId="75E4AF86" w14:textId="69D2A809" w:rsidR="00C24386" w:rsidRPr="00D35594" w:rsidRDefault="00C24386" w:rsidP="004F2D44">
            <w:pPr>
              <w:spacing w:after="0" w:line="240" w:lineRule="auto"/>
              <w:jc w:val="right"/>
              <w:rPr>
                <w:rFonts w:asciiTheme="majorHAnsi" w:eastAsia="Times New Roman" w:hAnsiTheme="majorHAnsi" w:cs="Calibri"/>
                <w:color w:val="000000"/>
                <w:sz w:val="16"/>
                <w:szCs w:val="16"/>
                <w:highlight w:val="lightGray"/>
                <w:lang w:eastAsia="en-AU"/>
              </w:rPr>
            </w:pPr>
            <w:r w:rsidRPr="00EB3261">
              <w:rPr>
                <w:color w:val="000000"/>
                <w:sz w:val="16"/>
                <w:szCs w:val="16"/>
              </w:rPr>
              <w:t>2,208</w:t>
            </w:r>
          </w:p>
        </w:tc>
        <w:tc>
          <w:tcPr>
            <w:tcW w:w="0" w:type="pct"/>
            <w:vAlign w:val="center"/>
            <w:hideMark/>
          </w:tcPr>
          <w:p w14:paraId="612EA0C3" w14:textId="51855303" w:rsidR="00C24386" w:rsidRPr="00D35594" w:rsidRDefault="00C24386" w:rsidP="004F2D44">
            <w:pPr>
              <w:spacing w:after="0" w:line="240" w:lineRule="auto"/>
              <w:jc w:val="right"/>
              <w:rPr>
                <w:rFonts w:asciiTheme="majorHAnsi" w:eastAsia="Times New Roman" w:hAnsiTheme="majorHAnsi" w:cs="Calibri"/>
                <w:color w:val="000000"/>
                <w:sz w:val="16"/>
                <w:szCs w:val="16"/>
                <w:highlight w:val="lightGray"/>
                <w:lang w:eastAsia="en-AU"/>
              </w:rPr>
            </w:pPr>
            <w:r w:rsidRPr="00EB3261">
              <w:rPr>
                <w:color w:val="000000"/>
                <w:sz w:val="16"/>
                <w:szCs w:val="16"/>
              </w:rPr>
              <w:t>1,419</w:t>
            </w:r>
          </w:p>
        </w:tc>
        <w:tc>
          <w:tcPr>
            <w:tcW w:w="865" w:type="pct"/>
            <w:tcBorders>
              <w:top w:val="single" w:sz="4" w:space="0" w:color="000000" w:themeColor="text1"/>
              <w:right w:val="single" w:sz="4" w:space="0" w:color="auto"/>
            </w:tcBorders>
            <w:vAlign w:val="center"/>
            <w:hideMark/>
          </w:tcPr>
          <w:p w14:paraId="54DA470F" w14:textId="43B594FB" w:rsidR="00C24386" w:rsidRPr="00D35594" w:rsidRDefault="004F7EB0" w:rsidP="004F2D44">
            <w:pPr>
              <w:spacing w:after="0" w:line="240" w:lineRule="auto"/>
              <w:jc w:val="right"/>
              <w:rPr>
                <w:rFonts w:asciiTheme="majorHAnsi" w:eastAsia="Times New Roman" w:hAnsiTheme="majorHAnsi" w:cs="Calibri"/>
                <w:color w:val="000000"/>
                <w:sz w:val="16"/>
                <w:szCs w:val="16"/>
                <w:highlight w:val="lightGray"/>
                <w:lang w:eastAsia="en-AU"/>
              </w:rPr>
            </w:pPr>
            <w:r>
              <w:rPr>
                <w:color w:val="000000"/>
                <w:sz w:val="16"/>
                <w:szCs w:val="16"/>
              </w:rPr>
              <w:t>4,90</w:t>
            </w:r>
            <w:r w:rsidR="00F8073E">
              <w:rPr>
                <w:color w:val="000000"/>
                <w:sz w:val="16"/>
                <w:szCs w:val="16"/>
              </w:rPr>
              <w:t>3</w:t>
            </w:r>
          </w:p>
        </w:tc>
        <w:tc>
          <w:tcPr>
            <w:tcW w:w="608" w:type="pct"/>
            <w:tcBorders>
              <w:left w:val="single" w:sz="4" w:space="0" w:color="auto"/>
            </w:tcBorders>
            <w:vAlign w:val="center"/>
            <w:hideMark/>
          </w:tcPr>
          <w:p w14:paraId="54E4EBB5" w14:textId="282133D5" w:rsidR="00C24386" w:rsidRPr="00D35594" w:rsidRDefault="00C24386" w:rsidP="004F2D44">
            <w:pPr>
              <w:spacing w:after="0" w:line="240" w:lineRule="auto"/>
              <w:jc w:val="right"/>
              <w:rPr>
                <w:rFonts w:asciiTheme="majorHAnsi" w:eastAsia="Times New Roman" w:hAnsiTheme="majorHAnsi" w:cs="Calibri"/>
                <w:color w:val="000000"/>
                <w:sz w:val="16"/>
                <w:szCs w:val="16"/>
                <w:highlight w:val="lightGray"/>
                <w:lang w:eastAsia="en-AU"/>
              </w:rPr>
            </w:pPr>
            <w:r w:rsidRPr="00EB3261">
              <w:rPr>
                <w:color w:val="000000"/>
                <w:sz w:val="16"/>
                <w:szCs w:val="16"/>
              </w:rPr>
              <w:t>3,195</w:t>
            </w:r>
          </w:p>
        </w:tc>
        <w:tc>
          <w:tcPr>
            <w:tcW w:w="0" w:type="pct"/>
            <w:vAlign w:val="center"/>
            <w:hideMark/>
          </w:tcPr>
          <w:p w14:paraId="6D334FC0" w14:textId="1CCE4A46" w:rsidR="00C24386" w:rsidRPr="00D35594" w:rsidRDefault="00C24386" w:rsidP="004F2D44">
            <w:pPr>
              <w:spacing w:after="0" w:line="240" w:lineRule="auto"/>
              <w:jc w:val="right"/>
              <w:rPr>
                <w:rFonts w:asciiTheme="majorHAnsi" w:eastAsia="Times New Roman" w:hAnsiTheme="majorHAnsi" w:cs="Calibri"/>
                <w:color w:val="000000"/>
                <w:sz w:val="16"/>
                <w:szCs w:val="16"/>
                <w:highlight w:val="lightGray"/>
                <w:lang w:eastAsia="en-AU"/>
              </w:rPr>
            </w:pPr>
            <w:r w:rsidRPr="00EB3261">
              <w:rPr>
                <w:color w:val="000000"/>
                <w:sz w:val="16"/>
                <w:szCs w:val="16"/>
              </w:rPr>
              <w:t>1,878</w:t>
            </w:r>
          </w:p>
        </w:tc>
        <w:tc>
          <w:tcPr>
            <w:tcW w:w="0" w:type="pct"/>
            <w:gridSpan w:val="2"/>
            <w:vAlign w:val="center"/>
            <w:hideMark/>
          </w:tcPr>
          <w:p w14:paraId="64876026" w14:textId="31041561" w:rsidR="00C24386" w:rsidRPr="00D35594" w:rsidRDefault="00C24386" w:rsidP="004F2D44">
            <w:pPr>
              <w:spacing w:after="0" w:line="240" w:lineRule="auto"/>
              <w:jc w:val="right"/>
              <w:rPr>
                <w:rFonts w:asciiTheme="majorHAnsi" w:eastAsia="Times New Roman" w:hAnsiTheme="majorHAnsi" w:cs="Calibri"/>
                <w:color w:val="000000"/>
                <w:sz w:val="16"/>
                <w:szCs w:val="16"/>
                <w:highlight w:val="lightGray"/>
                <w:lang w:eastAsia="en-AU"/>
              </w:rPr>
            </w:pPr>
            <w:r w:rsidRPr="00EB3261">
              <w:rPr>
                <w:color w:val="000000"/>
                <w:sz w:val="16"/>
                <w:szCs w:val="16"/>
              </w:rPr>
              <w:t>7,368</w:t>
            </w:r>
          </w:p>
        </w:tc>
      </w:tr>
      <w:tr w:rsidR="00EB3261" w:rsidRPr="002D259B" w14:paraId="05C52E88" w14:textId="77777777" w:rsidTr="00EB3261">
        <w:trPr>
          <w:trHeight w:val="86"/>
        </w:trPr>
        <w:tc>
          <w:tcPr>
            <w:tcW w:w="1125" w:type="pct"/>
            <w:hideMark/>
          </w:tcPr>
          <w:p w14:paraId="357FBEA5" w14:textId="77777777" w:rsidR="00D35594" w:rsidRPr="00C0001F" w:rsidRDefault="00D35594" w:rsidP="00EB3261">
            <w:pPr>
              <w:spacing w:after="0" w:line="240" w:lineRule="auto"/>
              <w:ind w:left="0" w:right="0"/>
              <w:rPr>
                <w:rFonts w:asciiTheme="majorHAnsi" w:eastAsia="Times New Roman" w:hAnsiTheme="majorHAnsi" w:cs="Calibri"/>
                <w:color w:val="000000"/>
                <w:sz w:val="16"/>
                <w:szCs w:val="16"/>
                <w:lang w:eastAsia="en-AU"/>
              </w:rPr>
            </w:pPr>
            <w:r w:rsidRPr="00C0001F">
              <w:rPr>
                <w:rFonts w:asciiTheme="majorHAnsi" w:eastAsia="Times New Roman" w:hAnsiTheme="majorHAnsi" w:cs="Calibri"/>
                <w:color w:val="000000"/>
                <w:sz w:val="16"/>
                <w:szCs w:val="16"/>
                <w:lang w:eastAsia="en-AU"/>
              </w:rPr>
              <w:t>Cost savings due to improved social outcomes ($m)</w:t>
            </w:r>
          </w:p>
        </w:tc>
        <w:tc>
          <w:tcPr>
            <w:tcW w:w="0" w:type="pct"/>
            <w:vAlign w:val="center"/>
            <w:hideMark/>
          </w:tcPr>
          <w:p w14:paraId="00C18541" w14:textId="2E28536C" w:rsidR="00D35594" w:rsidRPr="00D35594" w:rsidRDefault="00D35594" w:rsidP="004F2D44">
            <w:pPr>
              <w:spacing w:after="0" w:line="240" w:lineRule="auto"/>
              <w:jc w:val="right"/>
              <w:rPr>
                <w:rFonts w:asciiTheme="majorHAnsi" w:eastAsia="Times New Roman" w:hAnsiTheme="majorHAnsi" w:cs="Calibri"/>
                <w:color w:val="000000"/>
                <w:sz w:val="16"/>
                <w:szCs w:val="16"/>
                <w:highlight w:val="lightGray"/>
                <w:lang w:eastAsia="en-AU"/>
              </w:rPr>
            </w:pPr>
            <w:r w:rsidRPr="00EB3261">
              <w:rPr>
                <w:color w:val="000000"/>
                <w:sz w:val="16"/>
                <w:szCs w:val="16"/>
              </w:rPr>
              <w:t>4</w:t>
            </w:r>
            <w:r w:rsidR="001D4000">
              <w:rPr>
                <w:color w:val="000000"/>
                <w:sz w:val="16"/>
                <w:szCs w:val="16"/>
              </w:rPr>
              <w:t>7</w:t>
            </w:r>
            <w:r w:rsidRPr="00EB3261">
              <w:rPr>
                <w:color w:val="000000"/>
                <w:sz w:val="16"/>
                <w:szCs w:val="16"/>
              </w:rPr>
              <w:t xml:space="preserve"> </w:t>
            </w:r>
          </w:p>
        </w:tc>
        <w:tc>
          <w:tcPr>
            <w:tcW w:w="0" w:type="pct"/>
            <w:vAlign w:val="center"/>
            <w:hideMark/>
          </w:tcPr>
          <w:p w14:paraId="1B21C2C4" w14:textId="5C1530D2" w:rsidR="00D35594" w:rsidRPr="00D35594" w:rsidRDefault="00D35594" w:rsidP="004F2D44">
            <w:pPr>
              <w:spacing w:after="0" w:line="240" w:lineRule="auto"/>
              <w:jc w:val="right"/>
              <w:rPr>
                <w:rFonts w:asciiTheme="majorHAnsi" w:eastAsia="Times New Roman" w:hAnsiTheme="majorHAnsi" w:cs="Calibri"/>
                <w:color w:val="000000"/>
                <w:sz w:val="16"/>
                <w:szCs w:val="16"/>
                <w:highlight w:val="lightGray"/>
                <w:lang w:eastAsia="en-AU"/>
              </w:rPr>
            </w:pPr>
            <w:r w:rsidRPr="00EB3261">
              <w:rPr>
                <w:color w:val="000000"/>
                <w:sz w:val="16"/>
                <w:szCs w:val="16"/>
              </w:rPr>
              <w:t>0</w:t>
            </w:r>
          </w:p>
        </w:tc>
        <w:tc>
          <w:tcPr>
            <w:tcW w:w="865" w:type="pct"/>
            <w:tcBorders>
              <w:top w:val="single" w:sz="4" w:space="0" w:color="000000" w:themeColor="text1"/>
              <w:right w:val="single" w:sz="4" w:space="0" w:color="auto"/>
            </w:tcBorders>
            <w:vAlign w:val="center"/>
            <w:hideMark/>
          </w:tcPr>
          <w:p w14:paraId="79399CDD" w14:textId="54CA25FF" w:rsidR="00D35594" w:rsidRPr="00D35594" w:rsidRDefault="00D35594" w:rsidP="004F2D44">
            <w:pPr>
              <w:spacing w:after="0" w:line="240" w:lineRule="auto"/>
              <w:jc w:val="right"/>
              <w:rPr>
                <w:rFonts w:asciiTheme="majorHAnsi" w:eastAsia="Times New Roman" w:hAnsiTheme="majorHAnsi" w:cs="Calibri"/>
                <w:color w:val="000000"/>
                <w:sz w:val="16"/>
                <w:szCs w:val="16"/>
                <w:highlight w:val="lightGray"/>
                <w:lang w:eastAsia="en-AU"/>
              </w:rPr>
            </w:pPr>
            <w:r w:rsidRPr="00EB3261">
              <w:rPr>
                <w:color w:val="000000"/>
                <w:sz w:val="16"/>
                <w:szCs w:val="16"/>
              </w:rPr>
              <w:t>1</w:t>
            </w:r>
            <w:r w:rsidR="00066FAC">
              <w:rPr>
                <w:color w:val="000000"/>
                <w:sz w:val="16"/>
                <w:szCs w:val="16"/>
              </w:rPr>
              <w:t>9</w:t>
            </w:r>
            <w:r w:rsidR="00454644">
              <w:rPr>
                <w:color w:val="000000"/>
                <w:sz w:val="16"/>
                <w:szCs w:val="16"/>
              </w:rPr>
              <w:t>8</w:t>
            </w:r>
          </w:p>
        </w:tc>
        <w:tc>
          <w:tcPr>
            <w:tcW w:w="608" w:type="pct"/>
            <w:tcBorders>
              <w:left w:val="single" w:sz="4" w:space="0" w:color="auto"/>
            </w:tcBorders>
            <w:vAlign w:val="center"/>
            <w:hideMark/>
          </w:tcPr>
          <w:p w14:paraId="3243B073" w14:textId="4DA2ABA5" w:rsidR="00D35594" w:rsidRPr="00D35594" w:rsidRDefault="001D4000" w:rsidP="004F2D44">
            <w:pPr>
              <w:spacing w:after="0" w:line="240" w:lineRule="auto"/>
              <w:jc w:val="right"/>
              <w:rPr>
                <w:rFonts w:asciiTheme="majorHAnsi" w:eastAsia="Times New Roman" w:hAnsiTheme="majorHAnsi" w:cs="Calibri"/>
                <w:color w:val="000000"/>
                <w:sz w:val="16"/>
                <w:szCs w:val="16"/>
                <w:highlight w:val="lightGray"/>
                <w:lang w:eastAsia="en-AU"/>
              </w:rPr>
            </w:pPr>
            <w:r>
              <w:rPr>
                <w:color w:val="000000"/>
                <w:sz w:val="16"/>
                <w:szCs w:val="16"/>
              </w:rPr>
              <w:t>6</w:t>
            </w:r>
            <w:r w:rsidR="00454644">
              <w:rPr>
                <w:color w:val="000000"/>
                <w:sz w:val="16"/>
                <w:szCs w:val="16"/>
              </w:rPr>
              <w:t>3</w:t>
            </w:r>
            <w:r w:rsidR="00D35594" w:rsidRPr="00EB3261">
              <w:rPr>
                <w:color w:val="000000"/>
                <w:sz w:val="16"/>
                <w:szCs w:val="16"/>
              </w:rPr>
              <w:t xml:space="preserve"> </w:t>
            </w:r>
          </w:p>
        </w:tc>
        <w:tc>
          <w:tcPr>
            <w:tcW w:w="0" w:type="pct"/>
            <w:vAlign w:val="center"/>
            <w:hideMark/>
          </w:tcPr>
          <w:p w14:paraId="69D50C0F" w14:textId="749FBD32" w:rsidR="00D35594" w:rsidRPr="00D35594" w:rsidRDefault="00D35594" w:rsidP="004F2D44">
            <w:pPr>
              <w:spacing w:after="0" w:line="240" w:lineRule="auto"/>
              <w:jc w:val="right"/>
              <w:rPr>
                <w:rFonts w:asciiTheme="majorHAnsi" w:eastAsia="Times New Roman" w:hAnsiTheme="majorHAnsi" w:cs="Calibri"/>
                <w:color w:val="000000"/>
                <w:sz w:val="16"/>
                <w:szCs w:val="16"/>
                <w:highlight w:val="lightGray"/>
                <w:lang w:eastAsia="en-AU"/>
              </w:rPr>
            </w:pPr>
            <w:r w:rsidRPr="00EB3261">
              <w:rPr>
                <w:color w:val="000000"/>
                <w:sz w:val="16"/>
                <w:szCs w:val="16"/>
              </w:rPr>
              <w:t>0</w:t>
            </w:r>
          </w:p>
        </w:tc>
        <w:tc>
          <w:tcPr>
            <w:tcW w:w="0" w:type="pct"/>
            <w:gridSpan w:val="2"/>
            <w:vAlign w:val="center"/>
            <w:hideMark/>
          </w:tcPr>
          <w:p w14:paraId="2D3C84F3" w14:textId="1B11D092" w:rsidR="00D35594" w:rsidRPr="00D35594" w:rsidRDefault="00D35594" w:rsidP="004F2D44">
            <w:pPr>
              <w:spacing w:after="0" w:line="240" w:lineRule="auto"/>
              <w:jc w:val="right"/>
              <w:rPr>
                <w:rFonts w:asciiTheme="majorHAnsi" w:eastAsia="Times New Roman" w:hAnsiTheme="majorHAnsi" w:cs="Calibri"/>
                <w:color w:val="000000"/>
                <w:sz w:val="16"/>
                <w:szCs w:val="16"/>
                <w:highlight w:val="lightGray"/>
                <w:lang w:eastAsia="en-AU"/>
              </w:rPr>
            </w:pPr>
            <w:r w:rsidRPr="00EB3261">
              <w:rPr>
                <w:color w:val="000000"/>
                <w:sz w:val="16"/>
                <w:szCs w:val="16"/>
              </w:rPr>
              <w:t>2</w:t>
            </w:r>
            <w:r w:rsidR="00066FAC">
              <w:rPr>
                <w:color w:val="000000"/>
                <w:sz w:val="16"/>
                <w:szCs w:val="16"/>
              </w:rPr>
              <w:t>6</w:t>
            </w:r>
            <w:r w:rsidR="00454644">
              <w:rPr>
                <w:color w:val="000000"/>
                <w:sz w:val="16"/>
                <w:szCs w:val="16"/>
              </w:rPr>
              <w:t>5</w:t>
            </w:r>
          </w:p>
        </w:tc>
      </w:tr>
    </w:tbl>
    <w:p w14:paraId="2E9A5D12" w14:textId="157B3D18" w:rsidR="00BC164B" w:rsidRDefault="00D0535D">
      <w:pPr>
        <w:pStyle w:val="Source"/>
        <w:spacing w:after="0"/>
        <w:contextualSpacing/>
      </w:pPr>
      <w:r>
        <w:t>Source: Deloitte Access Economics (202</w:t>
      </w:r>
      <w:r w:rsidR="00096AB8">
        <w:t>5</w:t>
      </w:r>
      <w:r>
        <w:t xml:space="preserve">). </w:t>
      </w:r>
      <w:r w:rsidR="00034765">
        <w:t xml:space="preserve"> *These are the expected benefits for primary carers while their children are </w:t>
      </w:r>
      <w:r w:rsidR="00043635">
        <w:t>of kindergarten age</w:t>
      </w:r>
      <w:r w:rsidR="008B3EF9">
        <w:t xml:space="preserve">. Improved wage and employment outcomes </w:t>
      </w:r>
      <w:r w:rsidR="00043635">
        <w:t xml:space="preserve">after their children are no longer in kindergarten due to a shorter career break are </w:t>
      </w:r>
      <w:r w:rsidR="00AD231B">
        <w:t xml:space="preserve">not included here. </w:t>
      </w:r>
    </w:p>
    <w:p w14:paraId="7250C5A1" w14:textId="77777777" w:rsidR="006C7F8E" w:rsidRDefault="006C7F8E" w:rsidP="006C7F8E"/>
    <w:p w14:paraId="6B98889B" w14:textId="77777777" w:rsidR="006C7F8E" w:rsidRDefault="006C7F8E" w:rsidP="006C7F8E"/>
    <w:p w14:paraId="6285A07B" w14:textId="77777777" w:rsidR="006C7F8E" w:rsidRDefault="006C7F8E" w:rsidP="006C7F8E">
      <w:pPr>
        <w:pStyle w:val="Heading4un-numbered"/>
      </w:pPr>
      <w:r w:rsidRPr="00DD22FF">
        <w:t>Deloitte Access Economics</w:t>
      </w:r>
    </w:p>
    <w:p w14:paraId="391960F0" w14:textId="4888F0B4" w:rsidR="00BC164B" w:rsidRPr="00672300" w:rsidRDefault="00BC164B" w:rsidP="008763FA">
      <w:pPr>
        <w:rPr>
          <w:iCs/>
        </w:rPr>
        <w:sectPr w:rsidR="00BC164B" w:rsidRPr="00672300" w:rsidSect="005F043A">
          <w:headerReference w:type="default" r:id="rId23"/>
          <w:footerReference w:type="even" r:id="rId24"/>
          <w:footerReference w:type="default" r:id="rId25"/>
          <w:footerReference w:type="first" r:id="rId26"/>
          <w:pgSz w:w="11906" w:h="16838" w:code="9"/>
          <w:pgMar w:top="1440" w:right="1440" w:bottom="1440" w:left="1440" w:header="680" w:footer="425" w:gutter="0"/>
          <w:pgNumType w:fmt="lowerRoman" w:start="1"/>
          <w:cols w:space="284"/>
          <w:noEndnote/>
          <w:docGrid w:linePitch="360"/>
        </w:sectPr>
      </w:pPr>
    </w:p>
    <w:p w14:paraId="1DA8B7B3" w14:textId="307AF076" w:rsidR="00F9113D" w:rsidRDefault="00F9113D" w:rsidP="00731587">
      <w:pPr>
        <w:pStyle w:val="ExecutiveHeading"/>
      </w:pPr>
      <w:bookmarkStart w:id="16" w:name="_Toc215906318"/>
      <w:bookmarkStart w:id="17" w:name="_Toc227746675"/>
      <w:bookmarkStart w:id="18" w:name="_Toc227746679"/>
      <w:bookmarkStart w:id="19" w:name="_Toc227746683"/>
      <w:bookmarkStart w:id="20" w:name="_Toc227746687"/>
      <w:bookmarkStart w:id="21" w:name="_Toc227748309"/>
      <w:bookmarkStart w:id="22" w:name="_Toc227748327"/>
      <w:bookmarkStart w:id="23" w:name="_Toc227748331"/>
      <w:bookmarkStart w:id="24" w:name="_Toc227748335"/>
      <w:bookmarkStart w:id="25" w:name="_Toc227748374"/>
      <w:bookmarkStart w:id="26" w:name="_Toc227748378"/>
      <w:bookmarkStart w:id="27" w:name="_Toc227748382"/>
      <w:bookmarkStart w:id="28" w:name="_Toc227748494"/>
      <w:bookmarkStart w:id="29" w:name="_Toc227748498"/>
      <w:bookmarkStart w:id="30" w:name="_Toc228005205"/>
      <w:bookmarkStart w:id="31" w:name="_Toc228092496"/>
      <w:bookmarkStart w:id="32" w:name="_Toc228264951"/>
      <w:bookmarkStart w:id="33" w:name="_Toc228264973"/>
      <w:bookmarkStart w:id="34" w:name="_Toc228264977"/>
      <w:bookmarkStart w:id="35" w:name="_Toc228264981"/>
      <w:bookmarkStart w:id="36" w:name="_Toc228264985"/>
      <w:bookmarkStart w:id="37" w:name="_Toc228265215"/>
      <w:bookmarkStart w:id="38" w:name="_Toc288198024"/>
      <w:bookmarkStart w:id="39" w:name="_Toc448829185"/>
      <w:bookmarkStart w:id="40" w:name="_Toc456353381"/>
      <w:bookmarkStart w:id="41" w:name="_Toc462313128"/>
      <w:bookmarkStart w:id="42" w:name="_Toc462317837"/>
      <w:bookmarkStart w:id="43" w:name="_Toc462397802"/>
      <w:bookmarkStart w:id="44" w:name="_Toc463002429"/>
      <w:bookmarkStart w:id="45" w:name="_Toc472586341"/>
      <w:bookmarkStart w:id="46" w:name="_Toc482168119"/>
      <w:bookmarkStart w:id="47" w:name="_Toc482174906"/>
      <w:bookmarkStart w:id="48" w:name="_Toc152334890"/>
      <w:bookmarkStart w:id="49" w:name="_Toc209718539"/>
      <w:r w:rsidRPr="000B136C">
        <w:lastRenderedPageBreak/>
        <w:t>Executive summary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B2462C7" w14:textId="69C7082A" w:rsidR="00716BE4" w:rsidRDefault="008A717B" w:rsidP="00716BE4">
      <w:r w:rsidRPr="008A717B">
        <w:t>A well-functioning early childhood education and care (ECEC) system plays a dual role in supporting Victoria’s economic and social prosperity.</w:t>
      </w:r>
    </w:p>
    <w:p w14:paraId="136E2916" w14:textId="09990870" w:rsidR="00A72026" w:rsidRDefault="00A72026" w:rsidP="00A72026">
      <w:pPr>
        <w:rPr>
          <w:lang w:val="en-US"/>
        </w:rPr>
      </w:pPr>
      <w:r>
        <w:rPr>
          <w:lang w:val="en-US"/>
        </w:rPr>
        <w:t>Access to</w:t>
      </w:r>
      <w:r w:rsidR="003D7844">
        <w:rPr>
          <w:lang w:val="en-US"/>
        </w:rPr>
        <w:t xml:space="preserve"> affordable</w:t>
      </w:r>
      <w:r>
        <w:rPr>
          <w:lang w:val="en-US"/>
        </w:rPr>
        <w:t xml:space="preserve"> ECEC is essential to enabling parents – especially primary carers – to participate in the </w:t>
      </w:r>
      <w:proofErr w:type="spellStart"/>
      <w:r>
        <w:rPr>
          <w:lang w:val="en-US"/>
        </w:rPr>
        <w:t>labour</w:t>
      </w:r>
      <w:proofErr w:type="spellEnd"/>
      <w:r>
        <w:rPr>
          <w:lang w:val="en-US"/>
        </w:rPr>
        <w:t xml:space="preserve"> force, supporting them to re-enter the workforce and to work their desired hours</w:t>
      </w:r>
      <w:r>
        <w:rPr>
          <w:lang w:val="de-DE"/>
        </w:rPr>
        <w:t xml:space="preserve">. It can also be instrumental in reducing the frequency and duration of career breaks and, </w:t>
      </w:r>
      <w:r>
        <w:rPr>
          <w:lang w:val="en-US"/>
        </w:rPr>
        <w:t xml:space="preserve">in turn, support longer term productivity and human capital accumulation for primary carers. Given </w:t>
      </w:r>
      <w:proofErr w:type="gramStart"/>
      <w:r>
        <w:rPr>
          <w:lang w:val="en-US"/>
        </w:rPr>
        <w:t>the vast majority of</w:t>
      </w:r>
      <w:proofErr w:type="gramEnd"/>
      <w:r>
        <w:rPr>
          <w:lang w:val="en-US"/>
        </w:rPr>
        <w:t xml:space="preserve"> caring responsibilities fall to women, improved </w:t>
      </w:r>
      <w:r>
        <w:t xml:space="preserve">ECEC access </w:t>
      </w:r>
      <w:r>
        <w:rPr>
          <w:lang w:val="en-US"/>
        </w:rPr>
        <w:t xml:space="preserve">also plays a role in the pursuit of greater gender equality. </w:t>
      </w:r>
    </w:p>
    <w:p w14:paraId="2454D362" w14:textId="3580C4E0" w:rsidR="00716BE4" w:rsidRPr="00716BE4" w:rsidRDefault="00A72026" w:rsidP="00716BE4">
      <w:r>
        <w:rPr>
          <w:lang w:val="en-US"/>
        </w:rPr>
        <w:t>At the same time, quality early childhood education also has significant benefits for children, particularly children from vulnerable or disadvantaged backgrounds</w:t>
      </w:r>
      <w:r>
        <w:t xml:space="preserve">. </w:t>
      </w:r>
      <w:r w:rsidR="00425E98">
        <w:rPr>
          <w:lang w:val="en-US"/>
        </w:rPr>
        <w:t>Attending</w:t>
      </w:r>
      <w:r>
        <w:rPr>
          <w:lang w:val="en-US"/>
        </w:rPr>
        <w:t xml:space="preserve"> </w:t>
      </w:r>
      <w:r>
        <w:rPr>
          <w:lang w:val="nl-NL"/>
        </w:rPr>
        <w:t>kindergarte</w:t>
      </w:r>
      <w:r>
        <w:rPr>
          <w:lang w:val="en-US"/>
        </w:rPr>
        <w:t>n programs improves children</w:t>
      </w:r>
      <w:r>
        <w:rPr>
          <w:rFonts w:cs="Times New Roman"/>
          <w:rtl/>
        </w:rPr>
        <w:t>’</w:t>
      </w:r>
      <w:r>
        <w:rPr>
          <w:lang w:val="en-US"/>
        </w:rPr>
        <w:t xml:space="preserve">s cognitive outcomes, </w:t>
      </w:r>
      <w:r w:rsidR="00876E41">
        <w:rPr>
          <w:lang w:val="en-US"/>
        </w:rPr>
        <w:t xml:space="preserve">which </w:t>
      </w:r>
      <w:r>
        <w:rPr>
          <w:lang w:val="en-US"/>
        </w:rPr>
        <w:t xml:space="preserve">supports future engagement with education and the </w:t>
      </w:r>
      <w:proofErr w:type="spellStart"/>
      <w:r>
        <w:rPr>
          <w:lang w:val="en-US"/>
        </w:rPr>
        <w:t>labour</w:t>
      </w:r>
      <w:proofErr w:type="spellEnd"/>
      <w:r>
        <w:rPr>
          <w:lang w:val="en-US"/>
        </w:rPr>
        <w:t xml:space="preserve"> force with many of these benefits accruing well into the future.</w:t>
      </w:r>
      <w:r w:rsidR="00425E98">
        <w:rPr>
          <w:lang w:val="en-US"/>
        </w:rPr>
        <w:t xml:space="preserve"> </w:t>
      </w:r>
    </w:p>
    <w:p w14:paraId="6C9BFFB4" w14:textId="1F64C870" w:rsidR="00DD22FF" w:rsidRDefault="00716BE4" w:rsidP="00DD22FF">
      <w:pPr>
        <w:pStyle w:val="HeadingA"/>
      </w:pPr>
      <w:r>
        <w:t>The BSBL reforms</w:t>
      </w:r>
    </w:p>
    <w:p w14:paraId="5FA3AE19" w14:textId="33E38335" w:rsidR="000A0852" w:rsidRDefault="003D7844" w:rsidP="000A0852">
      <w:pPr>
        <w:rPr>
          <w:lang w:val="en-US"/>
        </w:rPr>
      </w:pPr>
      <w:r>
        <w:rPr>
          <w:lang w:val="en-US"/>
        </w:rPr>
        <w:t xml:space="preserve">Given the range of benefits associated with ECEC programs, the Victorian Government is undertaking </w:t>
      </w:r>
      <w:proofErr w:type="gramStart"/>
      <w:r>
        <w:rPr>
          <w:lang w:val="en-US"/>
        </w:rPr>
        <w:t>an</w:t>
      </w:r>
      <w:proofErr w:type="gramEnd"/>
      <w:r>
        <w:rPr>
          <w:lang w:val="en-US"/>
        </w:rPr>
        <w:t xml:space="preserve"> series of</w:t>
      </w:r>
      <w:r>
        <w:t xml:space="preserve"> ECEC reform</w:t>
      </w:r>
      <w:r>
        <w:rPr>
          <w:lang w:val="en-US"/>
        </w:rPr>
        <w:t>s</w:t>
      </w:r>
      <w:r w:rsidR="004E776A">
        <w:rPr>
          <w:lang w:val="en-US"/>
        </w:rPr>
        <w:t xml:space="preserve">, aimed at improving </w:t>
      </w:r>
      <w:r w:rsidR="008E56C2">
        <w:rPr>
          <w:lang w:val="en-US"/>
        </w:rPr>
        <w:t>accessibility and affordability</w:t>
      </w:r>
      <w:r w:rsidR="007D74E6">
        <w:rPr>
          <w:lang w:val="en-US"/>
        </w:rPr>
        <w:t xml:space="preserve">. </w:t>
      </w:r>
    </w:p>
    <w:p w14:paraId="37853B9F" w14:textId="73C45E5A" w:rsidR="000A0852" w:rsidRDefault="00DB18CC" w:rsidP="000A0852">
      <w:pPr>
        <w:rPr>
          <w:lang w:val="en-US"/>
        </w:rPr>
      </w:pPr>
      <w:r w:rsidRPr="007D74E6">
        <w:rPr>
          <w:lang w:val="en-US"/>
        </w:rPr>
        <w:t>In the 20</w:t>
      </w:r>
      <w:r w:rsidR="00D31457">
        <w:rPr>
          <w:lang w:val="en-US"/>
        </w:rPr>
        <w:t>19</w:t>
      </w:r>
      <w:r w:rsidRPr="007D74E6">
        <w:rPr>
          <w:lang w:val="en-US"/>
        </w:rPr>
        <w:t>/2</w:t>
      </w:r>
      <w:r w:rsidR="00D31457">
        <w:rPr>
          <w:lang w:val="en-US"/>
        </w:rPr>
        <w:t>0</w:t>
      </w:r>
      <w:r w:rsidRPr="007D74E6">
        <w:rPr>
          <w:lang w:val="en-US"/>
        </w:rPr>
        <w:t xml:space="preserve"> Budget, the Victorian Government announced the progressive roll-out of 15 hours of funded three-year-old kindergarten across the state</w:t>
      </w:r>
      <w:r w:rsidR="001203D3" w:rsidRPr="007D74E6">
        <w:rPr>
          <w:lang w:val="en-US"/>
        </w:rPr>
        <w:t xml:space="preserve"> by 2029</w:t>
      </w:r>
      <w:r w:rsidRPr="00334B83">
        <w:t>.</w:t>
      </w:r>
      <w:r w:rsidR="000A0852">
        <w:rPr>
          <w:lang w:val="en-US"/>
        </w:rPr>
        <w:t xml:space="preserve"> </w:t>
      </w:r>
    </w:p>
    <w:p w14:paraId="58FC89A7" w14:textId="2E4289E6" w:rsidR="00DB18CC" w:rsidRPr="000A0852" w:rsidRDefault="00DB18CC" w:rsidP="000A0852">
      <w:pPr>
        <w:rPr>
          <w:lang w:val="en-US"/>
        </w:rPr>
      </w:pPr>
      <w:r>
        <w:t xml:space="preserve">In </w:t>
      </w:r>
      <w:r w:rsidRPr="00B2361C">
        <w:t>the 2022/23</w:t>
      </w:r>
      <w:r w:rsidRPr="000A0852">
        <w:rPr>
          <w:b/>
          <w:bCs/>
        </w:rPr>
        <w:t xml:space="preserve"> </w:t>
      </w:r>
      <w:r w:rsidR="00836121">
        <w:t>Victorian Economic and Fiscal Update</w:t>
      </w:r>
      <w:r w:rsidR="00B8796D">
        <w:t xml:space="preserve"> (VEFU)</w:t>
      </w:r>
      <w:r w:rsidRPr="00B2361C">
        <w:t xml:space="preserve">, the </w:t>
      </w:r>
      <w:r>
        <w:t xml:space="preserve">Victorian </w:t>
      </w:r>
      <w:r w:rsidRPr="00B2361C">
        <w:t>Government</w:t>
      </w:r>
      <w:r w:rsidRPr="000A0852">
        <w:rPr>
          <w:b/>
          <w:bCs/>
        </w:rPr>
        <w:t xml:space="preserve"> </w:t>
      </w:r>
      <w:r w:rsidRPr="00052C42">
        <w:t>subsequently</w:t>
      </w:r>
      <w:r w:rsidRPr="000A0852">
        <w:rPr>
          <w:b/>
          <w:bCs/>
        </w:rPr>
        <w:t xml:space="preserve"> </w:t>
      </w:r>
      <w:r>
        <w:t>announced</w:t>
      </w:r>
      <w:r w:rsidRPr="00A07ED9">
        <w:t xml:space="preserve"> an additional suite of major initiatives</w:t>
      </w:r>
      <w:r w:rsidR="000A0852">
        <w:t>, which</w:t>
      </w:r>
      <w:r>
        <w:t xml:space="preserve"> </w:t>
      </w:r>
      <w:r w:rsidR="000A0852">
        <w:t>will</w:t>
      </w:r>
      <w:r w:rsidRPr="00A07ED9">
        <w:t>:</w:t>
      </w:r>
    </w:p>
    <w:p w14:paraId="6B39B936" w14:textId="5C5CEAF7" w:rsidR="00DB18CC" w:rsidRPr="00A01FD8" w:rsidRDefault="00DB18CC" w:rsidP="0080187A">
      <w:pPr>
        <w:pStyle w:val="ListBullet"/>
        <w:numPr>
          <w:ilvl w:val="0"/>
          <w:numId w:val="57"/>
        </w:numPr>
      </w:pPr>
      <w:r>
        <w:t>M</w:t>
      </w:r>
      <w:r w:rsidRPr="00A01FD8">
        <w:t>ak</w:t>
      </w:r>
      <w:r w:rsidR="000A0852">
        <w:t>e</w:t>
      </w:r>
      <w:r w:rsidRPr="00A01FD8">
        <w:t xml:space="preserve"> </w:t>
      </w:r>
      <w:r w:rsidRPr="00550FD8">
        <w:t>kinder</w:t>
      </w:r>
      <w:r>
        <w:t>garten</w:t>
      </w:r>
      <w:r w:rsidRPr="00A01FD8">
        <w:t xml:space="preserve"> free for three- and four-year old children across Victoria</w:t>
      </w:r>
      <w:r w:rsidR="005E6140">
        <w:t>.</w:t>
      </w:r>
    </w:p>
    <w:p w14:paraId="20833BE3" w14:textId="2DB1EBAC" w:rsidR="00DB18CC" w:rsidRPr="00A01FD8" w:rsidRDefault="00DB18CC" w:rsidP="6C60D88D">
      <w:pPr>
        <w:pStyle w:val="ListBullet"/>
      </w:pPr>
      <w:r>
        <w:t>D</w:t>
      </w:r>
      <w:r w:rsidRPr="00A01FD8">
        <w:t xml:space="preserve">eliver a new year of universal </w:t>
      </w:r>
      <w:r>
        <w:t>p</w:t>
      </w:r>
      <w:r w:rsidRPr="00550FD8">
        <w:t>re</w:t>
      </w:r>
      <w:r w:rsidRPr="00A01FD8">
        <w:t>-</w:t>
      </w:r>
      <w:r>
        <w:t>p</w:t>
      </w:r>
      <w:r w:rsidRPr="00550FD8">
        <w:t>rep</w:t>
      </w:r>
      <w:r w:rsidRPr="00A01FD8">
        <w:t xml:space="preserve"> for </w:t>
      </w:r>
      <w:r>
        <w:t>four</w:t>
      </w:r>
      <w:r w:rsidRPr="00A01FD8">
        <w:t>-year-olds</w:t>
      </w:r>
      <w:r>
        <w:t>, which would provide</w:t>
      </w:r>
      <w:r w:rsidRPr="002A6E31">
        <w:t xml:space="preserve"> </w:t>
      </w:r>
      <w:r w:rsidR="00813C3B">
        <w:t>30</w:t>
      </w:r>
      <w:r w:rsidR="000A0852">
        <w:t xml:space="preserve"> funded hours </w:t>
      </w:r>
      <w:r w:rsidR="00E23648">
        <w:t xml:space="preserve">of kindergarten per week </w:t>
      </w:r>
      <w:r>
        <w:t xml:space="preserve">by </w:t>
      </w:r>
      <w:r w:rsidR="006B612A">
        <w:t>203</w:t>
      </w:r>
      <w:r w:rsidR="00FA108E">
        <w:t>6</w:t>
      </w:r>
      <w:r w:rsidR="005E6140">
        <w:t>.</w:t>
      </w:r>
      <w:r w:rsidR="008B1CF6">
        <w:t xml:space="preserve"> </w:t>
      </w:r>
    </w:p>
    <w:p w14:paraId="73CE7DB7" w14:textId="1B0D4E6C" w:rsidR="00716BE4" w:rsidRDefault="00DB18CC" w:rsidP="0080187A">
      <w:pPr>
        <w:pStyle w:val="ListBullet"/>
        <w:numPr>
          <w:ilvl w:val="0"/>
          <w:numId w:val="57"/>
        </w:numPr>
        <w:spacing w:after="170"/>
      </w:pPr>
      <w:r>
        <w:t>E</w:t>
      </w:r>
      <w:r w:rsidRPr="00A01FD8">
        <w:t xml:space="preserve">stablish 50 </w:t>
      </w:r>
      <w:r>
        <w:t xml:space="preserve">Victorian </w:t>
      </w:r>
      <w:r w:rsidRPr="00A01FD8">
        <w:t>government</w:t>
      </w:r>
      <w:r>
        <w:t>-owned and affordable</w:t>
      </w:r>
      <w:r w:rsidRPr="00A01FD8">
        <w:t xml:space="preserve"> </w:t>
      </w:r>
      <w:proofErr w:type="gramStart"/>
      <w:r w:rsidR="00196003">
        <w:t>child care</w:t>
      </w:r>
      <w:proofErr w:type="gramEnd"/>
      <w:r w:rsidRPr="00A01FD8">
        <w:t xml:space="preserve"> centres</w:t>
      </w:r>
      <w:r>
        <w:t xml:space="preserve">. </w:t>
      </w:r>
    </w:p>
    <w:p w14:paraId="2A489D2D" w14:textId="2DFD427F" w:rsidR="00E57F8A" w:rsidRDefault="00E57F8A" w:rsidP="00716BE4">
      <w:r w:rsidRPr="00E57F8A">
        <w:rPr>
          <w:lang w:val="en-US"/>
        </w:rPr>
        <w:t>Deloitte Access Economics was engaged by the Victorian Department of Treasury and Finance (DTF) to estimate the potential impacts of these reforms on the Victorian economy</w:t>
      </w:r>
      <w:r w:rsidR="00BB55C4">
        <w:t>, which include</w:t>
      </w:r>
      <w:r w:rsidR="00B953AB">
        <w:t>:</w:t>
      </w:r>
    </w:p>
    <w:p w14:paraId="3F0923E3" w14:textId="6FD6AF9D" w:rsidR="000771B8" w:rsidRDefault="000771B8" w:rsidP="0080187A">
      <w:pPr>
        <w:pStyle w:val="ListNumber"/>
        <w:numPr>
          <w:ilvl w:val="0"/>
          <w:numId w:val="59"/>
        </w:numPr>
        <w:spacing w:before="120" w:after="120"/>
      </w:pPr>
      <w:r>
        <w:t xml:space="preserve">The benefits </w:t>
      </w:r>
      <w:r w:rsidRPr="00A01FD8">
        <w:t xml:space="preserve">to </w:t>
      </w:r>
      <w:r w:rsidRPr="000613C5">
        <w:rPr>
          <w:b/>
        </w:rPr>
        <w:t>children’s social, emotional and cognitive development</w:t>
      </w:r>
      <w:r w:rsidR="00207AEF">
        <w:t xml:space="preserve">, and the subsequent effects on their </w:t>
      </w:r>
      <w:r w:rsidR="00CC293D">
        <w:t xml:space="preserve">labour market </w:t>
      </w:r>
      <w:r w:rsidR="004825A5">
        <w:t>and social outcomes</w:t>
      </w:r>
      <w:r>
        <w:t>.</w:t>
      </w:r>
    </w:p>
    <w:p w14:paraId="4A8066ED" w14:textId="0A577DC2" w:rsidR="00207AEF" w:rsidRDefault="00207AEF" w:rsidP="0080187A">
      <w:pPr>
        <w:pStyle w:val="ListNumber"/>
        <w:numPr>
          <w:ilvl w:val="0"/>
          <w:numId w:val="59"/>
        </w:numPr>
        <w:spacing w:before="120" w:after="120"/>
      </w:pPr>
      <w:r>
        <w:t xml:space="preserve">Changes to </w:t>
      </w:r>
      <w:r w:rsidRPr="00A01FD8">
        <w:t xml:space="preserve">labour force participation, hours worked and wages for </w:t>
      </w:r>
      <w:r w:rsidRPr="00A20A5D">
        <w:rPr>
          <w:b/>
          <w:bCs/>
        </w:rPr>
        <w:t>primary carers</w:t>
      </w:r>
      <w:r>
        <w:t xml:space="preserve">, both while their children are of </w:t>
      </w:r>
      <w:r w:rsidRPr="005C0363">
        <w:t>ECEC</w:t>
      </w:r>
      <w:r>
        <w:t xml:space="preserve"> attending age, and over the longer term.</w:t>
      </w:r>
    </w:p>
    <w:p w14:paraId="34AED145" w14:textId="63E155B6" w:rsidR="004825A5" w:rsidRDefault="004825A5" w:rsidP="0080187A">
      <w:pPr>
        <w:pStyle w:val="ListNumber"/>
        <w:numPr>
          <w:ilvl w:val="0"/>
          <w:numId w:val="59"/>
        </w:numPr>
        <w:spacing w:before="120" w:after="120"/>
      </w:pPr>
      <w:r>
        <w:t xml:space="preserve">The </w:t>
      </w:r>
      <w:r w:rsidRPr="00BC5C25">
        <w:rPr>
          <w:b/>
          <w:bCs/>
        </w:rPr>
        <w:t>additional</w:t>
      </w:r>
      <w:r w:rsidR="00F65CA2" w:rsidRPr="00BC5C25">
        <w:rPr>
          <w:b/>
          <w:bCs/>
        </w:rPr>
        <w:t xml:space="preserve"> Government investment</w:t>
      </w:r>
      <w:r w:rsidR="00F65CA2">
        <w:t xml:space="preserve"> in </w:t>
      </w:r>
      <w:r w:rsidR="003A40B6">
        <w:t xml:space="preserve">the ECEC system, </w:t>
      </w:r>
      <w:r w:rsidR="00E23EBA">
        <w:t>which supports</w:t>
      </w:r>
      <w:r w:rsidR="003A40B6">
        <w:t xml:space="preserve"> both </w:t>
      </w:r>
      <w:r w:rsidR="00B230AA">
        <w:t xml:space="preserve">the establishment of the </w:t>
      </w:r>
      <w:proofErr w:type="gramStart"/>
      <w:r w:rsidR="00B230AA">
        <w:t>child care</w:t>
      </w:r>
      <w:proofErr w:type="gramEnd"/>
      <w:r w:rsidR="00B230AA">
        <w:t xml:space="preserve"> centres, and ongoing </w:t>
      </w:r>
      <w:r w:rsidR="00BC5C25">
        <w:t>service</w:t>
      </w:r>
      <w:r w:rsidR="00041627">
        <w:t xml:space="preserve"> provision</w:t>
      </w:r>
      <w:r w:rsidR="00B230AA">
        <w:t xml:space="preserve">. </w:t>
      </w:r>
    </w:p>
    <w:p w14:paraId="30863839" w14:textId="3F82D955" w:rsidR="00DA611F" w:rsidRDefault="008B7AB0">
      <w:r w:rsidRPr="002C75AE">
        <w:t>This report</w:t>
      </w:r>
      <w:r>
        <w:t xml:space="preserve"> represents an extension of modelling undertaken by Deloitte Access Economics in 2022 for DTF (‘2022 report’)</w:t>
      </w:r>
      <w:r w:rsidR="000E549E">
        <w:t xml:space="preserve">, noting that the updated </w:t>
      </w:r>
      <w:r w:rsidR="00B608CA">
        <w:t xml:space="preserve">specification </w:t>
      </w:r>
      <w:r w:rsidR="000E549E">
        <w:t xml:space="preserve">means that the results contained in this report will not be directly comparable to those </w:t>
      </w:r>
      <w:r w:rsidR="00B52306">
        <w:t xml:space="preserve">presented </w:t>
      </w:r>
      <w:r w:rsidR="000E549E">
        <w:t>in the previous report.</w:t>
      </w:r>
      <w:r w:rsidR="009B616E">
        <w:t xml:space="preserve"> </w:t>
      </w:r>
    </w:p>
    <w:tbl>
      <w:tblPr>
        <w:tblStyle w:val="TableGrid"/>
        <w:tblW w:w="5000" w:type="pct"/>
        <w:shd w:val="clear" w:color="auto" w:fill="DFF0F9" w:themeFill="accent3" w:themeFillTint="33"/>
        <w:tblCellMar>
          <w:top w:w="113" w:type="dxa"/>
          <w:left w:w="113" w:type="dxa"/>
          <w:bottom w:w="113" w:type="dxa"/>
          <w:right w:w="113" w:type="dxa"/>
        </w:tblCellMar>
        <w:tblLook w:val="04A0" w:firstRow="1" w:lastRow="0" w:firstColumn="1" w:lastColumn="0" w:noHBand="0" w:noVBand="1"/>
      </w:tblPr>
      <w:tblGrid>
        <w:gridCol w:w="9026"/>
      </w:tblGrid>
      <w:tr w:rsidR="00F04CC1" w14:paraId="7B08E3C9" w14:textId="77777777" w:rsidTr="00EB3261">
        <w:trPr>
          <w:cnfStyle w:val="100000000000" w:firstRow="1" w:lastRow="0" w:firstColumn="0" w:lastColumn="0" w:oddVBand="0" w:evenVBand="0" w:oddHBand="0" w:evenHBand="0" w:firstRowFirstColumn="0" w:firstRowLastColumn="0" w:lastRowFirstColumn="0" w:lastRowLastColumn="0"/>
          <w:trHeight w:val="1305"/>
        </w:trPr>
        <w:tc>
          <w:tcPr>
            <w:tcW w:w="0" w:type="pct"/>
            <w:shd w:val="clear" w:color="auto" w:fill="DFF0F9" w:themeFill="accent3" w:themeFillTint="33"/>
          </w:tcPr>
          <w:p w14:paraId="2D9B6C3C" w14:textId="7DE6C447" w:rsidR="00F04CC1" w:rsidRPr="00A24880" w:rsidRDefault="00F04CC1">
            <w:pPr>
              <w:pStyle w:val="ListNumber"/>
              <w:spacing w:before="120"/>
              <w:rPr>
                <w:b/>
              </w:rPr>
            </w:pPr>
            <w:r w:rsidRPr="00A24880">
              <w:rPr>
                <w:b/>
                <w:bCs/>
              </w:rPr>
              <w:t xml:space="preserve">Box </w:t>
            </w:r>
            <w:r w:rsidR="00AD2223">
              <w:rPr>
                <w:b/>
                <w:bCs/>
              </w:rPr>
              <w:t>i</w:t>
            </w:r>
            <w:r w:rsidRPr="00A24880">
              <w:rPr>
                <w:b/>
                <w:bCs/>
              </w:rPr>
              <w:t xml:space="preserve">: </w:t>
            </w:r>
            <w:r w:rsidRPr="00A24880">
              <w:rPr>
                <w:b/>
              </w:rPr>
              <w:t>Comparison with previous report</w:t>
            </w:r>
          </w:p>
          <w:p w14:paraId="69289EEA" w14:textId="694BBE2F" w:rsidR="005F6537" w:rsidRDefault="00F04CC1" w:rsidP="005F6537">
            <w:r>
              <w:t xml:space="preserve">In 2022, Deloitte Access Economics produced the report </w:t>
            </w:r>
            <w:r w:rsidRPr="00030078">
              <w:rPr>
                <w:i/>
                <w:iCs/>
              </w:rPr>
              <w:t xml:space="preserve">Economic impacts of the Best Start, Best Life </w:t>
            </w:r>
            <w:r w:rsidRPr="00EB3261">
              <w:rPr>
                <w:i/>
                <w:iCs/>
              </w:rPr>
              <w:t>extension</w:t>
            </w:r>
            <w:r>
              <w:t xml:space="preserve">, which modelled the </w:t>
            </w:r>
            <w:r w:rsidR="00B8796D">
              <w:t xml:space="preserve">primary carer labour market </w:t>
            </w:r>
            <w:r>
              <w:t>impacts of the BSBL</w:t>
            </w:r>
            <w:r w:rsidR="001D295B">
              <w:t xml:space="preserve"> extension</w:t>
            </w:r>
            <w:r>
              <w:t xml:space="preserve"> reforms introduced in the 2022/23</w:t>
            </w:r>
            <w:r w:rsidRPr="00787ADF">
              <w:rPr>
                <w:b/>
              </w:rPr>
              <w:t xml:space="preserve"> </w:t>
            </w:r>
            <w:r>
              <w:t xml:space="preserve">VEFU. Since then, changes to the Australian Government Child Care Subsidy (CCS) scheme, </w:t>
            </w:r>
            <w:r w:rsidR="009E76D2">
              <w:t xml:space="preserve">updated </w:t>
            </w:r>
            <w:r w:rsidR="005F6537">
              <w:t>timing for</w:t>
            </w:r>
            <w:r>
              <w:t xml:space="preserve"> the BSBL </w:t>
            </w:r>
            <w:r w:rsidR="009E76D2">
              <w:t xml:space="preserve">extension </w:t>
            </w:r>
            <w:r>
              <w:t xml:space="preserve">reforms, and </w:t>
            </w:r>
            <w:r w:rsidR="005F6537">
              <w:t>outdated parameters</w:t>
            </w:r>
            <w:r>
              <w:t xml:space="preserve"> have built the case to revisit the original report. </w:t>
            </w:r>
          </w:p>
          <w:p w14:paraId="6719C50D" w14:textId="691EB7D9" w:rsidR="0006214F" w:rsidRDefault="00DC3DA6" w:rsidP="005F6537">
            <w:r>
              <w:t xml:space="preserve">This updated report intends to present a more comprehensive view of economic impacts of the full suite of BSBL reforms, and </w:t>
            </w:r>
            <w:r w:rsidR="00D57FFA">
              <w:t xml:space="preserve">builds on </w:t>
            </w:r>
            <w:r w:rsidR="0006214F">
              <w:t xml:space="preserve">the 2022 report </w:t>
            </w:r>
            <w:r w:rsidR="00D57FFA">
              <w:t>by</w:t>
            </w:r>
            <w:r w:rsidR="0006214F">
              <w:t xml:space="preserve">: </w:t>
            </w:r>
          </w:p>
          <w:p w14:paraId="6502F47B" w14:textId="16F00C28" w:rsidR="0006214F" w:rsidRDefault="0006214F" w:rsidP="0006214F">
            <w:pPr>
              <w:pStyle w:val="ListParagraph"/>
              <w:numPr>
                <w:ilvl w:val="0"/>
                <w:numId w:val="87"/>
              </w:numPr>
            </w:pPr>
            <w:r w:rsidRPr="00D04790">
              <w:rPr>
                <w:b/>
                <w:bCs/>
              </w:rPr>
              <w:lastRenderedPageBreak/>
              <w:t>Polic</w:t>
            </w:r>
            <w:r>
              <w:rPr>
                <w:b/>
                <w:bCs/>
              </w:rPr>
              <w:t>y scope</w:t>
            </w:r>
            <w:r w:rsidR="007A3977">
              <w:rPr>
                <w:b/>
                <w:bCs/>
              </w:rPr>
              <w:t>:</w:t>
            </w:r>
            <w:r>
              <w:rPr>
                <w:b/>
                <w:bCs/>
              </w:rPr>
              <w:t xml:space="preserve"> </w:t>
            </w:r>
            <w:r w:rsidR="000332D4">
              <w:t>Considering t</w:t>
            </w:r>
            <w:r>
              <w:t xml:space="preserve">he impacts of the full suite of BSBL reforms </w:t>
            </w:r>
            <w:r w:rsidR="000332D4">
              <w:t xml:space="preserve">– </w:t>
            </w:r>
            <w:r>
              <w:t xml:space="preserve">three-year-old kindergarten </w:t>
            </w:r>
            <w:r w:rsidR="000332D4">
              <w:t xml:space="preserve">in addition to the </w:t>
            </w:r>
            <w:r>
              <w:t>BSBL extension</w:t>
            </w:r>
            <w:r w:rsidR="000332D4">
              <w:t xml:space="preserve"> reforms</w:t>
            </w:r>
            <w:r>
              <w:t>.</w:t>
            </w:r>
          </w:p>
          <w:p w14:paraId="6FB12C99" w14:textId="772004AA" w:rsidR="00F04CC1" w:rsidRDefault="007A3977" w:rsidP="00B12EC8">
            <w:pPr>
              <w:pStyle w:val="ListParagraph"/>
              <w:numPr>
                <w:ilvl w:val="0"/>
                <w:numId w:val="87"/>
              </w:numPr>
              <w:spacing w:after="120"/>
              <w:ind w:left="357" w:hanging="357"/>
            </w:pPr>
            <w:r w:rsidRPr="0041287F">
              <w:rPr>
                <w:b/>
                <w:bCs/>
              </w:rPr>
              <w:t xml:space="preserve">Impacts modelled: </w:t>
            </w:r>
            <w:r w:rsidR="000332D4">
              <w:t xml:space="preserve">Estimating </w:t>
            </w:r>
            <w:r w:rsidR="0041287F">
              <w:t xml:space="preserve">the child developmental outcomes </w:t>
            </w:r>
            <w:r w:rsidR="000332D4">
              <w:t xml:space="preserve">resultant from the BSBL reforms, in addition to </w:t>
            </w:r>
            <w:r w:rsidR="0041287F">
              <w:t>p</w:t>
            </w:r>
            <w:r w:rsidR="0041287F" w:rsidRPr="0041287F">
              <w:t>rimary carer labour supply and productivity</w:t>
            </w:r>
            <w:r w:rsidR="0041287F">
              <w:t xml:space="preserve"> effects. </w:t>
            </w:r>
          </w:p>
        </w:tc>
      </w:tr>
    </w:tbl>
    <w:p w14:paraId="46731A62" w14:textId="5AD72452" w:rsidR="00395B78" w:rsidRDefault="005D1196" w:rsidP="00B12EC8">
      <w:pPr>
        <w:spacing w:before="170"/>
        <w:rPr>
          <w:lang w:val="en-US"/>
        </w:rPr>
      </w:pPr>
      <w:r w:rsidRPr="002C4174">
        <w:rPr>
          <w:lang w:val="en-US"/>
        </w:rPr>
        <w:lastRenderedPageBreak/>
        <w:t xml:space="preserve">The child development outcomes analysis was completed in 2023, and the primary carer labor force participation analysis in 2022, both using the best evidence available at those times. </w:t>
      </w:r>
      <w:r w:rsidR="00395B78" w:rsidRPr="00EB3261">
        <w:rPr>
          <w:lang w:val="en-US"/>
        </w:rPr>
        <w:t xml:space="preserve">The report has subsequently been updated in 2025 to reflect </w:t>
      </w:r>
      <w:r w:rsidR="0073166E" w:rsidRPr="00EB3261">
        <w:rPr>
          <w:lang w:val="en-US"/>
        </w:rPr>
        <w:t>the latest</w:t>
      </w:r>
      <w:r w:rsidR="00395B78" w:rsidRPr="00EB3261">
        <w:rPr>
          <w:lang w:val="en-US"/>
        </w:rPr>
        <w:t xml:space="preserve"> BSBL </w:t>
      </w:r>
      <w:r w:rsidR="0073166E" w:rsidRPr="00EB3261">
        <w:rPr>
          <w:lang w:val="en-US"/>
        </w:rPr>
        <w:t>program information</w:t>
      </w:r>
      <w:r w:rsidR="00D6641E" w:rsidRPr="00EB3261">
        <w:rPr>
          <w:lang w:val="en-US"/>
        </w:rPr>
        <w:t>, including the implementation time</w:t>
      </w:r>
      <w:r w:rsidR="0073166E" w:rsidRPr="00EB3261">
        <w:rPr>
          <w:lang w:val="en-US"/>
        </w:rPr>
        <w:t>line</w:t>
      </w:r>
      <w:r w:rsidR="00D6641E" w:rsidRPr="00EB3261">
        <w:rPr>
          <w:lang w:val="en-US"/>
        </w:rPr>
        <w:t>s and expenditure profile</w:t>
      </w:r>
      <w:r w:rsidR="0073166E" w:rsidRPr="00EB3261">
        <w:rPr>
          <w:lang w:val="en-US"/>
        </w:rPr>
        <w:t>s</w:t>
      </w:r>
      <w:r w:rsidR="00395B78" w:rsidRPr="00EB3261">
        <w:rPr>
          <w:lang w:val="en-US"/>
        </w:rPr>
        <w:t>.</w:t>
      </w:r>
    </w:p>
    <w:p w14:paraId="7DFAD32B" w14:textId="7E7396A5" w:rsidR="00712CC7" w:rsidRDefault="00712CC7" w:rsidP="005D1196">
      <w:r w:rsidRPr="00D27625">
        <w:t>This</w:t>
      </w:r>
      <w:r w:rsidR="00416E31" w:rsidRPr="00EB3261">
        <w:t xml:space="preserve"> executive summary provides an overview of the analysis and results. </w:t>
      </w:r>
      <w:r w:rsidR="00D27625" w:rsidRPr="00EB3261">
        <w:t xml:space="preserve">Readers are encouraged to consult the full report for further details on the methodology and assumptions that have been applied in undertaking the modelling.  </w:t>
      </w:r>
    </w:p>
    <w:p w14:paraId="19404FE1" w14:textId="7F6F41F6" w:rsidR="001C53C6" w:rsidRPr="001B0BA4" w:rsidRDefault="001C53C6" w:rsidP="00B12EC8">
      <w:pPr>
        <w:spacing w:after="0"/>
        <w:rPr>
          <w:rFonts w:eastAsia="Times New Roman" w:cs="Times New Roman"/>
          <w:b/>
          <w:color w:val="62B5E5" w:themeColor="accent3"/>
          <w:sz w:val="22"/>
          <w:szCs w:val="28"/>
        </w:rPr>
      </w:pPr>
      <w:r w:rsidRPr="001B0BA4">
        <w:rPr>
          <w:rFonts w:eastAsia="Times New Roman" w:cs="Times New Roman"/>
          <w:b/>
          <w:color w:val="62B5E5" w:themeColor="accent3"/>
          <w:sz w:val="22"/>
          <w:szCs w:val="28"/>
        </w:rPr>
        <w:t>Literature on child developmental outcomes</w:t>
      </w:r>
    </w:p>
    <w:p w14:paraId="53451CB7" w14:textId="7C1F8580" w:rsidR="001C53C6" w:rsidRPr="005537C3" w:rsidRDefault="00CD27B5" w:rsidP="001C53C6">
      <w:r w:rsidRPr="005537C3">
        <w:t xml:space="preserve">There is a </w:t>
      </w:r>
      <w:r w:rsidR="00764ADC" w:rsidRPr="005537C3">
        <w:t>growing international</w:t>
      </w:r>
      <w:r w:rsidRPr="005537C3">
        <w:t xml:space="preserve"> literature on the relationship between kindergarten attendance, the </w:t>
      </w:r>
      <w:r w:rsidR="003521B8" w:rsidRPr="005537C3">
        <w:t>years atte</w:t>
      </w:r>
      <w:r w:rsidR="00E80BF3" w:rsidRPr="005537C3">
        <w:t>nded (duration)</w:t>
      </w:r>
      <w:r w:rsidR="00805B76" w:rsidRPr="005537C3">
        <w:t>,</w:t>
      </w:r>
      <w:r w:rsidRPr="005537C3">
        <w:t xml:space="preserve"> </w:t>
      </w:r>
      <w:r w:rsidR="00764ADC" w:rsidRPr="005537C3">
        <w:t xml:space="preserve">and the number of hours attended </w:t>
      </w:r>
      <w:r w:rsidR="00805B76" w:rsidRPr="005537C3">
        <w:t>each week</w:t>
      </w:r>
      <w:r w:rsidR="00764ADC" w:rsidRPr="005537C3">
        <w:t xml:space="preserve"> on child development outcomes. </w:t>
      </w:r>
      <w:r w:rsidR="00BB493E" w:rsidRPr="005537C3">
        <w:t xml:space="preserve">This literature spans early studies of </w:t>
      </w:r>
      <w:proofErr w:type="gramStart"/>
      <w:r w:rsidR="00BB493E" w:rsidRPr="005537C3">
        <w:t>small scale</w:t>
      </w:r>
      <w:proofErr w:type="gramEnd"/>
      <w:r w:rsidR="00BB493E" w:rsidRPr="005537C3">
        <w:t xml:space="preserve"> demonstration programs such as the </w:t>
      </w:r>
      <w:r w:rsidR="000B1359" w:rsidRPr="005537C3">
        <w:t xml:space="preserve">highly successful </w:t>
      </w:r>
      <w:r w:rsidR="00BB493E" w:rsidRPr="005537C3">
        <w:t>Perry preschool project</w:t>
      </w:r>
      <w:r w:rsidR="000B1359" w:rsidRPr="005537C3">
        <w:t xml:space="preserve"> through</w:t>
      </w:r>
      <w:r w:rsidR="00E96215" w:rsidRPr="005537C3">
        <w:t xml:space="preserve"> to more recent studies of </w:t>
      </w:r>
      <w:proofErr w:type="gramStart"/>
      <w:r w:rsidR="00FA2FBB" w:rsidRPr="005537C3">
        <w:t>large scale</w:t>
      </w:r>
      <w:proofErr w:type="gramEnd"/>
      <w:r w:rsidR="00FA2FBB" w:rsidRPr="005537C3">
        <w:t xml:space="preserve"> stage</w:t>
      </w:r>
      <w:r w:rsidR="001A5FAD" w:rsidRPr="005537C3">
        <w:t xml:space="preserve"> roll outs of </w:t>
      </w:r>
      <w:r w:rsidR="00FE4CC9" w:rsidRPr="005537C3">
        <w:t xml:space="preserve">kindergarten </w:t>
      </w:r>
      <w:r w:rsidR="00721C0A" w:rsidRPr="005537C3">
        <w:t xml:space="preserve">programs in the US or Canada. </w:t>
      </w:r>
      <w:r w:rsidR="00556607" w:rsidRPr="005537C3">
        <w:t xml:space="preserve">The literature has explored the impact of these programs on both cognitive outcomes (as measures in standardised tests), </w:t>
      </w:r>
      <w:r w:rsidR="002E6BEE" w:rsidRPr="005537C3">
        <w:t xml:space="preserve">non-cognitive or social and emotional outcomes </w:t>
      </w:r>
      <w:proofErr w:type="gramStart"/>
      <w:r w:rsidR="002E6BEE" w:rsidRPr="005537C3">
        <w:t>and also</w:t>
      </w:r>
      <w:proofErr w:type="gramEnd"/>
      <w:r w:rsidR="002E6BEE" w:rsidRPr="005537C3">
        <w:t xml:space="preserve"> later life outcomes</w:t>
      </w:r>
      <w:r w:rsidR="00A136DF" w:rsidRPr="005537C3">
        <w:t xml:space="preserve"> – </w:t>
      </w:r>
      <w:r w:rsidR="00FA2FBB" w:rsidRPr="005537C3">
        <w:t>the latter being</w:t>
      </w:r>
      <w:r w:rsidR="002E6BEE" w:rsidRPr="005537C3">
        <w:t xml:space="preserve"> a function of both cognitive and social and emotional outcomes. </w:t>
      </w:r>
    </w:p>
    <w:p w14:paraId="093E6AF7" w14:textId="33672CD5" w:rsidR="002E6BEE" w:rsidRPr="005537C3" w:rsidRDefault="00315B18" w:rsidP="001C53C6">
      <w:r w:rsidRPr="005537C3">
        <w:t>While both positive and negative impacts can be found in the literature</w:t>
      </w:r>
      <w:r w:rsidR="009559DA" w:rsidRPr="005537C3">
        <w:t>,</w:t>
      </w:r>
      <w:r w:rsidR="003A10A9" w:rsidRPr="005537C3">
        <w:t xml:space="preserve"> </w:t>
      </w:r>
      <w:proofErr w:type="gramStart"/>
      <w:r w:rsidR="003A10A9" w:rsidRPr="005537C3">
        <w:t>the majority of</w:t>
      </w:r>
      <w:proofErr w:type="gramEnd"/>
      <w:r w:rsidR="003A10A9" w:rsidRPr="005537C3">
        <w:t xml:space="preserve"> studies </w:t>
      </w:r>
      <w:r w:rsidR="00611691" w:rsidRPr="005537C3">
        <w:t>(</w:t>
      </w:r>
      <w:r w:rsidR="003A10A9" w:rsidRPr="005537C3">
        <w:t xml:space="preserve">particularly of </w:t>
      </w:r>
      <w:proofErr w:type="gramStart"/>
      <w:r w:rsidR="003A10A9" w:rsidRPr="005537C3">
        <w:t>high quality</w:t>
      </w:r>
      <w:proofErr w:type="gramEnd"/>
      <w:r w:rsidR="003A10A9" w:rsidRPr="005537C3">
        <w:t xml:space="preserve"> programs</w:t>
      </w:r>
      <w:r w:rsidR="00611691" w:rsidRPr="005537C3">
        <w:t>)</w:t>
      </w:r>
      <w:r w:rsidR="003A10A9" w:rsidRPr="005537C3">
        <w:t xml:space="preserve"> find that kindergarten attendance has positive impacts on </w:t>
      </w:r>
      <w:r w:rsidR="009C499B" w:rsidRPr="005537C3">
        <w:t xml:space="preserve">children’s </w:t>
      </w:r>
      <w:r w:rsidR="003A10A9" w:rsidRPr="005537C3">
        <w:t xml:space="preserve">cognitive outcomes. </w:t>
      </w:r>
      <w:r w:rsidR="0034566C" w:rsidRPr="005537C3">
        <w:t xml:space="preserve">A recent meta-analysis of </w:t>
      </w:r>
      <w:r w:rsidR="00B44FDC" w:rsidRPr="005537C3">
        <w:t>experimental</w:t>
      </w:r>
      <w:r w:rsidR="0034566C" w:rsidRPr="005537C3">
        <w:t xml:space="preserve"> studies finds that kindergarten attendance on</w:t>
      </w:r>
      <w:r w:rsidR="00B44FDC" w:rsidRPr="005537C3">
        <w:t xml:space="preserve"> average lifts</w:t>
      </w:r>
      <w:r w:rsidR="0034566C" w:rsidRPr="005537C3">
        <w:t xml:space="preserve"> cognitive outcomes </w:t>
      </w:r>
      <w:r w:rsidR="00B44FDC" w:rsidRPr="005537C3">
        <w:t>by</w:t>
      </w:r>
      <w:r w:rsidR="0034566C" w:rsidRPr="005537C3">
        <w:t xml:space="preserve"> </w:t>
      </w:r>
      <w:r w:rsidR="00B44FDC" w:rsidRPr="005537C3">
        <w:t xml:space="preserve">0.17 standard deviations (Holla et al 2021). </w:t>
      </w:r>
      <w:r w:rsidR="00611691" w:rsidRPr="005537C3">
        <w:t xml:space="preserve">There is a debate in the literature about whether these effects fade out over </w:t>
      </w:r>
      <w:r w:rsidR="00BE454B" w:rsidRPr="005537C3">
        <w:t>t</w:t>
      </w:r>
      <w:r w:rsidR="00917BFD" w:rsidRPr="005537C3">
        <w:t>ime</w:t>
      </w:r>
      <w:r w:rsidR="00B22DC3">
        <w:t>,</w:t>
      </w:r>
      <w:r w:rsidR="00917BFD" w:rsidRPr="005537C3">
        <w:t xml:space="preserve"> </w:t>
      </w:r>
      <w:r w:rsidR="00B22DC3">
        <w:t>with the implication</w:t>
      </w:r>
      <w:r w:rsidR="00BE454B" w:rsidRPr="005537C3">
        <w:t xml:space="preserve"> that children </w:t>
      </w:r>
      <w:r w:rsidR="00917BFD" w:rsidRPr="005537C3">
        <w:t xml:space="preserve">who do not attend </w:t>
      </w:r>
      <w:r w:rsidR="00770A4E" w:rsidRPr="005537C3">
        <w:t xml:space="preserve">kindergarten </w:t>
      </w:r>
      <w:r w:rsidR="00BE454B" w:rsidRPr="005537C3">
        <w:t xml:space="preserve">may </w:t>
      </w:r>
      <w:r w:rsidR="00917BFD" w:rsidRPr="005537C3">
        <w:t xml:space="preserve">progressively </w:t>
      </w:r>
      <w:r w:rsidR="00BE454B" w:rsidRPr="005537C3">
        <w:t xml:space="preserve">catch up </w:t>
      </w:r>
      <w:r w:rsidR="003A1D1C">
        <w:t xml:space="preserve">to their peers </w:t>
      </w:r>
      <w:r w:rsidR="00BE454B" w:rsidRPr="005537C3">
        <w:t xml:space="preserve">over </w:t>
      </w:r>
      <w:r w:rsidR="00917BFD" w:rsidRPr="005537C3">
        <w:t>their time at school</w:t>
      </w:r>
      <w:r w:rsidR="00BE454B" w:rsidRPr="005537C3">
        <w:t xml:space="preserve">. </w:t>
      </w:r>
    </w:p>
    <w:p w14:paraId="61E934D1" w14:textId="60518C24" w:rsidR="00BE454B" w:rsidRPr="005537C3" w:rsidRDefault="007C0211" w:rsidP="001C53C6">
      <w:r w:rsidRPr="005537C3">
        <w:t xml:space="preserve">The </w:t>
      </w:r>
      <w:r w:rsidR="00917BFD" w:rsidRPr="005537C3">
        <w:t xml:space="preserve">evidence on the </w:t>
      </w:r>
      <w:r w:rsidRPr="005537C3">
        <w:t xml:space="preserve">relationship between </w:t>
      </w:r>
      <w:r w:rsidR="00770A4E" w:rsidRPr="005537C3">
        <w:t xml:space="preserve">kindergarten </w:t>
      </w:r>
      <w:r w:rsidR="00E80BF3" w:rsidRPr="005537C3">
        <w:t>attendance</w:t>
      </w:r>
      <w:r w:rsidRPr="005537C3">
        <w:t xml:space="preserve"> and social and emotional outcomes </w:t>
      </w:r>
      <w:r w:rsidR="00A52D50" w:rsidRPr="005537C3">
        <w:t xml:space="preserve">upon </w:t>
      </w:r>
      <w:r w:rsidR="00D149CC" w:rsidRPr="005537C3">
        <w:t xml:space="preserve">school entry is mixed. </w:t>
      </w:r>
      <w:r w:rsidR="00A00E6E" w:rsidRPr="005537C3">
        <w:t xml:space="preserve">Some studies find evidence of positive outcomes while others find no significant effects or in some cases </w:t>
      </w:r>
      <w:r w:rsidR="00FD3C8B" w:rsidRPr="005537C3">
        <w:t>negative impacts on social and emotional outcomes.</w:t>
      </w:r>
      <w:r w:rsidR="001E0958" w:rsidRPr="005537C3">
        <w:t xml:space="preserve"> Deloitte Access Economics (2023) found</w:t>
      </w:r>
      <w:r w:rsidR="00A136DF" w:rsidRPr="005537C3">
        <w:t>,</w:t>
      </w:r>
      <w:r w:rsidR="001E0958" w:rsidRPr="005537C3">
        <w:t xml:space="preserve"> using a range of datasets</w:t>
      </w:r>
      <w:r w:rsidR="00A136DF" w:rsidRPr="005537C3">
        <w:t>,</w:t>
      </w:r>
      <w:r w:rsidR="001E0958" w:rsidRPr="005537C3">
        <w:t xml:space="preserve"> that </w:t>
      </w:r>
      <w:r w:rsidR="002373D3" w:rsidRPr="005537C3">
        <w:t xml:space="preserve">preschool was generally positively associated with social and emotional </w:t>
      </w:r>
      <w:proofErr w:type="spellStart"/>
      <w:r w:rsidR="002373D3" w:rsidRPr="005537C3">
        <w:t>well</w:t>
      </w:r>
      <w:r w:rsidR="00A66FC8" w:rsidRPr="005537C3">
        <w:t xml:space="preserve"> </w:t>
      </w:r>
      <w:proofErr w:type="gramStart"/>
      <w:r w:rsidR="002373D3" w:rsidRPr="005537C3">
        <w:t>being</w:t>
      </w:r>
      <w:proofErr w:type="spellEnd"/>
      <w:proofErr w:type="gramEnd"/>
      <w:r w:rsidR="002373D3" w:rsidRPr="005537C3">
        <w:t xml:space="preserve"> but</w:t>
      </w:r>
      <w:r w:rsidR="00522583" w:rsidRPr="005537C3">
        <w:t xml:space="preserve"> these</w:t>
      </w:r>
      <w:r w:rsidR="002373D3" w:rsidRPr="005537C3">
        <w:t xml:space="preserve"> effects were </w:t>
      </w:r>
      <w:r w:rsidR="005204CA" w:rsidRPr="008763FA">
        <w:t>for the most part</w:t>
      </w:r>
      <w:r w:rsidR="005204CA" w:rsidRPr="005537C3">
        <w:t xml:space="preserve"> </w:t>
      </w:r>
      <w:r w:rsidR="002373D3" w:rsidRPr="005537C3">
        <w:t>not statistically significant.</w:t>
      </w:r>
      <w:r w:rsidR="0014551E" w:rsidRPr="005537C3">
        <w:t xml:space="preserve"> </w:t>
      </w:r>
      <w:r w:rsidR="00A66FC8" w:rsidRPr="005537C3">
        <w:t xml:space="preserve">It is possible that the absence of a clear relationship reflects the </w:t>
      </w:r>
      <w:r w:rsidR="00A70BDE" w:rsidRPr="005537C3">
        <w:t xml:space="preserve">challenges of measuring social and emotional outcomes for young children. Equally it could be that </w:t>
      </w:r>
      <w:r w:rsidR="0063356B" w:rsidRPr="005537C3">
        <w:t xml:space="preserve">only </w:t>
      </w:r>
      <w:proofErr w:type="gramStart"/>
      <w:r w:rsidR="0063356B" w:rsidRPr="005537C3">
        <w:t>high quality</w:t>
      </w:r>
      <w:proofErr w:type="gramEnd"/>
      <w:r w:rsidR="0063356B" w:rsidRPr="005537C3">
        <w:t xml:space="preserve"> learning environments </w:t>
      </w:r>
      <w:proofErr w:type="gramStart"/>
      <w:r w:rsidR="0063356B" w:rsidRPr="005537C3">
        <w:t>are able to</w:t>
      </w:r>
      <w:proofErr w:type="gramEnd"/>
      <w:r w:rsidR="0063356B" w:rsidRPr="005537C3">
        <w:t xml:space="preserve"> improve social and emotional outcomes (</w:t>
      </w:r>
      <w:r w:rsidR="00FA483B" w:rsidRPr="005537C3">
        <w:t xml:space="preserve">Taggart et al 2015 find evidence in line with this). </w:t>
      </w:r>
    </w:p>
    <w:p w14:paraId="4077C44B" w14:textId="69B41B6F" w:rsidR="008B3A0A" w:rsidRPr="005537C3" w:rsidRDefault="00FA483B" w:rsidP="00A739A3">
      <w:r w:rsidRPr="005537C3">
        <w:t xml:space="preserve">While the relationship between </w:t>
      </w:r>
      <w:r w:rsidR="00770A4E" w:rsidRPr="005537C3">
        <w:t>kindergarten</w:t>
      </w:r>
      <w:r w:rsidRPr="005537C3">
        <w:t xml:space="preserve"> attendance and social and emotional outcomes upon school entry is unclear, </w:t>
      </w:r>
      <w:r w:rsidR="00CF73A6" w:rsidRPr="005537C3">
        <w:t xml:space="preserve">a handful of studies have been able to examine whether </w:t>
      </w:r>
      <w:r w:rsidR="00A17956" w:rsidRPr="005537C3">
        <w:t xml:space="preserve">kindergarten </w:t>
      </w:r>
      <w:r w:rsidR="00CF73A6" w:rsidRPr="005537C3">
        <w:t xml:space="preserve">enhances later life outcomes. </w:t>
      </w:r>
      <w:r w:rsidR="0044595E" w:rsidRPr="005537C3">
        <w:t>Evidence from a range of studies in the US</w:t>
      </w:r>
      <w:r w:rsidR="00F60EF3" w:rsidRPr="005537C3">
        <w:t>, France</w:t>
      </w:r>
      <w:r w:rsidR="0044595E" w:rsidRPr="005537C3">
        <w:t xml:space="preserve"> and New Zealand find th</w:t>
      </w:r>
      <w:r w:rsidR="00F60EF3" w:rsidRPr="005537C3">
        <w:t xml:space="preserve">at </w:t>
      </w:r>
      <w:r w:rsidR="0044595E" w:rsidRPr="005537C3">
        <w:t>ECEC</w:t>
      </w:r>
      <w:r w:rsidR="00F60EF3" w:rsidRPr="005537C3">
        <w:t xml:space="preserve"> or </w:t>
      </w:r>
      <w:r w:rsidR="00A17956" w:rsidRPr="005537C3">
        <w:t xml:space="preserve">kindergarten </w:t>
      </w:r>
      <w:r w:rsidR="0044595E" w:rsidRPr="005537C3">
        <w:t xml:space="preserve">participation </w:t>
      </w:r>
      <w:r w:rsidR="00F60EF3" w:rsidRPr="005537C3">
        <w:t xml:space="preserve">is associated with improved earnings, the probability of employment, high school completion and participation in tertiary education. </w:t>
      </w:r>
      <w:r w:rsidR="00D67413" w:rsidRPr="005537C3">
        <w:t xml:space="preserve">A </w:t>
      </w:r>
      <w:r w:rsidR="00C717CC" w:rsidRPr="005537C3">
        <w:t>recent</w:t>
      </w:r>
      <w:r w:rsidR="00D67413" w:rsidRPr="005537C3">
        <w:t xml:space="preserve"> US stud</w:t>
      </w:r>
      <w:r w:rsidR="00C717CC" w:rsidRPr="005537C3">
        <w:t>y by Gray-Loeb et al (2021) has</w:t>
      </w:r>
      <w:r w:rsidR="00D67413" w:rsidRPr="005537C3">
        <w:t xml:space="preserve"> also linked </w:t>
      </w:r>
      <w:r w:rsidR="00A17956" w:rsidRPr="005537C3">
        <w:t xml:space="preserve">kindergarten </w:t>
      </w:r>
      <w:r w:rsidR="00F70A1A" w:rsidRPr="005537C3">
        <w:t>attendance</w:t>
      </w:r>
      <w:r w:rsidR="00D67413" w:rsidRPr="005537C3">
        <w:t xml:space="preserve"> to improved behaviour and reduced criminal activity (primarily for men). What is interesting about </w:t>
      </w:r>
      <w:r w:rsidR="00C717CC" w:rsidRPr="005537C3">
        <w:t>this study</w:t>
      </w:r>
      <w:r w:rsidR="00511F59" w:rsidRPr="005537C3">
        <w:t xml:space="preserve"> </w:t>
      </w:r>
      <w:r w:rsidR="00D67413" w:rsidRPr="005537C3">
        <w:t>is that</w:t>
      </w:r>
      <w:r w:rsidR="005E2EE3" w:rsidRPr="005537C3">
        <w:t xml:space="preserve"> while</w:t>
      </w:r>
      <w:r w:rsidR="00D67413" w:rsidRPr="005537C3">
        <w:t xml:space="preserve"> </w:t>
      </w:r>
      <w:r w:rsidR="00511F59" w:rsidRPr="005537C3">
        <w:t xml:space="preserve">the impact of </w:t>
      </w:r>
      <w:r w:rsidR="00A17956" w:rsidRPr="005537C3">
        <w:t xml:space="preserve">kindergarten </w:t>
      </w:r>
      <w:r w:rsidR="00511F59" w:rsidRPr="005537C3">
        <w:t>on</w:t>
      </w:r>
      <w:r w:rsidR="00D67413" w:rsidRPr="005537C3">
        <w:t xml:space="preserve"> cognitive outcomes </w:t>
      </w:r>
      <w:r w:rsidR="00511F59" w:rsidRPr="005537C3">
        <w:t>(</w:t>
      </w:r>
      <w:r w:rsidR="00D67413" w:rsidRPr="005537C3">
        <w:t xml:space="preserve">as measured in </w:t>
      </w:r>
      <w:r w:rsidR="00511F59" w:rsidRPr="005537C3">
        <w:t>standard test scores)</w:t>
      </w:r>
      <w:r w:rsidR="005E2EE3" w:rsidRPr="005537C3">
        <w:t xml:space="preserve"> faded over </w:t>
      </w:r>
      <w:r w:rsidR="00C717CC" w:rsidRPr="005537C3">
        <w:t>time</w:t>
      </w:r>
      <w:r w:rsidR="007B1AE8">
        <w:t>,</w:t>
      </w:r>
      <w:r w:rsidR="005E2EE3" w:rsidRPr="005537C3">
        <w:t xml:space="preserve"> those who went to </w:t>
      </w:r>
      <w:r w:rsidR="00A17956" w:rsidRPr="005537C3">
        <w:t xml:space="preserve">kindergarten </w:t>
      </w:r>
      <w:r w:rsidR="005E2EE3" w:rsidRPr="005537C3">
        <w:t xml:space="preserve">were still more likely to </w:t>
      </w:r>
      <w:r w:rsidR="00DC6E1A" w:rsidRPr="005537C3">
        <w:t>complete high school, enrol in university and were less likely to commit crimes</w:t>
      </w:r>
      <w:r w:rsidR="002B5606" w:rsidRPr="005537C3">
        <w:t>. This suggests</w:t>
      </w:r>
      <w:r w:rsidR="000B29DA" w:rsidRPr="005537C3">
        <w:t xml:space="preserve"> </w:t>
      </w:r>
      <w:r w:rsidR="00DC6E1A" w:rsidRPr="005537C3">
        <w:t xml:space="preserve">that part of the impact of </w:t>
      </w:r>
      <w:r w:rsidR="00A17956" w:rsidRPr="005537C3">
        <w:t xml:space="preserve">kindergarten </w:t>
      </w:r>
      <w:r w:rsidR="00DC6E1A" w:rsidRPr="005537C3">
        <w:t xml:space="preserve">on life outcomes </w:t>
      </w:r>
      <w:r w:rsidR="00B24CDE" w:rsidRPr="005537C3">
        <w:t xml:space="preserve">may </w:t>
      </w:r>
      <w:proofErr w:type="gramStart"/>
      <w:r w:rsidR="000B29DA" w:rsidRPr="005537C3">
        <w:t>actually be</w:t>
      </w:r>
      <w:proofErr w:type="gramEnd"/>
      <w:r w:rsidR="000B29DA" w:rsidRPr="005537C3">
        <w:t xml:space="preserve"> driven by its impact on non-cognitive outcomes. </w:t>
      </w:r>
      <w:r w:rsidR="00B43484" w:rsidRPr="005537C3">
        <w:t xml:space="preserve"> </w:t>
      </w:r>
    </w:p>
    <w:p w14:paraId="540F03FC" w14:textId="6E113EEC" w:rsidR="005A3C00" w:rsidRPr="005537C3" w:rsidRDefault="007D50E1" w:rsidP="00A739A3">
      <w:r w:rsidRPr="005537C3">
        <w:t xml:space="preserve">A range of studies have also examined whether differences in the duration of kindergarten or </w:t>
      </w:r>
      <w:r w:rsidR="007C0568" w:rsidRPr="005537C3">
        <w:t xml:space="preserve">the number of hours attended per week (dosage) impact cognitive and social and emotional outcomes. </w:t>
      </w:r>
      <w:r w:rsidR="007C0568" w:rsidRPr="005537C3">
        <w:lastRenderedPageBreak/>
        <w:t xml:space="preserve">In general, an additional year of </w:t>
      </w:r>
      <w:r w:rsidR="00A17956" w:rsidRPr="005537C3">
        <w:t xml:space="preserve">kindergarten </w:t>
      </w:r>
      <w:r w:rsidR="007C0568" w:rsidRPr="005537C3">
        <w:t>has been found</w:t>
      </w:r>
      <w:r w:rsidR="00A533E1" w:rsidRPr="005537C3">
        <w:t xml:space="preserve"> by a range of studies</w:t>
      </w:r>
      <w:r w:rsidR="007C0568" w:rsidRPr="005537C3">
        <w:t xml:space="preserve"> to improve </w:t>
      </w:r>
      <w:r w:rsidR="003735CD" w:rsidRPr="008763FA">
        <w:t>learning</w:t>
      </w:r>
      <w:r w:rsidR="003735CD" w:rsidRPr="005537C3">
        <w:t xml:space="preserve"> </w:t>
      </w:r>
      <w:r w:rsidR="007C0568" w:rsidRPr="005537C3">
        <w:t>outcomes</w:t>
      </w:r>
      <w:r w:rsidR="00A04BF7" w:rsidRPr="005537C3">
        <w:t xml:space="preserve">. </w:t>
      </w:r>
    </w:p>
    <w:p w14:paraId="5227920A" w14:textId="1A300743" w:rsidR="009469A8" w:rsidRPr="005537C3" w:rsidRDefault="00CB581B" w:rsidP="00A739A3">
      <w:r w:rsidRPr="005537C3">
        <w:t>There ha</w:t>
      </w:r>
      <w:r w:rsidR="0086559C" w:rsidRPr="008763FA">
        <w:t>ve</w:t>
      </w:r>
      <w:r w:rsidRPr="005537C3">
        <w:t xml:space="preserve"> been far fewer studies, particularly in an Australian context, that have examined </w:t>
      </w:r>
      <w:r w:rsidR="0038007F" w:rsidRPr="005537C3">
        <w:t xml:space="preserve">the benefits of additional hours of </w:t>
      </w:r>
      <w:r w:rsidR="00A17956" w:rsidRPr="005537C3">
        <w:t xml:space="preserve">kindergarten </w:t>
      </w:r>
      <w:r w:rsidR="0038007F" w:rsidRPr="005537C3">
        <w:t xml:space="preserve">in an environment </w:t>
      </w:r>
      <w:proofErr w:type="gramStart"/>
      <w:r w:rsidR="0038007F" w:rsidRPr="005537C3">
        <w:t>similar to</w:t>
      </w:r>
      <w:proofErr w:type="gramEnd"/>
      <w:r w:rsidR="0038007F" w:rsidRPr="005537C3">
        <w:t xml:space="preserve"> </w:t>
      </w:r>
      <w:r w:rsidR="00FA698B" w:rsidRPr="005537C3">
        <w:t xml:space="preserve">that contemplated under </w:t>
      </w:r>
      <w:r w:rsidR="0038007F" w:rsidRPr="005537C3">
        <w:t xml:space="preserve">BSBL. One Australian study found there were positive impacts on </w:t>
      </w:r>
      <w:r w:rsidR="003735CD" w:rsidRPr="008763FA">
        <w:t>learning</w:t>
      </w:r>
      <w:r w:rsidR="003735CD" w:rsidRPr="005537C3">
        <w:t xml:space="preserve"> </w:t>
      </w:r>
      <w:r w:rsidR="0038007F" w:rsidRPr="005537C3">
        <w:t xml:space="preserve">outcomes from attending more than eight hours per week but not necessarily </w:t>
      </w:r>
      <w:r w:rsidR="0066425D" w:rsidRPr="005537C3">
        <w:t xml:space="preserve">strong returns </w:t>
      </w:r>
      <w:r w:rsidR="00FA698B" w:rsidRPr="005537C3">
        <w:t>f</w:t>
      </w:r>
      <w:r w:rsidR="005F40FF" w:rsidRPr="005537C3">
        <w:t>rom attending</w:t>
      </w:r>
      <w:r w:rsidR="00FA698B" w:rsidRPr="005537C3">
        <w:t xml:space="preserve"> </w:t>
      </w:r>
      <w:r w:rsidR="00B60BB4" w:rsidRPr="005537C3">
        <w:t>more than 20 hours per wee</w:t>
      </w:r>
      <w:r w:rsidR="005F40FF" w:rsidRPr="005537C3">
        <w:t>k although this study</w:t>
      </w:r>
      <w:r w:rsidR="0066425D" w:rsidRPr="005537C3">
        <w:t xml:space="preserve"> included </w:t>
      </w:r>
      <w:proofErr w:type="gramStart"/>
      <w:r w:rsidR="005F40FF" w:rsidRPr="005537C3">
        <w:t>centre based</w:t>
      </w:r>
      <w:proofErr w:type="gramEnd"/>
      <w:r w:rsidR="005F40FF" w:rsidRPr="005537C3">
        <w:t xml:space="preserve"> day</w:t>
      </w:r>
      <w:r w:rsidR="00A17956" w:rsidRPr="005537C3">
        <w:t xml:space="preserve"> </w:t>
      </w:r>
      <w:r w:rsidR="005F40FF" w:rsidRPr="005537C3">
        <w:t>care</w:t>
      </w:r>
      <w:r w:rsidR="0066425D" w:rsidRPr="005537C3">
        <w:t xml:space="preserve"> settings</w:t>
      </w:r>
      <w:r w:rsidR="005F40FF" w:rsidRPr="005537C3">
        <w:t xml:space="preserve"> which may not have offered a </w:t>
      </w:r>
      <w:r w:rsidR="00A17956" w:rsidRPr="005537C3">
        <w:t>kindergarten</w:t>
      </w:r>
      <w:r w:rsidR="0066425D" w:rsidRPr="005537C3">
        <w:t xml:space="preserve">. </w:t>
      </w:r>
      <w:r w:rsidR="00794DBA" w:rsidRPr="005537C3">
        <w:t xml:space="preserve">Recently </w:t>
      </w:r>
      <w:proofErr w:type="gramStart"/>
      <w:r w:rsidR="00794DBA" w:rsidRPr="005537C3">
        <w:t>a number of</w:t>
      </w:r>
      <w:proofErr w:type="gramEnd"/>
      <w:r w:rsidR="00794DBA" w:rsidRPr="005537C3">
        <w:t xml:space="preserve"> quasi-experimental studies in the US </w:t>
      </w:r>
      <w:r w:rsidR="00C3567D" w:rsidRPr="005537C3">
        <w:t xml:space="preserve">and Canada </w:t>
      </w:r>
      <w:r w:rsidR="00794DBA" w:rsidRPr="005537C3">
        <w:t>have found</w:t>
      </w:r>
      <w:r w:rsidR="00C3567D" w:rsidRPr="005537C3">
        <w:t xml:space="preserve"> positive impacts on </w:t>
      </w:r>
      <w:r w:rsidR="003735CD" w:rsidRPr="008763FA">
        <w:t>learning</w:t>
      </w:r>
      <w:r w:rsidR="003735CD" w:rsidRPr="005537C3">
        <w:t xml:space="preserve"> </w:t>
      </w:r>
      <w:r w:rsidR="00C3567D" w:rsidRPr="005537C3">
        <w:t xml:space="preserve">outcomes </w:t>
      </w:r>
      <w:r w:rsidR="00C1205E" w:rsidRPr="005537C3">
        <w:t xml:space="preserve">from full day kindergarten </w:t>
      </w:r>
      <w:r w:rsidR="003F1278" w:rsidRPr="005537C3">
        <w:t>particularly for disadvantaged children</w:t>
      </w:r>
      <w:r w:rsidR="00D3223C" w:rsidRPr="005537C3">
        <w:t xml:space="preserve"> with effect sizes ranging from 0.06 to 0.31 standard deviations</w:t>
      </w:r>
      <w:r w:rsidR="003F1278" w:rsidRPr="005537C3">
        <w:t xml:space="preserve">. </w:t>
      </w:r>
      <w:r w:rsidR="00CE0C02" w:rsidRPr="005537C3">
        <w:t xml:space="preserve">The impact of longer hours on social and emotional outcomes remains </w:t>
      </w:r>
      <w:r w:rsidR="009469A8" w:rsidRPr="005537C3">
        <w:t>unclear and there is some evidence that very long hours (more than 30 hours) may lead to worse behavioural outcomes</w:t>
      </w:r>
      <w:r w:rsidR="00D3223C" w:rsidRPr="005537C3">
        <w:t xml:space="preserve"> for children</w:t>
      </w:r>
      <w:r w:rsidR="009469A8" w:rsidRPr="005537C3">
        <w:t xml:space="preserve">. </w:t>
      </w:r>
    </w:p>
    <w:p w14:paraId="4294EBC3" w14:textId="47EC66AC" w:rsidR="00921128" w:rsidRPr="005537C3" w:rsidRDefault="00D3223C" w:rsidP="00921128">
      <w:r w:rsidRPr="005537C3">
        <w:t xml:space="preserve">Overall, </w:t>
      </w:r>
      <w:r w:rsidR="00756172" w:rsidRPr="005537C3">
        <w:t>w</w:t>
      </w:r>
      <w:r w:rsidR="009469A8" w:rsidRPr="005537C3">
        <w:t xml:space="preserve">hile the literature on the </w:t>
      </w:r>
      <w:r w:rsidR="00FE6DA6" w:rsidRPr="005537C3">
        <w:t>impact of kindergarten on children’s development outcomes is perhaps more nuanced than might be imagined</w:t>
      </w:r>
      <w:r w:rsidR="00B2739F" w:rsidRPr="005537C3">
        <w:t>, in general the weight of evidence</w:t>
      </w:r>
      <w:r w:rsidR="00921128" w:rsidRPr="005537C3">
        <w:t xml:space="preserve"> supports the role of kindergarten in </w:t>
      </w:r>
      <w:r w:rsidR="00756172" w:rsidRPr="005537C3">
        <w:t>enhancing</w:t>
      </w:r>
      <w:r w:rsidR="00921128" w:rsidRPr="005537C3">
        <w:t xml:space="preserve"> children’s development.</w:t>
      </w:r>
      <w:r w:rsidR="009A4DB8" w:rsidRPr="005537C3">
        <w:t xml:space="preserve"> What does emerge, across a range of studies</w:t>
      </w:r>
      <w:r w:rsidR="005D7D84" w:rsidRPr="005537C3">
        <w:t>,</w:t>
      </w:r>
      <w:r w:rsidR="009A4DB8" w:rsidRPr="005537C3">
        <w:t xml:space="preserve"> </w:t>
      </w:r>
      <w:r w:rsidR="00921128" w:rsidRPr="005537C3">
        <w:rPr>
          <w:lang w:val="en-US"/>
        </w:rPr>
        <w:t xml:space="preserve">is </w:t>
      </w:r>
      <w:r w:rsidR="005D7D84" w:rsidRPr="005537C3">
        <w:rPr>
          <w:lang w:val="en-US"/>
        </w:rPr>
        <w:t>two consistent observations:</w:t>
      </w:r>
    </w:p>
    <w:p w14:paraId="6625641D" w14:textId="3F9364C4" w:rsidR="00921128" w:rsidRPr="005537C3" w:rsidRDefault="00921128" w:rsidP="00921128">
      <w:pPr>
        <w:pStyle w:val="ListBullet"/>
        <w:numPr>
          <w:ilvl w:val="0"/>
          <w:numId w:val="64"/>
        </w:numPr>
        <w:rPr>
          <w:lang w:val="en-US"/>
        </w:rPr>
      </w:pPr>
      <w:r w:rsidRPr="005537C3">
        <w:rPr>
          <w:i/>
          <w:lang w:val="en-US"/>
        </w:rPr>
        <w:t>Quality matters</w:t>
      </w:r>
      <w:r w:rsidRPr="005537C3">
        <w:rPr>
          <w:lang w:val="en-US"/>
        </w:rPr>
        <w:t xml:space="preserve">: many of the findings of adverse impacts reflect low quality </w:t>
      </w:r>
      <w:r w:rsidR="00416084" w:rsidRPr="005537C3">
        <w:rPr>
          <w:lang w:val="en-US"/>
        </w:rPr>
        <w:t xml:space="preserve">learning </w:t>
      </w:r>
      <w:r w:rsidRPr="005537C3">
        <w:rPr>
          <w:lang w:val="en-US"/>
        </w:rPr>
        <w:t>environments</w:t>
      </w:r>
      <w:r w:rsidR="009A4DB8" w:rsidRPr="005537C3">
        <w:rPr>
          <w:lang w:val="en-US"/>
        </w:rPr>
        <w:t xml:space="preserve"> </w:t>
      </w:r>
      <w:r w:rsidRPr="005537C3">
        <w:rPr>
          <w:lang w:val="en-US"/>
        </w:rPr>
        <w:t xml:space="preserve">and even within </w:t>
      </w:r>
      <w:r w:rsidR="00416084" w:rsidRPr="005537C3">
        <w:rPr>
          <w:lang w:val="en-US"/>
        </w:rPr>
        <w:t xml:space="preserve">individual </w:t>
      </w:r>
      <w:r w:rsidRPr="005537C3">
        <w:rPr>
          <w:lang w:val="en-US"/>
        </w:rPr>
        <w:t xml:space="preserve">studies there is evidence of </w:t>
      </w:r>
      <w:r w:rsidR="00416084" w:rsidRPr="005537C3">
        <w:rPr>
          <w:lang w:val="en-US"/>
        </w:rPr>
        <w:t>differences in</w:t>
      </w:r>
      <w:r w:rsidRPr="005537C3">
        <w:rPr>
          <w:lang w:val="en-US"/>
        </w:rPr>
        <w:t xml:space="preserve"> outcomes </w:t>
      </w:r>
      <w:r w:rsidR="00416084" w:rsidRPr="005537C3">
        <w:rPr>
          <w:lang w:val="en-US"/>
        </w:rPr>
        <w:t>in</w:t>
      </w:r>
      <w:r w:rsidRPr="005537C3">
        <w:rPr>
          <w:lang w:val="en-US"/>
        </w:rPr>
        <w:t xml:space="preserve"> higher quality settings. </w:t>
      </w:r>
      <w:r w:rsidR="00A8652A" w:rsidRPr="008763FA">
        <w:rPr>
          <w:lang w:val="en-US"/>
        </w:rPr>
        <w:t xml:space="preserve">While it is beyond the scope of this report to </w:t>
      </w:r>
      <w:proofErr w:type="spellStart"/>
      <w:r w:rsidR="0087014B" w:rsidRPr="008763FA">
        <w:rPr>
          <w:lang w:val="en-US"/>
        </w:rPr>
        <w:t>analyse</w:t>
      </w:r>
      <w:proofErr w:type="spellEnd"/>
      <w:r w:rsidR="0087014B" w:rsidRPr="008763FA">
        <w:rPr>
          <w:lang w:val="en-US"/>
        </w:rPr>
        <w:t xml:space="preserve"> the literature on what comprises quality in early childhood </w:t>
      </w:r>
      <w:r w:rsidR="008D27E2" w:rsidRPr="008763FA">
        <w:rPr>
          <w:lang w:val="en-US"/>
        </w:rPr>
        <w:t>education</w:t>
      </w:r>
      <w:r w:rsidR="00EF597B">
        <w:rPr>
          <w:lang w:val="en-US"/>
        </w:rPr>
        <w:t xml:space="preserve"> in detail</w:t>
      </w:r>
      <w:r w:rsidR="008D27E2" w:rsidRPr="008763FA">
        <w:rPr>
          <w:lang w:val="en-US"/>
        </w:rPr>
        <w:t xml:space="preserve">, </w:t>
      </w:r>
      <w:r w:rsidR="008D27E2">
        <w:rPr>
          <w:lang w:val="en-US"/>
        </w:rPr>
        <w:t xml:space="preserve">the </w:t>
      </w:r>
      <w:r w:rsidR="00EF597B">
        <w:rPr>
          <w:lang w:val="en-US"/>
        </w:rPr>
        <w:t>evidence</w:t>
      </w:r>
      <w:r w:rsidR="008D27E2">
        <w:rPr>
          <w:lang w:val="en-US"/>
        </w:rPr>
        <w:t xml:space="preserve"> of </w:t>
      </w:r>
      <w:r w:rsidR="00EF597B">
        <w:rPr>
          <w:lang w:val="en-US"/>
        </w:rPr>
        <w:t>Australian</w:t>
      </w:r>
      <w:r w:rsidR="008D27E2" w:rsidRPr="008763FA">
        <w:rPr>
          <w:lang w:val="en-US"/>
        </w:rPr>
        <w:t xml:space="preserve"> </w:t>
      </w:r>
      <w:r w:rsidR="001D644B" w:rsidRPr="008763FA">
        <w:rPr>
          <w:lang w:val="en-US"/>
        </w:rPr>
        <w:t xml:space="preserve">studies </w:t>
      </w:r>
      <w:r w:rsidR="00865DE7" w:rsidRPr="008763FA">
        <w:rPr>
          <w:lang w:val="en-US"/>
        </w:rPr>
        <w:t>on</w:t>
      </w:r>
      <w:r w:rsidR="001D644B" w:rsidRPr="008763FA">
        <w:rPr>
          <w:lang w:val="en-US"/>
        </w:rPr>
        <w:t xml:space="preserve"> </w:t>
      </w:r>
      <w:r w:rsidR="004A4690">
        <w:rPr>
          <w:lang w:val="en-US"/>
        </w:rPr>
        <w:t xml:space="preserve">the </w:t>
      </w:r>
      <w:r w:rsidR="001D644B" w:rsidRPr="008763FA">
        <w:rPr>
          <w:lang w:val="en-US"/>
        </w:rPr>
        <w:t>E4Kids</w:t>
      </w:r>
      <w:r w:rsidR="001D644B">
        <w:rPr>
          <w:lang w:val="en-US"/>
        </w:rPr>
        <w:t xml:space="preserve"> </w:t>
      </w:r>
      <w:r w:rsidR="004A4690">
        <w:rPr>
          <w:lang w:val="en-US"/>
        </w:rPr>
        <w:t>data (</w:t>
      </w:r>
      <w:r w:rsidR="00865DE7">
        <w:rPr>
          <w:lang w:val="en-US"/>
        </w:rPr>
        <w:t xml:space="preserve">which </w:t>
      </w:r>
      <w:r w:rsidR="004A4690">
        <w:rPr>
          <w:lang w:val="en-US"/>
        </w:rPr>
        <w:t>includes</w:t>
      </w:r>
      <w:r w:rsidR="00865DE7">
        <w:rPr>
          <w:lang w:val="en-US"/>
        </w:rPr>
        <w:t xml:space="preserve"> </w:t>
      </w:r>
      <w:proofErr w:type="gramStart"/>
      <w:r w:rsidR="00865DE7">
        <w:rPr>
          <w:lang w:val="en-US"/>
        </w:rPr>
        <w:t xml:space="preserve">a </w:t>
      </w:r>
      <w:r w:rsidR="004A4690">
        <w:rPr>
          <w:lang w:val="en-US"/>
        </w:rPr>
        <w:t>number</w:t>
      </w:r>
      <w:r w:rsidR="00865DE7">
        <w:rPr>
          <w:lang w:val="en-US"/>
        </w:rPr>
        <w:t xml:space="preserve"> of</w:t>
      </w:r>
      <w:proofErr w:type="gramEnd"/>
      <w:r w:rsidR="00865DE7">
        <w:rPr>
          <w:lang w:val="en-US"/>
        </w:rPr>
        <w:t xml:space="preserve"> </w:t>
      </w:r>
      <w:r w:rsidR="004A4690">
        <w:rPr>
          <w:lang w:val="en-US"/>
        </w:rPr>
        <w:t>early childhood education settings in Victoria</w:t>
      </w:r>
      <w:r w:rsidR="00B944B5">
        <w:rPr>
          <w:lang w:val="en-US"/>
        </w:rPr>
        <w:t>)</w:t>
      </w:r>
      <w:r w:rsidR="004A4690">
        <w:rPr>
          <w:lang w:val="en-US"/>
        </w:rPr>
        <w:t xml:space="preserve"> highlights the key role</w:t>
      </w:r>
      <w:r w:rsidR="00865DE7">
        <w:rPr>
          <w:lang w:val="en-US"/>
        </w:rPr>
        <w:t xml:space="preserve"> of </w:t>
      </w:r>
      <w:r w:rsidR="00865DE7" w:rsidRPr="008763FA">
        <w:rPr>
          <w:lang w:val="en-US"/>
        </w:rPr>
        <w:t>child and educator interactions</w:t>
      </w:r>
      <w:r w:rsidR="004A4690">
        <w:rPr>
          <w:lang w:val="en-US"/>
        </w:rPr>
        <w:t xml:space="preserve"> and instructional support in </w:t>
      </w:r>
      <w:r w:rsidR="00382C85">
        <w:rPr>
          <w:lang w:val="en-US"/>
        </w:rPr>
        <w:t>enhancing learning outcomes</w:t>
      </w:r>
      <w:r w:rsidR="00865DE7" w:rsidRPr="008763FA">
        <w:rPr>
          <w:lang w:val="en-US"/>
        </w:rPr>
        <w:t>.</w:t>
      </w:r>
      <w:r w:rsidR="001D644B" w:rsidRPr="008763FA">
        <w:rPr>
          <w:lang w:val="en-US"/>
        </w:rPr>
        <w:t xml:space="preserve"> </w:t>
      </w:r>
    </w:p>
    <w:p w14:paraId="437EA94A" w14:textId="45B34988" w:rsidR="00921128" w:rsidRPr="005537C3" w:rsidRDefault="00921128" w:rsidP="00921128">
      <w:pPr>
        <w:pStyle w:val="ListBullet"/>
        <w:numPr>
          <w:ilvl w:val="0"/>
          <w:numId w:val="64"/>
        </w:numPr>
        <w:rPr>
          <w:lang w:val="en-US"/>
        </w:rPr>
      </w:pPr>
      <w:r w:rsidRPr="005537C3">
        <w:rPr>
          <w:i/>
          <w:lang w:val="en-US"/>
        </w:rPr>
        <w:t xml:space="preserve">Benefits are often larger for disadvantaged </w:t>
      </w:r>
      <w:proofErr w:type="gramStart"/>
      <w:r w:rsidRPr="005537C3">
        <w:rPr>
          <w:i/>
          <w:lang w:val="en-US"/>
        </w:rPr>
        <w:t>cohorts</w:t>
      </w:r>
      <w:r w:rsidRPr="005537C3">
        <w:rPr>
          <w:lang w:val="en-US"/>
        </w:rPr>
        <w:t>:</w:t>
      </w:r>
      <w:proofErr w:type="gramEnd"/>
      <w:r w:rsidRPr="005537C3">
        <w:rPr>
          <w:lang w:val="en-US"/>
        </w:rPr>
        <w:t xml:space="preserve"> </w:t>
      </w:r>
      <w:r w:rsidR="00506EF8" w:rsidRPr="005537C3">
        <w:rPr>
          <w:lang w:val="en-US"/>
        </w:rPr>
        <w:t>typically</w:t>
      </w:r>
      <w:r w:rsidRPr="005537C3">
        <w:rPr>
          <w:lang w:val="en-US"/>
        </w:rPr>
        <w:t xml:space="preserve"> studies which find </w:t>
      </w:r>
      <w:r w:rsidR="00506EF8" w:rsidRPr="005537C3">
        <w:rPr>
          <w:lang w:val="en-US"/>
        </w:rPr>
        <w:t xml:space="preserve">very </w:t>
      </w:r>
      <w:r w:rsidRPr="005537C3">
        <w:rPr>
          <w:lang w:val="en-US"/>
        </w:rPr>
        <w:t xml:space="preserve">large positive impacts of </w:t>
      </w:r>
      <w:r w:rsidR="00A17956" w:rsidRPr="005537C3">
        <w:t xml:space="preserve">kindergarten </w:t>
      </w:r>
      <w:r w:rsidRPr="005537C3">
        <w:rPr>
          <w:lang w:val="en-US"/>
        </w:rPr>
        <w:t>programs are focused on disadvantaged cohorts</w:t>
      </w:r>
      <w:r w:rsidR="00782219" w:rsidRPr="005537C3">
        <w:rPr>
          <w:lang w:val="en-US"/>
        </w:rPr>
        <w:t>. Similarly,</w:t>
      </w:r>
      <w:r w:rsidRPr="005537C3">
        <w:rPr>
          <w:lang w:val="en-US"/>
        </w:rPr>
        <w:t xml:space="preserve"> studies that explore both cohorts often conclude that benefits are stronger for disadvantaged cohorts</w:t>
      </w:r>
      <w:r w:rsidR="005667FE" w:rsidRPr="005537C3">
        <w:rPr>
          <w:lang w:val="en-US"/>
        </w:rPr>
        <w:t>,</w:t>
      </w:r>
      <w:r w:rsidRPr="005537C3">
        <w:rPr>
          <w:lang w:val="en-US"/>
        </w:rPr>
        <w:t xml:space="preserve"> potentially reflecting the higher quality of home learning environments available to more advantaged children.</w:t>
      </w:r>
    </w:p>
    <w:p w14:paraId="27A60FDA" w14:textId="38752D0C" w:rsidR="001C53C6" w:rsidRDefault="00CB198C" w:rsidP="003E1974">
      <w:pPr>
        <w:spacing w:before="120"/>
      </w:pPr>
      <w:r w:rsidRPr="005537C3">
        <w:t xml:space="preserve">These observations have informed the </w:t>
      </w:r>
      <w:r w:rsidR="008C15C6" w:rsidRPr="005537C3">
        <w:t>approach to the child development modelling</w:t>
      </w:r>
      <w:r w:rsidR="00AB2947" w:rsidRPr="005537C3">
        <w:t xml:space="preserve"> presented in this report</w:t>
      </w:r>
      <w:r w:rsidR="00251613" w:rsidRPr="005537C3">
        <w:t xml:space="preserve">. In particular, </w:t>
      </w:r>
      <w:r w:rsidR="008C15C6" w:rsidRPr="005537C3">
        <w:t xml:space="preserve">the </w:t>
      </w:r>
      <w:r w:rsidR="00AC4E9F">
        <w:t>‘</w:t>
      </w:r>
      <w:r w:rsidR="008C15C6" w:rsidRPr="005537C3">
        <w:t>high impact scenario</w:t>
      </w:r>
      <w:r w:rsidR="00AC4E9F">
        <w:t>’</w:t>
      </w:r>
      <w:r w:rsidR="008C15C6" w:rsidRPr="005537C3">
        <w:t xml:space="preserve"> has been </w:t>
      </w:r>
      <w:r w:rsidR="00547D57" w:rsidRPr="005537C3">
        <w:t xml:space="preserve">parameterised based on findings of the differential in learning outcomes from higher quality settings, while the impact of greater dosage in the </w:t>
      </w:r>
      <w:r w:rsidR="00AC4E9F">
        <w:t>‘</w:t>
      </w:r>
      <w:r w:rsidR="00547D57" w:rsidRPr="005537C3">
        <w:t>low scenario</w:t>
      </w:r>
      <w:r w:rsidR="00AC4E9F">
        <w:t>’</w:t>
      </w:r>
      <w:r w:rsidR="00547D57" w:rsidRPr="005537C3">
        <w:t xml:space="preserve"> has been </w:t>
      </w:r>
      <w:r w:rsidR="00251613" w:rsidRPr="005537C3">
        <w:t xml:space="preserve">conservatively </w:t>
      </w:r>
      <w:r w:rsidR="00547D57" w:rsidRPr="005537C3">
        <w:t xml:space="preserve">applied only to children from </w:t>
      </w:r>
      <w:proofErr w:type="gramStart"/>
      <w:r w:rsidR="00547D57" w:rsidRPr="005537C3">
        <w:t>low and middle income</w:t>
      </w:r>
      <w:proofErr w:type="gramEnd"/>
      <w:r w:rsidR="00547D57" w:rsidRPr="005537C3">
        <w:t xml:space="preserve"> </w:t>
      </w:r>
      <w:r w:rsidR="00251613" w:rsidRPr="005537C3">
        <w:t xml:space="preserve">families based on some </w:t>
      </w:r>
      <w:r w:rsidR="00C23EE2" w:rsidRPr="005537C3">
        <w:t>of the findings in the literature on dosage</w:t>
      </w:r>
      <w:r w:rsidR="00251613" w:rsidRPr="005537C3">
        <w:t>.</w:t>
      </w:r>
      <w:r w:rsidR="00251613">
        <w:t xml:space="preserve"> </w:t>
      </w:r>
    </w:p>
    <w:p w14:paraId="077B6EB9" w14:textId="18F9B1BF" w:rsidR="00716BE4" w:rsidRDefault="00716BE4" w:rsidP="00716BE4">
      <w:pPr>
        <w:pStyle w:val="HeadingA"/>
      </w:pPr>
      <w:r>
        <w:t xml:space="preserve">Modelling approach </w:t>
      </w:r>
      <w:r w:rsidR="00837BE9">
        <w:t>and framework</w:t>
      </w:r>
    </w:p>
    <w:p w14:paraId="31764CC2" w14:textId="1B1E6A38" w:rsidR="007C2A82" w:rsidRDefault="00AB2947" w:rsidP="00B12EC8">
      <w:r>
        <w:t>T</w:t>
      </w:r>
      <w:r w:rsidR="0002082F">
        <w:t>he modelling</w:t>
      </w:r>
      <w:r w:rsidR="001208D8">
        <w:t xml:space="preserve"> </w:t>
      </w:r>
      <w:r w:rsidR="00694807">
        <w:t xml:space="preserve">compares a </w:t>
      </w:r>
      <w:r w:rsidR="00694807" w:rsidRPr="0027611B">
        <w:rPr>
          <w:b/>
          <w:bCs/>
        </w:rPr>
        <w:t>base case</w:t>
      </w:r>
      <w:r w:rsidR="00694807">
        <w:t xml:space="preserve"> where </w:t>
      </w:r>
      <w:r w:rsidR="00387E10">
        <w:t xml:space="preserve">the </w:t>
      </w:r>
      <w:r w:rsidR="00694807">
        <w:t xml:space="preserve">BSBL reforms do not occur, with a </w:t>
      </w:r>
      <w:r w:rsidR="00694807" w:rsidRPr="0027611B">
        <w:rPr>
          <w:b/>
          <w:bCs/>
        </w:rPr>
        <w:t>policy case</w:t>
      </w:r>
      <w:r w:rsidR="00694807">
        <w:t xml:space="preserve"> where the full suite of BSBL reforms </w:t>
      </w:r>
      <w:proofErr w:type="gramStart"/>
      <w:r w:rsidR="00694807">
        <w:t>are</w:t>
      </w:r>
      <w:proofErr w:type="gramEnd"/>
      <w:r w:rsidR="00694807">
        <w:t xml:space="preserve"> implemented and are taken up in line with </w:t>
      </w:r>
      <w:r w:rsidR="00020F85">
        <w:t>the</w:t>
      </w:r>
      <w:r w:rsidR="00694807">
        <w:t xml:space="preserve"> policy intention.</w:t>
      </w:r>
      <w:r w:rsidR="001E1EA9">
        <w:rPr>
          <w:rStyle w:val="FootnoteReference"/>
        </w:rPr>
        <w:footnoteReference w:id="4"/>
      </w:r>
      <w:r w:rsidR="00B32AB6">
        <w:t xml:space="preserve"> </w:t>
      </w:r>
      <w:r w:rsidR="007C2A82">
        <w:t>By comparing the two cases</w:t>
      </w:r>
      <w:r w:rsidR="00B32AB6">
        <w:t>, the impact of the</w:t>
      </w:r>
      <w:r w:rsidR="007C2A82">
        <w:t xml:space="preserve"> BSBL</w:t>
      </w:r>
      <w:r w:rsidR="00B32AB6">
        <w:t xml:space="preserve"> reforms</w:t>
      </w:r>
      <w:r w:rsidR="007C2A82">
        <w:t xml:space="preserve"> is isolated</w:t>
      </w:r>
      <w:r w:rsidR="00B32AB6">
        <w:t xml:space="preserve">. </w:t>
      </w:r>
    </w:p>
    <w:p w14:paraId="40217EEF" w14:textId="02C4769A" w:rsidR="00BC5C25" w:rsidRPr="00237ED8" w:rsidRDefault="00C21E5C" w:rsidP="008763FA">
      <w:pPr>
        <w:spacing w:before="120"/>
      </w:pPr>
      <w:r w:rsidRPr="00237ED8">
        <w:t xml:space="preserve">The </w:t>
      </w:r>
      <w:r w:rsidR="002746D6" w:rsidRPr="00237ED8">
        <w:t xml:space="preserve">following approach is used in </w:t>
      </w:r>
      <w:r w:rsidR="00BE2F11" w:rsidRPr="00237ED8">
        <w:t xml:space="preserve">parameterising the </w:t>
      </w:r>
      <w:r w:rsidR="002746D6" w:rsidRPr="00237ED8">
        <w:t>base case and policy case</w:t>
      </w:r>
      <w:r w:rsidR="006957FE" w:rsidRPr="00237ED8">
        <w:t xml:space="preserve"> (</w:t>
      </w:r>
      <w:r w:rsidR="003D4A2C">
        <w:fldChar w:fldCharType="begin"/>
      </w:r>
      <w:r w:rsidR="003D4A2C">
        <w:instrText xml:space="preserve"> REF _Ref169279412 \r \h </w:instrText>
      </w:r>
      <w:r w:rsidR="003D4A2C">
        <w:fldChar w:fldCharType="separate"/>
      </w:r>
      <w:r w:rsidR="008537EC">
        <w:t xml:space="preserve">Figure </w:t>
      </w:r>
      <w:proofErr w:type="spellStart"/>
      <w:r w:rsidR="008537EC">
        <w:t>i</w:t>
      </w:r>
      <w:proofErr w:type="spellEnd"/>
      <w:r w:rsidR="003D4A2C">
        <w:fldChar w:fldCharType="end"/>
      </w:r>
      <w:r w:rsidR="006957FE" w:rsidRPr="00237ED8">
        <w:t>)</w:t>
      </w:r>
      <w:r w:rsidR="00CD0145">
        <w:t>.</w:t>
      </w:r>
    </w:p>
    <w:p w14:paraId="25137214" w14:textId="77777777" w:rsidR="0097590D" w:rsidRDefault="0097590D" w:rsidP="0097590D">
      <w:pPr>
        <w:pStyle w:val="ExecFigureCaption"/>
      </w:pPr>
      <w:bookmarkStart w:id="50" w:name="_Ref169279412"/>
      <w:r>
        <w:lastRenderedPageBreak/>
        <w:t>: Overview of modelling approach</w:t>
      </w:r>
      <w:bookmarkEnd w:id="50"/>
      <w:r>
        <w:t xml:space="preserve"> </w:t>
      </w:r>
    </w:p>
    <w:p w14:paraId="760C26DB" w14:textId="20A320F6" w:rsidR="0097590D" w:rsidRDefault="00741251" w:rsidP="0097590D">
      <w:r>
        <w:rPr>
          <w:noProof/>
        </w:rPr>
        <w:drawing>
          <wp:inline distT="0" distB="0" distL="0" distR="0" wp14:anchorId="3D340CEE" wp14:editId="30223331">
            <wp:extent cx="6195337" cy="2768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95337" cy="2768400"/>
                    </a:xfrm>
                    <a:prstGeom prst="rect">
                      <a:avLst/>
                    </a:prstGeom>
                    <a:noFill/>
                  </pic:spPr>
                </pic:pic>
              </a:graphicData>
            </a:graphic>
          </wp:inline>
        </w:drawing>
      </w:r>
    </w:p>
    <w:p w14:paraId="4B3B853C" w14:textId="182FA8A5" w:rsidR="0097590D" w:rsidRDefault="0097590D" w:rsidP="0097590D">
      <w:pPr>
        <w:pStyle w:val="Source"/>
      </w:pPr>
      <w:r>
        <w:t>Source: Deloitte Access Economics (202</w:t>
      </w:r>
      <w:r w:rsidR="00F93904">
        <w:t>5</w:t>
      </w:r>
      <w:r>
        <w:t>).</w:t>
      </w:r>
    </w:p>
    <w:p w14:paraId="120DB4D5" w14:textId="692DA767" w:rsidR="00A7727E" w:rsidRDefault="004D21D3" w:rsidP="00A7727E">
      <w:pPr>
        <w:pStyle w:val="Heading4un-numbered"/>
      </w:pPr>
      <w:r>
        <w:t xml:space="preserve">Step 1: </w:t>
      </w:r>
      <w:r w:rsidR="00BE15A8">
        <w:t xml:space="preserve">Modelling </w:t>
      </w:r>
      <w:r w:rsidR="00A7727E">
        <w:t>ECEC usage</w:t>
      </w:r>
    </w:p>
    <w:p w14:paraId="693A017C" w14:textId="77777777" w:rsidR="00786593" w:rsidRDefault="00786593" w:rsidP="00786593">
      <w:r>
        <w:t>D</w:t>
      </w:r>
      <w:r w:rsidRPr="00237ED8">
        <w:t>raw</w:t>
      </w:r>
      <w:r>
        <w:t>ing</w:t>
      </w:r>
      <w:r w:rsidRPr="00237ED8">
        <w:t xml:space="preserve"> on Department of Education </w:t>
      </w:r>
      <w:r>
        <w:t xml:space="preserve">guidance </w:t>
      </w:r>
      <w:r w:rsidRPr="00237ED8">
        <w:t xml:space="preserve">on </w:t>
      </w:r>
      <w:r>
        <w:t xml:space="preserve">BSBL implementation </w:t>
      </w:r>
      <w:r w:rsidRPr="00237ED8">
        <w:t>and participation</w:t>
      </w:r>
      <w:r>
        <w:t xml:space="preserve"> targets, the shift in the usage of ECEC and kindergarten equivalent programs</w:t>
      </w:r>
      <w:r w:rsidRPr="00237ED8">
        <w:rPr>
          <w:rStyle w:val="FootnoteReference"/>
        </w:rPr>
        <w:footnoteReference w:id="5"/>
      </w:r>
      <w:r>
        <w:t xml:space="preserve"> is modelled. </w:t>
      </w:r>
    </w:p>
    <w:p w14:paraId="054581CF" w14:textId="77657D6E" w:rsidR="008B5312" w:rsidRDefault="00231BB1" w:rsidP="008763FA">
      <w:r>
        <w:t xml:space="preserve">In the policy case, </w:t>
      </w:r>
      <w:r w:rsidR="00EE31B0">
        <w:t xml:space="preserve">96 per cent of </w:t>
      </w:r>
      <w:r>
        <w:t xml:space="preserve">Victorian children are </w:t>
      </w:r>
      <w:r w:rsidR="009359BD">
        <w:t xml:space="preserve">assumed to be </w:t>
      </w:r>
      <w:r>
        <w:t xml:space="preserve">enrolled </w:t>
      </w:r>
      <w:r w:rsidR="001501E3">
        <w:t xml:space="preserve">in </w:t>
      </w:r>
      <w:r w:rsidR="00BF57D7">
        <w:t xml:space="preserve">15 hours per week of </w:t>
      </w:r>
      <w:r w:rsidR="001501E3">
        <w:t xml:space="preserve">three-year-old </w:t>
      </w:r>
      <w:r>
        <w:t>kindergarten</w:t>
      </w:r>
      <w:r w:rsidR="001501E3">
        <w:t xml:space="preserve">, and </w:t>
      </w:r>
      <w:r w:rsidR="00E958A8">
        <w:t>30 hours of universal pre-prep</w:t>
      </w:r>
      <w:r w:rsidR="00243DDA">
        <w:t xml:space="preserve"> once the policy is fully implemented by </w:t>
      </w:r>
      <w:r w:rsidR="006B612A">
        <w:t>203</w:t>
      </w:r>
      <w:r w:rsidR="00B469D2">
        <w:t>6</w:t>
      </w:r>
      <w:r w:rsidR="00243DDA">
        <w:t xml:space="preserve">. </w:t>
      </w:r>
      <w:r w:rsidR="00A6459E">
        <w:t xml:space="preserve">To understand the impact of </w:t>
      </w:r>
      <w:r w:rsidR="0098210F">
        <w:t>the policy case</w:t>
      </w:r>
      <w:r w:rsidR="00A6459E">
        <w:t xml:space="preserve">, children’s likely patterns </w:t>
      </w:r>
      <w:r w:rsidR="00AF2426">
        <w:t>of attendance at</w:t>
      </w:r>
      <w:r w:rsidR="00A6459E">
        <w:t xml:space="preserve"> ECEC and kindergarten equivalent programs </w:t>
      </w:r>
      <w:r w:rsidR="0098210F">
        <w:t>in the base case are modelled,</w:t>
      </w:r>
      <w:r w:rsidR="00E84D54">
        <w:t xml:space="preserve"> </w:t>
      </w:r>
      <w:r w:rsidR="008B5312">
        <w:t>draw</w:t>
      </w:r>
      <w:r w:rsidR="0098210F">
        <w:t>ing</w:t>
      </w:r>
      <w:r w:rsidR="008B5312">
        <w:t xml:space="preserve"> on a range of publicly available and Victorian Government data sources.</w:t>
      </w:r>
      <w:r w:rsidR="008B5312">
        <w:rPr>
          <w:rStyle w:val="FootnoteReference"/>
        </w:rPr>
        <w:footnoteReference w:id="6"/>
      </w:r>
      <w:r w:rsidR="008B5312">
        <w:t xml:space="preserve"> The base case also accounts for the </w:t>
      </w:r>
      <w:r w:rsidR="0009352B">
        <w:t xml:space="preserve">likely </w:t>
      </w:r>
      <w:r w:rsidR="008B5312">
        <w:t>impacts of the CCS changes on future use patterns.</w:t>
      </w:r>
      <w:r w:rsidR="008B5312">
        <w:rPr>
          <w:rStyle w:val="FootnoteReference"/>
        </w:rPr>
        <w:footnoteReference w:id="7"/>
      </w:r>
    </w:p>
    <w:p w14:paraId="2A1C600A" w14:textId="411CDB27" w:rsidR="008B5312" w:rsidRDefault="00BD319E" w:rsidP="00A6459E">
      <w:pPr>
        <w:pStyle w:val="ListBullet"/>
        <w:numPr>
          <w:ilvl w:val="0"/>
          <w:numId w:val="0"/>
        </w:numPr>
        <w:spacing w:after="170"/>
        <w:contextualSpacing w:val="0"/>
      </w:pPr>
      <w:r>
        <w:t xml:space="preserve">The modelling identifies </w:t>
      </w:r>
      <w:r w:rsidR="002D773F">
        <w:t xml:space="preserve">five </w:t>
      </w:r>
      <w:r w:rsidR="005E5B7F">
        <w:t>broad</w:t>
      </w:r>
      <w:r w:rsidR="002D773F">
        <w:t xml:space="preserve"> </w:t>
      </w:r>
      <w:r w:rsidR="005E5B7F">
        <w:t>ways in which the BSBL reforms affect families and children</w:t>
      </w:r>
      <w:r w:rsidR="00862B1E">
        <w:t xml:space="preserve"> in terms of </w:t>
      </w:r>
      <w:r w:rsidR="00AD1BD7">
        <w:t>child developmental outcomes and primary carers’ labour market outcomes</w:t>
      </w:r>
      <w:r w:rsidR="005074C2">
        <w:t xml:space="preserve"> (</w:t>
      </w:r>
      <w:r w:rsidR="005074C2">
        <w:fldChar w:fldCharType="begin"/>
      </w:r>
      <w:r w:rsidR="005074C2">
        <w:instrText xml:space="preserve"> REF _Ref152824041 \r \h </w:instrText>
      </w:r>
      <w:r w:rsidR="005074C2">
        <w:fldChar w:fldCharType="separate"/>
      </w:r>
      <w:r w:rsidR="008537EC">
        <w:t>Figure ii</w:t>
      </w:r>
      <w:r w:rsidR="005074C2">
        <w:fldChar w:fldCharType="end"/>
      </w:r>
      <w:r w:rsidR="005074C2">
        <w:t>)</w:t>
      </w:r>
      <w:r w:rsidR="005E5B7F">
        <w:t>:</w:t>
      </w:r>
    </w:p>
    <w:p w14:paraId="16141E4A" w14:textId="48085967" w:rsidR="00F9649C" w:rsidRDefault="00F9649C" w:rsidP="0080187A">
      <w:pPr>
        <w:pStyle w:val="ListParagraph"/>
        <w:numPr>
          <w:ilvl w:val="0"/>
          <w:numId w:val="60"/>
        </w:numPr>
        <w:spacing w:after="120"/>
      </w:pPr>
      <w:r w:rsidRPr="000D394D">
        <w:rPr>
          <w:b/>
          <w:bCs/>
        </w:rPr>
        <w:t>Increase</w:t>
      </w:r>
      <w:r w:rsidR="002C7748">
        <w:rPr>
          <w:b/>
          <w:bCs/>
        </w:rPr>
        <w:t>d</w:t>
      </w:r>
      <w:r w:rsidRPr="000D394D">
        <w:rPr>
          <w:b/>
          <w:bCs/>
        </w:rPr>
        <w:t xml:space="preserve"> participation, </w:t>
      </w:r>
      <w:r>
        <w:t xml:space="preserve">for children not otherwise expected to be enrolled in kindergarten </w:t>
      </w:r>
      <w:r w:rsidR="00ED093A">
        <w:t xml:space="preserve">equivalent programs </w:t>
      </w:r>
      <w:r>
        <w:t xml:space="preserve">at 3-4 </w:t>
      </w:r>
      <w:r w:rsidRPr="00F9649C">
        <w:t>years</w:t>
      </w:r>
      <w:r>
        <w:t>.</w:t>
      </w:r>
      <w:r w:rsidR="00276E92">
        <w:t xml:space="preserve"> This includes children who </w:t>
      </w:r>
      <w:r w:rsidR="004966FC">
        <w:t xml:space="preserve">are </w:t>
      </w:r>
      <w:r w:rsidR="00276E92">
        <w:t xml:space="preserve">in </w:t>
      </w:r>
      <w:proofErr w:type="gramStart"/>
      <w:r w:rsidR="005010A4">
        <w:t>child care</w:t>
      </w:r>
      <w:proofErr w:type="gramEnd"/>
      <w:r w:rsidR="00276E92">
        <w:t xml:space="preserve"> </w:t>
      </w:r>
      <w:r w:rsidR="004966FC">
        <w:t xml:space="preserve">but </w:t>
      </w:r>
      <w:r w:rsidR="00900003">
        <w:t xml:space="preserve">who </w:t>
      </w:r>
      <w:r w:rsidR="00C31D0B">
        <w:t xml:space="preserve">are </w:t>
      </w:r>
      <w:r w:rsidR="00276E92">
        <w:t>not in kindergarten programs.</w:t>
      </w:r>
    </w:p>
    <w:p w14:paraId="0B10C561" w14:textId="070F96DB" w:rsidR="00F9649C" w:rsidRDefault="00F9649C" w:rsidP="0080187A">
      <w:pPr>
        <w:pStyle w:val="ListParagraph"/>
        <w:numPr>
          <w:ilvl w:val="0"/>
          <w:numId w:val="60"/>
        </w:numPr>
        <w:spacing w:after="120"/>
      </w:pPr>
      <w:r>
        <w:rPr>
          <w:b/>
          <w:bCs/>
        </w:rPr>
        <w:t>Increase</w:t>
      </w:r>
      <w:r w:rsidR="002C7748">
        <w:rPr>
          <w:b/>
          <w:bCs/>
        </w:rPr>
        <w:t>d</w:t>
      </w:r>
      <w:r>
        <w:rPr>
          <w:b/>
          <w:bCs/>
        </w:rPr>
        <w:t xml:space="preserve"> duration and dosage, </w:t>
      </w:r>
      <w:r>
        <w:t xml:space="preserve">for children </w:t>
      </w:r>
      <w:r w:rsidR="00C17173">
        <w:t xml:space="preserve">otherwise </w:t>
      </w:r>
      <w:r>
        <w:t xml:space="preserve">receiving 15 hours of kindergarten at age four, but </w:t>
      </w:r>
      <w:r w:rsidR="00065A41">
        <w:t xml:space="preserve">who </w:t>
      </w:r>
      <w:r>
        <w:t>are not receiving a kindergarten equivalent program at age three.</w:t>
      </w:r>
    </w:p>
    <w:p w14:paraId="7FE47583" w14:textId="0BC93199" w:rsidR="00862B1E" w:rsidRPr="00AD1BD7" w:rsidRDefault="00053C79" w:rsidP="0080187A">
      <w:pPr>
        <w:pStyle w:val="ListParagraph"/>
        <w:numPr>
          <w:ilvl w:val="0"/>
          <w:numId w:val="60"/>
        </w:numPr>
        <w:spacing w:after="120"/>
        <w:rPr>
          <w:b/>
          <w:bCs/>
        </w:rPr>
      </w:pPr>
      <w:r w:rsidRPr="003D5B80">
        <w:rPr>
          <w:b/>
          <w:bCs/>
        </w:rPr>
        <w:t>Increased duration</w:t>
      </w:r>
      <w:r>
        <w:rPr>
          <w:b/>
          <w:bCs/>
        </w:rPr>
        <w:t xml:space="preserve">, </w:t>
      </w:r>
      <w:r>
        <w:t xml:space="preserve">for children otherwise in a kindergarten equivalent program for 30 hours at age </w:t>
      </w:r>
      <w:proofErr w:type="gramStart"/>
      <w:r>
        <w:t>four, but</w:t>
      </w:r>
      <w:proofErr w:type="gramEnd"/>
      <w:r>
        <w:t xml:space="preserve"> not receiving a kindergarten equivalent program at age three.</w:t>
      </w:r>
      <w:r w:rsidR="00AC276E">
        <w:t xml:space="preserve"> </w:t>
      </w:r>
      <w:r w:rsidR="0006325D">
        <w:t>C</w:t>
      </w:r>
      <w:r w:rsidR="00D26612">
        <w:t xml:space="preserve">hildren </w:t>
      </w:r>
      <w:r w:rsidR="009265BF">
        <w:t xml:space="preserve">enrolled in </w:t>
      </w:r>
      <w:r w:rsidR="003165F2">
        <w:t>LDC throughout the week – or rely on a mix of LDC and standalone kindergartens</w:t>
      </w:r>
      <w:r w:rsidR="00E2084B">
        <w:t xml:space="preserve"> – </w:t>
      </w:r>
      <w:r w:rsidR="00D1173A">
        <w:t xml:space="preserve">will </w:t>
      </w:r>
      <w:r w:rsidR="00862B1E">
        <w:t>likely fall in this category.</w:t>
      </w:r>
    </w:p>
    <w:p w14:paraId="3171D7ED" w14:textId="2795F342" w:rsidR="005356CA" w:rsidRPr="00FB1401" w:rsidRDefault="005356CA" w:rsidP="0080187A">
      <w:pPr>
        <w:pStyle w:val="ListParagraph"/>
        <w:numPr>
          <w:ilvl w:val="0"/>
          <w:numId w:val="60"/>
        </w:numPr>
        <w:spacing w:after="120"/>
        <w:rPr>
          <w:b/>
          <w:bCs/>
        </w:rPr>
      </w:pPr>
      <w:r>
        <w:rPr>
          <w:b/>
          <w:bCs/>
        </w:rPr>
        <w:t xml:space="preserve">Increased dosage, </w:t>
      </w:r>
      <w:r w:rsidRPr="005356CA">
        <w:t>for</w:t>
      </w:r>
      <w:r>
        <w:rPr>
          <w:b/>
          <w:bCs/>
        </w:rPr>
        <w:t xml:space="preserve"> </w:t>
      </w:r>
      <w:r>
        <w:t xml:space="preserve">children otherwise in a kindergarten equivalent program for 15 hours at age four, and </w:t>
      </w:r>
      <w:r w:rsidR="006D708D">
        <w:t xml:space="preserve">who </w:t>
      </w:r>
      <w:r>
        <w:t xml:space="preserve">are receiving a kindergarten equivalent program at age three. These programs may not be funded by the Victorian </w:t>
      </w:r>
      <w:proofErr w:type="gramStart"/>
      <w:r>
        <w:t>Government, but</w:t>
      </w:r>
      <w:proofErr w:type="gramEnd"/>
      <w:r>
        <w:t xml:space="preserve"> would be functionally equivalent to the current definition of kindergarten for four-year-olds.</w:t>
      </w:r>
    </w:p>
    <w:p w14:paraId="4D996A3B" w14:textId="7C1B14B7" w:rsidR="007537E9" w:rsidRPr="008763FA" w:rsidRDefault="005356CA" w:rsidP="008763FA">
      <w:pPr>
        <w:pStyle w:val="ListParagraph"/>
        <w:numPr>
          <w:ilvl w:val="0"/>
          <w:numId w:val="60"/>
        </w:numPr>
        <w:spacing w:after="120"/>
        <w:rPr>
          <w:b/>
          <w:bCs/>
        </w:rPr>
      </w:pPr>
      <w:r>
        <w:rPr>
          <w:b/>
          <w:bCs/>
        </w:rPr>
        <w:lastRenderedPageBreak/>
        <w:t>No direct effect,</w:t>
      </w:r>
      <w:r>
        <w:t xml:space="preserve"> </w:t>
      </w:r>
      <w:r w:rsidRPr="00FB1401">
        <w:t>children</w:t>
      </w:r>
      <w:r>
        <w:rPr>
          <w:b/>
          <w:bCs/>
        </w:rPr>
        <w:t xml:space="preserve"> </w:t>
      </w:r>
      <w:r>
        <w:t xml:space="preserve">who are already receiving kindergarten for 30 hours at age </w:t>
      </w:r>
      <w:r w:rsidR="00267016">
        <w:t>four and</w:t>
      </w:r>
      <w:r>
        <w:t xml:space="preserve"> are receiving a kindergarten equivalent program at age three.</w:t>
      </w:r>
    </w:p>
    <w:p w14:paraId="5471B078" w14:textId="2371DE8E" w:rsidR="00267016" w:rsidRPr="00267016" w:rsidRDefault="00C2600E" w:rsidP="008763FA">
      <w:r>
        <w:t>The cohorts that</w:t>
      </w:r>
      <w:r w:rsidR="007537E9">
        <w:t xml:space="preserve"> increase</w:t>
      </w:r>
      <w:r w:rsidR="003C663B">
        <w:t xml:space="preserve"> hours in </w:t>
      </w:r>
      <w:r w:rsidR="00267016">
        <w:t xml:space="preserve">kindergarten equivalent programs </w:t>
      </w:r>
      <w:r>
        <w:t>are</w:t>
      </w:r>
      <w:r w:rsidR="003C663B">
        <w:t xml:space="preserve"> expected to </w:t>
      </w:r>
      <w:r w:rsidR="00267016">
        <w:t xml:space="preserve">receive </w:t>
      </w:r>
      <w:r w:rsidR="007537E9" w:rsidRPr="00237ED8">
        <w:t xml:space="preserve">child developmental </w:t>
      </w:r>
      <w:r w:rsidR="003C663B">
        <w:t>benefits</w:t>
      </w:r>
      <w:r w:rsidR="007537E9">
        <w:t>.</w:t>
      </w:r>
      <w:r w:rsidR="003C663B">
        <w:t xml:space="preserve"> However, only cohorts </w:t>
      </w:r>
      <w:r w:rsidR="00812060">
        <w:t>with</w:t>
      </w:r>
      <w:r w:rsidR="002C2E54">
        <w:t xml:space="preserve"> higher </w:t>
      </w:r>
      <w:r w:rsidR="003C663B">
        <w:t>o</w:t>
      </w:r>
      <w:r w:rsidR="003C663B" w:rsidRPr="00237ED8">
        <w:t>verall ECEC usage</w:t>
      </w:r>
      <w:r w:rsidR="003C663B">
        <w:t xml:space="preserve"> (kindergarten and </w:t>
      </w:r>
      <w:proofErr w:type="gramStart"/>
      <w:r w:rsidR="003C663B">
        <w:t>child care</w:t>
      </w:r>
      <w:proofErr w:type="gramEnd"/>
      <w:r w:rsidR="003C663B">
        <w:t xml:space="preserve">) </w:t>
      </w:r>
      <w:r w:rsidR="002C2E54">
        <w:t xml:space="preserve">are </w:t>
      </w:r>
      <w:r w:rsidR="003C663B">
        <w:t xml:space="preserve">expected to </w:t>
      </w:r>
      <w:r w:rsidR="002D1F56">
        <w:t>experience</w:t>
      </w:r>
      <w:r w:rsidR="002C2E54">
        <w:t xml:space="preserve"> </w:t>
      </w:r>
      <w:r w:rsidR="003C663B" w:rsidRPr="00237ED8">
        <w:t>primary carer labour supply</w:t>
      </w:r>
      <w:r w:rsidR="002D1F56">
        <w:t xml:space="preserve"> benefits</w:t>
      </w:r>
      <w:r w:rsidR="003C663B" w:rsidRPr="00237ED8">
        <w:t>.</w:t>
      </w:r>
      <w:r w:rsidR="00812060">
        <w:t xml:space="preserve"> </w:t>
      </w:r>
      <w:r w:rsidR="000119F7">
        <w:t>W</w:t>
      </w:r>
      <w:r w:rsidR="00812060">
        <w:t xml:space="preserve">here children are substituting from </w:t>
      </w:r>
      <w:proofErr w:type="gramStart"/>
      <w:r w:rsidR="00812060">
        <w:t>child care</w:t>
      </w:r>
      <w:proofErr w:type="gramEnd"/>
      <w:r w:rsidR="00812060">
        <w:t xml:space="preserve"> to kindergarten programs, there is not expected </w:t>
      </w:r>
      <w:r w:rsidR="000119F7">
        <w:t>a net increase in ECEC usage.</w:t>
      </w:r>
    </w:p>
    <w:p w14:paraId="34D907E3" w14:textId="2204BE7A" w:rsidR="00980803" w:rsidRDefault="00E153E7" w:rsidP="00E153E7">
      <w:pPr>
        <w:pStyle w:val="ExecFigureCaption"/>
      </w:pPr>
      <w:bookmarkStart w:id="51" w:name="_Ref152824041"/>
      <w:r>
        <w:t xml:space="preserve">: </w:t>
      </w:r>
      <w:r w:rsidR="002B2285">
        <w:t>Effects of the reforms by cohort</w:t>
      </w:r>
      <w:bookmarkEnd w:id="51"/>
    </w:p>
    <w:p w14:paraId="0BF4FAE7" w14:textId="0B89EDB5" w:rsidR="00FC6D15" w:rsidRPr="00FC6D15" w:rsidRDefault="00C9109D" w:rsidP="008763FA">
      <w:r>
        <w:rPr>
          <w:noProof/>
        </w:rPr>
        <w:drawing>
          <wp:inline distT="0" distB="0" distL="0" distR="0" wp14:anchorId="0FCFBD80" wp14:editId="2CD9CAD8">
            <wp:extent cx="5937662" cy="4815992"/>
            <wp:effectExtent l="0" t="0" r="6350" b="0"/>
            <wp:docPr id="8833980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52311" cy="4827874"/>
                    </a:xfrm>
                    <a:prstGeom prst="rect">
                      <a:avLst/>
                    </a:prstGeom>
                    <a:noFill/>
                  </pic:spPr>
                </pic:pic>
              </a:graphicData>
            </a:graphic>
          </wp:inline>
        </w:drawing>
      </w:r>
    </w:p>
    <w:p w14:paraId="10B8CF3C" w14:textId="6B134861" w:rsidR="000E4F9D" w:rsidRDefault="00F37FB9" w:rsidP="00ED6171">
      <w:pPr>
        <w:pStyle w:val="Source"/>
      </w:pPr>
      <w:r>
        <w:t>Source: Deloitte Access Economics (202</w:t>
      </w:r>
      <w:r w:rsidR="00F93904">
        <w:t>5</w:t>
      </w:r>
      <w:r>
        <w:t>).</w:t>
      </w:r>
      <w:r w:rsidR="009C071E">
        <w:t xml:space="preserve"> KGN = kindergarten. 3YO = three-year-old. 4YO = four-year-old. </w:t>
      </w:r>
      <w:r w:rsidR="00BE2C14">
        <w:t>Note that specific parameters on ECEC usage &amp; primary carer uplift by cohort type are not available.</w:t>
      </w:r>
    </w:p>
    <w:p w14:paraId="1B29ACA1" w14:textId="07988A6D" w:rsidR="00980803" w:rsidRDefault="004D21D3" w:rsidP="00980803">
      <w:pPr>
        <w:pStyle w:val="Heading4un-numbered"/>
      </w:pPr>
      <w:r>
        <w:t>Step</w:t>
      </w:r>
      <w:r w:rsidR="0098210F">
        <w:t>s</w:t>
      </w:r>
      <w:r>
        <w:t xml:space="preserve"> 2</w:t>
      </w:r>
      <w:r w:rsidR="0098210F">
        <w:t>+3</w:t>
      </w:r>
      <w:r>
        <w:t xml:space="preserve">: </w:t>
      </w:r>
      <w:r w:rsidR="00BE15A8">
        <w:t>Modelling child developmental outcomes</w:t>
      </w:r>
    </w:p>
    <w:p w14:paraId="3AAE5A6E" w14:textId="24235999" w:rsidR="00483913" w:rsidRDefault="00453AB5" w:rsidP="00716BE4">
      <w:r>
        <w:t xml:space="preserve">The effects of changing </w:t>
      </w:r>
      <w:r w:rsidRPr="00237ED8">
        <w:t xml:space="preserve">kindergarten usage </w:t>
      </w:r>
      <w:r>
        <w:t xml:space="preserve">on </w:t>
      </w:r>
      <w:r w:rsidRPr="00237ED8">
        <w:t xml:space="preserve">children </w:t>
      </w:r>
      <w:r>
        <w:t xml:space="preserve">are modelled based on the best available evidence in the </w:t>
      </w:r>
      <w:r w:rsidRPr="00237ED8">
        <w:t>existing literature.</w:t>
      </w:r>
      <w:r>
        <w:t xml:space="preserve"> </w:t>
      </w:r>
      <w:r w:rsidR="00483913">
        <w:t xml:space="preserve">The literature review demonstrates that kindergarten attendance has been found to have a large range of impacts on child development outcomes with impacts being sensitive to the quality of learning settings </w:t>
      </w:r>
      <w:proofErr w:type="gramStart"/>
      <w:r w:rsidR="00483913">
        <w:t>and also</w:t>
      </w:r>
      <w:proofErr w:type="gramEnd"/>
      <w:r w:rsidR="00483913">
        <w:t xml:space="preserve"> being generally stronger for more disadvantaged cohorts.</w:t>
      </w:r>
    </w:p>
    <w:p w14:paraId="63E37A85" w14:textId="292EECBE" w:rsidR="00087F60" w:rsidRPr="00907EFF" w:rsidRDefault="00087F60" w:rsidP="00716BE4">
      <w:r w:rsidRPr="00907EFF">
        <w:t xml:space="preserve">Where possible, </w:t>
      </w:r>
      <w:r w:rsidR="00D960A0">
        <w:t xml:space="preserve">the </w:t>
      </w:r>
      <w:r>
        <w:rPr>
          <w:i/>
        </w:rPr>
        <w:t xml:space="preserve">impacts </w:t>
      </w:r>
      <w:r w:rsidR="00D960A0">
        <w:rPr>
          <w:i/>
        </w:rPr>
        <w:t xml:space="preserve">of BSBL </w:t>
      </w:r>
      <w:r>
        <w:rPr>
          <w:i/>
        </w:rPr>
        <w:t xml:space="preserve">have been </w:t>
      </w:r>
      <w:r w:rsidR="00D960A0">
        <w:rPr>
          <w:i/>
          <w:iCs/>
        </w:rPr>
        <w:t xml:space="preserve">simulated </w:t>
      </w:r>
      <w:r w:rsidRPr="00907EFF">
        <w:rPr>
          <w:i/>
        </w:rPr>
        <w:t>based on the findings of large scale or universal programs</w:t>
      </w:r>
      <w:r w:rsidR="00907EFF">
        <w:t>. W</w:t>
      </w:r>
      <w:r w:rsidRPr="00907EFF">
        <w:t>hile small scale demonstration studies or programs targeted at disadvantaged cohorts can result in large benefits it is unlikely these would hold across a population wide program such as the BSBL.</w:t>
      </w:r>
    </w:p>
    <w:p w14:paraId="6ADFBC71" w14:textId="083CF371" w:rsidR="00A07EF1" w:rsidRDefault="00A55DD3" w:rsidP="00716BE4">
      <w:r>
        <w:lastRenderedPageBreak/>
        <w:t>Two</w:t>
      </w:r>
      <w:r w:rsidR="00A70CE5">
        <w:t xml:space="preserve"> </w:t>
      </w:r>
      <w:r w:rsidR="007D0FB4" w:rsidRPr="00A55DD3">
        <w:t xml:space="preserve">scenarios have been </w:t>
      </w:r>
      <w:r w:rsidR="00850FAE" w:rsidRPr="00A55DD3">
        <w:t xml:space="preserve">parameterised </w:t>
      </w:r>
      <w:r w:rsidR="00E16508" w:rsidRPr="00A55DD3">
        <w:t>to account for different</w:t>
      </w:r>
      <w:r w:rsidR="00A70CE5" w:rsidRPr="00A55DD3">
        <w:t xml:space="preserve"> </w:t>
      </w:r>
      <w:r w:rsidR="00087F60" w:rsidRPr="00A55DD3">
        <w:t>potential</w:t>
      </w:r>
      <w:r w:rsidR="00E16508" w:rsidRPr="00A55DD3">
        <w:t xml:space="preserve"> </w:t>
      </w:r>
      <w:r w:rsidR="00A70CE5" w:rsidRPr="00A55DD3">
        <w:t xml:space="preserve">impacts. The low impact scenario has been, where possible, based on a standard level of quality for a </w:t>
      </w:r>
      <w:r w:rsidR="00A17956">
        <w:t>kindergarten</w:t>
      </w:r>
      <w:r w:rsidR="00A70CE5" w:rsidRPr="00A55DD3">
        <w:t xml:space="preserve"> program; the high impact scenario assumes a higher level of quality is able to be delivered resulting in stronger developmental outcomes.</w:t>
      </w:r>
    </w:p>
    <w:tbl>
      <w:tblPr>
        <w:tblStyle w:val="TableGrid"/>
        <w:tblW w:w="5000" w:type="pct"/>
        <w:shd w:val="clear" w:color="auto" w:fill="DFF0F9" w:themeFill="accent3" w:themeFillTint="33"/>
        <w:tblCellMar>
          <w:top w:w="113" w:type="dxa"/>
          <w:left w:w="113" w:type="dxa"/>
          <w:bottom w:w="113" w:type="dxa"/>
          <w:right w:w="113" w:type="dxa"/>
        </w:tblCellMar>
        <w:tblLook w:val="04A0" w:firstRow="1" w:lastRow="0" w:firstColumn="1" w:lastColumn="0" w:noHBand="0" w:noVBand="1"/>
      </w:tblPr>
      <w:tblGrid>
        <w:gridCol w:w="9026"/>
      </w:tblGrid>
      <w:tr w:rsidR="00D634C0" w14:paraId="38BA6A63" w14:textId="77777777" w:rsidTr="008763FA">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DFF0F9" w:themeFill="accent3" w:themeFillTint="33"/>
          </w:tcPr>
          <w:p w14:paraId="617013DC" w14:textId="2A6A0096" w:rsidR="00D634C0" w:rsidRDefault="00D634C0">
            <w:pPr>
              <w:rPr>
                <w:b/>
                <w:bCs/>
              </w:rPr>
            </w:pPr>
            <w:r w:rsidRPr="00003114">
              <w:rPr>
                <w:b/>
                <w:bCs/>
              </w:rPr>
              <w:t>Box</w:t>
            </w:r>
            <w:r>
              <w:rPr>
                <w:b/>
                <w:bCs/>
              </w:rPr>
              <w:t xml:space="preserve"> </w:t>
            </w:r>
            <w:r w:rsidR="0093638F">
              <w:rPr>
                <w:b/>
                <w:bCs/>
              </w:rPr>
              <w:t>i</w:t>
            </w:r>
            <w:r w:rsidR="005F6537">
              <w:rPr>
                <w:b/>
                <w:bCs/>
              </w:rPr>
              <w:t>i</w:t>
            </w:r>
            <w:r>
              <w:rPr>
                <w:b/>
                <w:bCs/>
              </w:rPr>
              <w:t>: Using Standard Deviations to compare outcomes</w:t>
            </w:r>
          </w:p>
          <w:p w14:paraId="23B6D948" w14:textId="336B6B6B" w:rsidR="00D634C0" w:rsidRPr="00E93B3A" w:rsidRDefault="00D634C0">
            <w:r w:rsidRPr="00E93B3A">
              <w:t xml:space="preserve">Standard deviation is a statistical measure that quantifies the </w:t>
            </w:r>
            <w:r>
              <w:t xml:space="preserve">expected </w:t>
            </w:r>
            <w:r w:rsidRPr="00E93B3A">
              <w:t xml:space="preserve">amount of </w:t>
            </w:r>
            <w:r>
              <w:t>a random variable</w:t>
            </w:r>
            <w:r w:rsidRPr="00E93B3A">
              <w:t xml:space="preserve"> </w:t>
            </w:r>
            <w:r>
              <w:t>from its mean</w:t>
            </w:r>
            <w:r w:rsidRPr="00E93B3A">
              <w:t xml:space="preserve">. </w:t>
            </w:r>
            <w:r>
              <w:t>Measuring the effect of</w:t>
            </w:r>
            <w:r w:rsidRPr="00E93B3A">
              <w:t xml:space="preserve"> a </w:t>
            </w:r>
            <w:r>
              <w:t xml:space="preserve">policy or variable on outcomes relative to its standard deviation (or the expected variability from the mean) provides a comparable measure to compare the impact of different policies </w:t>
            </w:r>
            <w:r w:rsidR="00724A91">
              <w:t xml:space="preserve">or </w:t>
            </w:r>
            <w:r>
              <w:t>different studies</w:t>
            </w:r>
            <w:r w:rsidR="00724A91">
              <w:t xml:space="preserve"> that have different units of outcomes and scales. </w:t>
            </w:r>
            <w:r>
              <w:t xml:space="preserve"> </w:t>
            </w:r>
          </w:p>
        </w:tc>
      </w:tr>
    </w:tbl>
    <w:p w14:paraId="68D0F181" w14:textId="05329453" w:rsidR="0072773E" w:rsidRPr="0072773E" w:rsidRDefault="0072773E" w:rsidP="00B12EC8">
      <w:pPr>
        <w:pStyle w:val="Heading4un-numbered"/>
        <w:spacing w:before="170"/>
      </w:pPr>
      <w:r w:rsidRPr="0072773E">
        <w:t>Additional year of kindergarten</w:t>
      </w:r>
    </w:p>
    <w:p w14:paraId="56AA3337" w14:textId="7BAFE360" w:rsidR="00DF1E91" w:rsidRDefault="00E56355" w:rsidP="00DF1E91">
      <w:r>
        <w:t xml:space="preserve">The low impact </w:t>
      </w:r>
      <w:r w:rsidR="00400316">
        <w:t xml:space="preserve">effect size is based on </w:t>
      </w:r>
      <w:r w:rsidR="00822A1B">
        <w:t xml:space="preserve">Deloitte </w:t>
      </w:r>
      <w:r w:rsidR="00EA23F9">
        <w:t>A</w:t>
      </w:r>
      <w:r w:rsidR="00822A1B">
        <w:t xml:space="preserve">ccess Economics </w:t>
      </w:r>
      <w:r w:rsidR="00122840">
        <w:t>(20</w:t>
      </w:r>
      <w:r w:rsidR="00822A1B">
        <w:t>23</w:t>
      </w:r>
      <w:r w:rsidR="00122840">
        <w:t>)</w:t>
      </w:r>
      <w:r w:rsidR="00400316">
        <w:rPr>
          <w:rStyle w:val="FootnoteReference"/>
        </w:rPr>
        <w:footnoteReference w:id="8"/>
      </w:r>
      <w:r w:rsidR="00400316">
        <w:t>,</w:t>
      </w:r>
      <w:r w:rsidR="00122840">
        <w:t xml:space="preserve"> </w:t>
      </w:r>
      <w:r w:rsidR="00400316">
        <w:t xml:space="preserve">which </w:t>
      </w:r>
      <w:r w:rsidR="00822A1B">
        <w:t xml:space="preserve">estimates </w:t>
      </w:r>
      <w:r w:rsidR="0077224F">
        <w:t xml:space="preserve">that </w:t>
      </w:r>
      <w:r w:rsidR="00822A1B">
        <w:t xml:space="preserve">the marginal benefits of an additional year of </w:t>
      </w:r>
      <w:r w:rsidR="00A17956">
        <w:t xml:space="preserve">kindergarten </w:t>
      </w:r>
      <w:r w:rsidR="00822A1B">
        <w:t>on Year 3 reading NAPLAN scores is 0.12 standard deviations</w:t>
      </w:r>
      <w:r w:rsidR="008A764B">
        <w:t xml:space="preserve">. This is </w:t>
      </w:r>
      <w:r w:rsidR="00487A9A">
        <w:t xml:space="preserve">broadly </w:t>
      </w:r>
      <w:r w:rsidR="008A764B">
        <w:t xml:space="preserve">consistent with </w:t>
      </w:r>
      <w:r w:rsidR="00DF1E91">
        <w:t xml:space="preserve">findings of the international literature, </w:t>
      </w:r>
      <w:r w:rsidR="00D27698">
        <w:t xml:space="preserve">with effect sizes </w:t>
      </w:r>
      <w:r w:rsidR="00DF1E91">
        <w:t xml:space="preserve">between 0.1 to 0.2 standard deviations. </w:t>
      </w:r>
    </w:p>
    <w:p w14:paraId="7B0693B1" w14:textId="7B288F09" w:rsidR="00F37FB9" w:rsidRDefault="00400316" w:rsidP="00716BE4">
      <w:r>
        <w:t>The high impact effect size is 0.06 standard deviations higher, drawing on findings of Taggart et al (2015)</w:t>
      </w:r>
      <w:r>
        <w:rPr>
          <w:rStyle w:val="FootnoteReference"/>
        </w:rPr>
        <w:footnoteReference w:id="9"/>
      </w:r>
      <w:r>
        <w:t xml:space="preserve"> on the benefits of attending a </w:t>
      </w:r>
      <w:proofErr w:type="gramStart"/>
      <w:r>
        <w:t>high quality</w:t>
      </w:r>
      <w:proofErr w:type="gramEnd"/>
      <w:r>
        <w:t xml:space="preserve"> kindergarten over an average kindergarten.</w:t>
      </w:r>
      <w:r w:rsidR="00930187" w:rsidRPr="00930187">
        <w:t xml:space="preserve"> </w:t>
      </w:r>
      <w:r w:rsidR="00930187">
        <w:t>This may be a conservative estimate of the benefits of higher quality delivery with some studies pointing to a potential doubling of impacts.</w:t>
      </w:r>
      <w:r w:rsidR="00930187">
        <w:rPr>
          <w:rStyle w:val="FootnoteReference"/>
        </w:rPr>
        <w:footnoteReference w:id="10"/>
      </w:r>
    </w:p>
    <w:p w14:paraId="65734C9F" w14:textId="549ED4F8" w:rsidR="00F24015" w:rsidRPr="0072773E" w:rsidRDefault="00F24015" w:rsidP="00F24015">
      <w:pPr>
        <w:pStyle w:val="Heading4un-numbered"/>
      </w:pPr>
      <w:r>
        <w:t>Two</w:t>
      </w:r>
      <w:r w:rsidRPr="0072773E">
        <w:t xml:space="preserve"> year</w:t>
      </w:r>
      <w:r>
        <w:t>s</w:t>
      </w:r>
      <w:r w:rsidRPr="0072773E">
        <w:t xml:space="preserve"> of kindergarten</w:t>
      </w:r>
    </w:p>
    <w:p w14:paraId="36DB1A6E" w14:textId="4B1D84D5" w:rsidR="00D51D38" w:rsidRDefault="00D51D38" w:rsidP="00017107">
      <w:r>
        <w:t xml:space="preserve">Taggart et al (2015) found that an additional (i.e. second year of kindergarten) increases the return on the first year by around 50 to 60 per cent. </w:t>
      </w:r>
      <w:r w:rsidR="00F10BA4">
        <w:t xml:space="preserve">Given the evidence above that a second year of kindergarten </w:t>
      </w:r>
      <w:r w:rsidR="00B86E7E">
        <w:t xml:space="preserve">improves learning outcomes by 0.12 standard deviations and the evidence from Taggart et al (2015) that the marginal return on a second year is likely lower than the return from going from </w:t>
      </w:r>
      <w:r w:rsidR="00060DB5">
        <w:t>not attending</w:t>
      </w:r>
      <w:r w:rsidR="00B86E7E">
        <w:t xml:space="preserve"> kind</w:t>
      </w:r>
      <w:r w:rsidR="000A4C60">
        <w:t xml:space="preserve">ergarten to attending for one year, the analysis conservatively assumes that the </w:t>
      </w:r>
      <w:r>
        <w:t>return</w:t>
      </w:r>
      <w:r w:rsidR="00C1394D">
        <w:t>s</w:t>
      </w:r>
      <w:r>
        <w:t xml:space="preserve"> </w:t>
      </w:r>
      <w:r w:rsidR="00C1394D">
        <w:t xml:space="preserve">for </w:t>
      </w:r>
      <w:r>
        <w:t>attending for two years</w:t>
      </w:r>
      <w:r w:rsidR="000A4C60">
        <w:t xml:space="preserve"> of kindergarten relative to not attending kindergarten at all is twice that of the benefits of attending a second year of kindergarten. This results in an estimated effect size of </w:t>
      </w:r>
      <w:r w:rsidR="007467B1">
        <w:t xml:space="preserve">0.24 standard deviations. </w:t>
      </w:r>
    </w:p>
    <w:p w14:paraId="0C1B8FB8" w14:textId="51DCC13F" w:rsidR="00EA4A05" w:rsidRDefault="00EA4A05" w:rsidP="00017107">
      <w:r>
        <w:t xml:space="preserve">Consistent with an additional year of kindergarten, the high impact scenario assumes higher quality and an effect size that is 0.06 </w:t>
      </w:r>
      <w:r w:rsidR="003843EE">
        <w:t xml:space="preserve">standard deviations higher at </w:t>
      </w:r>
      <w:r w:rsidR="00562D5A">
        <w:t>0.30.</w:t>
      </w:r>
    </w:p>
    <w:p w14:paraId="46C34163" w14:textId="77777777" w:rsidR="00562D5A" w:rsidRDefault="00562D5A" w:rsidP="00562D5A">
      <w:pPr>
        <w:pStyle w:val="Heading4un-numbered"/>
      </w:pPr>
      <w:r>
        <w:t>Increased dosage of kinder (at age four)</w:t>
      </w:r>
    </w:p>
    <w:p w14:paraId="1C0E43D0" w14:textId="5DE1D2CF" w:rsidR="00C04918" w:rsidRDefault="00C04918" w:rsidP="00C04918">
      <w:pPr>
        <w:spacing w:after="120"/>
      </w:pPr>
      <w:r>
        <w:t xml:space="preserve">The existing literature in Australia provides limited evidence in support of benefits from shifting from 15 hours to 30 hours. Much of the evidence is from a day care context and the findings are generally mixed. </w:t>
      </w:r>
    </w:p>
    <w:p w14:paraId="7CDC2BC6" w14:textId="5225BE04" w:rsidR="007D7385" w:rsidRDefault="00C04918" w:rsidP="007D7385">
      <w:pPr>
        <w:spacing w:after="120"/>
      </w:pPr>
      <w:r>
        <w:t xml:space="preserve">The most comparable </w:t>
      </w:r>
      <w:r w:rsidR="007D08B8">
        <w:t xml:space="preserve">study </w:t>
      </w:r>
      <w:r>
        <w:t xml:space="preserve">to the Victorian context </w:t>
      </w:r>
      <w:r w:rsidR="00D57C67">
        <w:t>considers</w:t>
      </w:r>
      <w:r w:rsidR="007D7385">
        <w:t xml:space="preserve"> the </w:t>
      </w:r>
      <w:r w:rsidR="00500F4D">
        <w:t xml:space="preserve">experience </w:t>
      </w:r>
      <w:r w:rsidR="00810D80">
        <w:t>of</w:t>
      </w:r>
      <w:r w:rsidR="007D7385">
        <w:t xml:space="preserve"> Ontario </w:t>
      </w:r>
      <w:r w:rsidR="00D57C67">
        <w:t>in staggering the implementation of full day kindergarten across different schools</w:t>
      </w:r>
      <w:r w:rsidR="007D7385">
        <w:t>.</w:t>
      </w:r>
      <w:r w:rsidR="007D7385">
        <w:rPr>
          <w:rStyle w:val="FootnoteReference"/>
        </w:rPr>
        <w:footnoteReference w:id="11"/>
      </w:r>
      <w:r w:rsidR="007D7385">
        <w:t xml:space="preserve"> </w:t>
      </w:r>
      <w:r w:rsidRPr="00A234DF">
        <w:t>Pelletier and Corter (2018)</w:t>
      </w:r>
      <w:r w:rsidR="007D7385">
        <w:rPr>
          <w:rStyle w:val="FootnoteReference"/>
        </w:rPr>
        <w:footnoteReference w:id="12"/>
      </w:r>
      <w:r w:rsidR="007D7385">
        <w:t xml:space="preserve"> </w:t>
      </w:r>
      <w:r w:rsidR="00D57C67">
        <w:t xml:space="preserve">follow students in full and half day kindergartens over time and </w:t>
      </w:r>
      <w:r w:rsidR="00CF60FC">
        <w:t>find</w:t>
      </w:r>
      <w:r w:rsidR="007D7385">
        <w:t xml:space="preserve"> an effect size </w:t>
      </w:r>
      <w:r w:rsidR="007D7385">
        <w:lastRenderedPageBreak/>
        <w:t xml:space="preserve">of 0.06 to 0.07 standard deviations in student academic performance in Year 2 and a 0.10 </w:t>
      </w:r>
      <w:r w:rsidR="00D57C67">
        <w:t xml:space="preserve">standard deviation </w:t>
      </w:r>
      <w:r w:rsidR="007D7385">
        <w:t>increase in self-regulation (as a measure of social and emotional outcomes).</w:t>
      </w:r>
    </w:p>
    <w:p w14:paraId="64C481AB" w14:textId="0B59F66A" w:rsidR="00CB673B" w:rsidRDefault="007D7385" w:rsidP="00C04918">
      <w:pPr>
        <w:spacing w:after="120"/>
      </w:pPr>
      <w:r>
        <w:t xml:space="preserve">The low impact scenario assumes that the benefits only apply to children from </w:t>
      </w:r>
      <w:proofErr w:type="gramStart"/>
      <w:r w:rsidR="00EB0470">
        <w:t>low and middle income</w:t>
      </w:r>
      <w:proofErr w:type="gramEnd"/>
      <w:r>
        <w:t xml:space="preserve"> backgrounds – representing 50 per cent of the population </w:t>
      </w:r>
      <w:r w:rsidR="00CB673B">
        <w:t>–</w:t>
      </w:r>
      <w:r w:rsidR="006B7F3F">
        <w:t xml:space="preserve"> </w:t>
      </w:r>
      <w:r w:rsidR="00886A36">
        <w:t xml:space="preserve">in line with other studies in the </w:t>
      </w:r>
      <w:r w:rsidR="00C01E8D">
        <w:t xml:space="preserve">US </w:t>
      </w:r>
      <w:r w:rsidR="00886A36">
        <w:t>literature</w:t>
      </w:r>
      <w:r w:rsidR="00083C3D">
        <w:t xml:space="preserve"> which find more no impact from high levels of hours for children from high income families</w:t>
      </w:r>
      <w:r w:rsidR="00886A36">
        <w:t>. T</w:t>
      </w:r>
      <w:r w:rsidR="00CB673B">
        <w:t xml:space="preserve">he high impact scenario assumes that the benefits apply </w:t>
      </w:r>
      <w:r w:rsidR="00083C3D">
        <w:t xml:space="preserve">to </w:t>
      </w:r>
      <w:r w:rsidR="00CB673B">
        <w:t xml:space="preserve">all children. </w:t>
      </w:r>
    </w:p>
    <w:p w14:paraId="2AE09D56" w14:textId="19CB44C9" w:rsidR="0058419F" w:rsidRPr="0072773E" w:rsidRDefault="0058419F" w:rsidP="0058419F">
      <w:pPr>
        <w:pStyle w:val="Heading4un-numbered"/>
      </w:pPr>
      <w:r>
        <w:t>Peer effects</w:t>
      </w:r>
    </w:p>
    <w:p w14:paraId="7296AB5B" w14:textId="6B333429" w:rsidR="00980803" w:rsidRDefault="00083C3D" w:rsidP="003E1974">
      <w:r>
        <w:t>As a universal policy</w:t>
      </w:r>
      <w:r w:rsidR="00A74C50">
        <w:t xml:space="preserve"> it is likely that there may be greater peer learning as </w:t>
      </w:r>
      <w:proofErr w:type="gramStart"/>
      <w:r w:rsidR="00A74C50">
        <w:t>more</w:t>
      </w:r>
      <w:r w:rsidR="0058419F">
        <w:t xml:space="preserve"> and </w:t>
      </w:r>
      <w:r w:rsidR="00A74C50">
        <w:t>more</w:t>
      </w:r>
      <w:proofErr w:type="gramEnd"/>
      <w:r w:rsidR="00A74C50">
        <w:t xml:space="preserve"> children enter school having attended kindergarten. </w:t>
      </w:r>
      <w:r w:rsidR="005D61E4" w:rsidRPr="003B71BA">
        <w:t>Williams (</w:t>
      </w:r>
      <w:r w:rsidR="003B71BA" w:rsidRPr="003B71BA">
        <w:t>2019)</w:t>
      </w:r>
      <w:r w:rsidR="00912768">
        <w:rPr>
          <w:rStyle w:val="FootnoteReference"/>
        </w:rPr>
        <w:footnoteReference w:id="13"/>
      </w:r>
      <w:r w:rsidR="0058419F" w:rsidRPr="003B71BA">
        <w:t xml:space="preserve"> and </w:t>
      </w:r>
      <w:r w:rsidR="003B71BA" w:rsidRPr="003B71BA">
        <w:t>Matthew and Waldfogel (2010)</w:t>
      </w:r>
      <w:r w:rsidR="00912768">
        <w:rPr>
          <w:rStyle w:val="FootnoteReference"/>
        </w:rPr>
        <w:footnoteReference w:id="14"/>
      </w:r>
      <w:r w:rsidR="0058419F">
        <w:t xml:space="preserve"> </w:t>
      </w:r>
      <w:r w:rsidR="00F525EC">
        <w:t xml:space="preserve">found that </w:t>
      </w:r>
      <w:r w:rsidR="0094042F">
        <w:t>increasing</w:t>
      </w:r>
      <w:r w:rsidR="00F525EC">
        <w:t xml:space="preserve"> kindergarten attendance </w:t>
      </w:r>
      <w:r w:rsidR="0094042F">
        <w:t xml:space="preserve">from zero </w:t>
      </w:r>
      <w:r w:rsidR="00F525EC">
        <w:t>to 100 per cent increases learning outcomes when children reach school by approximately 0.13 standard deviations.</w:t>
      </w:r>
      <w:r w:rsidR="0094042F">
        <w:t xml:space="preserve"> As BSBL policies aim to increase kindergarten participation by four percentage points, this is associated with a peer effect of 0.006 standard deviations.</w:t>
      </w:r>
    </w:p>
    <w:p w14:paraId="2012B0C0" w14:textId="090821FF" w:rsidR="007D3B31" w:rsidRDefault="007D3B31" w:rsidP="00B66FFD">
      <w:pPr>
        <w:spacing w:after="120"/>
      </w:pPr>
      <w:r>
        <w:t xml:space="preserve">The overall cognitive benefits of the BSBL reforms across cohorts are given in </w:t>
      </w:r>
      <w:r>
        <w:fldChar w:fldCharType="begin"/>
      </w:r>
      <w:r>
        <w:instrText xml:space="preserve"> REF _Ref152830538 \r \h </w:instrText>
      </w:r>
      <w:r>
        <w:fldChar w:fldCharType="separate"/>
      </w:r>
      <w:r w:rsidR="008537EC">
        <w:t>Table ii</w:t>
      </w:r>
      <w:r>
        <w:fldChar w:fldCharType="end"/>
      </w:r>
      <w:r>
        <w:t>.</w:t>
      </w:r>
      <w:r w:rsidRPr="007D3B31">
        <w:t xml:space="preserve"> </w:t>
      </w:r>
      <w:r>
        <w:t>For children experiencing multiple benefits, the effect sizes are assumed to be additive.</w:t>
      </w:r>
    </w:p>
    <w:p w14:paraId="1F28E80E" w14:textId="00066E33" w:rsidR="00980803" w:rsidRDefault="00980803" w:rsidP="00980803">
      <w:pPr>
        <w:pStyle w:val="ExecTableCaption"/>
      </w:pPr>
      <w:bookmarkStart w:id="52" w:name="_Ref152830538"/>
      <w:r w:rsidRPr="00C904C9">
        <w:t xml:space="preserve">: </w:t>
      </w:r>
      <w:r w:rsidR="001630DB">
        <w:t>Key m</w:t>
      </w:r>
      <w:r>
        <w:t xml:space="preserve">odelling parameters for </w:t>
      </w:r>
      <w:r w:rsidR="00D0083D">
        <w:t>child development outcomes (</w:t>
      </w:r>
      <w:r>
        <w:t>cognitive benefits</w:t>
      </w:r>
      <w:bookmarkEnd w:id="52"/>
      <w:r w:rsidR="00D0083D">
        <w:t>)</w:t>
      </w:r>
    </w:p>
    <w:tbl>
      <w:tblPr>
        <w:tblStyle w:val="Deloittetable"/>
        <w:tblW w:w="5000" w:type="pct"/>
        <w:tblLook w:val="04A0" w:firstRow="1" w:lastRow="0" w:firstColumn="1" w:lastColumn="0" w:noHBand="0" w:noVBand="1"/>
      </w:tblPr>
      <w:tblGrid>
        <w:gridCol w:w="1701"/>
        <w:gridCol w:w="1702"/>
        <w:gridCol w:w="3231"/>
        <w:gridCol w:w="1197"/>
        <w:gridCol w:w="1195"/>
      </w:tblGrid>
      <w:tr w:rsidR="00980803" w14:paraId="12E9F151" w14:textId="77777777" w:rsidTr="008763FA">
        <w:trPr>
          <w:cnfStyle w:val="100000000000" w:firstRow="1" w:lastRow="0" w:firstColumn="0" w:lastColumn="0" w:oddVBand="0" w:evenVBand="0" w:oddHBand="0" w:evenHBand="0" w:firstRowFirstColumn="0" w:firstRowLastColumn="0" w:lastRowFirstColumn="0" w:lastRowLastColumn="0"/>
        </w:trPr>
        <w:tc>
          <w:tcPr>
            <w:tcW w:w="942" w:type="pct"/>
            <w:vMerge w:val="restart"/>
            <w:vAlign w:val="center"/>
          </w:tcPr>
          <w:p w14:paraId="7F5B2FFB" w14:textId="77777777" w:rsidR="00980803" w:rsidRPr="00FB32B2" w:rsidRDefault="00980803" w:rsidP="00E339E3">
            <w:pPr>
              <w:spacing w:after="0"/>
              <w:rPr>
                <w:b/>
                <w:bCs/>
              </w:rPr>
            </w:pPr>
            <w:r w:rsidRPr="00FB32B2">
              <w:rPr>
                <w:b/>
                <w:bCs/>
              </w:rPr>
              <w:t>Cohort</w:t>
            </w:r>
          </w:p>
        </w:tc>
        <w:tc>
          <w:tcPr>
            <w:tcW w:w="943" w:type="pct"/>
            <w:vMerge w:val="restart"/>
            <w:vAlign w:val="center"/>
          </w:tcPr>
          <w:p w14:paraId="684CBAA6" w14:textId="77777777" w:rsidR="00980803" w:rsidRPr="00FB32B2" w:rsidRDefault="00980803" w:rsidP="00E339E3">
            <w:pPr>
              <w:spacing w:after="0"/>
              <w:rPr>
                <w:b/>
                <w:bCs/>
              </w:rPr>
            </w:pPr>
            <w:r w:rsidRPr="00FB32B2">
              <w:rPr>
                <w:b/>
                <w:bCs/>
              </w:rPr>
              <w:t>Applicable benefit</w:t>
            </w:r>
          </w:p>
        </w:tc>
        <w:tc>
          <w:tcPr>
            <w:tcW w:w="1790" w:type="pct"/>
            <w:vMerge w:val="restart"/>
            <w:vAlign w:val="center"/>
          </w:tcPr>
          <w:p w14:paraId="62A165EB" w14:textId="77777777" w:rsidR="00980803" w:rsidRDefault="00980803" w:rsidP="00E339E3">
            <w:pPr>
              <w:spacing w:after="0"/>
              <w:rPr>
                <w:b/>
                <w:bCs/>
              </w:rPr>
            </w:pPr>
            <w:r>
              <w:rPr>
                <w:b/>
                <w:bCs/>
              </w:rPr>
              <w:t>Source</w:t>
            </w:r>
          </w:p>
        </w:tc>
        <w:tc>
          <w:tcPr>
            <w:tcW w:w="1325" w:type="pct"/>
            <w:gridSpan w:val="2"/>
            <w:vAlign w:val="center"/>
          </w:tcPr>
          <w:p w14:paraId="64CFCCA0" w14:textId="3C770613" w:rsidR="00980803" w:rsidRPr="00FB32B2" w:rsidRDefault="007C7F50" w:rsidP="00EB330E">
            <w:pPr>
              <w:spacing w:after="0"/>
              <w:jc w:val="center"/>
              <w:rPr>
                <w:b/>
                <w:bCs/>
              </w:rPr>
            </w:pPr>
            <w:r>
              <w:rPr>
                <w:b/>
                <w:bCs/>
              </w:rPr>
              <w:t xml:space="preserve">Standard deviation </w:t>
            </w:r>
            <w:r w:rsidR="00980803">
              <w:rPr>
                <w:b/>
                <w:bCs/>
              </w:rPr>
              <w:t>improvement</w:t>
            </w:r>
            <w:r w:rsidR="00980803" w:rsidRPr="00FB32B2">
              <w:rPr>
                <w:b/>
                <w:bCs/>
              </w:rPr>
              <w:t xml:space="preserve"> in </w:t>
            </w:r>
            <w:r w:rsidR="00980803">
              <w:rPr>
                <w:b/>
                <w:bCs/>
              </w:rPr>
              <w:t>cognitive outcomes</w:t>
            </w:r>
          </w:p>
        </w:tc>
      </w:tr>
      <w:tr w:rsidR="00980803" w14:paraId="41DF2272" w14:textId="77777777" w:rsidTr="008763FA">
        <w:trPr>
          <w:trHeight w:val="28"/>
        </w:trPr>
        <w:tc>
          <w:tcPr>
            <w:tcW w:w="942" w:type="pct"/>
            <w:vMerge/>
            <w:vAlign w:val="center"/>
          </w:tcPr>
          <w:p w14:paraId="33DB6613" w14:textId="77777777" w:rsidR="00980803" w:rsidRPr="00FB32B2" w:rsidRDefault="00980803" w:rsidP="00E339E3">
            <w:pPr>
              <w:spacing w:after="0"/>
              <w:rPr>
                <w:b/>
                <w:bCs/>
              </w:rPr>
            </w:pPr>
          </w:p>
        </w:tc>
        <w:tc>
          <w:tcPr>
            <w:tcW w:w="943" w:type="pct"/>
            <w:vMerge/>
            <w:vAlign w:val="center"/>
          </w:tcPr>
          <w:p w14:paraId="02E7C2D8" w14:textId="77777777" w:rsidR="00980803" w:rsidRPr="00FB32B2" w:rsidRDefault="00980803" w:rsidP="00E339E3">
            <w:pPr>
              <w:spacing w:after="0"/>
              <w:rPr>
                <w:b/>
                <w:bCs/>
              </w:rPr>
            </w:pPr>
          </w:p>
        </w:tc>
        <w:tc>
          <w:tcPr>
            <w:tcW w:w="1790" w:type="pct"/>
            <w:vMerge/>
            <w:vAlign w:val="center"/>
          </w:tcPr>
          <w:p w14:paraId="102A8714" w14:textId="77777777" w:rsidR="00980803" w:rsidRPr="00FB32B2" w:rsidRDefault="00980803" w:rsidP="00E339E3">
            <w:pPr>
              <w:spacing w:after="0"/>
              <w:rPr>
                <w:b/>
                <w:bCs/>
              </w:rPr>
            </w:pPr>
          </w:p>
        </w:tc>
        <w:tc>
          <w:tcPr>
            <w:tcW w:w="663" w:type="pct"/>
            <w:vAlign w:val="center"/>
          </w:tcPr>
          <w:p w14:paraId="50A6D073" w14:textId="77777777" w:rsidR="00A52473" w:rsidRDefault="00980803" w:rsidP="00DC271D">
            <w:pPr>
              <w:spacing w:after="0"/>
              <w:jc w:val="center"/>
              <w:rPr>
                <w:b/>
                <w:bCs/>
              </w:rPr>
            </w:pPr>
            <w:r>
              <w:rPr>
                <w:b/>
                <w:bCs/>
              </w:rPr>
              <w:t xml:space="preserve">Low </w:t>
            </w:r>
          </w:p>
          <w:p w14:paraId="4A8CBCFE" w14:textId="727A15E4" w:rsidR="00980803" w:rsidRPr="00FB32B2" w:rsidRDefault="00980803" w:rsidP="00E339E3">
            <w:pPr>
              <w:spacing w:after="0"/>
              <w:jc w:val="center"/>
              <w:rPr>
                <w:b/>
                <w:bCs/>
              </w:rPr>
            </w:pPr>
            <w:r>
              <w:rPr>
                <w:b/>
                <w:bCs/>
              </w:rPr>
              <w:t>impact</w:t>
            </w:r>
          </w:p>
        </w:tc>
        <w:tc>
          <w:tcPr>
            <w:tcW w:w="662" w:type="pct"/>
            <w:vAlign w:val="center"/>
          </w:tcPr>
          <w:p w14:paraId="143B4BFF" w14:textId="77777777" w:rsidR="00980803" w:rsidRPr="00FB32B2" w:rsidRDefault="00980803" w:rsidP="00E339E3">
            <w:pPr>
              <w:spacing w:after="0"/>
              <w:jc w:val="center"/>
              <w:rPr>
                <w:b/>
                <w:bCs/>
              </w:rPr>
            </w:pPr>
            <w:r>
              <w:rPr>
                <w:b/>
                <w:bCs/>
              </w:rPr>
              <w:t>High impact</w:t>
            </w:r>
          </w:p>
        </w:tc>
      </w:tr>
      <w:tr w:rsidR="00980803" w14:paraId="39FB61A1" w14:textId="77777777" w:rsidTr="008763FA">
        <w:tc>
          <w:tcPr>
            <w:tcW w:w="942" w:type="pct"/>
            <w:vAlign w:val="center"/>
          </w:tcPr>
          <w:p w14:paraId="28393AB8" w14:textId="77777777" w:rsidR="00980803" w:rsidRDefault="00980803" w:rsidP="00DC271D">
            <w:pPr>
              <w:spacing w:after="0"/>
            </w:pPr>
            <w:r>
              <w:t>1. Increased participation</w:t>
            </w:r>
          </w:p>
        </w:tc>
        <w:tc>
          <w:tcPr>
            <w:tcW w:w="943" w:type="pct"/>
            <w:vAlign w:val="center"/>
          </w:tcPr>
          <w:p w14:paraId="368E6D60" w14:textId="77777777" w:rsidR="00980803" w:rsidRPr="001D1EF9" w:rsidRDefault="00980803" w:rsidP="0080187A">
            <w:pPr>
              <w:pStyle w:val="ListBullet"/>
              <w:numPr>
                <w:ilvl w:val="0"/>
                <w:numId w:val="48"/>
              </w:numPr>
              <w:ind w:left="425"/>
            </w:pPr>
            <w:r w:rsidRPr="001D1EF9">
              <w:t>Two years of kindergarten</w:t>
            </w:r>
          </w:p>
          <w:p w14:paraId="1106CF20" w14:textId="77777777" w:rsidR="00980803" w:rsidRPr="001D1EF9" w:rsidRDefault="00980803" w:rsidP="0080187A">
            <w:pPr>
              <w:pStyle w:val="ListBullet"/>
              <w:numPr>
                <w:ilvl w:val="0"/>
                <w:numId w:val="48"/>
              </w:numPr>
              <w:ind w:left="425"/>
            </w:pPr>
            <w:r w:rsidRPr="001D1EF9">
              <w:t>Increased dosage</w:t>
            </w:r>
            <w:r>
              <w:t xml:space="preserve"> (4YO)</w:t>
            </w:r>
          </w:p>
        </w:tc>
        <w:tc>
          <w:tcPr>
            <w:tcW w:w="1790" w:type="pct"/>
            <w:vAlign w:val="center"/>
          </w:tcPr>
          <w:p w14:paraId="75B52FDD" w14:textId="77777777" w:rsidR="00980803" w:rsidRDefault="00980803" w:rsidP="0080187A">
            <w:pPr>
              <w:pStyle w:val="ListParagraph"/>
              <w:numPr>
                <w:ilvl w:val="0"/>
                <w:numId w:val="48"/>
              </w:numPr>
              <w:spacing w:after="0"/>
              <w:ind w:left="423"/>
            </w:pPr>
            <w:r w:rsidRPr="00F323AC">
              <w:t>Taggart et al (20</w:t>
            </w:r>
            <w:r>
              <w:t>15</w:t>
            </w:r>
            <w:r w:rsidRPr="00F323AC">
              <w:t>)</w:t>
            </w:r>
          </w:p>
          <w:p w14:paraId="2AA77408" w14:textId="77777777" w:rsidR="007467B1" w:rsidRDefault="007467B1" w:rsidP="0080187A">
            <w:pPr>
              <w:pStyle w:val="ListParagraph"/>
              <w:numPr>
                <w:ilvl w:val="0"/>
                <w:numId w:val="48"/>
              </w:numPr>
              <w:spacing w:after="0"/>
              <w:ind w:left="423"/>
            </w:pPr>
            <w:r w:rsidRPr="007F6C79">
              <w:t>Pelletier and Corter</w:t>
            </w:r>
            <w:r>
              <w:t xml:space="preserve"> (</w:t>
            </w:r>
            <w:r w:rsidRPr="007F6C79">
              <w:t>2018</w:t>
            </w:r>
            <w:r>
              <w:t>)</w:t>
            </w:r>
          </w:p>
          <w:p w14:paraId="4D44AA88" w14:textId="751B261A" w:rsidR="00980803" w:rsidRPr="00F323AC" w:rsidRDefault="007467B1" w:rsidP="0080187A">
            <w:pPr>
              <w:pStyle w:val="ListParagraph"/>
              <w:numPr>
                <w:ilvl w:val="0"/>
                <w:numId w:val="48"/>
              </w:numPr>
              <w:spacing w:after="0"/>
              <w:ind w:left="423"/>
            </w:pPr>
            <w:r>
              <w:t>Loeb et al (2007)</w:t>
            </w:r>
          </w:p>
        </w:tc>
        <w:tc>
          <w:tcPr>
            <w:tcW w:w="663" w:type="pct"/>
            <w:vAlign w:val="center"/>
          </w:tcPr>
          <w:p w14:paraId="5E4F0E2D" w14:textId="5268FF5B" w:rsidR="00980803" w:rsidRDefault="00980803" w:rsidP="00087F60">
            <w:pPr>
              <w:spacing w:after="0"/>
              <w:jc w:val="center"/>
            </w:pPr>
            <w:r>
              <w:t>0.31</w:t>
            </w:r>
          </w:p>
        </w:tc>
        <w:tc>
          <w:tcPr>
            <w:tcW w:w="662" w:type="pct"/>
            <w:vAlign w:val="center"/>
          </w:tcPr>
          <w:p w14:paraId="19DFCE55" w14:textId="77777777" w:rsidR="00980803" w:rsidRDefault="00980803" w:rsidP="00DC271D">
            <w:pPr>
              <w:spacing w:after="0"/>
              <w:jc w:val="center"/>
            </w:pPr>
            <w:r>
              <w:t>0.37</w:t>
            </w:r>
          </w:p>
        </w:tc>
      </w:tr>
      <w:tr w:rsidR="00980803" w14:paraId="021CFAC6" w14:textId="77777777" w:rsidTr="008763FA">
        <w:tc>
          <w:tcPr>
            <w:tcW w:w="942" w:type="pct"/>
            <w:vAlign w:val="center"/>
          </w:tcPr>
          <w:p w14:paraId="7BDD33A7" w14:textId="77777777" w:rsidR="00980803" w:rsidRDefault="00980803" w:rsidP="00DC271D">
            <w:pPr>
              <w:spacing w:after="0"/>
            </w:pPr>
            <w:r>
              <w:t>2. Increased duration + dosage</w:t>
            </w:r>
          </w:p>
        </w:tc>
        <w:tc>
          <w:tcPr>
            <w:tcW w:w="943" w:type="pct"/>
            <w:vAlign w:val="center"/>
          </w:tcPr>
          <w:p w14:paraId="70138986" w14:textId="77777777" w:rsidR="00980803" w:rsidRDefault="00980803" w:rsidP="0080187A">
            <w:pPr>
              <w:pStyle w:val="ListBullet"/>
              <w:numPr>
                <w:ilvl w:val="0"/>
                <w:numId w:val="48"/>
              </w:numPr>
              <w:ind w:left="425"/>
            </w:pPr>
            <w:r w:rsidRPr="001D1EF9">
              <w:t>Increased year of kindergarten</w:t>
            </w:r>
          </w:p>
          <w:p w14:paraId="388FBD43" w14:textId="77777777" w:rsidR="00980803" w:rsidRPr="001D1EF9" w:rsidRDefault="00980803" w:rsidP="0080187A">
            <w:pPr>
              <w:pStyle w:val="ListBullet"/>
              <w:numPr>
                <w:ilvl w:val="0"/>
                <w:numId w:val="48"/>
              </w:numPr>
              <w:ind w:left="425"/>
            </w:pPr>
            <w:r w:rsidRPr="001D1EF9">
              <w:t>Increased dosage</w:t>
            </w:r>
            <w:r>
              <w:t xml:space="preserve"> (4YO)</w:t>
            </w:r>
          </w:p>
        </w:tc>
        <w:tc>
          <w:tcPr>
            <w:tcW w:w="1790" w:type="pct"/>
            <w:vAlign w:val="center"/>
          </w:tcPr>
          <w:p w14:paraId="7D5C763F" w14:textId="04B13433" w:rsidR="00980803" w:rsidRDefault="00980803" w:rsidP="0080187A">
            <w:pPr>
              <w:pStyle w:val="ListParagraph"/>
              <w:numPr>
                <w:ilvl w:val="0"/>
                <w:numId w:val="48"/>
              </w:numPr>
              <w:spacing w:after="0"/>
              <w:ind w:left="423"/>
            </w:pPr>
            <w:r w:rsidRPr="00F323AC">
              <w:t xml:space="preserve">Based on Deloitte Access Economics </w:t>
            </w:r>
            <w:r w:rsidR="00822A1B">
              <w:t>(2023)</w:t>
            </w:r>
            <w:r w:rsidRPr="00F323AC">
              <w:t xml:space="preserve"> and evidence from the literature.</w:t>
            </w:r>
          </w:p>
          <w:p w14:paraId="5F3156F4" w14:textId="77777777" w:rsidR="00980803" w:rsidRDefault="00980803" w:rsidP="0080187A">
            <w:pPr>
              <w:pStyle w:val="ListParagraph"/>
              <w:numPr>
                <w:ilvl w:val="0"/>
                <w:numId w:val="48"/>
              </w:numPr>
              <w:spacing w:after="0"/>
              <w:ind w:left="423"/>
            </w:pPr>
            <w:r w:rsidRPr="00F323AC">
              <w:t xml:space="preserve">Taggart et al for </w:t>
            </w:r>
            <w:r>
              <w:t xml:space="preserve">the </w:t>
            </w:r>
            <w:proofErr w:type="gramStart"/>
            <w:r w:rsidRPr="00F323AC">
              <w:t>high quality</w:t>
            </w:r>
            <w:proofErr w:type="gramEnd"/>
            <w:r w:rsidRPr="00F323AC">
              <w:t xml:space="preserve"> differential</w:t>
            </w:r>
            <w:r>
              <w:t>.</w:t>
            </w:r>
          </w:p>
          <w:p w14:paraId="02E1C974" w14:textId="77777777" w:rsidR="00980803" w:rsidRDefault="00980803" w:rsidP="0080187A">
            <w:pPr>
              <w:pStyle w:val="ListParagraph"/>
              <w:numPr>
                <w:ilvl w:val="0"/>
                <w:numId w:val="48"/>
              </w:numPr>
              <w:spacing w:after="0"/>
              <w:ind w:left="423"/>
            </w:pPr>
            <w:r>
              <w:t>Pelletier and Corter (2018)</w:t>
            </w:r>
          </w:p>
          <w:p w14:paraId="2AFA0F74" w14:textId="77777777" w:rsidR="00980803" w:rsidRPr="00F323AC" w:rsidRDefault="00980803" w:rsidP="0080187A">
            <w:pPr>
              <w:pStyle w:val="ListParagraph"/>
              <w:numPr>
                <w:ilvl w:val="0"/>
                <w:numId w:val="48"/>
              </w:numPr>
              <w:spacing w:after="0"/>
              <w:ind w:left="423"/>
            </w:pPr>
            <w:r>
              <w:t>Loeb et al (2007)</w:t>
            </w:r>
          </w:p>
        </w:tc>
        <w:tc>
          <w:tcPr>
            <w:tcW w:w="663" w:type="pct"/>
            <w:vAlign w:val="center"/>
          </w:tcPr>
          <w:p w14:paraId="562FA457" w14:textId="523662D4" w:rsidR="00980803" w:rsidRDefault="00980803" w:rsidP="00DC271D">
            <w:pPr>
              <w:spacing w:after="0"/>
              <w:jc w:val="center"/>
            </w:pPr>
            <w:r>
              <w:t>0.19</w:t>
            </w:r>
            <w:r w:rsidR="00D46C90">
              <w:t>*</w:t>
            </w:r>
          </w:p>
        </w:tc>
        <w:tc>
          <w:tcPr>
            <w:tcW w:w="662" w:type="pct"/>
            <w:vAlign w:val="center"/>
          </w:tcPr>
          <w:p w14:paraId="7CC08E38" w14:textId="77777777" w:rsidR="00980803" w:rsidRDefault="00980803" w:rsidP="00DC271D">
            <w:pPr>
              <w:spacing w:after="0"/>
              <w:jc w:val="center"/>
            </w:pPr>
            <w:r>
              <w:t>0.25</w:t>
            </w:r>
          </w:p>
        </w:tc>
      </w:tr>
      <w:tr w:rsidR="00980803" w14:paraId="62232624" w14:textId="77777777" w:rsidTr="008763FA">
        <w:trPr>
          <w:trHeight w:val="875"/>
        </w:trPr>
        <w:tc>
          <w:tcPr>
            <w:tcW w:w="942" w:type="pct"/>
            <w:vAlign w:val="center"/>
          </w:tcPr>
          <w:p w14:paraId="2CCD3E4B" w14:textId="77777777" w:rsidR="00980803" w:rsidRDefault="00980803" w:rsidP="00DC271D">
            <w:pPr>
              <w:spacing w:after="0"/>
            </w:pPr>
            <w:r>
              <w:t>3. Increased duration</w:t>
            </w:r>
          </w:p>
        </w:tc>
        <w:tc>
          <w:tcPr>
            <w:tcW w:w="943" w:type="pct"/>
            <w:vAlign w:val="center"/>
          </w:tcPr>
          <w:p w14:paraId="58DB9E36" w14:textId="77777777" w:rsidR="00980803" w:rsidRPr="0058213A" w:rsidRDefault="00980803" w:rsidP="0080187A">
            <w:pPr>
              <w:pStyle w:val="ListBullet"/>
              <w:numPr>
                <w:ilvl w:val="0"/>
                <w:numId w:val="48"/>
              </w:numPr>
              <w:ind w:left="425" w:right="0"/>
            </w:pPr>
            <w:r w:rsidRPr="001D1EF9">
              <w:t>Increased year of kindergarten</w:t>
            </w:r>
          </w:p>
        </w:tc>
        <w:tc>
          <w:tcPr>
            <w:tcW w:w="1790" w:type="pct"/>
            <w:vAlign w:val="center"/>
          </w:tcPr>
          <w:p w14:paraId="7C515BB9" w14:textId="77777777" w:rsidR="00980803" w:rsidRDefault="00980803" w:rsidP="0080187A">
            <w:pPr>
              <w:pStyle w:val="ListParagraph"/>
              <w:numPr>
                <w:ilvl w:val="0"/>
                <w:numId w:val="48"/>
              </w:numPr>
              <w:spacing w:after="0"/>
              <w:ind w:left="423"/>
            </w:pPr>
            <w:r w:rsidRPr="00F323AC">
              <w:t xml:space="preserve">Based on </w:t>
            </w:r>
            <w:r>
              <w:t xml:space="preserve">previous </w:t>
            </w:r>
            <w:r w:rsidRPr="00F323AC">
              <w:t xml:space="preserve">Deloitte Access Economics </w:t>
            </w:r>
            <w:r>
              <w:t>analysis</w:t>
            </w:r>
            <w:r w:rsidRPr="00F323AC">
              <w:t xml:space="preserve"> and evidence from the literature.</w:t>
            </w:r>
          </w:p>
          <w:p w14:paraId="5838CDCE" w14:textId="77777777" w:rsidR="00980803" w:rsidRPr="00F323AC" w:rsidRDefault="00980803" w:rsidP="0080187A">
            <w:pPr>
              <w:pStyle w:val="ListParagraph"/>
              <w:numPr>
                <w:ilvl w:val="0"/>
                <w:numId w:val="48"/>
              </w:numPr>
              <w:spacing w:after="0"/>
              <w:ind w:left="423"/>
            </w:pPr>
            <w:r w:rsidRPr="00F323AC">
              <w:t xml:space="preserve">Taggart et al for </w:t>
            </w:r>
            <w:r>
              <w:t xml:space="preserve">the </w:t>
            </w:r>
            <w:proofErr w:type="gramStart"/>
            <w:r w:rsidRPr="00F323AC">
              <w:t>high quality</w:t>
            </w:r>
            <w:proofErr w:type="gramEnd"/>
            <w:r w:rsidRPr="00F323AC">
              <w:t xml:space="preserve"> differential</w:t>
            </w:r>
            <w:r>
              <w:t>.</w:t>
            </w:r>
          </w:p>
        </w:tc>
        <w:tc>
          <w:tcPr>
            <w:tcW w:w="663" w:type="pct"/>
            <w:vAlign w:val="center"/>
          </w:tcPr>
          <w:p w14:paraId="163C2C95" w14:textId="77777777" w:rsidR="00980803" w:rsidRDefault="00980803" w:rsidP="00DC271D">
            <w:pPr>
              <w:spacing w:after="0"/>
              <w:jc w:val="center"/>
            </w:pPr>
            <w:r>
              <w:t>0.12</w:t>
            </w:r>
          </w:p>
        </w:tc>
        <w:tc>
          <w:tcPr>
            <w:tcW w:w="662" w:type="pct"/>
            <w:vAlign w:val="center"/>
          </w:tcPr>
          <w:p w14:paraId="1D871451" w14:textId="77777777" w:rsidR="00980803" w:rsidRDefault="00980803" w:rsidP="00DC271D">
            <w:pPr>
              <w:spacing w:after="0"/>
              <w:jc w:val="center"/>
            </w:pPr>
            <w:r>
              <w:t>0.18</w:t>
            </w:r>
          </w:p>
        </w:tc>
      </w:tr>
      <w:tr w:rsidR="00980803" w14:paraId="4FA8C357" w14:textId="77777777" w:rsidTr="008763FA">
        <w:tc>
          <w:tcPr>
            <w:tcW w:w="942" w:type="pct"/>
            <w:vAlign w:val="center"/>
          </w:tcPr>
          <w:p w14:paraId="797B0E30" w14:textId="77777777" w:rsidR="00980803" w:rsidRDefault="00980803" w:rsidP="00DC271D">
            <w:pPr>
              <w:spacing w:after="0"/>
            </w:pPr>
            <w:r>
              <w:t>4. Increased dosage</w:t>
            </w:r>
          </w:p>
        </w:tc>
        <w:tc>
          <w:tcPr>
            <w:tcW w:w="943" w:type="pct"/>
            <w:vAlign w:val="center"/>
          </w:tcPr>
          <w:p w14:paraId="00DC42D9" w14:textId="77777777" w:rsidR="00980803" w:rsidRPr="001D1EF9" w:rsidRDefault="00980803" w:rsidP="0080187A">
            <w:pPr>
              <w:pStyle w:val="ListBullet"/>
              <w:numPr>
                <w:ilvl w:val="0"/>
                <w:numId w:val="49"/>
              </w:numPr>
              <w:ind w:left="425"/>
            </w:pPr>
            <w:r w:rsidRPr="001D1EF9">
              <w:t>Increased dosage</w:t>
            </w:r>
            <w:r>
              <w:t xml:space="preserve"> (4YO)</w:t>
            </w:r>
          </w:p>
        </w:tc>
        <w:tc>
          <w:tcPr>
            <w:tcW w:w="1790" w:type="pct"/>
            <w:vAlign w:val="center"/>
          </w:tcPr>
          <w:p w14:paraId="1CFD389B" w14:textId="4548DE49" w:rsidR="00980803" w:rsidRDefault="00980803" w:rsidP="0080187A">
            <w:pPr>
              <w:pStyle w:val="ListParagraph"/>
              <w:numPr>
                <w:ilvl w:val="0"/>
                <w:numId w:val="49"/>
              </w:numPr>
              <w:spacing w:after="0"/>
              <w:ind w:left="423"/>
            </w:pPr>
            <w:r w:rsidRPr="007F6C79">
              <w:t>Pelletier and Corter</w:t>
            </w:r>
            <w:r w:rsidR="007467B1">
              <w:t xml:space="preserve"> (</w:t>
            </w:r>
            <w:r w:rsidRPr="007F6C79">
              <w:t>2018</w:t>
            </w:r>
            <w:r w:rsidR="007467B1">
              <w:t>)</w:t>
            </w:r>
          </w:p>
          <w:p w14:paraId="39714782" w14:textId="77777777" w:rsidR="00980803" w:rsidRPr="007F6C79" w:rsidRDefault="00980803" w:rsidP="0080187A">
            <w:pPr>
              <w:pStyle w:val="ListParagraph"/>
              <w:numPr>
                <w:ilvl w:val="0"/>
                <w:numId w:val="49"/>
              </w:numPr>
              <w:spacing w:after="0"/>
              <w:ind w:left="423"/>
            </w:pPr>
            <w:r>
              <w:t>Loeb et al (2007)</w:t>
            </w:r>
          </w:p>
        </w:tc>
        <w:tc>
          <w:tcPr>
            <w:tcW w:w="663" w:type="pct"/>
            <w:vAlign w:val="center"/>
          </w:tcPr>
          <w:p w14:paraId="49D12A38" w14:textId="77777777" w:rsidR="00980803" w:rsidRDefault="00980803" w:rsidP="00DC271D">
            <w:pPr>
              <w:spacing w:after="0"/>
              <w:jc w:val="center"/>
            </w:pPr>
            <w:r>
              <w:t>0.07*</w:t>
            </w:r>
          </w:p>
        </w:tc>
        <w:tc>
          <w:tcPr>
            <w:tcW w:w="662" w:type="pct"/>
            <w:vAlign w:val="center"/>
          </w:tcPr>
          <w:p w14:paraId="784D7C5C" w14:textId="77777777" w:rsidR="00980803" w:rsidRDefault="00980803" w:rsidP="00DC271D">
            <w:pPr>
              <w:spacing w:after="0"/>
              <w:jc w:val="center"/>
            </w:pPr>
            <w:r>
              <w:t>0.07</w:t>
            </w:r>
          </w:p>
        </w:tc>
      </w:tr>
      <w:tr w:rsidR="006C63BD" w14:paraId="7CADAF9C" w14:textId="77777777" w:rsidTr="008763FA">
        <w:tc>
          <w:tcPr>
            <w:tcW w:w="942" w:type="pct"/>
            <w:vAlign w:val="center"/>
          </w:tcPr>
          <w:p w14:paraId="23ACCB03" w14:textId="386281A3" w:rsidR="006C63BD" w:rsidRDefault="006C63BD" w:rsidP="00DC271D">
            <w:pPr>
              <w:spacing w:after="0"/>
            </w:pPr>
            <w:r>
              <w:t>All</w:t>
            </w:r>
            <w:r w:rsidR="0069766B">
              <w:t xml:space="preserve"> (including 5. No direct effects)</w:t>
            </w:r>
          </w:p>
        </w:tc>
        <w:tc>
          <w:tcPr>
            <w:tcW w:w="943" w:type="pct"/>
            <w:vAlign w:val="center"/>
          </w:tcPr>
          <w:p w14:paraId="36F4E6B1" w14:textId="5448B67E" w:rsidR="006C63BD" w:rsidRPr="001D1EF9" w:rsidRDefault="006C63BD" w:rsidP="0080187A">
            <w:pPr>
              <w:pStyle w:val="ListBullet"/>
              <w:numPr>
                <w:ilvl w:val="0"/>
                <w:numId w:val="49"/>
              </w:numPr>
              <w:ind w:left="425"/>
            </w:pPr>
            <w:r>
              <w:t>Peer effects</w:t>
            </w:r>
          </w:p>
        </w:tc>
        <w:tc>
          <w:tcPr>
            <w:tcW w:w="1790" w:type="pct"/>
            <w:vAlign w:val="center"/>
          </w:tcPr>
          <w:p w14:paraId="377A491C" w14:textId="77777777" w:rsidR="006C63BD" w:rsidRDefault="00F020FF" w:rsidP="0080187A">
            <w:pPr>
              <w:pStyle w:val="ListParagraph"/>
              <w:numPr>
                <w:ilvl w:val="0"/>
                <w:numId w:val="49"/>
              </w:numPr>
              <w:spacing w:after="0"/>
              <w:ind w:left="423"/>
            </w:pPr>
            <w:r>
              <w:t>Williams (2019)</w:t>
            </w:r>
          </w:p>
          <w:p w14:paraId="6C42DB68" w14:textId="0DA5FDD0" w:rsidR="00F020FF" w:rsidRPr="007F6C79" w:rsidRDefault="00B34B28" w:rsidP="0080187A">
            <w:pPr>
              <w:pStyle w:val="ListParagraph"/>
              <w:numPr>
                <w:ilvl w:val="0"/>
                <w:numId w:val="49"/>
              </w:numPr>
              <w:spacing w:after="0"/>
              <w:ind w:left="423"/>
            </w:pPr>
            <w:r>
              <w:t xml:space="preserve">Matthew and </w:t>
            </w:r>
            <w:r w:rsidR="00B745BB">
              <w:t>Waldfogel (2010)</w:t>
            </w:r>
          </w:p>
        </w:tc>
        <w:tc>
          <w:tcPr>
            <w:tcW w:w="663" w:type="pct"/>
            <w:vAlign w:val="center"/>
          </w:tcPr>
          <w:p w14:paraId="5BE80D14" w14:textId="536E7550" w:rsidR="006C63BD" w:rsidRDefault="00B745BB" w:rsidP="00DC271D">
            <w:pPr>
              <w:spacing w:after="0"/>
              <w:jc w:val="center"/>
            </w:pPr>
            <w:r>
              <w:t>0.006</w:t>
            </w:r>
          </w:p>
        </w:tc>
        <w:tc>
          <w:tcPr>
            <w:tcW w:w="662" w:type="pct"/>
            <w:vAlign w:val="center"/>
          </w:tcPr>
          <w:p w14:paraId="704AB279" w14:textId="2B578D0E" w:rsidR="006C63BD" w:rsidRDefault="00B745BB" w:rsidP="00DC271D">
            <w:pPr>
              <w:spacing w:after="0"/>
              <w:jc w:val="center"/>
            </w:pPr>
            <w:r>
              <w:t>0.006</w:t>
            </w:r>
          </w:p>
        </w:tc>
      </w:tr>
    </w:tbl>
    <w:p w14:paraId="4FD14E5C" w14:textId="110ACA70" w:rsidR="00980803" w:rsidRDefault="002C7311" w:rsidP="00D46C90">
      <w:pPr>
        <w:pStyle w:val="Source"/>
      </w:pPr>
      <w:r w:rsidRPr="002C7311">
        <w:t>Source: Deloitte Access Economics (202</w:t>
      </w:r>
      <w:r w:rsidR="00F93904">
        <w:t>5</w:t>
      </w:r>
      <w:r w:rsidRPr="002C7311">
        <w:t>).</w:t>
      </w:r>
      <w:r w:rsidR="00D46C90">
        <w:rPr>
          <w:iCs w:val="0"/>
        </w:rPr>
        <w:t xml:space="preserve"> </w:t>
      </w:r>
      <w:r w:rsidR="00D46C90">
        <w:t xml:space="preserve">*Low impact outcomes for increased dosage cohort are only applicable to disadvantaged </w:t>
      </w:r>
      <w:r w:rsidR="00CE4F25">
        <w:t>children (</w:t>
      </w:r>
      <w:r w:rsidR="00CE4F25" w:rsidRPr="00000AC8">
        <w:t xml:space="preserve">representing </w:t>
      </w:r>
      <w:r w:rsidR="00000AC8" w:rsidRPr="00EB3261">
        <w:t>7</w:t>
      </w:r>
      <w:r w:rsidR="00E8417B" w:rsidRPr="00EB3261">
        <w:t>5</w:t>
      </w:r>
      <w:r w:rsidR="00CE4F25" w:rsidRPr="00000AC8">
        <w:t xml:space="preserve"> per cent</w:t>
      </w:r>
      <w:r w:rsidR="00CE4F25">
        <w:t xml:space="preserve"> of all children)</w:t>
      </w:r>
      <w:r w:rsidR="00D46C90">
        <w:t>.</w:t>
      </w:r>
    </w:p>
    <w:p w14:paraId="4553D2C6" w14:textId="77777777" w:rsidR="00B70F24" w:rsidRDefault="00B06C4E" w:rsidP="008763FA">
      <w:pPr>
        <w:keepNext/>
      </w:pPr>
      <w:r w:rsidRPr="00F44615">
        <w:lastRenderedPageBreak/>
        <w:t xml:space="preserve">The </w:t>
      </w:r>
      <w:proofErr w:type="gramStart"/>
      <w:r w:rsidRPr="00F44615">
        <w:t>short term</w:t>
      </w:r>
      <w:proofErr w:type="gramEnd"/>
      <w:r w:rsidRPr="00F44615">
        <w:t xml:space="preserve"> cognitive</w:t>
      </w:r>
      <w:r w:rsidR="00017107" w:rsidRPr="00F44615">
        <w:t xml:space="preserve"> benefits are converted </w:t>
      </w:r>
      <w:r>
        <w:t>into</w:t>
      </w:r>
      <w:r w:rsidR="00017107">
        <w:t xml:space="preserve"> longer term </w:t>
      </w:r>
      <w:r w:rsidR="00B70F24">
        <w:t>outcomes for children through:</w:t>
      </w:r>
    </w:p>
    <w:p w14:paraId="15004417" w14:textId="2664F3D2" w:rsidR="00017107" w:rsidRPr="00553965" w:rsidRDefault="00B70F24" w:rsidP="00B70F24">
      <w:pPr>
        <w:pStyle w:val="ListParagraph"/>
        <w:numPr>
          <w:ilvl w:val="0"/>
          <w:numId w:val="75"/>
        </w:numPr>
      </w:pPr>
      <w:r>
        <w:t xml:space="preserve">Converting cognitive outcomes into </w:t>
      </w:r>
      <w:r w:rsidR="00B06C4E">
        <w:t>schooling completion</w:t>
      </w:r>
      <w:r w:rsidR="00017107">
        <w:t xml:space="preserve"> and </w:t>
      </w:r>
      <w:r w:rsidR="00B06C4E">
        <w:t xml:space="preserve">post-school </w:t>
      </w:r>
      <w:r w:rsidR="00017107">
        <w:t>outcomes</w:t>
      </w:r>
      <w:r w:rsidR="00903C9F">
        <w:t>, drawing on Deloitte Access Economics (2023).</w:t>
      </w:r>
      <w:r w:rsidR="00903C9F">
        <w:rPr>
          <w:rStyle w:val="FootnoteReference"/>
        </w:rPr>
        <w:footnoteReference w:id="15"/>
      </w:r>
      <w:r w:rsidR="00903C9F">
        <w:t xml:space="preserve"> </w:t>
      </w:r>
      <w:r w:rsidR="00E5261F">
        <w:t xml:space="preserve">This is likely to be conservative given some of the evidence on long term outcomes of </w:t>
      </w:r>
      <w:r w:rsidR="00A17956">
        <w:t>kindergarten</w:t>
      </w:r>
      <w:r w:rsidR="00E5261F">
        <w:t xml:space="preserve"> attendance shows relatively large impacts.</w:t>
      </w:r>
    </w:p>
    <w:p w14:paraId="4640E37F" w14:textId="767A6164" w:rsidR="00017107" w:rsidRPr="00553965" w:rsidRDefault="00E5261F" w:rsidP="00527B4D">
      <w:pPr>
        <w:pStyle w:val="ListParagraph"/>
        <w:numPr>
          <w:ilvl w:val="0"/>
          <w:numId w:val="75"/>
        </w:numPr>
      </w:pPr>
      <w:r>
        <w:t xml:space="preserve">Converting higher educational attainment into </w:t>
      </w:r>
      <w:r w:rsidR="008A38E1">
        <w:t xml:space="preserve">increases </w:t>
      </w:r>
      <w:r w:rsidR="00E765D9">
        <w:t xml:space="preserve">in </w:t>
      </w:r>
      <w:r w:rsidR="008A38E1">
        <w:t xml:space="preserve">labour force participation and productivity </w:t>
      </w:r>
      <w:r w:rsidR="00796564">
        <w:t xml:space="preserve">upon workforce entry. </w:t>
      </w:r>
      <w:r w:rsidR="005128B7">
        <w:t>This</w:t>
      </w:r>
      <w:r w:rsidR="00527B4D">
        <w:t xml:space="preserve"> study draws on </w:t>
      </w:r>
      <w:r w:rsidR="000E6A1F">
        <w:t>Deloitte Access Economics (</w:t>
      </w:r>
      <w:r w:rsidR="004203C4">
        <w:t>2022)</w:t>
      </w:r>
      <w:r w:rsidR="00095CF8">
        <w:rPr>
          <w:rStyle w:val="FootnoteReference"/>
        </w:rPr>
        <w:footnoteReference w:id="16"/>
      </w:r>
      <w:r w:rsidR="004203C4">
        <w:t xml:space="preserve"> and </w:t>
      </w:r>
      <w:r w:rsidR="00527AFF">
        <w:t>Wilkins and Lass (2018</w:t>
      </w:r>
      <w:r w:rsidR="00095CF8">
        <w:t>)</w:t>
      </w:r>
      <w:r w:rsidR="00095CF8">
        <w:rPr>
          <w:rStyle w:val="FootnoteReference"/>
        </w:rPr>
        <w:footnoteReference w:id="17"/>
      </w:r>
      <w:r w:rsidR="004203C4">
        <w:t xml:space="preserve"> on the relationship between </w:t>
      </w:r>
      <w:r w:rsidR="00850853">
        <w:t>educational attainment,</w:t>
      </w:r>
      <w:r w:rsidR="004203C4">
        <w:t xml:space="preserve"> earnings</w:t>
      </w:r>
      <w:r w:rsidR="00095CF8">
        <w:t xml:space="preserve"> and likelihood of employment.</w:t>
      </w:r>
    </w:p>
    <w:p w14:paraId="761BF8EB" w14:textId="53AC5988" w:rsidR="00980803" w:rsidRPr="00C94A12" w:rsidRDefault="00C94A12" w:rsidP="008763FA">
      <w:pPr>
        <w:pStyle w:val="Heading4un-numbered"/>
      </w:pPr>
      <w:r>
        <w:t>Step</w:t>
      </w:r>
      <w:r w:rsidR="0098210F">
        <w:t>s</w:t>
      </w:r>
      <w:r>
        <w:t xml:space="preserve"> 2</w:t>
      </w:r>
      <w:r w:rsidR="0098210F">
        <w:t>+3</w:t>
      </w:r>
      <w:r>
        <w:t xml:space="preserve">: </w:t>
      </w:r>
      <w:r w:rsidR="00BE15A8" w:rsidRPr="00C94A12">
        <w:t>Modelling p</w:t>
      </w:r>
      <w:r w:rsidR="00980803" w:rsidRPr="00EB3261">
        <w:t xml:space="preserve">rimary carer </w:t>
      </w:r>
      <w:r w:rsidR="00BE15A8" w:rsidRPr="00EB3261">
        <w:t xml:space="preserve">labour supply </w:t>
      </w:r>
    </w:p>
    <w:p w14:paraId="0690C437" w14:textId="5F18AFC1" w:rsidR="00781A2B" w:rsidRPr="00237ED8" w:rsidRDefault="00781A2B" w:rsidP="008763FA">
      <w:r>
        <w:t>The p</w:t>
      </w:r>
      <w:r w:rsidRPr="00237ED8">
        <w:t xml:space="preserve">rimary carer modelling draws on the approach used by NSW Treasury (2022) in their report entitled </w:t>
      </w:r>
      <w:r w:rsidRPr="00781A2B">
        <w:rPr>
          <w:i/>
        </w:rPr>
        <w:t>Women’s economic opportunities in the NSW labour market and the impact of early childhood education and care</w:t>
      </w:r>
      <w:r w:rsidRPr="00237ED8">
        <w:t>.</w:t>
      </w:r>
    </w:p>
    <w:p w14:paraId="5AAD57CA" w14:textId="1CA79C4C" w:rsidR="009C2AFF" w:rsidRDefault="00A63F0C" w:rsidP="009C2AFF">
      <w:r>
        <w:t xml:space="preserve">Drawing on the available literature, </w:t>
      </w:r>
      <w:r w:rsidR="008A7DE4">
        <w:t xml:space="preserve">NSW Treasury considers </w:t>
      </w:r>
      <w:r w:rsidR="009C2AFF">
        <w:t>two main ways in which ECEC usage could in principle impact a primary carer’s participation in the labour force:</w:t>
      </w:r>
    </w:p>
    <w:p w14:paraId="470DD32C" w14:textId="6523C4E2" w:rsidR="009C2AFF" w:rsidRDefault="009C2AFF" w:rsidP="0080187A">
      <w:pPr>
        <w:pStyle w:val="ListParagraph"/>
        <w:numPr>
          <w:ilvl w:val="0"/>
          <w:numId w:val="68"/>
        </w:numPr>
        <w:spacing w:before="120"/>
      </w:pPr>
      <w:r w:rsidRPr="00A25B88">
        <w:rPr>
          <w:b/>
          <w:bCs/>
        </w:rPr>
        <w:t>Cohort effect</w:t>
      </w:r>
      <w:r>
        <w:rPr>
          <w:b/>
          <w:bCs/>
        </w:rPr>
        <w:t>s</w:t>
      </w:r>
      <w:r w:rsidRPr="00A25B88">
        <w:rPr>
          <w:b/>
          <w:bCs/>
        </w:rPr>
        <w:t xml:space="preserve">: </w:t>
      </w:r>
      <w:r>
        <w:t>capturing</w:t>
      </w:r>
      <w:r w:rsidRPr="005C0363">
        <w:t xml:space="preserve"> the additional labour that can be supplied </w:t>
      </w:r>
      <w:r>
        <w:t xml:space="preserve">by primary carers for children aged five and under </w:t>
      </w:r>
      <w:r w:rsidRPr="005C0363">
        <w:t xml:space="preserve">when a child </w:t>
      </w:r>
      <w:r>
        <w:t>attends ECEC</w:t>
      </w:r>
      <w:r w:rsidR="00CE4F25">
        <w:t>.</w:t>
      </w:r>
    </w:p>
    <w:p w14:paraId="786B234F" w14:textId="77777777" w:rsidR="009C2AFF" w:rsidRDefault="009C2AFF" w:rsidP="0080187A">
      <w:pPr>
        <w:pStyle w:val="ListParagraph"/>
        <w:numPr>
          <w:ilvl w:val="0"/>
          <w:numId w:val="68"/>
        </w:numPr>
        <w:spacing w:before="120"/>
      </w:pPr>
      <w:r w:rsidRPr="00DA140E">
        <w:rPr>
          <w:b/>
          <w:bCs/>
        </w:rPr>
        <w:t>Lifetime effects</w:t>
      </w:r>
      <w:r w:rsidRPr="003E737A">
        <w:rPr>
          <w:b/>
          <w:bCs/>
        </w:rPr>
        <w:t xml:space="preserve">: </w:t>
      </w:r>
      <w:r>
        <w:t xml:space="preserve">capturing </w:t>
      </w:r>
      <w:r w:rsidRPr="004B15D6">
        <w:t>the</w:t>
      </w:r>
      <w:r w:rsidRPr="00DA140E">
        <w:rPr>
          <w:b/>
          <w:bCs/>
        </w:rPr>
        <w:t xml:space="preserve"> </w:t>
      </w:r>
      <w:proofErr w:type="gramStart"/>
      <w:r w:rsidRPr="004B15D6">
        <w:t xml:space="preserve">longer </w:t>
      </w:r>
      <w:r>
        <w:t>term</w:t>
      </w:r>
      <w:proofErr w:type="gramEnd"/>
      <w:r>
        <w:t xml:space="preserve"> labour supplied by people who were previously primary carers for children aged five and under. This recognises that an extended career break can have longer term impacts by changing future labour market participation, hours worked and wages over time.</w:t>
      </w:r>
    </w:p>
    <w:p w14:paraId="5B031CFF" w14:textId="5C31A98B" w:rsidR="00E12ACC" w:rsidRPr="00F96EB5" w:rsidRDefault="00E12ACC" w:rsidP="00E12ACC">
      <w:pPr>
        <w:rPr>
          <w:lang w:val="en-US"/>
        </w:rPr>
      </w:pPr>
      <w:r>
        <w:t>T</w:t>
      </w:r>
      <w:r w:rsidRPr="00B81011">
        <w:t xml:space="preserve">he </w:t>
      </w:r>
      <w:r w:rsidRPr="00F502A8">
        <w:rPr>
          <w:lang w:val="en-US"/>
        </w:rPr>
        <w:t xml:space="preserve">existing Australian and international literature </w:t>
      </w:r>
      <w:r>
        <w:rPr>
          <w:lang w:val="en-US"/>
        </w:rPr>
        <w:t>suggests</w:t>
      </w:r>
      <w:r w:rsidRPr="00F502A8">
        <w:rPr>
          <w:lang w:val="en-US"/>
        </w:rPr>
        <w:t xml:space="preserve"> a strong cohort effect</w:t>
      </w:r>
      <w:r>
        <w:rPr>
          <w:lang w:val="en-US"/>
        </w:rPr>
        <w:t xml:space="preserve">, with </w:t>
      </w:r>
      <w:r w:rsidRPr="00F502A8">
        <w:rPr>
          <w:lang w:val="en-US"/>
        </w:rPr>
        <w:t>increas</w:t>
      </w:r>
      <w:r>
        <w:rPr>
          <w:lang w:val="en-US"/>
        </w:rPr>
        <w:t>ed</w:t>
      </w:r>
      <w:r w:rsidRPr="000446EF">
        <w:rPr>
          <w:lang w:val="en-US"/>
        </w:rPr>
        <w:t xml:space="preserve"> </w:t>
      </w:r>
      <w:proofErr w:type="gramStart"/>
      <w:r>
        <w:rPr>
          <w:lang w:val="en-US"/>
        </w:rPr>
        <w:t>child</w:t>
      </w:r>
      <w:r w:rsidRPr="00F502A8">
        <w:rPr>
          <w:lang w:val="en-US"/>
        </w:rPr>
        <w:t xml:space="preserve"> care</w:t>
      </w:r>
      <w:proofErr w:type="gramEnd"/>
      <w:r w:rsidRPr="00F502A8">
        <w:rPr>
          <w:lang w:val="en-US"/>
        </w:rPr>
        <w:t xml:space="preserve"> use </w:t>
      </w:r>
      <w:r>
        <w:rPr>
          <w:lang w:val="en-US"/>
        </w:rPr>
        <w:t xml:space="preserve">having </w:t>
      </w:r>
      <w:r w:rsidRPr="00F502A8">
        <w:rPr>
          <w:lang w:val="en-US"/>
        </w:rPr>
        <w:t xml:space="preserve">a positive effect on workforce participation </w:t>
      </w:r>
      <w:r>
        <w:rPr>
          <w:lang w:val="en-US"/>
        </w:rPr>
        <w:t>among</w:t>
      </w:r>
      <w:r w:rsidRPr="00F502A8">
        <w:rPr>
          <w:lang w:val="en-US"/>
        </w:rPr>
        <w:t xml:space="preserve"> primary carers. </w:t>
      </w:r>
      <w:r w:rsidRPr="00B81011">
        <w:rPr>
          <w:lang w:val="en-US"/>
        </w:rPr>
        <w:t xml:space="preserve">However, </w:t>
      </w:r>
      <w:r w:rsidRPr="00F96EB5">
        <w:t>g</w:t>
      </w:r>
      <w:r w:rsidRPr="009B341A">
        <w:t xml:space="preserve">iven the high degree of uncertainty </w:t>
      </w:r>
      <w:r>
        <w:t>on the potential effects</w:t>
      </w:r>
      <w:r w:rsidR="006A0282">
        <w:t>,</w:t>
      </w:r>
      <w:r w:rsidRPr="00B81011">
        <w:t xml:space="preserve"> two </w:t>
      </w:r>
      <w:r>
        <w:t>scenarios</w:t>
      </w:r>
      <w:r w:rsidRPr="00B81011">
        <w:t xml:space="preserve"> have been </w:t>
      </w:r>
      <w:r>
        <w:t>explored: a low elasticity scenario where the labour supply response of primary carers is at the lower end of what has been found in the academic literature and a high elasticity scenario where the labour supply response is at the upper end of that found in the academic literature</w:t>
      </w:r>
      <w:r w:rsidRPr="00B81011">
        <w:t>.</w:t>
      </w:r>
    </w:p>
    <w:p w14:paraId="217C5774" w14:textId="44BA164C" w:rsidR="00E12ACC" w:rsidRPr="00F502A8" w:rsidRDefault="00E12ACC" w:rsidP="00E12ACC">
      <w:pPr>
        <w:rPr>
          <w:lang w:val="en-US"/>
        </w:rPr>
      </w:pPr>
      <w:r w:rsidRPr="00F502A8">
        <w:rPr>
          <w:lang w:val="en-US"/>
        </w:rPr>
        <w:t xml:space="preserve">The low elasticity </w:t>
      </w:r>
      <w:r>
        <w:rPr>
          <w:lang w:val="en-US"/>
        </w:rPr>
        <w:t xml:space="preserve">scenario </w:t>
      </w:r>
      <w:r w:rsidRPr="00F502A8">
        <w:rPr>
          <w:lang w:val="en-US"/>
        </w:rPr>
        <w:t xml:space="preserve">is based on an Australian study by </w:t>
      </w:r>
      <w:r w:rsidRPr="00B81011">
        <w:t>Breunig and Gong (2012)</w:t>
      </w:r>
      <w:r w:rsidRPr="00F502A8">
        <w:t>, which</w:t>
      </w:r>
      <w:r w:rsidRPr="00B81011">
        <w:t xml:space="preserve"> f</w:t>
      </w:r>
      <w:r>
        <w:t>inds</w:t>
      </w:r>
      <w:r w:rsidRPr="00B81011">
        <w:t xml:space="preserve"> </w:t>
      </w:r>
      <w:r>
        <w:t xml:space="preserve">that </w:t>
      </w:r>
      <w:r w:rsidRPr="00F96EB5">
        <w:t>1</w:t>
      </w:r>
      <w:r w:rsidR="006A0282">
        <w:t xml:space="preserve"> per cent</w:t>
      </w:r>
      <w:r w:rsidRPr="00F96EB5">
        <w:t xml:space="preserve"> </w:t>
      </w:r>
      <w:r w:rsidRPr="009B341A">
        <w:t xml:space="preserve">increase in child care hours is associated with a </w:t>
      </w:r>
      <w:r w:rsidRPr="00D72A71">
        <w:t>0.</w:t>
      </w:r>
      <w:r w:rsidRPr="00752CEF">
        <w:t>24</w:t>
      </w:r>
      <w:r w:rsidR="006A0282">
        <w:t xml:space="preserve"> per cent</w:t>
      </w:r>
      <w:r w:rsidRPr="00BD359B">
        <w:t xml:space="preserve"> in labour force participation for women with children aged five and under</w:t>
      </w:r>
      <w:r w:rsidRPr="00F502A8">
        <w:t xml:space="preserve"> and a 0.39</w:t>
      </w:r>
      <w:r w:rsidR="006A0282">
        <w:t xml:space="preserve"> per cent</w:t>
      </w:r>
      <w:r w:rsidRPr="00F502A8">
        <w:t xml:space="preserve"> increase in total hours worked</w:t>
      </w:r>
      <w:r>
        <w:t xml:space="preserve"> (</w:t>
      </w:r>
      <w:r w:rsidR="006A0282">
        <w:fldChar w:fldCharType="begin"/>
      </w:r>
      <w:r w:rsidR="006A0282">
        <w:instrText xml:space="preserve"> REF _Ref152825155 \r \h </w:instrText>
      </w:r>
      <w:r w:rsidR="006A0282">
        <w:fldChar w:fldCharType="separate"/>
      </w:r>
      <w:r w:rsidR="008537EC">
        <w:t>Table iii</w:t>
      </w:r>
      <w:r w:rsidR="006A0282">
        <w:fldChar w:fldCharType="end"/>
      </w:r>
      <w:r>
        <w:t>)</w:t>
      </w:r>
      <w:r w:rsidRPr="00F502A8">
        <w:t>.</w:t>
      </w:r>
      <w:r>
        <w:rPr>
          <w:rStyle w:val="FootnoteReference"/>
        </w:rPr>
        <w:footnoteReference w:id="18"/>
      </w:r>
    </w:p>
    <w:p w14:paraId="3A33B76F" w14:textId="34EC7819" w:rsidR="00E12ACC" w:rsidRDefault="00E12ACC" w:rsidP="00E12ACC">
      <w:r w:rsidRPr="00F502A8">
        <w:t xml:space="preserve">The high elasticity </w:t>
      </w:r>
      <w:r>
        <w:t xml:space="preserve">scenario </w:t>
      </w:r>
      <w:r w:rsidRPr="00F502A8">
        <w:t>has been derived from two studies examining the impact of ECEC reforms in Quebec</w:t>
      </w:r>
      <w:r>
        <w:t xml:space="preserve">, where highly subsidised, </w:t>
      </w:r>
      <w:r w:rsidRPr="00F502A8">
        <w:t>universal</w:t>
      </w:r>
      <w:r>
        <w:t>ly accessible</w:t>
      </w:r>
      <w:r w:rsidRPr="00F502A8">
        <w:t xml:space="preserve"> childcare </w:t>
      </w:r>
      <w:r>
        <w:t xml:space="preserve">was introduced </w:t>
      </w:r>
      <w:r w:rsidRPr="00F502A8">
        <w:t>from 1997 to 2000</w:t>
      </w:r>
      <w:r>
        <w:t>.</w:t>
      </w:r>
      <w:r>
        <w:rPr>
          <w:rStyle w:val="FootnoteReference"/>
        </w:rPr>
        <w:footnoteReference w:id="19"/>
      </w:r>
      <w:r>
        <w:t xml:space="preserve"> </w:t>
      </w:r>
      <w:r w:rsidRPr="00C131C7">
        <w:t xml:space="preserve">Lefebvre and Merrigan (2008) </w:t>
      </w:r>
      <w:r>
        <w:t>estimate</w:t>
      </w:r>
      <w:r w:rsidRPr="00C131C7">
        <w:t xml:space="preserve"> the labour market impacts, while Baker et al (2008) estimate </w:t>
      </w:r>
      <w:r>
        <w:t>t</w:t>
      </w:r>
      <w:r w:rsidRPr="00C131C7">
        <w:t xml:space="preserve">he change in net costs and </w:t>
      </w:r>
      <w:proofErr w:type="gramStart"/>
      <w:r w:rsidRPr="00C131C7">
        <w:t>child care</w:t>
      </w:r>
      <w:proofErr w:type="gramEnd"/>
      <w:r w:rsidRPr="00C131C7">
        <w:t xml:space="preserve"> usage. </w:t>
      </w:r>
      <w:r>
        <w:t xml:space="preserve">Based on the studies, it is estimated that a </w:t>
      </w:r>
      <w:r w:rsidRPr="001C2B02">
        <w:t>1</w:t>
      </w:r>
      <w:r w:rsidR="006A0282">
        <w:t xml:space="preserve"> per cent</w:t>
      </w:r>
      <w:r w:rsidRPr="001C2B02">
        <w:t xml:space="preserve"> increase in </w:t>
      </w:r>
      <w:proofErr w:type="gramStart"/>
      <w:r w:rsidRPr="001C2B02">
        <w:t>child care</w:t>
      </w:r>
      <w:proofErr w:type="gramEnd"/>
      <w:r w:rsidRPr="001C2B02">
        <w:t xml:space="preserve"> hours </w:t>
      </w:r>
      <w:r>
        <w:t>could be</w:t>
      </w:r>
      <w:r w:rsidRPr="001C2B02">
        <w:t xml:space="preserve"> associated with a 0.</w:t>
      </w:r>
      <w:r>
        <w:t>34</w:t>
      </w:r>
      <w:r w:rsidR="006A0282">
        <w:t xml:space="preserve"> per cent</w:t>
      </w:r>
      <w:r w:rsidRPr="001C2B02">
        <w:t xml:space="preserve"> in labour force participation for women with children aged five and under, and a 0.</w:t>
      </w:r>
      <w:r>
        <w:t>56</w:t>
      </w:r>
      <w:r w:rsidR="006A0282">
        <w:t xml:space="preserve"> per cent</w:t>
      </w:r>
      <w:r w:rsidRPr="001C2B02">
        <w:t xml:space="preserve"> increase in total hours worked</w:t>
      </w:r>
      <w:r>
        <w:t>.</w:t>
      </w:r>
    </w:p>
    <w:p w14:paraId="6D11034D" w14:textId="0992B4D6" w:rsidR="00E12ACC" w:rsidRDefault="00E12ACC" w:rsidP="00E12ACC">
      <w:pPr>
        <w:pStyle w:val="ExecTableCaption"/>
      </w:pPr>
      <w:bookmarkStart w:id="53" w:name="_Ref152825155"/>
      <w:r w:rsidRPr="00C904C9">
        <w:lastRenderedPageBreak/>
        <w:t xml:space="preserve">: </w:t>
      </w:r>
      <w:r w:rsidR="00D0083D">
        <w:t>Key m</w:t>
      </w:r>
      <w:r>
        <w:t xml:space="preserve">odelling parameters </w:t>
      </w:r>
      <w:r w:rsidR="00D0083D">
        <w:t xml:space="preserve">for primary carer labour market outcomes </w:t>
      </w:r>
      <w:r>
        <w:t>(cohort effects)</w:t>
      </w:r>
      <w:bookmarkEnd w:id="53"/>
    </w:p>
    <w:tbl>
      <w:tblPr>
        <w:tblStyle w:val="Deloittetable"/>
        <w:tblW w:w="5000" w:type="pct"/>
        <w:tblLook w:val="04A0" w:firstRow="1" w:lastRow="0" w:firstColumn="1" w:lastColumn="0" w:noHBand="0" w:noVBand="1"/>
      </w:tblPr>
      <w:tblGrid>
        <w:gridCol w:w="2552"/>
        <w:gridCol w:w="3118"/>
        <w:gridCol w:w="3356"/>
      </w:tblGrid>
      <w:tr w:rsidR="00E12ACC" w14:paraId="1AA847C5" w14:textId="77777777" w:rsidTr="008763FA">
        <w:trPr>
          <w:cnfStyle w:val="100000000000" w:firstRow="1" w:lastRow="0" w:firstColumn="0" w:lastColumn="0" w:oddVBand="0" w:evenVBand="0" w:oddHBand="0" w:evenHBand="0" w:firstRowFirstColumn="0" w:firstRowLastColumn="0" w:lastRowFirstColumn="0" w:lastRowLastColumn="0"/>
        </w:trPr>
        <w:tc>
          <w:tcPr>
            <w:tcW w:w="1414" w:type="pct"/>
          </w:tcPr>
          <w:p w14:paraId="40B882FB" w14:textId="77777777" w:rsidR="00E12ACC" w:rsidRDefault="00E12ACC" w:rsidP="00A67C6A">
            <w:pPr>
              <w:spacing w:after="0"/>
            </w:pPr>
          </w:p>
        </w:tc>
        <w:tc>
          <w:tcPr>
            <w:tcW w:w="1727" w:type="pct"/>
          </w:tcPr>
          <w:p w14:paraId="0185A124" w14:textId="77777777" w:rsidR="00E12ACC" w:rsidRPr="0042012F" w:rsidRDefault="00E12ACC" w:rsidP="00A67C6A">
            <w:pPr>
              <w:spacing w:after="0"/>
              <w:rPr>
                <w:b/>
                <w:bCs/>
              </w:rPr>
            </w:pPr>
            <w:r w:rsidRPr="0042012F">
              <w:rPr>
                <w:b/>
                <w:bCs/>
              </w:rPr>
              <w:t>Low elasticity</w:t>
            </w:r>
          </w:p>
        </w:tc>
        <w:tc>
          <w:tcPr>
            <w:tcW w:w="1859" w:type="pct"/>
          </w:tcPr>
          <w:p w14:paraId="7E83A044" w14:textId="77777777" w:rsidR="00E12ACC" w:rsidRPr="0042012F" w:rsidRDefault="00E12ACC" w:rsidP="00A67C6A">
            <w:pPr>
              <w:spacing w:after="0"/>
              <w:rPr>
                <w:b/>
                <w:bCs/>
              </w:rPr>
            </w:pPr>
            <w:r w:rsidRPr="0042012F">
              <w:rPr>
                <w:b/>
                <w:bCs/>
              </w:rPr>
              <w:t>High elasticity</w:t>
            </w:r>
          </w:p>
        </w:tc>
      </w:tr>
      <w:tr w:rsidR="00E12ACC" w14:paraId="43D9A084" w14:textId="77777777" w:rsidTr="008763FA">
        <w:trPr>
          <w:trHeight w:val="142"/>
        </w:trPr>
        <w:tc>
          <w:tcPr>
            <w:tcW w:w="1414" w:type="pct"/>
          </w:tcPr>
          <w:p w14:paraId="44D60158" w14:textId="77777777" w:rsidR="00E12ACC" w:rsidRDefault="00E12ACC" w:rsidP="00A67C6A">
            <w:pPr>
              <w:spacing w:after="0"/>
            </w:pPr>
            <w:r>
              <w:t>Source</w:t>
            </w:r>
          </w:p>
        </w:tc>
        <w:tc>
          <w:tcPr>
            <w:tcW w:w="1727" w:type="pct"/>
          </w:tcPr>
          <w:p w14:paraId="60FE7052" w14:textId="77777777" w:rsidR="00E12ACC" w:rsidRDefault="00E12ACC" w:rsidP="00A67C6A">
            <w:pPr>
              <w:spacing w:after="0"/>
            </w:pPr>
            <w:r>
              <w:t>Derived from Gong and Breunig (2012)</w:t>
            </w:r>
          </w:p>
        </w:tc>
        <w:tc>
          <w:tcPr>
            <w:tcW w:w="1859" w:type="pct"/>
          </w:tcPr>
          <w:p w14:paraId="1C27F473" w14:textId="77777777" w:rsidR="00E12ACC" w:rsidRDefault="00E12ACC" w:rsidP="00A67C6A">
            <w:pPr>
              <w:spacing w:after="0"/>
            </w:pPr>
            <w:r>
              <w:t xml:space="preserve">Derived from </w:t>
            </w:r>
            <w:r w:rsidRPr="002B1F51">
              <w:t>Lefebvre</w:t>
            </w:r>
            <w:r>
              <w:t xml:space="preserve"> and Merrigan (2008) and</w:t>
            </w:r>
            <w:r w:rsidRPr="00A15526">
              <w:t xml:space="preserve"> </w:t>
            </w:r>
            <w:r>
              <w:t>Baker et al (2008)</w:t>
            </w:r>
          </w:p>
        </w:tc>
      </w:tr>
      <w:tr w:rsidR="00E12ACC" w14:paraId="45099614" w14:textId="77777777" w:rsidTr="008763FA">
        <w:tc>
          <w:tcPr>
            <w:tcW w:w="1414" w:type="pct"/>
          </w:tcPr>
          <w:p w14:paraId="0EEFBF66" w14:textId="77777777" w:rsidR="00E12ACC" w:rsidRDefault="00E12ACC" w:rsidP="00A67C6A">
            <w:pPr>
              <w:spacing w:after="0"/>
            </w:pPr>
            <w:r w:rsidRPr="00EE6D67">
              <w:t>Participation</w:t>
            </w:r>
          </w:p>
        </w:tc>
        <w:tc>
          <w:tcPr>
            <w:tcW w:w="1727" w:type="pct"/>
          </w:tcPr>
          <w:p w14:paraId="1E8E5E8F" w14:textId="77777777" w:rsidR="00E12ACC" w:rsidRDefault="00E12ACC" w:rsidP="00A67C6A">
            <w:pPr>
              <w:spacing w:after="0"/>
            </w:pPr>
            <w:r w:rsidRPr="00EE6D67">
              <w:t>0.24</w:t>
            </w:r>
            <w:r>
              <w:t>*</w:t>
            </w:r>
          </w:p>
        </w:tc>
        <w:tc>
          <w:tcPr>
            <w:tcW w:w="1859" w:type="pct"/>
          </w:tcPr>
          <w:p w14:paraId="56CE57C2" w14:textId="77777777" w:rsidR="00E12ACC" w:rsidRDefault="00E12ACC" w:rsidP="00A67C6A">
            <w:pPr>
              <w:spacing w:after="0"/>
            </w:pPr>
            <w:r w:rsidRPr="00EE6D67">
              <w:t>0.34</w:t>
            </w:r>
          </w:p>
        </w:tc>
      </w:tr>
      <w:tr w:rsidR="00E12ACC" w14:paraId="16F31A99" w14:textId="77777777" w:rsidTr="008763FA">
        <w:tc>
          <w:tcPr>
            <w:tcW w:w="1414" w:type="pct"/>
          </w:tcPr>
          <w:p w14:paraId="1BCF469F" w14:textId="77777777" w:rsidR="00E12ACC" w:rsidRDefault="00E12ACC" w:rsidP="00A67C6A">
            <w:pPr>
              <w:spacing w:after="0"/>
            </w:pPr>
            <w:r w:rsidRPr="00EE6D67">
              <w:t>Aggregate hours worked</w:t>
            </w:r>
          </w:p>
        </w:tc>
        <w:tc>
          <w:tcPr>
            <w:tcW w:w="1727" w:type="pct"/>
          </w:tcPr>
          <w:p w14:paraId="79D514EE" w14:textId="77777777" w:rsidR="00E12ACC" w:rsidRDefault="00E12ACC" w:rsidP="00A67C6A">
            <w:pPr>
              <w:spacing w:after="0"/>
            </w:pPr>
            <w:r w:rsidRPr="00EE6D67">
              <w:t>0.39</w:t>
            </w:r>
            <w:r>
              <w:t>*</w:t>
            </w:r>
          </w:p>
        </w:tc>
        <w:tc>
          <w:tcPr>
            <w:tcW w:w="1859" w:type="pct"/>
          </w:tcPr>
          <w:p w14:paraId="7E90E020" w14:textId="77777777" w:rsidR="00E12ACC" w:rsidRDefault="00E12ACC" w:rsidP="00A67C6A">
            <w:pPr>
              <w:spacing w:after="0"/>
            </w:pPr>
            <w:r w:rsidRPr="00EE6D67">
              <w:t>0.56</w:t>
            </w:r>
          </w:p>
        </w:tc>
      </w:tr>
    </w:tbl>
    <w:p w14:paraId="07501383" w14:textId="65F689F8" w:rsidR="00E12ACC" w:rsidRDefault="00E12ACC" w:rsidP="008763FA">
      <w:pPr>
        <w:pStyle w:val="Caption"/>
        <w:spacing w:before="0" w:line="240" w:lineRule="auto"/>
        <w:rPr>
          <w:sz w:val="14"/>
          <w:szCs w:val="14"/>
        </w:rPr>
      </w:pPr>
      <w:r w:rsidRPr="00AC51F0">
        <w:rPr>
          <w:sz w:val="14"/>
          <w:szCs w:val="14"/>
        </w:rPr>
        <w:t xml:space="preserve">Source: Deloitte Access Economics </w:t>
      </w:r>
      <w:r w:rsidR="00F93904">
        <w:rPr>
          <w:sz w:val="14"/>
          <w:szCs w:val="14"/>
        </w:rPr>
        <w:t>(2025</w:t>
      </w:r>
      <w:r w:rsidRPr="00AC51F0">
        <w:rPr>
          <w:sz w:val="14"/>
          <w:szCs w:val="14"/>
        </w:rPr>
        <w:t xml:space="preserve">). </w:t>
      </w:r>
      <w:r>
        <w:rPr>
          <w:sz w:val="14"/>
          <w:szCs w:val="14"/>
        </w:rPr>
        <w:t>*</w:t>
      </w:r>
      <w:r w:rsidRPr="008B3687">
        <w:t xml:space="preserve"> </w:t>
      </w:r>
      <w:r>
        <w:rPr>
          <w:sz w:val="14"/>
          <w:szCs w:val="14"/>
        </w:rPr>
        <w:t>Gong and Breunig</w:t>
      </w:r>
      <w:r w:rsidRPr="008B3687">
        <w:rPr>
          <w:sz w:val="14"/>
          <w:szCs w:val="14"/>
        </w:rPr>
        <w:t xml:space="preserve"> (2012) reported an elasticity for hours of formal care with respect to net </w:t>
      </w:r>
      <w:proofErr w:type="gramStart"/>
      <w:r w:rsidRPr="008B3687">
        <w:rPr>
          <w:sz w:val="14"/>
          <w:szCs w:val="14"/>
        </w:rPr>
        <w:t>child care</w:t>
      </w:r>
      <w:proofErr w:type="gramEnd"/>
      <w:r w:rsidRPr="008B3687">
        <w:rPr>
          <w:sz w:val="14"/>
          <w:szCs w:val="14"/>
        </w:rPr>
        <w:t xml:space="preserve"> price of -0.246, </w:t>
      </w:r>
      <w:r>
        <w:rPr>
          <w:sz w:val="14"/>
          <w:szCs w:val="14"/>
        </w:rPr>
        <w:t xml:space="preserve">an elasticity of employment with respect to net </w:t>
      </w:r>
      <w:proofErr w:type="gramStart"/>
      <w:r>
        <w:rPr>
          <w:sz w:val="14"/>
          <w:szCs w:val="14"/>
        </w:rPr>
        <w:t>child care</w:t>
      </w:r>
      <w:proofErr w:type="gramEnd"/>
      <w:r>
        <w:rPr>
          <w:sz w:val="14"/>
          <w:szCs w:val="14"/>
        </w:rPr>
        <w:t xml:space="preserve"> price of -0.059, and labour supply hours with respect to net </w:t>
      </w:r>
      <w:proofErr w:type="gramStart"/>
      <w:r>
        <w:rPr>
          <w:sz w:val="14"/>
          <w:szCs w:val="14"/>
        </w:rPr>
        <w:t>child care</w:t>
      </w:r>
      <w:proofErr w:type="gramEnd"/>
      <w:r>
        <w:rPr>
          <w:sz w:val="14"/>
          <w:szCs w:val="14"/>
        </w:rPr>
        <w:t xml:space="preserve"> price of -0.096. These elasticities were used to derive the elasticity of participation and hours worked with respect to hours of </w:t>
      </w:r>
      <w:proofErr w:type="gramStart"/>
      <w:r>
        <w:rPr>
          <w:sz w:val="14"/>
          <w:szCs w:val="14"/>
        </w:rPr>
        <w:t>child care</w:t>
      </w:r>
      <w:proofErr w:type="gramEnd"/>
      <w:r>
        <w:rPr>
          <w:sz w:val="14"/>
          <w:szCs w:val="14"/>
        </w:rPr>
        <w:t xml:space="preserve"> use. </w:t>
      </w:r>
    </w:p>
    <w:p w14:paraId="50931526" w14:textId="77777777" w:rsidR="000B6C95" w:rsidRPr="006A139F" w:rsidRDefault="000B6C95" w:rsidP="000B6C95">
      <w:r>
        <w:t xml:space="preserve">Existing research on the lifetime effects is more limited. Following NSW Treasury (2022), Deloitte Access Economics has drawn on </w:t>
      </w:r>
      <w:r w:rsidRPr="008838CD">
        <w:t>a past study by Borooah and Arun (2004)</w:t>
      </w:r>
      <w:r>
        <w:rPr>
          <w:rStyle w:val="FootnoteReference"/>
        </w:rPr>
        <w:footnoteReference w:id="20"/>
      </w:r>
      <w:r w:rsidRPr="008838CD">
        <w:t xml:space="preserve"> </w:t>
      </w:r>
      <w:r>
        <w:t xml:space="preserve">and </w:t>
      </w:r>
      <w:r w:rsidRPr="008838CD">
        <w:t xml:space="preserve">assumed </w:t>
      </w:r>
      <w:r>
        <w:t>that the following penalties applies to women who remain out of the workforce for the full period that their child is aged under five:</w:t>
      </w:r>
      <w:r>
        <w:rPr>
          <w:rStyle w:val="FootnoteReference"/>
        </w:rPr>
        <w:footnoteReference w:id="21"/>
      </w:r>
    </w:p>
    <w:p w14:paraId="359F265A" w14:textId="00FA5561" w:rsidR="000B6C95" w:rsidRPr="008838CD" w:rsidRDefault="000B6C95" w:rsidP="0080187A">
      <w:pPr>
        <w:pStyle w:val="ListBullet"/>
        <w:numPr>
          <w:ilvl w:val="0"/>
          <w:numId w:val="69"/>
        </w:numPr>
        <w:rPr>
          <w:rFonts w:eastAsia="Times New Roman"/>
        </w:rPr>
      </w:pPr>
      <w:r w:rsidRPr="008838CD">
        <w:t>22</w:t>
      </w:r>
      <w:r>
        <w:t xml:space="preserve"> per cent of</w:t>
      </w:r>
      <w:r w:rsidRPr="008838CD">
        <w:t xml:space="preserve"> women who take an extended child-related career break </w:t>
      </w:r>
      <w:r>
        <w:rPr>
          <w:rFonts w:eastAsia="Times New Roman"/>
        </w:rPr>
        <w:t>(i.e. more than 12 months)</w:t>
      </w:r>
      <w:r w:rsidRPr="008838CD">
        <w:rPr>
          <w:rFonts w:eastAsia="Times New Roman"/>
        </w:rPr>
        <w:t xml:space="preserve"> </w:t>
      </w:r>
      <w:r>
        <w:t xml:space="preserve">do not return to </w:t>
      </w:r>
      <w:r w:rsidRPr="008838CD">
        <w:t>the workforce</w:t>
      </w:r>
      <w:r>
        <w:t>.</w:t>
      </w:r>
    </w:p>
    <w:p w14:paraId="358F127A" w14:textId="51A962CA" w:rsidR="000B6C95" w:rsidRPr="004B0769" w:rsidRDefault="000B6C95" w:rsidP="0080187A">
      <w:pPr>
        <w:pStyle w:val="ListBullet"/>
        <w:numPr>
          <w:ilvl w:val="0"/>
          <w:numId w:val="69"/>
        </w:numPr>
        <w:rPr>
          <w:rFonts w:eastAsia="Times New Roman"/>
        </w:rPr>
      </w:pPr>
      <w:r w:rsidRPr="00961FBD">
        <w:rPr>
          <w:rFonts w:eastAsia="Times New Roman"/>
        </w:rPr>
        <w:t>22</w:t>
      </w:r>
      <w:r>
        <w:rPr>
          <w:rFonts w:eastAsia="Times New Roman"/>
        </w:rPr>
        <w:t xml:space="preserve"> per cent </w:t>
      </w:r>
      <w:r w:rsidRPr="00961FBD">
        <w:rPr>
          <w:rFonts w:eastAsia="Times New Roman"/>
        </w:rPr>
        <w:t>of women who take an extended child-related career break and return to work are expected to shift from full-time to part-time work</w:t>
      </w:r>
      <w:r>
        <w:rPr>
          <w:rFonts w:eastAsia="Times New Roman"/>
        </w:rPr>
        <w:t xml:space="preserve"> for their remaining working life</w:t>
      </w:r>
      <w:r w:rsidRPr="00961FBD">
        <w:rPr>
          <w:rFonts w:eastAsia="Times New Roman"/>
        </w:rPr>
        <w:t xml:space="preserve">. </w:t>
      </w:r>
    </w:p>
    <w:p w14:paraId="4CC4AC9C" w14:textId="064BD6FB" w:rsidR="000B6C95" w:rsidRPr="00961FBD" w:rsidRDefault="000B6C95" w:rsidP="0080187A">
      <w:pPr>
        <w:pStyle w:val="ListBullet"/>
        <w:numPr>
          <w:ilvl w:val="0"/>
          <w:numId w:val="69"/>
        </w:numPr>
        <w:rPr>
          <w:rFonts w:eastAsia="Times New Roman"/>
        </w:rPr>
      </w:pPr>
      <w:r w:rsidRPr="00961FBD">
        <w:rPr>
          <w:rFonts w:eastAsia="Times New Roman"/>
        </w:rPr>
        <w:t xml:space="preserve">There is a </w:t>
      </w:r>
      <w:r w:rsidRPr="00961FBD">
        <w:rPr>
          <w:rFonts w:eastAsia="Times New Roman"/>
          <w:i/>
        </w:rPr>
        <w:t>wage penalty</w:t>
      </w:r>
      <w:r w:rsidRPr="00961FBD">
        <w:rPr>
          <w:rFonts w:eastAsia="Times New Roman"/>
        </w:rPr>
        <w:t xml:space="preserve"> of 20</w:t>
      </w:r>
      <w:r>
        <w:rPr>
          <w:rFonts w:eastAsia="Times New Roman"/>
        </w:rPr>
        <w:t xml:space="preserve"> per cent </w:t>
      </w:r>
      <w:r w:rsidRPr="00961FBD">
        <w:rPr>
          <w:rFonts w:eastAsia="Times New Roman"/>
        </w:rPr>
        <w:t>for women who take extended child-related career breaks</w:t>
      </w:r>
      <w:r>
        <w:rPr>
          <w:rFonts w:eastAsia="Times New Roman"/>
        </w:rPr>
        <w:t>, which permanently reduces their average earnings by 20 per cent</w:t>
      </w:r>
      <w:r w:rsidRPr="00961FBD">
        <w:rPr>
          <w:rFonts w:eastAsia="Times New Roman"/>
        </w:rPr>
        <w:t>.</w:t>
      </w:r>
    </w:p>
    <w:p w14:paraId="301EB1CB" w14:textId="77777777" w:rsidR="000B6C95" w:rsidRDefault="000B6C95" w:rsidP="000B6C95">
      <w:pPr>
        <w:pStyle w:val="ListBullet"/>
        <w:numPr>
          <w:ilvl w:val="0"/>
          <w:numId w:val="0"/>
        </w:numPr>
      </w:pPr>
    </w:p>
    <w:p w14:paraId="24977969" w14:textId="77777777" w:rsidR="000B6C95" w:rsidRDefault="000B6C95" w:rsidP="000B6C95">
      <w:r>
        <w:t xml:space="preserve">The NSW Treasury modelling assumes that the penalties associated with taking an extended period of leave will persist for the full remaining working life. However, the modelling for this study assumes that participation and wage effects taper uniformly from age forty and are eliminated by age 50. This is based on evidence from a study by Kahn et al (2014), which found that in the United States, </w:t>
      </w:r>
      <w:r w:rsidRPr="0059246A">
        <w:t>the impact of children on women’s labour force participation and employment is reduced once women reach their 40s and 50s and that wage penalties also fade for women with fewer than three children.</w:t>
      </w:r>
      <w:r>
        <w:rPr>
          <w:rStyle w:val="FootnoteReference"/>
        </w:rPr>
        <w:footnoteReference w:id="22"/>
      </w:r>
      <w:r w:rsidDel="00E472CB">
        <w:t xml:space="preserve"> </w:t>
      </w:r>
    </w:p>
    <w:p w14:paraId="6219819E" w14:textId="4DA2FE23" w:rsidR="000B6C95" w:rsidRDefault="000B6C95" w:rsidP="000B6C95">
      <w:pPr>
        <w:rPr>
          <w:rFonts w:eastAsia="Times New Roman"/>
        </w:rPr>
      </w:pPr>
      <w:r>
        <w:t xml:space="preserve">Further, there is some evidence to suggest that lifetime effects may accrue to those who take shorter career breaks. As such, the modelling assumes that those </w:t>
      </w:r>
      <w:r w:rsidRPr="009B1419">
        <w:rPr>
          <w:rFonts w:eastAsia="Times New Roman"/>
        </w:rPr>
        <w:t xml:space="preserve">who </w:t>
      </w:r>
      <w:r>
        <w:rPr>
          <w:rFonts w:eastAsia="Times New Roman"/>
        </w:rPr>
        <w:t>return to</w:t>
      </w:r>
      <w:r w:rsidRPr="009B1419">
        <w:rPr>
          <w:rFonts w:eastAsia="Times New Roman"/>
        </w:rPr>
        <w:t xml:space="preserve"> the workforce when their child is </w:t>
      </w:r>
      <w:r>
        <w:rPr>
          <w:rFonts w:eastAsia="Times New Roman"/>
        </w:rPr>
        <w:t>aged three</w:t>
      </w:r>
      <w:r w:rsidRPr="009B1419">
        <w:rPr>
          <w:rFonts w:eastAsia="Times New Roman"/>
        </w:rPr>
        <w:t xml:space="preserve"> or </w:t>
      </w:r>
      <w:r>
        <w:rPr>
          <w:rFonts w:eastAsia="Times New Roman"/>
        </w:rPr>
        <w:t>four</w:t>
      </w:r>
      <w:r w:rsidRPr="009B1419">
        <w:rPr>
          <w:rFonts w:eastAsia="Times New Roman"/>
        </w:rPr>
        <w:t xml:space="preserve"> </w:t>
      </w:r>
      <w:r>
        <w:rPr>
          <w:rFonts w:eastAsia="Times New Roman"/>
        </w:rPr>
        <w:t xml:space="preserve">experience a 3.5 per cent decrease in wages, consistent with </w:t>
      </w:r>
      <w:proofErr w:type="spellStart"/>
      <w:r>
        <w:rPr>
          <w:rFonts w:eastAsia="Times New Roman"/>
        </w:rPr>
        <w:t>Beblo</w:t>
      </w:r>
      <w:proofErr w:type="spellEnd"/>
      <w:r>
        <w:rPr>
          <w:rFonts w:eastAsia="Times New Roman"/>
        </w:rPr>
        <w:t xml:space="preserve"> et al (2009</w:t>
      </w:r>
      <w:r>
        <w:t>).</w:t>
      </w:r>
      <w:r>
        <w:rPr>
          <w:rStyle w:val="FootnoteReference"/>
          <w:rFonts w:eastAsia="Times New Roman"/>
        </w:rPr>
        <w:footnoteReference w:id="23"/>
      </w:r>
      <w:r>
        <w:rPr>
          <w:rFonts w:eastAsia="Times New Roman"/>
        </w:rPr>
        <w:t xml:space="preserve"> </w:t>
      </w:r>
    </w:p>
    <w:p w14:paraId="13A76F5F" w14:textId="3EAFEDBE" w:rsidR="00C51438" w:rsidRPr="00C51438" w:rsidRDefault="004D21D3" w:rsidP="00C51438">
      <w:pPr>
        <w:pStyle w:val="Heading4un-numbered"/>
      </w:pPr>
      <w:r>
        <w:t>Step</w:t>
      </w:r>
      <w:r w:rsidR="00C94A12">
        <w:t xml:space="preserve"> 4:</w:t>
      </w:r>
      <w:r>
        <w:t xml:space="preserve"> </w:t>
      </w:r>
      <w:r w:rsidR="00C51438">
        <w:t>Estimating economy-wide impacts</w:t>
      </w:r>
    </w:p>
    <w:p w14:paraId="38FA8DB6" w14:textId="77F3E485" w:rsidR="00C51438" w:rsidRDefault="003F3B01" w:rsidP="00C51438">
      <w:r>
        <w:t xml:space="preserve">Based on the </w:t>
      </w:r>
      <w:r w:rsidR="00BB36E1">
        <w:t xml:space="preserve">estimated </w:t>
      </w:r>
      <w:r w:rsidR="00762137">
        <w:t>effects</w:t>
      </w:r>
      <w:r w:rsidR="00BB36E1">
        <w:t xml:space="preserve"> of the </w:t>
      </w:r>
      <w:r w:rsidR="00B918C0">
        <w:t xml:space="preserve">BSBL reforms on child developmental </w:t>
      </w:r>
      <w:r w:rsidR="00067D57">
        <w:t>and primary care</w:t>
      </w:r>
      <w:r w:rsidR="00BB07D5">
        <w:t>r</w:t>
      </w:r>
      <w:r w:rsidR="00067D57">
        <w:t xml:space="preserve">s’ labour </w:t>
      </w:r>
      <w:r w:rsidR="00A825B2">
        <w:t xml:space="preserve">market outcomes, </w:t>
      </w:r>
      <w:r w:rsidR="00BB07D5">
        <w:t xml:space="preserve">this methodology uses </w:t>
      </w:r>
      <w:r w:rsidR="008416C4" w:rsidRPr="00D84782">
        <w:t xml:space="preserve">Computable General Equilibrium (CGE) </w:t>
      </w:r>
      <w:r w:rsidR="00BB07D5" w:rsidRPr="00D84782">
        <w:t xml:space="preserve">modelling to </w:t>
      </w:r>
      <w:r w:rsidR="00BB07D5">
        <w:t>simulate</w:t>
      </w:r>
      <w:r w:rsidR="00BB07D5" w:rsidRPr="00D84782">
        <w:t xml:space="preserve"> the</w:t>
      </w:r>
      <w:r w:rsidR="00762137">
        <w:t xml:space="preserve"> resultant</w:t>
      </w:r>
      <w:r w:rsidR="00BB07D5" w:rsidRPr="00D84782">
        <w:t xml:space="preserve"> economy-wide impacts of the workforce </w:t>
      </w:r>
      <w:r w:rsidR="00762137">
        <w:t>participation and productivity changes</w:t>
      </w:r>
      <w:r w:rsidR="00BB07D5" w:rsidRPr="00D84782">
        <w:t>.</w:t>
      </w:r>
      <w:r w:rsidR="00C05C45">
        <w:t xml:space="preserve"> The modelling also </w:t>
      </w:r>
      <w:r w:rsidR="00C05C45" w:rsidRPr="00237ED8">
        <w:t>consider</w:t>
      </w:r>
      <w:r w:rsidR="00C05C45">
        <w:t>s</w:t>
      </w:r>
      <w:r w:rsidR="00C05C45" w:rsidRPr="00237ED8">
        <w:t xml:space="preserve"> </w:t>
      </w:r>
      <w:r w:rsidR="00C05C45">
        <w:t xml:space="preserve">the </w:t>
      </w:r>
      <w:r w:rsidR="00C05C45" w:rsidRPr="00237ED8">
        <w:t xml:space="preserve">effects on economic activity, employment, and State and Australian Government taxation revenue. </w:t>
      </w:r>
    </w:p>
    <w:p w14:paraId="79E3ADA4" w14:textId="7F1B4C71" w:rsidR="00C51438" w:rsidRDefault="00C51438" w:rsidP="00C51438">
      <w:pPr>
        <w:rPr>
          <w:rFonts w:asciiTheme="majorHAnsi" w:hAnsiTheme="majorHAnsi"/>
        </w:rPr>
      </w:pPr>
      <w:r w:rsidRPr="00D84782">
        <w:t>CGE</w:t>
      </w:r>
      <w:r>
        <w:t xml:space="preserve"> models </w:t>
      </w:r>
      <w:r w:rsidRPr="00C51438">
        <w:rPr>
          <w:rFonts w:asciiTheme="majorHAnsi" w:hAnsiTheme="majorHAnsi"/>
        </w:rPr>
        <w:t xml:space="preserve">are a class of economic models that use actual economic data to estimate </w:t>
      </w:r>
      <w:r w:rsidRPr="00FB3290">
        <w:t>how</w:t>
      </w:r>
      <w:r w:rsidRPr="00C51438">
        <w:rPr>
          <w:rFonts w:asciiTheme="majorHAnsi" w:hAnsiTheme="majorHAnsi"/>
        </w:rPr>
        <w:t xml:space="preserve"> an economy might react to changes in policy, technology or other external factors. CGE frameworks are the preferred approach for modelling counterfactual questions such as this one because they explicitly account for behavioural responses of consumers, firms, governments and overseas residents when evaluating the impacts of a given policy change. At the same time, they also observe resource constraints meaning that the estimated economic impacts account for </w:t>
      </w:r>
      <w:r w:rsidRPr="00C51438">
        <w:rPr>
          <w:rFonts w:asciiTheme="majorHAnsi" w:hAnsiTheme="majorHAnsi"/>
        </w:rPr>
        <w:lastRenderedPageBreak/>
        <w:t>competition for scarce resources (such as the acute competition for labour that the Australian economy is currently experiencing).</w:t>
      </w:r>
    </w:p>
    <w:p w14:paraId="730A299D" w14:textId="77777777" w:rsidR="005A4E8B" w:rsidRDefault="005A4E8B" w:rsidP="005A4E8B">
      <w:pPr>
        <w:rPr>
          <w:lang w:val="en-US"/>
        </w:rPr>
      </w:pPr>
      <w:r>
        <w:rPr>
          <w:lang w:val="en-US"/>
        </w:rPr>
        <w:t>The modelling captures:</w:t>
      </w:r>
    </w:p>
    <w:p w14:paraId="586C452F" w14:textId="5AFDC29D" w:rsidR="008D50D2" w:rsidRPr="000804C9" w:rsidRDefault="00153B5E" w:rsidP="0080187A">
      <w:pPr>
        <w:pStyle w:val="ListParagraph"/>
        <w:numPr>
          <w:ilvl w:val="0"/>
          <w:numId w:val="70"/>
        </w:numPr>
        <w:spacing w:before="60" w:after="0"/>
        <w:ind w:hanging="357"/>
        <w:contextualSpacing w:val="0"/>
      </w:pPr>
      <w:r>
        <w:t xml:space="preserve">Increased </w:t>
      </w:r>
      <w:r w:rsidR="000804C9">
        <w:rPr>
          <w:lang w:val="en-US"/>
        </w:rPr>
        <w:t xml:space="preserve">participation </w:t>
      </w:r>
      <w:r>
        <w:rPr>
          <w:lang w:val="en-US"/>
        </w:rPr>
        <w:t xml:space="preserve">and </w:t>
      </w:r>
      <w:r w:rsidR="000804C9">
        <w:rPr>
          <w:lang w:val="en-US"/>
        </w:rPr>
        <w:t xml:space="preserve">higher productivity for children, as they </w:t>
      </w:r>
      <w:r w:rsidR="00915AC1">
        <w:rPr>
          <w:lang w:val="en-US"/>
        </w:rPr>
        <w:t>join</w:t>
      </w:r>
      <w:r w:rsidR="000804C9">
        <w:rPr>
          <w:lang w:val="en-US"/>
        </w:rPr>
        <w:t xml:space="preserve"> the workforce</w:t>
      </w:r>
      <w:r w:rsidR="00BB2FF8">
        <w:rPr>
          <w:lang w:val="en-US"/>
        </w:rPr>
        <w:t xml:space="preserve"> later in life</w:t>
      </w:r>
      <w:r w:rsidR="000804C9">
        <w:rPr>
          <w:lang w:val="en-US"/>
        </w:rPr>
        <w:t xml:space="preserve">. </w:t>
      </w:r>
    </w:p>
    <w:p w14:paraId="33BEFF0C" w14:textId="453D26C2" w:rsidR="000804C9" w:rsidRPr="008D50D2" w:rsidRDefault="00B91B86" w:rsidP="0080187A">
      <w:pPr>
        <w:pStyle w:val="ListParagraph"/>
        <w:numPr>
          <w:ilvl w:val="0"/>
          <w:numId w:val="61"/>
        </w:numPr>
      </w:pPr>
      <w:r>
        <w:t xml:space="preserve">The </w:t>
      </w:r>
      <w:r w:rsidR="008227DF">
        <w:t xml:space="preserve">first cohort of </w:t>
      </w:r>
      <w:r w:rsidR="00EA12B9">
        <w:t>three-year olds</w:t>
      </w:r>
      <w:r w:rsidR="00B95BC9">
        <w:t xml:space="preserve"> who </w:t>
      </w:r>
      <w:r w:rsidR="00561771">
        <w:t>started three-year-old kindergarten due to</w:t>
      </w:r>
      <w:r w:rsidR="0057458C">
        <w:t xml:space="preserve"> the BSBL </w:t>
      </w:r>
      <w:r w:rsidR="00716ADD">
        <w:t xml:space="preserve">reforms are expected to enter the </w:t>
      </w:r>
      <w:r w:rsidR="00147F6C">
        <w:t xml:space="preserve">labour force in </w:t>
      </w:r>
      <w:r w:rsidR="001E1EF3">
        <w:t>2034 at age 18</w:t>
      </w:r>
      <w:r w:rsidR="00147F6C">
        <w:t>.</w:t>
      </w:r>
    </w:p>
    <w:p w14:paraId="67EB50A9" w14:textId="6DD436F3" w:rsidR="005A4E8B" w:rsidRPr="00D12C3F" w:rsidRDefault="005A4E8B" w:rsidP="0080187A">
      <w:pPr>
        <w:pStyle w:val="ListParagraph"/>
        <w:numPr>
          <w:ilvl w:val="0"/>
          <w:numId w:val="70"/>
        </w:numPr>
        <w:spacing w:before="60" w:after="0"/>
        <w:ind w:hanging="357"/>
        <w:contextualSpacing w:val="0"/>
      </w:pPr>
      <w:r w:rsidRPr="00D12C3F">
        <w:rPr>
          <w:lang w:val="en-US"/>
        </w:rPr>
        <w:t xml:space="preserve">The potential impacts </w:t>
      </w:r>
      <w:r w:rsidR="00153B5E">
        <w:rPr>
          <w:lang w:val="en-US"/>
        </w:rPr>
        <w:t xml:space="preserve">on </w:t>
      </w:r>
      <w:proofErr w:type="spellStart"/>
      <w:r w:rsidRPr="00D12C3F">
        <w:rPr>
          <w:lang w:val="en-US"/>
        </w:rPr>
        <w:t>labour</w:t>
      </w:r>
      <w:proofErr w:type="spellEnd"/>
      <w:r w:rsidRPr="00D12C3F">
        <w:rPr>
          <w:lang w:val="en-US"/>
        </w:rPr>
        <w:t xml:space="preserve"> supplied by primary carers. </w:t>
      </w:r>
    </w:p>
    <w:p w14:paraId="49826180" w14:textId="77777777" w:rsidR="005A4E8B" w:rsidRPr="00D12C3F" w:rsidRDefault="005A4E8B" w:rsidP="0080187A">
      <w:pPr>
        <w:pStyle w:val="ListParagraph"/>
        <w:numPr>
          <w:ilvl w:val="0"/>
          <w:numId w:val="61"/>
        </w:numPr>
      </w:pPr>
      <w:r w:rsidRPr="00D12C3F">
        <w:t xml:space="preserve">With </w:t>
      </w:r>
      <w:proofErr w:type="gramStart"/>
      <w:r w:rsidRPr="00D12C3F">
        <w:t>the vast majority of</w:t>
      </w:r>
      <w:proofErr w:type="gramEnd"/>
      <w:r w:rsidRPr="00D12C3F">
        <w:t xml:space="preserve"> primary carers being women, the likely destinations of primary carers entering the workforce under the policy case are expected to differ compared to the typical worker (for example by industry of work). </w:t>
      </w:r>
    </w:p>
    <w:p w14:paraId="29E339E0" w14:textId="60FBEA23" w:rsidR="005A4E8B" w:rsidRDefault="005A4E8B" w:rsidP="00774940">
      <w:pPr>
        <w:pStyle w:val="ListParagraph"/>
        <w:numPr>
          <w:ilvl w:val="0"/>
          <w:numId w:val="61"/>
        </w:numPr>
      </w:pPr>
      <w:r w:rsidRPr="00D12C3F">
        <w:t xml:space="preserve">Women with a dependent child already in the labour force are more likely to work in </w:t>
      </w:r>
      <w:r w:rsidRPr="00D12C3F">
        <w:rPr>
          <w:rFonts w:eastAsia="Times New Roman"/>
        </w:rPr>
        <w:t>business</w:t>
      </w:r>
      <w:r w:rsidRPr="00D12C3F">
        <w:t xml:space="preserve"> services, health, or retail and hospitality relative to the average employed Victorian.</w:t>
      </w:r>
      <w:r w:rsidR="00774940">
        <w:rPr>
          <w:rStyle w:val="FootnoteReference"/>
        </w:rPr>
        <w:footnoteReference w:id="24"/>
      </w:r>
      <w:r w:rsidRPr="00D12C3F">
        <w:t xml:space="preserve"> </w:t>
      </w:r>
    </w:p>
    <w:p w14:paraId="0A4AEFEA" w14:textId="4FF72E84" w:rsidR="005A4E8B" w:rsidRPr="008D50D2" w:rsidRDefault="005A4E8B" w:rsidP="0080187A">
      <w:pPr>
        <w:pStyle w:val="ListParagraph"/>
        <w:numPr>
          <w:ilvl w:val="0"/>
          <w:numId w:val="70"/>
        </w:numPr>
        <w:spacing w:before="60" w:after="0"/>
        <w:ind w:hanging="357"/>
        <w:contextualSpacing w:val="0"/>
        <w:rPr>
          <w:lang w:val="en-US"/>
        </w:rPr>
      </w:pPr>
      <w:r w:rsidRPr="008D50D2">
        <w:rPr>
          <w:lang w:val="en-US"/>
        </w:rPr>
        <w:t xml:space="preserve">The expected increase in </w:t>
      </w:r>
      <w:r w:rsidR="008D50D2" w:rsidRPr="008D50D2">
        <w:rPr>
          <w:lang w:val="en-US"/>
        </w:rPr>
        <w:t xml:space="preserve">Victorian Government </w:t>
      </w:r>
      <w:r w:rsidR="00775FC8">
        <w:rPr>
          <w:lang w:val="en-US"/>
        </w:rPr>
        <w:t>expenditure</w:t>
      </w:r>
      <w:r w:rsidR="00775FC8" w:rsidRPr="008D50D2">
        <w:rPr>
          <w:lang w:val="en-US"/>
        </w:rPr>
        <w:t xml:space="preserve"> </w:t>
      </w:r>
      <w:proofErr w:type="gramStart"/>
      <w:r w:rsidRPr="008D50D2">
        <w:rPr>
          <w:lang w:val="en-US"/>
        </w:rPr>
        <w:t>associated</w:t>
      </w:r>
      <w:proofErr w:type="gramEnd"/>
      <w:r w:rsidRPr="008D50D2">
        <w:rPr>
          <w:lang w:val="en-US"/>
        </w:rPr>
        <w:t xml:space="preserve"> with the reforms.</w:t>
      </w:r>
    </w:p>
    <w:p w14:paraId="48C667BA" w14:textId="4CDA58A3" w:rsidR="00774940" w:rsidRPr="006A17DE" w:rsidRDefault="005A4E8B" w:rsidP="008763FA">
      <w:pPr>
        <w:pStyle w:val="ListParagraph"/>
        <w:numPr>
          <w:ilvl w:val="0"/>
          <w:numId w:val="61"/>
        </w:numPr>
      </w:pPr>
      <w:r w:rsidRPr="008D50D2">
        <w:t xml:space="preserve">In doing so, the modelling implicitly captures the increased demand for workers in the </w:t>
      </w:r>
      <w:r w:rsidRPr="006A17DE">
        <w:t xml:space="preserve">ECEC sector, some of whom may need to be attracted from other sectors of the economy to meet increased demand for ECEC workers over time. </w:t>
      </w:r>
    </w:p>
    <w:p w14:paraId="3673CED1" w14:textId="2E879BC2" w:rsidR="009707E0" w:rsidRDefault="009707E0" w:rsidP="005A4E8B">
      <w:r>
        <w:t xml:space="preserve">In addition to the CGE modelling the analysis considers the impact of improvements in child development outcomes on a range of broader social benefits including reductions in crime, reduced public health expenditure and reductions in welfare payments. </w:t>
      </w:r>
    </w:p>
    <w:p w14:paraId="335FBA7A" w14:textId="230CA071" w:rsidR="005A4E8B" w:rsidRPr="003B48B3" w:rsidRDefault="006A17DE" w:rsidP="005A4E8B">
      <w:r>
        <w:t>R</w:t>
      </w:r>
      <w:r w:rsidR="005A4E8B" w:rsidRPr="006A17DE">
        <w:t>ecognising uncertainty in the literature and the conditions in which the benefits are realised, economy-wide results are</w:t>
      </w:r>
      <w:r w:rsidR="005A4E8B" w:rsidRPr="003B48B3">
        <w:t xml:space="preserve"> presented for two scenarios:</w:t>
      </w:r>
    </w:p>
    <w:p w14:paraId="7A81A88B" w14:textId="77777777" w:rsidR="005A4E8B" w:rsidRPr="00806A6C" w:rsidRDefault="005A4E8B" w:rsidP="0080187A">
      <w:pPr>
        <w:pStyle w:val="ListBullet"/>
        <w:numPr>
          <w:ilvl w:val="0"/>
          <w:numId w:val="45"/>
        </w:numPr>
      </w:pPr>
      <w:r w:rsidRPr="00422BDB">
        <w:rPr>
          <w:b/>
          <w:bCs/>
        </w:rPr>
        <w:t>L</w:t>
      </w:r>
      <w:r>
        <w:rPr>
          <w:b/>
          <w:bCs/>
        </w:rPr>
        <w:t>ow scenario</w:t>
      </w:r>
      <w:r w:rsidRPr="00422BDB">
        <w:rPr>
          <w:b/>
          <w:bCs/>
        </w:rPr>
        <w:t xml:space="preserve">: </w:t>
      </w:r>
      <w:r>
        <w:t>l</w:t>
      </w:r>
      <w:r w:rsidRPr="00806A6C">
        <w:t xml:space="preserve">ow </w:t>
      </w:r>
      <w:r>
        <w:t xml:space="preserve">primary carer </w:t>
      </w:r>
      <w:r w:rsidRPr="00806A6C">
        <w:t xml:space="preserve">labour supply response, </w:t>
      </w:r>
      <w:r>
        <w:t xml:space="preserve">combined with </w:t>
      </w:r>
      <w:r w:rsidRPr="00806A6C">
        <w:t>low impact developmental outcomes</w:t>
      </w:r>
      <w:r>
        <w:t xml:space="preserve"> for children.</w:t>
      </w:r>
    </w:p>
    <w:p w14:paraId="49F7680E" w14:textId="2D4599B1" w:rsidR="005A4E8B" w:rsidRPr="005A4E8B" w:rsidRDefault="005A4E8B" w:rsidP="0080187A">
      <w:pPr>
        <w:pStyle w:val="ListBullet"/>
        <w:numPr>
          <w:ilvl w:val="0"/>
          <w:numId w:val="45"/>
        </w:numPr>
        <w:spacing w:after="170"/>
        <w:ind w:left="357" w:hanging="357"/>
        <w:contextualSpacing w:val="0"/>
      </w:pPr>
      <w:r>
        <w:rPr>
          <w:b/>
          <w:bCs/>
        </w:rPr>
        <w:t xml:space="preserve">High scenario: </w:t>
      </w:r>
      <w:r w:rsidRPr="008A22BB">
        <w:t xml:space="preserve">high </w:t>
      </w:r>
      <w:r>
        <w:t xml:space="preserve">primary carer </w:t>
      </w:r>
      <w:r w:rsidRPr="008A22BB">
        <w:t>labour supply response</w:t>
      </w:r>
      <w:r w:rsidRPr="008A22BB">
        <w:rPr>
          <w:b/>
          <w:bCs/>
        </w:rPr>
        <w:t xml:space="preserve">, </w:t>
      </w:r>
      <w:r w:rsidRPr="008A22BB">
        <w:t>combined with high impact developmental outcomes</w:t>
      </w:r>
      <w:r>
        <w:t xml:space="preserve"> for children.</w:t>
      </w:r>
    </w:p>
    <w:p w14:paraId="4D31E865" w14:textId="046EA3B7" w:rsidR="00716BE4" w:rsidRDefault="00F95D5A" w:rsidP="00716BE4">
      <w:pPr>
        <w:pStyle w:val="HeadingA"/>
      </w:pPr>
      <w:r>
        <w:t xml:space="preserve">Impacts </w:t>
      </w:r>
      <w:r w:rsidR="001630DB">
        <w:t>of BSBL on</w:t>
      </w:r>
      <w:r>
        <w:t xml:space="preserve"> </w:t>
      </w:r>
      <w:r w:rsidR="00F95A9C">
        <w:t>ECEC</w:t>
      </w:r>
      <w:r>
        <w:t xml:space="preserve"> services</w:t>
      </w:r>
      <w:r w:rsidR="001630DB">
        <w:t xml:space="preserve"> usage</w:t>
      </w:r>
    </w:p>
    <w:p w14:paraId="12A1E3BF" w14:textId="1580081B" w:rsidR="00B300AE" w:rsidRPr="00F502A8" w:rsidRDefault="000E5AA4" w:rsidP="003A7051">
      <w:pPr>
        <w:rPr>
          <w:lang w:val="en-US"/>
        </w:rPr>
      </w:pPr>
      <w:r>
        <w:rPr>
          <w:lang w:val="en-US"/>
        </w:rPr>
        <w:t xml:space="preserve">The BSBL reforms seek to remove barriers to </w:t>
      </w:r>
      <w:r w:rsidR="0015018E" w:rsidRPr="00E11620">
        <w:rPr>
          <w:lang w:val="en-US"/>
        </w:rPr>
        <w:t>ECEC participation</w:t>
      </w:r>
      <w:r>
        <w:rPr>
          <w:lang w:val="en-US"/>
        </w:rPr>
        <w:t xml:space="preserve"> through a range of price and no</w:t>
      </w:r>
      <w:r w:rsidR="003A7051">
        <w:rPr>
          <w:lang w:val="en-US"/>
        </w:rPr>
        <w:t>n</w:t>
      </w:r>
      <w:r>
        <w:rPr>
          <w:lang w:val="en-US"/>
        </w:rPr>
        <w:t xml:space="preserve">-price related initiatives. This includes </w:t>
      </w:r>
      <w:r w:rsidR="0015018E" w:rsidRPr="00E11620">
        <w:rPr>
          <w:lang w:val="en-US"/>
        </w:rPr>
        <w:t>making kindergarten free for three- and four-</w:t>
      </w:r>
      <w:proofErr w:type="gramStart"/>
      <w:r w:rsidR="0015018E" w:rsidRPr="00E11620">
        <w:rPr>
          <w:lang w:val="en-US"/>
        </w:rPr>
        <w:t>year old</w:t>
      </w:r>
      <w:proofErr w:type="gramEnd"/>
      <w:r w:rsidR="0015018E" w:rsidRPr="00E11620">
        <w:rPr>
          <w:lang w:val="en-US"/>
        </w:rPr>
        <w:t xml:space="preserve"> children across Victoria, </w:t>
      </w:r>
      <w:r w:rsidR="003A7051">
        <w:rPr>
          <w:lang w:val="en-US"/>
        </w:rPr>
        <w:t xml:space="preserve">introducing </w:t>
      </w:r>
      <w:r w:rsidR="00B300AE" w:rsidRPr="00E11620">
        <w:rPr>
          <w:lang w:val="en-US"/>
        </w:rPr>
        <w:t>50 new government</w:t>
      </w:r>
      <w:r w:rsidR="00B300AE">
        <w:rPr>
          <w:lang w:val="en-US"/>
        </w:rPr>
        <w:t>-owned and affordable</w:t>
      </w:r>
      <w:r w:rsidR="00B300AE" w:rsidRPr="00E11620">
        <w:rPr>
          <w:lang w:val="en-US"/>
        </w:rPr>
        <w:t xml:space="preserve"> </w:t>
      </w:r>
      <w:proofErr w:type="gramStart"/>
      <w:r w:rsidR="00B300AE" w:rsidRPr="00E11620">
        <w:rPr>
          <w:lang w:val="en-US"/>
        </w:rPr>
        <w:t>child care</w:t>
      </w:r>
      <w:proofErr w:type="gramEnd"/>
      <w:r w:rsidR="00B300AE" w:rsidRPr="00E11620">
        <w:rPr>
          <w:lang w:val="en-US"/>
        </w:rPr>
        <w:t xml:space="preserve"> </w:t>
      </w:r>
      <w:proofErr w:type="spellStart"/>
      <w:r w:rsidR="00B300AE" w:rsidRPr="00E11620">
        <w:rPr>
          <w:lang w:val="en-US"/>
        </w:rPr>
        <w:t>centres</w:t>
      </w:r>
      <w:proofErr w:type="spellEnd"/>
      <w:r w:rsidR="00B300AE" w:rsidRPr="00E11620">
        <w:rPr>
          <w:lang w:val="en-US"/>
        </w:rPr>
        <w:t xml:space="preserve"> </w:t>
      </w:r>
      <w:r w:rsidR="003A7051">
        <w:rPr>
          <w:lang w:val="en-US"/>
        </w:rPr>
        <w:t xml:space="preserve">to </w:t>
      </w:r>
      <w:r w:rsidR="00B300AE" w:rsidRPr="00E11620">
        <w:rPr>
          <w:lang w:val="en-US"/>
        </w:rPr>
        <w:t xml:space="preserve">address </w:t>
      </w:r>
      <w:r w:rsidR="003A7051">
        <w:rPr>
          <w:lang w:val="en-US"/>
        </w:rPr>
        <w:t xml:space="preserve">supply </w:t>
      </w:r>
      <w:r w:rsidR="00B300AE" w:rsidRPr="00E11620">
        <w:rPr>
          <w:lang w:val="en-US"/>
        </w:rPr>
        <w:t>shortage</w:t>
      </w:r>
      <w:r w:rsidR="00B300AE">
        <w:rPr>
          <w:lang w:val="en-US"/>
        </w:rPr>
        <w:t>s</w:t>
      </w:r>
      <w:r w:rsidR="00B300AE" w:rsidRPr="00E11620">
        <w:rPr>
          <w:lang w:val="en-US"/>
        </w:rPr>
        <w:t xml:space="preserve">, </w:t>
      </w:r>
      <w:r w:rsidR="003A7051">
        <w:rPr>
          <w:lang w:val="en-US"/>
        </w:rPr>
        <w:t xml:space="preserve">and other </w:t>
      </w:r>
      <w:r w:rsidR="00B300AE" w:rsidRPr="00E11620">
        <w:rPr>
          <w:lang w:val="en-US"/>
        </w:rPr>
        <w:t xml:space="preserve">initiatives aimed at sector engagement and public communication on the importance of universal pre-prep. </w:t>
      </w:r>
    </w:p>
    <w:p w14:paraId="4CB3BABA" w14:textId="502247A1" w:rsidR="007D320F" w:rsidRDefault="00EC5239" w:rsidP="00F95D5A">
      <w:pPr>
        <w:rPr>
          <w:lang w:val="en-US"/>
        </w:rPr>
      </w:pPr>
      <w:r w:rsidRPr="009B7F31">
        <w:t xml:space="preserve">Assuming </w:t>
      </w:r>
      <w:r w:rsidR="00B300AE" w:rsidRPr="009B7F31">
        <w:t xml:space="preserve">96 per cent </w:t>
      </w:r>
      <w:r w:rsidR="00BF1A89" w:rsidRPr="009B7F31">
        <w:t>participation</w:t>
      </w:r>
      <w:r w:rsidR="00B300AE" w:rsidRPr="009B7F31">
        <w:t xml:space="preserve"> </w:t>
      </w:r>
      <w:r w:rsidR="00BF1A89" w:rsidRPr="009B7F31">
        <w:t xml:space="preserve">is </w:t>
      </w:r>
      <w:r w:rsidR="003A7051">
        <w:t xml:space="preserve">consequently </w:t>
      </w:r>
      <w:r w:rsidR="00BF1A89" w:rsidRPr="009B7F31">
        <w:t>achieved</w:t>
      </w:r>
      <w:r w:rsidR="00B300AE" w:rsidRPr="009B7F31">
        <w:t xml:space="preserve"> for both three-</w:t>
      </w:r>
      <w:r w:rsidRPr="009B7F31">
        <w:t>year-olds and four-year-olds</w:t>
      </w:r>
      <w:r>
        <w:t xml:space="preserve">, this </w:t>
      </w:r>
      <w:r w:rsidR="00082AEA">
        <w:t xml:space="preserve">is expected to </w:t>
      </w:r>
      <w:r w:rsidR="0030290C">
        <w:t xml:space="preserve">result in </w:t>
      </w:r>
      <w:r w:rsidR="006C1133" w:rsidRPr="00E11620">
        <w:rPr>
          <w:lang w:val="en-US"/>
        </w:rPr>
        <w:t xml:space="preserve">an </w:t>
      </w:r>
      <w:r w:rsidR="006C1133" w:rsidRPr="002F154C">
        <w:rPr>
          <w:lang w:val="en-US"/>
        </w:rPr>
        <w:t xml:space="preserve">additional </w:t>
      </w:r>
      <w:r w:rsidR="002F154C" w:rsidRPr="00EB3261">
        <w:rPr>
          <w:lang w:val="en-US"/>
        </w:rPr>
        <w:t>73</w:t>
      </w:r>
      <w:r w:rsidR="006C1133" w:rsidRPr="00EB3261">
        <w:rPr>
          <w:lang w:val="en-US"/>
        </w:rPr>
        <w:t>,</w:t>
      </w:r>
      <w:r w:rsidR="002F154C" w:rsidRPr="00EB3261">
        <w:rPr>
          <w:lang w:val="en-US"/>
        </w:rPr>
        <w:t>200</w:t>
      </w:r>
      <w:r w:rsidR="002F154C" w:rsidRPr="002F154C">
        <w:rPr>
          <w:lang w:val="en-US"/>
        </w:rPr>
        <w:t xml:space="preserve"> </w:t>
      </w:r>
      <w:r w:rsidR="006C1133" w:rsidRPr="002F154C">
        <w:rPr>
          <w:lang w:val="en-US"/>
        </w:rPr>
        <w:t>children enrolling</w:t>
      </w:r>
      <w:r w:rsidR="006C1133" w:rsidRPr="002F154C">
        <w:rPr>
          <w:lang w:val="nl-NL"/>
        </w:rPr>
        <w:t xml:space="preserve"> in kindergarten equivalent</w:t>
      </w:r>
      <w:r w:rsidR="006C1133" w:rsidRPr="002F154C">
        <w:rPr>
          <w:lang w:val="en-US"/>
        </w:rPr>
        <w:t xml:space="preserve"> programs in </w:t>
      </w:r>
      <w:r w:rsidR="00B469D2" w:rsidRPr="002F154C">
        <w:rPr>
          <w:lang w:val="en-US"/>
        </w:rPr>
        <w:t>2035</w:t>
      </w:r>
      <w:r w:rsidR="006C1133" w:rsidRPr="002F154C">
        <w:rPr>
          <w:lang w:val="en-US"/>
        </w:rPr>
        <w:t>-</w:t>
      </w:r>
      <w:r w:rsidR="00B469D2" w:rsidRPr="002F154C">
        <w:rPr>
          <w:lang w:val="en-US"/>
        </w:rPr>
        <w:t xml:space="preserve">36 </w:t>
      </w:r>
      <w:r w:rsidR="00AE5E0C" w:rsidRPr="002F154C">
        <w:rPr>
          <w:lang w:val="en-US"/>
        </w:rPr>
        <w:t xml:space="preserve">and an additional </w:t>
      </w:r>
      <w:r w:rsidR="002F154C" w:rsidRPr="00EB3261">
        <w:rPr>
          <w:lang w:val="en-US"/>
        </w:rPr>
        <w:t>47</w:t>
      </w:r>
      <w:r w:rsidR="00AE5E0C" w:rsidRPr="00EB3261">
        <w:rPr>
          <w:lang w:val="en-US"/>
        </w:rPr>
        <w:t>,</w:t>
      </w:r>
      <w:r w:rsidR="002F154C" w:rsidRPr="00EB3261">
        <w:rPr>
          <w:lang w:val="en-US"/>
        </w:rPr>
        <w:t>800</w:t>
      </w:r>
      <w:r w:rsidR="002F154C" w:rsidRPr="002F154C">
        <w:rPr>
          <w:lang w:val="en-US"/>
        </w:rPr>
        <w:t xml:space="preserve"> </w:t>
      </w:r>
      <w:r w:rsidR="00AE5E0C" w:rsidRPr="002F154C">
        <w:rPr>
          <w:lang w:val="en-US"/>
        </w:rPr>
        <w:t>ECEC</w:t>
      </w:r>
      <w:r w:rsidR="00AE5E0C">
        <w:rPr>
          <w:lang w:val="en-US"/>
        </w:rPr>
        <w:t xml:space="preserve"> enrolments</w:t>
      </w:r>
      <w:r w:rsidR="003C6687">
        <w:rPr>
          <w:lang w:val="en-US"/>
        </w:rPr>
        <w:t xml:space="preserve"> (</w:t>
      </w:r>
      <w:r w:rsidR="003C6687">
        <w:rPr>
          <w:lang w:val="en-US"/>
        </w:rPr>
        <w:fldChar w:fldCharType="begin"/>
      </w:r>
      <w:r w:rsidR="003C6687">
        <w:rPr>
          <w:lang w:val="en-US"/>
        </w:rPr>
        <w:instrText xml:space="preserve"> REF _Ref152831543 \r \h </w:instrText>
      </w:r>
      <w:r w:rsidR="003C6687">
        <w:rPr>
          <w:lang w:val="en-US"/>
        </w:rPr>
      </w:r>
      <w:r w:rsidR="003C6687">
        <w:rPr>
          <w:lang w:val="en-US"/>
        </w:rPr>
        <w:fldChar w:fldCharType="separate"/>
      </w:r>
      <w:r w:rsidR="008537EC">
        <w:rPr>
          <w:lang w:val="en-US"/>
        </w:rPr>
        <w:t>Table iv</w:t>
      </w:r>
      <w:r w:rsidR="003C6687">
        <w:rPr>
          <w:lang w:val="en-US"/>
        </w:rPr>
        <w:fldChar w:fldCharType="end"/>
      </w:r>
      <w:r w:rsidR="003C6687">
        <w:rPr>
          <w:lang w:val="en-US"/>
        </w:rPr>
        <w:t>)</w:t>
      </w:r>
      <w:r w:rsidR="00015273" w:rsidRPr="009B7F31">
        <w:rPr>
          <w:lang w:val="en-US"/>
        </w:rPr>
        <w:t>.</w:t>
      </w:r>
      <w:r w:rsidR="00082AEA">
        <w:rPr>
          <w:rStyle w:val="FootnoteReference"/>
        </w:rPr>
        <w:footnoteReference w:id="25"/>
      </w:r>
      <w:r w:rsidR="006079C4">
        <w:rPr>
          <w:lang w:val="en-US"/>
        </w:rPr>
        <w:t xml:space="preserve"> </w:t>
      </w:r>
      <w:r w:rsidR="00183C40">
        <w:rPr>
          <w:lang w:val="en-US"/>
        </w:rPr>
        <w:t xml:space="preserve"> </w:t>
      </w:r>
    </w:p>
    <w:p w14:paraId="587E6A37" w14:textId="613EC7D1" w:rsidR="003A7051" w:rsidRPr="008763FA" w:rsidRDefault="003A7051" w:rsidP="00F95D5A">
      <w:r>
        <w:rPr>
          <w:lang w:val="en-US"/>
        </w:rPr>
        <w:t xml:space="preserve">Historically, rates of enrolment have exceeded rates of attendance with many children enrolled in </w:t>
      </w:r>
      <w:proofErr w:type="gramStart"/>
      <w:r>
        <w:rPr>
          <w:lang w:val="en-US"/>
        </w:rPr>
        <w:t>kindergarten</w:t>
      </w:r>
      <w:proofErr w:type="gramEnd"/>
      <w:r>
        <w:rPr>
          <w:lang w:val="en-US"/>
        </w:rPr>
        <w:t xml:space="preserve"> not attending on a given week or attending for fewer hours than they are enrolled. The introduction of universal kindergarten may have a positive effect on rates of attendance, </w:t>
      </w:r>
      <w:r w:rsidRPr="00333643">
        <w:rPr>
          <w:lang w:val="en-US"/>
        </w:rPr>
        <w:t>particularly for disadvantaged children</w:t>
      </w:r>
      <w:r w:rsidRPr="00B81011">
        <w:t>.</w:t>
      </w:r>
      <w:r>
        <w:t xml:space="preserve"> </w:t>
      </w:r>
      <w:r w:rsidRPr="00AB3564">
        <w:t xml:space="preserve">However, </w:t>
      </w:r>
      <w:r>
        <w:t>any potential</w:t>
      </w:r>
      <w:r w:rsidRPr="00AB3564">
        <w:t xml:space="preserve"> impacts of the BSBL reforms on attendance rates have not been </w:t>
      </w:r>
      <w:r>
        <w:t>incorporated in this modelling</w:t>
      </w:r>
      <w:r w:rsidRPr="00AB3564">
        <w:t>.</w:t>
      </w:r>
    </w:p>
    <w:p w14:paraId="2768792D" w14:textId="77777777" w:rsidR="003A7051" w:rsidRDefault="003A7051" w:rsidP="00F95D5A">
      <w:pPr>
        <w:rPr>
          <w:lang w:val="en-US"/>
        </w:rPr>
      </w:pPr>
    </w:p>
    <w:p w14:paraId="09523FCF" w14:textId="22C1BEF2" w:rsidR="00015273" w:rsidRPr="001630DB" w:rsidRDefault="001630DB" w:rsidP="00F95D5A">
      <w:pPr>
        <w:pStyle w:val="ExecTableCaption"/>
      </w:pPr>
      <w:bookmarkStart w:id="54" w:name="_Ref152831543"/>
      <w:r w:rsidRPr="00C904C9">
        <w:lastRenderedPageBreak/>
        <w:t xml:space="preserve">: </w:t>
      </w:r>
      <w:r w:rsidR="00456DB9">
        <w:t xml:space="preserve">Effect </w:t>
      </w:r>
      <w:r>
        <w:t>of reforms on</w:t>
      </w:r>
      <w:r w:rsidR="002C7311">
        <w:t xml:space="preserve"> usage of</w:t>
      </w:r>
      <w:r>
        <w:t xml:space="preserve"> </w:t>
      </w:r>
      <w:r w:rsidR="002C7311">
        <w:t>kindergarten-equivalent programs and ECEC relative to base case</w:t>
      </w:r>
      <w:bookmarkEnd w:id="54"/>
    </w:p>
    <w:tbl>
      <w:tblPr>
        <w:tblStyle w:val="Deloittetable"/>
        <w:tblW w:w="5000" w:type="pct"/>
        <w:tblCellMar>
          <w:left w:w="57" w:type="dxa"/>
          <w:right w:w="57" w:type="dxa"/>
        </w:tblCellMar>
        <w:tblLook w:val="04A0" w:firstRow="1" w:lastRow="0" w:firstColumn="1" w:lastColumn="0" w:noHBand="0" w:noVBand="1"/>
      </w:tblPr>
      <w:tblGrid>
        <w:gridCol w:w="2837"/>
        <w:gridCol w:w="1549"/>
        <w:gridCol w:w="1551"/>
        <w:gridCol w:w="1549"/>
        <w:gridCol w:w="1540"/>
      </w:tblGrid>
      <w:tr w:rsidR="00AB4A3D" w:rsidRPr="00E95E1E" w14:paraId="31FC41D8" w14:textId="77777777" w:rsidTr="00E339E3">
        <w:trPr>
          <w:cnfStyle w:val="100000000000" w:firstRow="1" w:lastRow="0" w:firstColumn="0" w:lastColumn="0" w:oddVBand="0" w:evenVBand="0" w:oddHBand="0" w:evenHBand="0" w:firstRowFirstColumn="0" w:firstRowLastColumn="0" w:lastRowFirstColumn="0" w:lastRowLastColumn="0"/>
          <w:trHeight w:val="20"/>
        </w:trPr>
        <w:tc>
          <w:tcPr>
            <w:tcW w:w="1572" w:type="pct"/>
          </w:tcPr>
          <w:p w14:paraId="22CF69E6" w14:textId="77777777" w:rsidR="00AB4A3D" w:rsidRPr="00861D3B" w:rsidRDefault="00AB4A3D" w:rsidP="00E339E3">
            <w:pPr>
              <w:keepNext/>
              <w:spacing w:after="0" w:line="240" w:lineRule="auto"/>
              <w:rPr>
                <w:rFonts w:asciiTheme="majorHAnsi" w:eastAsia="Times New Roman" w:hAnsiTheme="majorHAnsi" w:cs="Times New Roman"/>
                <w:b/>
                <w:color w:val="000000"/>
                <w:sz w:val="16"/>
                <w:szCs w:val="16"/>
                <w:lang w:eastAsia="en-AU"/>
              </w:rPr>
            </w:pPr>
          </w:p>
        </w:tc>
        <w:tc>
          <w:tcPr>
            <w:tcW w:w="1717" w:type="pct"/>
            <w:gridSpan w:val="2"/>
            <w:tcBorders>
              <w:right w:val="single" w:sz="4" w:space="0" w:color="000000"/>
            </w:tcBorders>
          </w:tcPr>
          <w:p w14:paraId="0A1E50EF" w14:textId="63CBAC7D" w:rsidR="00AB4A3D" w:rsidRPr="00861D3B" w:rsidRDefault="00AB4A3D" w:rsidP="00E339E3">
            <w:pPr>
              <w:keepNext/>
              <w:spacing w:after="0" w:line="240" w:lineRule="auto"/>
              <w:jc w:val="right"/>
              <w:rPr>
                <w:rFonts w:asciiTheme="majorHAnsi" w:eastAsia="Times New Roman" w:hAnsiTheme="majorHAnsi" w:cs="Times New Roman"/>
                <w:b/>
                <w:color w:val="000000"/>
                <w:sz w:val="16"/>
                <w:szCs w:val="16"/>
                <w:lang w:eastAsia="en-AU"/>
              </w:rPr>
            </w:pPr>
            <w:r w:rsidRPr="00861D3B">
              <w:rPr>
                <w:rFonts w:asciiTheme="majorHAnsi" w:eastAsia="Times New Roman" w:hAnsiTheme="majorHAnsi" w:cs="Times New Roman"/>
                <w:b/>
                <w:color w:val="000000"/>
                <w:sz w:val="16"/>
                <w:szCs w:val="16"/>
                <w:lang w:eastAsia="en-AU"/>
              </w:rPr>
              <w:t># increase</w:t>
            </w:r>
            <w:r>
              <w:rPr>
                <w:rFonts w:asciiTheme="majorHAnsi" w:eastAsia="Times New Roman" w:hAnsiTheme="majorHAnsi" w:cs="Times New Roman"/>
                <w:b/>
                <w:color w:val="000000"/>
                <w:sz w:val="16"/>
                <w:szCs w:val="16"/>
                <w:lang w:eastAsia="en-AU"/>
              </w:rPr>
              <w:t xml:space="preserve"> kindergarten equivalent programs</w:t>
            </w:r>
          </w:p>
        </w:tc>
        <w:tc>
          <w:tcPr>
            <w:tcW w:w="1711" w:type="pct"/>
            <w:gridSpan w:val="2"/>
            <w:tcBorders>
              <w:left w:val="single" w:sz="4" w:space="0" w:color="000000"/>
            </w:tcBorders>
          </w:tcPr>
          <w:p w14:paraId="48139307" w14:textId="11A4A5ED" w:rsidR="00AB4A3D" w:rsidRPr="00861D3B" w:rsidRDefault="00AB4A3D" w:rsidP="00E339E3">
            <w:pPr>
              <w:keepNext/>
              <w:spacing w:after="0" w:line="240" w:lineRule="auto"/>
              <w:jc w:val="right"/>
              <w:rPr>
                <w:rFonts w:asciiTheme="majorHAnsi" w:eastAsia="Times New Roman" w:hAnsiTheme="majorHAnsi" w:cs="Times New Roman"/>
                <w:b/>
                <w:color w:val="000000"/>
                <w:sz w:val="16"/>
                <w:szCs w:val="16"/>
                <w:lang w:eastAsia="en-AU"/>
              </w:rPr>
            </w:pPr>
            <w:r w:rsidRPr="00861D3B">
              <w:rPr>
                <w:rFonts w:asciiTheme="majorHAnsi" w:eastAsia="Times New Roman" w:hAnsiTheme="majorHAnsi" w:cs="Times New Roman"/>
                <w:b/>
                <w:color w:val="000000"/>
                <w:sz w:val="16"/>
                <w:szCs w:val="16"/>
                <w:lang w:eastAsia="en-AU"/>
              </w:rPr>
              <w:t># increase</w:t>
            </w:r>
            <w:r>
              <w:rPr>
                <w:rFonts w:asciiTheme="majorHAnsi" w:eastAsia="Times New Roman" w:hAnsiTheme="majorHAnsi" w:cs="Times New Roman"/>
                <w:b/>
                <w:color w:val="000000"/>
                <w:sz w:val="16"/>
                <w:szCs w:val="16"/>
                <w:lang w:eastAsia="en-AU"/>
              </w:rPr>
              <w:t xml:space="preserve"> ECEC</w:t>
            </w:r>
          </w:p>
        </w:tc>
      </w:tr>
      <w:tr w:rsidR="00E42C4F" w:rsidRPr="00E95E1E" w14:paraId="4DC49F08" w14:textId="77777777" w:rsidTr="00E339E3">
        <w:trPr>
          <w:trHeight w:val="20"/>
        </w:trPr>
        <w:tc>
          <w:tcPr>
            <w:tcW w:w="1572" w:type="pct"/>
            <w:hideMark/>
          </w:tcPr>
          <w:p w14:paraId="3576CE31" w14:textId="77777777" w:rsidR="00E42C4F" w:rsidRPr="00861D3B" w:rsidRDefault="00E42C4F" w:rsidP="00E42C4F">
            <w:pPr>
              <w:keepNext/>
              <w:spacing w:after="0" w:line="240" w:lineRule="auto"/>
              <w:rPr>
                <w:rFonts w:asciiTheme="majorHAnsi" w:eastAsia="Times New Roman" w:hAnsiTheme="majorHAnsi" w:cs="Times New Roman"/>
                <w:color w:val="000000"/>
                <w:sz w:val="16"/>
                <w:szCs w:val="16"/>
                <w:lang w:eastAsia="en-AU"/>
              </w:rPr>
            </w:pPr>
          </w:p>
        </w:tc>
        <w:tc>
          <w:tcPr>
            <w:tcW w:w="858" w:type="pct"/>
            <w:hideMark/>
          </w:tcPr>
          <w:p w14:paraId="29D0F5A9" w14:textId="1D17CC63" w:rsidR="00E42C4F" w:rsidRPr="00DF5283" w:rsidRDefault="00E42C4F" w:rsidP="00E42C4F">
            <w:pPr>
              <w:keepNext/>
              <w:spacing w:after="0" w:line="240" w:lineRule="auto"/>
              <w:jc w:val="right"/>
              <w:rPr>
                <w:rFonts w:asciiTheme="majorHAnsi" w:eastAsia="Times New Roman" w:hAnsiTheme="majorHAnsi" w:cs="Times New Roman"/>
                <w:b/>
                <w:color w:val="000000"/>
                <w:sz w:val="16"/>
                <w:szCs w:val="16"/>
                <w:highlight w:val="lightGray"/>
                <w:lang w:eastAsia="en-AU"/>
              </w:rPr>
            </w:pPr>
            <w:r w:rsidRPr="001C2286">
              <w:rPr>
                <w:rFonts w:asciiTheme="majorHAnsi" w:eastAsia="Times New Roman" w:hAnsiTheme="majorHAnsi" w:cs="Times New Roman"/>
                <w:b/>
                <w:color w:val="000000"/>
                <w:sz w:val="16"/>
                <w:szCs w:val="16"/>
                <w:lang w:eastAsia="en-AU"/>
              </w:rPr>
              <w:t>20</w:t>
            </w:r>
            <w:r w:rsidRPr="001C2286" w:rsidDel="009508DD">
              <w:rPr>
                <w:rFonts w:asciiTheme="majorHAnsi" w:eastAsia="Times New Roman" w:hAnsiTheme="majorHAnsi" w:cs="Times New Roman"/>
                <w:b/>
                <w:color w:val="000000"/>
                <w:sz w:val="16"/>
                <w:szCs w:val="16"/>
                <w:lang w:eastAsia="en-AU"/>
              </w:rPr>
              <w:t>3</w:t>
            </w:r>
            <w:r w:rsidRPr="001C2286">
              <w:rPr>
                <w:rFonts w:asciiTheme="majorHAnsi" w:eastAsia="Times New Roman" w:hAnsiTheme="majorHAnsi" w:cs="Times New Roman"/>
                <w:b/>
                <w:color w:val="000000"/>
                <w:sz w:val="16"/>
                <w:szCs w:val="16"/>
                <w:lang w:eastAsia="en-AU"/>
              </w:rPr>
              <w:t>5</w:t>
            </w:r>
            <w:r w:rsidRPr="001C2286" w:rsidDel="009508DD">
              <w:rPr>
                <w:rFonts w:asciiTheme="majorHAnsi" w:eastAsia="Times New Roman" w:hAnsiTheme="majorHAnsi" w:cs="Times New Roman"/>
                <w:b/>
                <w:color w:val="000000"/>
                <w:sz w:val="16"/>
                <w:szCs w:val="16"/>
                <w:lang w:eastAsia="en-AU"/>
              </w:rPr>
              <w:t>-3</w:t>
            </w:r>
            <w:r w:rsidRPr="001C2286">
              <w:rPr>
                <w:rFonts w:asciiTheme="majorHAnsi" w:eastAsia="Times New Roman" w:hAnsiTheme="majorHAnsi" w:cs="Times New Roman"/>
                <w:b/>
                <w:color w:val="000000"/>
                <w:sz w:val="16"/>
                <w:szCs w:val="16"/>
                <w:lang w:eastAsia="en-AU"/>
              </w:rPr>
              <w:t>6</w:t>
            </w:r>
          </w:p>
        </w:tc>
        <w:tc>
          <w:tcPr>
            <w:tcW w:w="859" w:type="pct"/>
            <w:tcBorders>
              <w:right w:val="single" w:sz="4" w:space="0" w:color="000000"/>
            </w:tcBorders>
            <w:hideMark/>
          </w:tcPr>
          <w:p w14:paraId="506D0F4A" w14:textId="3508ADFC" w:rsidR="00E42C4F" w:rsidRPr="00DF5283" w:rsidRDefault="00E42C4F" w:rsidP="00E42C4F">
            <w:pPr>
              <w:keepNext/>
              <w:spacing w:after="0" w:line="240" w:lineRule="auto"/>
              <w:jc w:val="right"/>
              <w:rPr>
                <w:rFonts w:asciiTheme="majorHAnsi" w:eastAsia="Times New Roman" w:hAnsiTheme="majorHAnsi" w:cs="Times New Roman"/>
                <w:b/>
                <w:color w:val="000000"/>
                <w:sz w:val="16"/>
                <w:szCs w:val="16"/>
                <w:highlight w:val="lightGray"/>
                <w:lang w:eastAsia="en-AU"/>
              </w:rPr>
            </w:pPr>
            <w:r w:rsidRPr="001C2286">
              <w:rPr>
                <w:rFonts w:asciiTheme="majorHAnsi" w:eastAsia="Times New Roman" w:hAnsiTheme="majorHAnsi" w:cs="Times New Roman"/>
                <w:b/>
                <w:color w:val="000000"/>
                <w:sz w:val="16"/>
                <w:szCs w:val="16"/>
                <w:lang w:eastAsia="en-AU"/>
              </w:rPr>
              <w:t>20</w:t>
            </w:r>
            <w:r w:rsidRPr="001C2286" w:rsidDel="000F3532">
              <w:rPr>
                <w:rFonts w:asciiTheme="majorHAnsi" w:eastAsia="Times New Roman" w:hAnsiTheme="majorHAnsi" w:cs="Times New Roman"/>
                <w:b/>
                <w:color w:val="000000"/>
                <w:sz w:val="16"/>
                <w:szCs w:val="16"/>
                <w:lang w:eastAsia="en-AU"/>
              </w:rPr>
              <w:t>6</w:t>
            </w:r>
            <w:r w:rsidRPr="001C2286">
              <w:rPr>
                <w:rFonts w:asciiTheme="majorHAnsi" w:eastAsia="Times New Roman" w:hAnsiTheme="majorHAnsi" w:cs="Times New Roman"/>
                <w:b/>
                <w:color w:val="000000"/>
                <w:sz w:val="16"/>
                <w:szCs w:val="16"/>
                <w:lang w:eastAsia="en-AU"/>
              </w:rPr>
              <w:t>5</w:t>
            </w:r>
            <w:r w:rsidRPr="001C2286" w:rsidDel="000F3532">
              <w:rPr>
                <w:rFonts w:asciiTheme="majorHAnsi" w:eastAsia="Times New Roman" w:hAnsiTheme="majorHAnsi" w:cs="Times New Roman"/>
                <w:b/>
                <w:color w:val="000000"/>
                <w:sz w:val="16"/>
                <w:szCs w:val="16"/>
                <w:lang w:eastAsia="en-AU"/>
              </w:rPr>
              <w:t>-6</w:t>
            </w:r>
            <w:r w:rsidRPr="001C2286">
              <w:rPr>
                <w:rFonts w:asciiTheme="majorHAnsi" w:eastAsia="Times New Roman" w:hAnsiTheme="majorHAnsi" w:cs="Times New Roman"/>
                <w:b/>
                <w:color w:val="000000"/>
                <w:sz w:val="16"/>
                <w:szCs w:val="16"/>
                <w:lang w:eastAsia="en-AU"/>
              </w:rPr>
              <w:t>6</w:t>
            </w:r>
          </w:p>
        </w:tc>
        <w:tc>
          <w:tcPr>
            <w:tcW w:w="858" w:type="pct"/>
            <w:tcBorders>
              <w:left w:val="single" w:sz="4" w:space="0" w:color="000000"/>
            </w:tcBorders>
            <w:hideMark/>
          </w:tcPr>
          <w:p w14:paraId="02F05AE2" w14:textId="1B6D0722" w:rsidR="00E42C4F" w:rsidRPr="00EB3261" w:rsidRDefault="00E42C4F" w:rsidP="00E42C4F">
            <w:pPr>
              <w:keepNext/>
              <w:spacing w:after="0" w:line="240" w:lineRule="auto"/>
              <w:jc w:val="right"/>
              <w:rPr>
                <w:rFonts w:asciiTheme="majorHAnsi" w:eastAsia="Times New Roman" w:hAnsiTheme="majorHAnsi" w:cs="Times New Roman"/>
                <w:b/>
                <w:color w:val="000000"/>
                <w:sz w:val="16"/>
                <w:szCs w:val="16"/>
                <w:lang w:eastAsia="en-AU"/>
              </w:rPr>
            </w:pPr>
            <w:r w:rsidRPr="00EB3261">
              <w:rPr>
                <w:rFonts w:asciiTheme="majorHAnsi" w:eastAsia="Times New Roman" w:hAnsiTheme="majorHAnsi" w:cs="Times New Roman"/>
                <w:b/>
                <w:color w:val="000000"/>
                <w:sz w:val="16"/>
                <w:szCs w:val="16"/>
                <w:lang w:eastAsia="en-AU"/>
              </w:rPr>
              <w:t>20</w:t>
            </w:r>
            <w:r w:rsidRPr="00EB3261" w:rsidDel="009508DD">
              <w:rPr>
                <w:rFonts w:asciiTheme="majorHAnsi" w:eastAsia="Times New Roman" w:hAnsiTheme="majorHAnsi" w:cs="Times New Roman"/>
                <w:b/>
                <w:color w:val="000000"/>
                <w:sz w:val="16"/>
                <w:szCs w:val="16"/>
                <w:lang w:eastAsia="en-AU"/>
              </w:rPr>
              <w:t>3</w:t>
            </w:r>
            <w:r w:rsidRPr="00EB3261">
              <w:rPr>
                <w:rFonts w:asciiTheme="majorHAnsi" w:eastAsia="Times New Roman" w:hAnsiTheme="majorHAnsi" w:cs="Times New Roman"/>
                <w:b/>
                <w:color w:val="000000"/>
                <w:sz w:val="16"/>
                <w:szCs w:val="16"/>
                <w:lang w:eastAsia="en-AU"/>
              </w:rPr>
              <w:t>5</w:t>
            </w:r>
            <w:r w:rsidRPr="00EB3261" w:rsidDel="009508DD">
              <w:rPr>
                <w:rFonts w:asciiTheme="majorHAnsi" w:eastAsia="Times New Roman" w:hAnsiTheme="majorHAnsi" w:cs="Times New Roman"/>
                <w:b/>
                <w:color w:val="000000"/>
                <w:sz w:val="16"/>
                <w:szCs w:val="16"/>
                <w:lang w:eastAsia="en-AU"/>
              </w:rPr>
              <w:t>-3</w:t>
            </w:r>
            <w:r w:rsidRPr="00EB3261">
              <w:rPr>
                <w:rFonts w:asciiTheme="majorHAnsi" w:eastAsia="Times New Roman" w:hAnsiTheme="majorHAnsi" w:cs="Times New Roman"/>
                <w:b/>
                <w:color w:val="000000"/>
                <w:sz w:val="16"/>
                <w:szCs w:val="16"/>
                <w:lang w:eastAsia="en-AU"/>
              </w:rPr>
              <w:t>6</w:t>
            </w:r>
          </w:p>
        </w:tc>
        <w:tc>
          <w:tcPr>
            <w:tcW w:w="853" w:type="pct"/>
            <w:hideMark/>
          </w:tcPr>
          <w:p w14:paraId="59DB5123" w14:textId="5933BF04" w:rsidR="00E42C4F" w:rsidRPr="00EB3261" w:rsidRDefault="00E42C4F" w:rsidP="00E42C4F">
            <w:pPr>
              <w:keepNext/>
              <w:spacing w:after="0" w:line="240" w:lineRule="auto"/>
              <w:jc w:val="right"/>
              <w:rPr>
                <w:rFonts w:asciiTheme="majorHAnsi" w:eastAsia="Times New Roman" w:hAnsiTheme="majorHAnsi" w:cs="Times New Roman"/>
                <w:b/>
                <w:color w:val="000000"/>
                <w:sz w:val="16"/>
                <w:szCs w:val="16"/>
                <w:lang w:eastAsia="en-AU"/>
              </w:rPr>
            </w:pPr>
            <w:r w:rsidRPr="00EB3261">
              <w:rPr>
                <w:rFonts w:asciiTheme="majorHAnsi" w:eastAsia="Times New Roman" w:hAnsiTheme="majorHAnsi" w:cs="Times New Roman"/>
                <w:b/>
                <w:color w:val="000000"/>
                <w:sz w:val="16"/>
                <w:szCs w:val="16"/>
                <w:lang w:eastAsia="en-AU"/>
              </w:rPr>
              <w:t>20</w:t>
            </w:r>
            <w:r w:rsidRPr="00EB3261" w:rsidDel="000F3532">
              <w:rPr>
                <w:rFonts w:asciiTheme="majorHAnsi" w:eastAsia="Times New Roman" w:hAnsiTheme="majorHAnsi" w:cs="Times New Roman"/>
                <w:b/>
                <w:color w:val="000000"/>
                <w:sz w:val="16"/>
                <w:szCs w:val="16"/>
                <w:lang w:eastAsia="en-AU"/>
              </w:rPr>
              <w:t>6</w:t>
            </w:r>
            <w:r w:rsidRPr="00EB3261">
              <w:rPr>
                <w:rFonts w:asciiTheme="majorHAnsi" w:eastAsia="Times New Roman" w:hAnsiTheme="majorHAnsi" w:cs="Times New Roman"/>
                <w:b/>
                <w:color w:val="000000"/>
                <w:sz w:val="16"/>
                <w:szCs w:val="16"/>
                <w:lang w:eastAsia="en-AU"/>
              </w:rPr>
              <w:t>5</w:t>
            </w:r>
            <w:r w:rsidRPr="00EB3261" w:rsidDel="000F3532">
              <w:rPr>
                <w:rFonts w:asciiTheme="majorHAnsi" w:eastAsia="Times New Roman" w:hAnsiTheme="majorHAnsi" w:cs="Times New Roman"/>
                <w:b/>
                <w:color w:val="000000"/>
                <w:sz w:val="16"/>
                <w:szCs w:val="16"/>
                <w:lang w:eastAsia="en-AU"/>
              </w:rPr>
              <w:t>-6</w:t>
            </w:r>
            <w:r w:rsidRPr="00EB3261">
              <w:rPr>
                <w:rFonts w:asciiTheme="majorHAnsi" w:eastAsia="Times New Roman" w:hAnsiTheme="majorHAnsi" w:cs="Times New Roman"/>
                <w:b/>
                <w:color w:val="000000"/>
                <w:sz w:val="16"/>
                <w:szCs w:val="16"/>
                <w:lang w:eastAsia="en-AU"/>
              </w:rPr>
              <w:t>6</w:t>
            </w:r>
          </w:p>
        </w:tc>
      </w:tr>
      <w:tr w:rsidR="00AB4A3D" w:rsidRPr="00E95E1E" w14:paraId="5FA45A7D" w14:textId="77777777" w:rsidTr="00E339E3">
        <w:trPr>
          <w:trHeight w:val="20"/>
        </w:trPr>
        <w:tc>
          <w:tcPr>
            <w:tcW w:w="5000" w:type="pct"/>
            <w:gridSpan w:val="5"/>
            <w:shd w:val="clear" w:color="auto" w:fill="F2F2F2" w:themeFill="background1" w:themeFillShade="F2"/>
          </w:tcPr>
          <w:p w14:paraId="0B15D54B" w14:textId="391F4D09" w:rsidR="00AB4A3D" w:rsidRPr="00861D3B" w:rsidRDefault="00AB4A3D" w:rsidP="00E339E3">
            <w:pPr>
              <w:spacing w:after="0" w:line="240" w:lineRule="auto"/>
              <w:rPr>
                <w:rFonts w:asciiTheme="majorHAnsi" w:eastAsia="Times New Roman" w:hAnsiTheme="majorHAnsi" w:cs="Times New Roman"/>
                <w:b/>
                <w:color w:val="000000"/>
                <w:sz w:val="16"/>
                <w:szCs w:val="16"/>
                <w:lang w:eastAsia="en-AU"/>
              </w:rPr>
            </w:pPr>
            <w:r w:rsidRPr="00861D3B">
              <w:rPr>
                <w:rFonts w:asciiTheme="majorHAnsi" w:eastAsia="Times New Roman" w:hAnsiTheme="majorHAnsi" w:cs="Times New Roman"/>
                <w:b/>
                <w:color w:val="000000"/>
                <w:sz w:val="16"/>
                <w:szCs w:val="16"/>
                <w:lang w:eastAsia="en-AU"/>
              </w:rPr>
              <w:t>Additional enrolment</w:t>
            </w:r>
            <w:r>
              <w:rPr>
                <w:rFonts w:asciiTheme="majorHAnsi" w:eastAsia="Times New Roman" w:hAnsiTheme="majorHAnsi" w:cs="Times New Roman"/>
                <w:b/>
                <w:color w:val="000000"/>
                <w:sz w:val="16"/>
                <w:szCs w:val="16"/>
                <w:lang w:eastAsia="en-AU"/>
              </w:rPr>
              <w:t>s</w:t>
            </w:r>
          </w:p>
        </w:tc>
      </w:tr>
      <w:tr w:rsidR="007E3EEE" w:rsidRPr="00E95E1E" w14:paraId="5A32DD3D" w14:textId="77777777" w:rsidTr="00E339E3">
        <w:trPr>
          <w:trHeight w:val="225"/>
        </w:trPr>
        <w:tc>
          <w:tcPr>
            <w:tcW w:w="1572" w:type="pct"/>
            <w:tcBorders>
              <w:right w:val="nil"/>
            </w:tcBorders>
          </w:tcPr>
          <w:p w14:paraId="78E2CAFB" w14:textId="25C4739E" w:rsidR="007E3EEE" w:rsidRPr="00861D3B" w:rsidRDefault="007E3EEE" w:rsidP="007E3EEE">
            <w:pPr>
              <w:spacing w:after="0" w:line="240" w:lineRule="auto"/>
              <w:rPr>
                <w:rFonts w:asciiTheme="majorHAnsi" w:eastAsia="Times New Roman" w:hAnsiTheme="majorHAnsi" w:cs="Times New Roman"/>
                <w:color w:val="000000"/>
                <w:sz w:val="16"/>
                <w:szCs w:val="16"/>
                <w:lang w:eastAsia="en-AU"/>
              </w:rPr>
            </w:pPr>
            <w:proofErr w:type="gramStart"/>
            <w:r>
              <w:rPr>
                <w:rFonts w:asciiTheme="majorHAnsi" w:eastAsia="Times New Roman" w:hAnsiTheme="majorHAnsi" w:cs="Times New Roman"/>
                <w:color w:val="000000"/>
                <w:sz w:val="16"/>
                <w:szCs w:val="16"/>
                <w:lang w:eastAsia="en-AU"/>
              </w:rPr>
              <w:t>0-2 year olds</w:t>
            </w:r>
            <w:proofErr w:type="gramEnd"/>
            <w:r>
              <w:rPr>
                <w:rFonts w:asciiTheme="majorHAnsi" w:eastAsia="Times New Roman" w:hAnsiTheme="majorHAnsi" w:cs="Times New Roman"/>
                <w:color w:val="000000"/>
                <w:sz w:val="16"/>
                <w:szCs w:val="16"/>
                <w:lang w:eastAsia="en-AU"/>
              </w:rPr>
              <w:t>*</w:t>
            </w:r>
          </w:p>
        </w:tc>
        <w:tc>
          <w:tcPr>
            <w:tcW w:w="858" w:type="pct"/>
            <w:tcBorders>
              <w:top w:val="single" w:sz="4" w:space="0" w:color="auto"/>
              <w:left w:val="nil"/>
              <w:bottom w:val="single" w:sz="4" w:space="0" w:color="auto"/>
              <w:right w:val="nil"/>
            </w:tcBorders>
            <w:vAlign w:val="center"/>
          </w:tcPr>
          <w:p w14:paraId="2F91EA55" w14:textId="2F8F44AE" w:rsidR="007E3EEE" w:rsidRPr="00EB3261" w:rsidRDefault="007E3EEE" w:rsidP="007E3EEE">
            <w:pPr>
              <w:spacing w:after="0" w:line="240" w:lineRule="auto"/>
              <w:jc w:val="right"/>
              <w:rPr>
                <w:rFonts w:asciiTheme="majorHAnsi" w:eastAsia="Times New Roman" w:hAnsiTheme="majorHAnsi" w:cs="Times New Roman"/>
                <w:color w:val="000000"/>
                <w:sz w:val="16"/>
                <w:szCs w:val="16"/>
                <w:lang w:eastAsia="en-AU"/>
              </w:rPr>
            </w:pPr>
            <w:r w:rsidRPr="00EB3261">
              <w:rPr>
                <w:rFonts w:asciiTheme="majorHAnsi" w:eastAsia="Times New Roman" w:hAnsiTheme="majorHAnsi" w:cs="Times New Roman"/>
                <w:color w:val="000000"/>
                <w:sz w:val="16"/>
                <w:szCs w:val="16"/>
                <w:lang w:eastAsia="en-AU"/>
              </w:rPr>
              <w:t>-</w:t>
            </w:r>
          </w:p>
        </w:tc>
        <w:tc>
          <w:tcPr>
            <w:tcW w:w="859" w:type="pct"/>
            <w:tcBorders>
              <w:top w:val="single" w:sz="4" w:space="0" w:color="auto"/>
              <w:left w:val="nil"/>
              <w:bottom w:val="single" w:sz="4" w:space="0" w:color="auto"/>
              <w:right w:val="single" w:sz="4" w:space="0" w:color="auto"/>
            </w:tcBorders>
            <w:vAlign w:val="center"/>
          </w:tcPr>
          <w:p w14:paraId="0BD78F21" w14:textId="264A99EF" w:rsidR="007E3EEE" w:rsidRPr="00EB3261" w:rsidRDefault="007E3EEE" w:rsidP="007E3EEE">
            <w:pPr>
              <w:spacing w:after="0" w:line="240" w:lineRule="auto"/>
              <w:jc w:val="right"/>
              <w:rPr>
                <w:rFonts w:asciiTheme="majorHAnsi" w:eastAsia="Times New Roman" w:hAnsiTheme="majorHAnsi" w:cs="Times New Roman"/>
                <w:color w:val="000000"/>
                <w:sz w:val="16"/>
                <w:szCs w:val="16"/>
                <w:lang w:eastAsia="en-AU"/>
              </w:rPr>
            </w:pPr>
            <w:r w:rsidRPr="00EB3261">
              <w:rPr>
                <w:rFonts w:asciiTheme="majorHAnsi" w:eastAsia="Times New Roman" w:hAnsiTheme="majorHAnsi" w:cs="Times New Roman"/>
                <w:color w:val="000000"/>
                <w:sz w:val="16"/>
                <w:szCs w:val="16"/>
                <w:lang w:eastAsia="en-AU"/>
              </w:rPr>
              <w:t>-</w:t>
            </w:r>
          </w:p>
        </w:tc>
        <w:tc>
          <w:tcPr>
            <w:tcW w:w="858" w:type="pct"/>
            <w:tcBorders>
              <w:top w:val="single" w:sz="4" w:space="0" w:color="auto"/>
              <w:left w:val="single" w:sz="4" w:space="0" w:color="auto"/>
              <w:bottom w:val="single" w:sz="4" w:space="0" w:color="auto"/>
              <w:right w:val="nil"/>
            </w:tcBorders>
            <w:vAlign w:val="center"/>
          </w:tcPr>
          <w:p w14:paraId="679AAD11" w14:textId="3133E5F4" w:rsidR="007E3EEE" w:rsidRPr="008763FA" w:rsidRDefault="007E3EEE" w:rsidP="007E3EEE">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1,400</w:t>
            </w:r>
          </w:p>
        </w:tc>
        <w:tc>
          <w:tcPr>
            <w:tcW w:w="853" w:type="pct"/>
            <w:tcBorders>
              <w:top w:val="single" w:sz="4" w:space="0" w:color="auto"/>
              <w:left w:val="nil"/>
              <w:bottom w:val="single" w:sz="4" w:space="0" w:color="auto"/>
              <w:right w:val="nil"/>
            </w:tcBorders>
            <w:vAlign w:val="center"/>
          </w:tcPr>
          <w:p w14:paraId="33EE5B57" w14:textId="2F0991E4" w:rsidR="007E3EEE" w:rsidRPr="008763FA" w:rsidRDefault="007E3EEE" w:rsidP="007E3EEE">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1,400</w:t>
            </w:r>
          </w:p>
        </w:tc>
      </w:tr>
      <w:tr w:rsidR="00E42C4F" w:rsidRPr="00E95E1E" w14:paraId="26DE2563" w14:textId="77777777" w:rsidTr="00E339E3">
        <w:trPr>
          <w:trHeight w:val="225"/>
        </w:trPr>
        <w:tc>
          <w:tcPr>
            <w:tcW w:w="1572" w:type="pct"/>
            <w:tcBorders>
              <w:right w:val="nil"/>
            </w:tcBorders>
            <w:hideMark/>
          </w:tcPr>
          <w:p w14:paraId="3F3048C0" w14:textId="77777777" w:rsidR="00E42C4F" w:rsidRPr="00861D3B" w:rsidRDefault="00E42C4F" w:rsidP="00E42C4F">
            <w:pPr>
              <w:spacing w:after="0" w:line="240" w:lineRule="auto"/>
              <w:rPr>
                <w:rFonts w:asciiTheme="majorHAnsi" w:eastAsia="Times New Roman" w:hAnsiTheme="majorHAnsi" w:cs="Times New Roman"/>
                <w:color w:val="000000"/>
                <w:sz w:val="16"/>
                <w:szCs w:val="16"/>
                <w:lang w:eastAsia="en-AU"/>
              </w:rPr>
            </w:pPr>
            <w:proofErr w:type="gramStart"/>
            <w:r w:rsidRPr="00861D3B">
              <w:rPr>
                <w:rFonts w:asciiTheme="majorHAnsi" w:eastAsia="Times New Roman" w:hAnsiTheme="majorHAnsi" w:cs="Times New Roman"/>
                <w:color w:val="000000"/>
                <w:sz w:val="16"/>
                <w:szCs w:val="16"/>
                <w:lang w:eastAsia="en-AU"/>
              </w:rPr>
              <w:t>3 year olds</w:t>
            </w:r>
            <w:proofErr w:type="gramEnd"/>
          </w:p>
        </w:tc>
        <w:tc>
          <w:tcPr>
            <w:tcW w:w="858" w:type="pct"/>
            <w:tcBorders>
              <w:top w:val="single" w:sz="4" w:space="0" w:color="auto"/>
              <w:left w:val="nil"/>
              <w:bottom w:val="single" w:sz="4" w:space="0" w:color="auto"/>
              <w:right w:val="nil"/>
            </w:tcBorders>
            <w:vAlign w:val="center"/>
          </w:tcPr>
          <w:p w14:paraId="3A63B156" w14:textId="2CE7C5DA" w:rsidR="00E42C4F" w:rsidRPr="008763FA" w:rsidRDefault="00E42C4F" w:rsidP="00E42C4F">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68,300</w:t>
            </w:r>
          </w:p>
        </w:tc>
        <w:tc>
          <w:tcPr>
            <w:tcW w:w="859" w:type="pct"/>
            <w:tcBorders>
              <w:top w:val="single" w:sz="4" w:space="0" w:color="auto"/>
              <w:left w:val="nil"/>
              <w:bottom w:val="single" w:sz="4" w:space="0" w:color="auto"/>
              <w:right w:val="single" w:sz="4" w:space="0" w:color="auto"/>
            </w:tcBorders>
            <w:vAlign w:val="center"/>
          </w:tcPr>
          <w:p w14:paraId="1D9703F1" w14:textId="62956EA8" w:rsidR="00E42C4F" w:rsidRPr="008763FA" w:rsidRDefault="00E42C4F" w:rsidP="00E42C4F">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90,700</w:t>
            </w:r>
          </w:p>
        </w:tc>
        <w:tc>
          <w:tcPr>
            <w:tcW w:w="858" w:type="pct"/>
            <w:tcBorders>
              <w:top w:val="single" w:sz="4" w:space="0" w:color="auto"/>
              <w:left w:val="single" w:sz="4" w:space="0" w:color="auto"/>
              <w:bottom w:val="single" w:sz="4" w:space="0" w:color="auto"/>
              <w:right w:val="nil"/>
            </w:tcBorders>
            <w:vAlign w:val="center"/>
          </w:tcPr>
          <w:p w14:paraId="457EE3E8" w14:textId="19C30AE2" w:rsidR="00E42C4F" w:rsidRPr="008763FA" w:rsidRDefault="00E42C4F" w:rsidP="00E42C4F">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41,500</w:t>
            </w:r>
          </w:p>
        </w:tc>
        <w:tc>
          <w:tcPr>
            <w:tcW w:w="853" w:type="pct"/>
            <w:tcBorders>
              <w:top w:val="single" w:sz="4" w:space="0" w:color="auto"/>
              <w:left w:val="nil"/>
              <w:bottom w:val="single" w:sz="4" w:space="0" w:color="auto"/>
              <w:right w:val="nil"/>
            </w:tcBorders>
            <w:vAlign w:val="center"/>
          </w:tcPr>
          <w:p w14:paraId="2FFA0D54" w14:textId="6A85507F" w:rsidR="00E42C4F" w:rsidRPr="008763FA" w:rsidRDefault="00E42C4F" w:rsidP="00E42C4F">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55,000</w:t>
            </w:r>
          </w:p>
        </w:tc>
      </w:tr>
      <w:tr w:rsidR="00E42C4F" w:rsidRPr="00E95E1E" w14:paraId="7E1A39F1" w14:textId="77777777" w:rsidTr="00E339E3">
        <w:trPr>
          <w:trHeight w:val="225"/>
        </w:trPr>
        <w:tc>
          <w:tcPr>
            <w:tcW w:w="1572" w:type="pct"/>
            <w:tcBorders>
              <w:right w:val="nil"/>
            </w:tcBorders>
          </w:tcPr>
          <w:p w14:paraId="334D0096" w14:textId="77777777" w:rsidR="00E42C4F" w:rsidRPr="00372587" w:rsidRDefault="00E42C4F" w:rsidP="00E42C4F">
            <w:pPr>
              <w:spacing w:after="0" w:line="240" w:lineRule="auto"/>
              <w:rPr>
                <w:rFonts w:asciiTheme="majorHAnsi" w:eastAsia="Times New Roman" w:hAnsiTheme="majorHAnsi" w:cs="Times New Roman"/>
                <w:color w:val="000000"/>
                <w:sz w:val="16"/>
                <w:szCs w:val="16"/>
                <w:highlight w:val="yellow"/>
                <w:lang w:eastAsia="en-AU"/>
              </w:rPr>
            </w:pPr>
            <w:proofErr w:type="gramStart"/>
            <w:r w:rsidRPr="002E2A58">
              <w:rPr>
                <w:rFonts w:asciiTheme="majorHAnsi" w:eastAsia="Times New Roman" w:hAnsiTheme="majorHAnsi" w:cs="Times New Roman"/>
                <w:color w:val="000000"/>
                <w:sz w:val="16"/>
                <w:szCs w:val="16"/>
                <w:lang w:eastAsia="en-AU"/>
              </w:rPr>
              <w:t>4-5 year olds</w:t>
            </w:r>
            <w:proofErr w:type="gramEnd"/>
          </w:p>
        </w:tc>
        <w:tc>
          <w:tcPr>
            <w:tcW w:w="858" w:type="pct"/>
            <w:tcBorders>
              <w:top w:val="single" w:sz="4" w:space="0" w:color="auto"/>
              <w:left w:val="nil"/>
              <w:bottom w:val="single" w:sz="4" w:space="0" w:color="auto"/>
              <w:right w:val="nil"/>
            </w:tcBorders>
            <w:vAlign w:val="center"/>
          </w:tcPr>
          <w:p w14:paraId="2C1C481F" w14:textId="7515F9DF" w:rsidR="00E42C4F" w:rsidRPr="008763FA" w:rsidRDefault="00E42C4F" w:rsidP="00E42C4F">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5,000</w:t>
            </w:r>
          </w:p>
        </w:tc>
        <w:tc>
          <w:tcPr>
            <w:tcW w:w="859" w:type="pct"/>
            <w:tcBorders>
              <w:top w:val="single" w:sz="4" w:space="0" w:color="auto"/>
              <w:left w:val="nil"/>
              <w:bottom w:val="single" w:sz="4" w:space="0" w:color="auto"/>
              <w:right w:val="single" w:sz="4" w:space="0" w:color="auto"/>
            </w:tcBorders>
            <w:vAlign w:val="center"/>
          </w:tcPr>
          <w:p w14:paraId="540787A1" w14:textId="195C06A7" w:rsidR="00E42C4F" w:rsidRPr="008763FA" w:rsidRDefault="00E42C4F" w:rsidP="00E42C4F">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6,400</w:t>
            </w:r>
          </w:p>
        </w:tc>
        <w:tc>
          <w:tcPr>
            <w:tcW w:w="858" w:type="pct"/>
            <w:tcBorders>
              <w:top w:val="single" w:sz="4" w:space="0" w:color="auto"/>
              <w:left w:val="single" w:sz="4" w:space="0" w:color="auto"/>
              <w:bottom w:val="single" w:sz="4" w:space="0" w:color="auto"/>
              <w:right w:val="nil"/>
            </w:tcBorders>
            <w:vAlign w:val="center"/>
          </w:tcPr>
          <w:p w14:paraId="3FEB186F" w14:textId="7A77E119" w:rsidR="00E42C4F" w:rsidRPr="008763FA" w:rsidRDefault="00E42C4F" w:rsidP="00E42C4F">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5,000</w:t>
            </w:r>
          </w:p>
        </w:tc>
        <w:tc>
          <w:tcPr>
            <w:tcW w:w="853" w:type="pct"/>
            <w:tcBorders>
              <w:top w:val="single" w:sz="4" w:space="0" w:color="auto"/>
              <w:left w:val="nil"/>
              <w:bottom w:val="single" w:sz="4" w:space="0" w:color="auto"/>
              <w:right w:val="nil"/>
            </w:tcBorders>
            <w:vAlign w:val="center"/>
          </w:tcPr>
          <w:p w14:paraId="39153836" w14:textId="64037145" w:rsidR="00E42C4F" w:rsidRPr="008763FA" w:rsidRDefault="00E42C4F" w:rsidP="00E42C4F">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6,400</w:t>
            </w:r>
          </w:p>
        </w:tc>
      </w:tr>
      <w:tr w:rsidR="00E42C4F" w:rsidRPr="00E95E1E" w14:paraId="3EB5BC11" w14:textId="77777777" w:rsidTr="00E339E3">
        <w:trPr>
          <w:trHeight w:val="225"/>
        </w:trPr>
        <w:tc>
          <w:tcPr>
            <w:tcW w:w="1572" w:type="pct"/>
            <w:tcBorders>
              <w:right w:val="nil"/>
            </w:tcBorders>
            <w:hideMark/>
          </w:tcPr>
          <w:p w14:paraId="4F2DD9F2" w14:textId="77777777" w:rsidR="00E42C4F" w:rsidRPr="00861D3B" w:rsidRDefault="00E42C4F" w:rsidP="00E42C4F">
            <w:pPr>
              <w:spacing w:after="0" w:line="240" w:lineRule="auto"/>
              <w:rPr>
                <w:rFonts w:asciiTheme="majorHAnsi" w:eastAsia="Times New Roman" w:hAnsiTheme="majorHAnsi" w:cs="Times New Roman"/>
                <w:i/>
                <w:color w:val="000000"/>
                <w:sz w:val="16"/>
                <w:szCs w:val="16"/>
                <w:lang w:eastAsia="en-AU"/>
              </w:rPr>
            </w:pPr>
            <w:r w:rsidRPr="00861D3B">
              <w:rPr>
                <w:rFonts w:asciiTheme="majorHAnsi" w:eastAsia="Times New Roman" w:hAnsiTheme="majorHAnsi" w:cs="Times New Roman"/>
                <w:i/>
                <w:color w:val="000000"/>
                <w:sz w:val="16"/>
                <w:szCs w:val="16"/>
                <w:lang w:eastAsia="en-AU"/>
              </w:rPr>
              <w:t>Total</w:t>
            </w:r>
          </w:p>
        </w:tc>
        <w:tc>
          <w:tcPr>
            <w:tcW w:w="858" w:type="pct"/>
            <w:tcBorders>
              <w:top w:val="single" w:sz="4" w:space="0" w:color="auto"/>
              <w:left w:val="nil"/>
              <w:bottom w:val="single" w:sz="4" w:space="0" w:color="auto"/>
              <w:right w:val="nil"/>
            </w:tcBorders>
            <w:vAlign w:val="center"/>
          </w:tcPr>
          <w:p w14:paraId="2D0EFB72" w14:textId="657839CB" w:rsidR="00E42C4F" w:rsidRPr="008763FA" w:rsidRDefault="00E42C4F" w:rsidP="00E42C4F">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73,200</w:t>
            </w:r>
          </w:p>
        </w:tc>
        <w:tc>
          <w:tcPr>
            <w:tcW w:w="859" w:type="pct"/>
            <w:tcBorders>
              <w:top w:val="single" w:sz="4" w:space="0" w:color="auto"/>
              <w:left w:val="nil"/>
              <w:bottom w:val="single" w:sz="4" w:space="0" w:color="auto"/>
              <w:right w:val="single" w:sz="4" w:space="0" w:color="auto"/>
            </w:tcBorders>
            <w:vAlign w:val="center"/>
          </w:tcPr>
          <w:p w14:paraId="32D118C9" w14:textId="50B5217B" w:rsidR="00E42C4F" w:rsidRPr="008763FA" w:rsidRDefault="00E42C4F" w:rsidP="00E42C4F">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97,000</w:t>
            </w:r>
          </w:p>
        </w:tc>
        <w:tc>
          <w:tcPr>
            <w:tcW w:w="858" w:type="pct"/>
            <w:tcBorders>
              <w:top w:val="single" w:sz="4" w:space="0" w:color="auto"/>
              <w:left w:val="single" w:sz="4" w:space="0" w:color="auto"/>
              <w:bottom w:val="single" w:sz="4" w:space="0" w:color="auto"/>
              <w:right w:val="nil"/>
            </w:tcBorders>
            <w:vAlign w:val="center"/>
          </w:tcPr>
          <w:p w14:paraId="1AB09EBA" w14:textId="4FD2539C" w:rsidR="00E42C4F" w:rsidRPr="008763FA" w:rsidRDefault="00E42C4F" w:rsidP="00E42C4F">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47,800</w:t>
            </w:r>
          </w:p>
        </w:tc>
        <w:tc>
          <w:tcPr>
            <w:tcW w:w="853" w:type="pct"/>
            <w:tcBorders>
              <w:top w:val="single" w:sz="4" w:space="0" w:color="auto"/>
              <w:left w:val="nil"/>
              <w:bottom w:val="single" w:sz="4" w:space="0" w:color="auto"/>
              <w:right w:val="nil"/>
            </w:tcBorders>
            <w:vAlign w:val="center"/>
          </w:tcPr>
          <w:p w14:paraId="04C618E5" w14:textId="52DE5F0A" w:rsidR="00E42C4F" w:rsidRPr="008763FA" w:rsidRDefault="00E42C4F" w:rsidP="00E42C4F">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62,700</w:t>
            </w:r>
          </w:p>
        </w:tc>
      </w:tr>
      <w:tr w:rsidR="00AB4A3D" w:rsidRPr="00F640BE" w14:paraId="67319F02" w14:textId="77777777" w:rsidTr="00AB4A3D">
        <w:trPr>
          <w:trHeight w:val="225"/>
        </w:trPr>
        <w:tc>
          <w:tcPr>
            <w:tcW w:w="5000" w:type="pct"/>
            <w:gridSpan w:val="5"/>
            <w:tcBorders>
              <w:right w:val="single" w:sz="4" w:space="0" w:color="FFFFFF" w:themeColor="background1"/>
            </w:tcBorders>
            <w:shd w:val="clear" w:color="auto" w:fill="F2F2F2" w:themeFill="background1" w:themeFillShade="F2"/>
          </w:tcPr>
          <w:p w14:paraId="5CFCBED3" w14:textId="00DB1FAD" w:rsidR="00AB4A3D" w:rsidRPr="00861D3B" w:rsidRDefault="00AB4A3D" w:rsidP="00E339E3">
            <w:pPr>
              <w:spacing w:after="0" w:line="240" w:lineRule="auto"/>
              <w:rPr>
                <w:color w:val="000000"/>
                <w:sz w:val="16"/>
                <w:szCs w:val="16"/>
              </w:rPr>
            </w:pPr>
            <w:r w:rsidRPr="00861D3B">
              <w:rPr>
                <w:rFonts w:asciiTheme="majorHAnsi" w:eastAsia="Times New Roman" w:hAnsiTheme="majorHAnsi" w:cs="Times New Roman"/>
                <w:b/>
                <w:color w:val="000000"/>
                <w:sz w:val="16"/>
                <w:szCs w:val="16"/>
                <w:lang w:eastAsia="en-AU"/>
              </w:rPr>
              <w:t>Additional attendance hours</w:t>
            </w:r>
            <w:r>
              <w:rPr>
                <w:rFonts w:asciiTheme="majorHAnsi" w:eastAsia="Times New Roman" w:hAnsiTheme="majorHAnsi" w:cs="Times New Roman"/>
                <w:b/>
                <w:color w:val="000000"/>
                <w:sz w:val="16"/>
                <w:szCs w:val="16"/>
                <w:lang w:eastAsia="en-AU"/>
              </w:rPr>
              <w:t xml:space="preserve"> </w:t>
            </w:r>
            <w:r w:rsidRPr="00861D3B">
              <w:rPr>
                <w:rFonts w:asciiTheme="majorHAnsi" w:eastAsia="Times New Roman" w:hAnsiTheme="majorHAnsi" w:cs="Times New Roman"/>
                <w:b/>
                <w:color w:val="000000"/>
                <w:sz w:val="16"/>
                <w:szCs w:val="16"/>
                <w:lang w:eastAsia="en-AU"/>
              </w:rPr>
              <w:t>(millions)</w:t>
            </w:r>
          </w:p>
        </w:tc>
      </w:tr>
      <w:tr w:rsidR="00E42C4F" w:rsidRPr="00F640BE" w14:paraId="6EE1C7B6" w14:textId="77777777" w:rsidTr="00E339E3">
        <w:trPr>
          <w:trHeight w:val="225"/>
        </w:trPr>
        <w:tc>
          <w:tcPr>
            <w:tcW w:w="1572" w:type="pct"/>
            <w:tcBorders>
              <w:right w:val="nil"/>
            </w:tcBorders>
          </w:tcPr>
          <w:p w14:paraId="11F4D3D6" w14:textId="7C94440B" w:rsidR="00E42C4F" w:rsidRPr="00861D3B" w:rsidRDefault="00E42C4F" w:rsidP="00E42C4F">
            <w:pPr>
              <w:spacing w:after="0" w:line="240" w:lineRule="auto"/>
              <w:rPr>
                <w:rFonts w:asciiTheme="majorHAnsi" w:eastAsia="Times New Roman" w:hAnsiTheme="majorHAnsi" w:cs="Times New Roman"/>
                <w:color w:val="000000"/>
                <w:sz w:val="16"/>
                <w:szCs w:val="16"/>
                <w:lang w:eastAsia="en-AU"/>
              </w:rPr>
            </w:pPr>
            <w:proofErr w:type="gramStart"/>
            <w:r>
              <w:rPr>
                <w:rFonts w:asciiTheme="majorHAnsi" w:eastAsia="Times New Roman" w:hAnsiTheme="majorHAnsi" w:cs="Times New Roman"/>
                <w:color w:val="000000"/>
                <w:sz w:val="16"/>
                <w:szCs w:val="16"/>
                <w:lang w:eastAsia="en-AU"/>
              </w:rPr>
              <w:t>0-2 year olds</w:t>
            </w:r>
            <w:proofErr w:type="gramEnd"/>
            <w:r>
              <w:rPr>
                <w:rFonts w:asciiTheme="majorHAnsi" w:eastAsia="Times New Roman" w:hAnsiTheme="majorHAnsi" w:cs="Times New Roman"/>
                <w:color w:val="000000"/>
                <w:sz w:val="16"/>
                <w:szCs w:val="16"/>
                <w:lang w:eastAsia="en-AU"/>
              </w:rPr>
              <w:t>*</w:t>
            </w:r>
          </w:p>
        </w:tc>
        <w:tc>
          <w:tcPr>
            <w:tcW w:w="858" w:type="pct"/>
            <w:tcBorders>
              <w:top w:val="single" w:sz="4" w:space="0" w:color="auto"/>
              <w:left w:val="nil"/>
              <w:bottom w:val="single" w:sz="4" w:space="0" w:color="auto"/>
              <w:right w:val="nil"/>
            </w:tcBorders>
          </w:tcPr>
          <w:p w14:paraId="786F7E59" w14:textId="6FDB9BDD" w:rsidR="00E42C4F" w:rsidRPr="00EB3261" w:rsidRDefault="00E42C4F" w:rsidP="00E42C4F">
            <w:pPr>
              <w:spacing w:after="0" w:line="240" w:lineRule="auto"/>
              <w:jc w:val="right"/>
              <w:rPr>
                <w:rFonts w:asciiTheme="majorHAnsi" w:eastAsia="Times New Roman" w:hAnsiTheme="majorHAnsi" w:cs="Times New Roman"/>
                <w:color w:val="000000"/>
                <w:sz w:val="16"/>
                <w:szCs w:val="16"/>
                <w:lang w:eastAsia="en-AU"/>
              </w:rPr>
            </w:pPr>
            <w:r w:rsidRPr="00EB3261">
              <w:rPr>
                <w:rFonts w:asciiTheme="majorHAnsi" w:eastAsia="Times New Roman" w:hAnsiTheme="majorHAnsi" w:cs="Times New Roman"/>
                <w:color w:val="000000"/>
                <w:sz w:val="16"/>
                <w:szCs w:val="16"/>
                <w:lang w:eastAsia="en-AU"/>
              </w:rPr>
              <w:t>-</w:t>
            </w:r>
          </w:p>
        </w:tc>
        <w:tc>
          <w:tcPr>
            <w:tcW w:w="859" w:type="pct"/>
            <w:tcBorders>
              <w:top w:val="single" w:sz="4" w:space="0" w:color="auto"/>
              <w:left w:val="nil"/>
              <w:bottom w:val="single" w:sz="4" w:space="0" w:color="auto"/>
              <w:right w:val="single" w:sz="4" w:space="0" w:color="auto"/>
            </w:tcBorders>
          </w:tcPr>
          <w:p w14:paraId="684F12B7" w14:textId="56F76731" w:rsidR="00E42C4F" w:rsidRPr="00EB3261" w:rsidRDefault="00E42C4F" w:rsidP="00E42C4F">
            <w:pPr>
              <w:spacing w:after="0" w:line="240" w:lineRule="auto"/>
              <w:jc w:val="right"/>
              <w:rPr>
                <w:rFonts w:asciiTheme="majorHAnsi" w:eastAsia="Times New Roman" w:hAnsiTheme="majorHAnsi" w:cs="Times New Roman"/>
                <w:color w:val="000000"/>
                <w:sz w:val="16"/>
                <w:szCs w:val="16"/>
                <w:lang w:eastAsia="en-AU"/>
              </w:rPr>
            </w:pPr>
            <w:r w:rsidRPr="00EB3261">
              <w:rPr>
                <w:rFonts w:asciiTheme="majorHAnsi" w:eastAsia="Times New Roman" w:hAnsiTheme="majorHAnsi" w:cs="Times New Roman"/>
                <w:color w:val="000000"/>
                <w:sz w:val="16"/>
                <w:szCs w:val="16"/>
                <w:lang w:eastAsia="en-AU"/>
              </w:rPr>
              <w:t>-</w:t>
            </w:r>
          </w:p>
        </w:tc>
        <w:tc>
          <w:tcPr>
            <w:tcW w:w="858" w:type="pct"/>
            <w:tcBorders>
              <w:top w:val="single" w:sz="4" w:space="0" w:color="auto"/>
              <w:left w:val="single" w:sz="4" w:space="0" w:color="auto"/>
              <w:bottom w:val="single" w:sz="4" w:space="0" w:color="auto"/>
              <w:right w:val="nil"/>
            </w:tcBorders>
            <w:vAlign w:val="center"/>
          </w:tcPr>
          <w:p w14:paraId="3C8DF662" w14:textId="37F0D488" w:rsidR="00E42C4F" w:rsidRPr="008763FA" w:rsidRDefault="00E42C4F" w:rsidP="00E42C4F">
            <w:pPr>
              <w:spacing w:after="0" w:line="240" w:lineRule="auto"/>
              <w:jc w:val="right"/>
              <w:rPr>
                <w:color w:val="000000"/>
                <w:sz w:val="16"/>
                <w:szCs w:val="16"/>
                <w:highlight w:val="lightGray"/>
              </w:rPr>
            </w:pPr>
            <w:r>
              <w:rPr>
                <w:color w:val="000000"/>
                <w:sz w:val="16"/>
                <w:szCs w:val="16"/>
              </w:rPr>
              <w:t>&lt;0.1</w:t>
            </w:r>
          </w:p>
        </w:tc>
        <w:tc>
          <w:tcPr>
            <w:tcW w:w="853" w:type="pct"/>
            <w:tcBorders>
              <w:top w:val="single" w:sz="4" w:space="0" w:color="auto"/>
              <w:left w:val="nil"/>
              <w:bottom w:val="single" w:sz="4" w:space="0" w:color="auto"/>
              <w:right w:val="nil"/>
            </w:tcBorders>
            <w:vAlign w:val="center"/>
          </w:tcPr>
          <w:p w14:paraId="2D31E9C4" w14:textId="2D162D57" w:rsidR="00E42C4F" w:rsidRPr="008763FA" w:rsidRDefault="00E42C4F" w:rsidP="00E42C4F">
            <w:pPr>
              <w:spacing w:after="0" w:line="240" w:lineRule="auto"/>
              <w:jc w:val="right"/>
              <w:rPr>
                <w:color w:val="000000"/>
                <w:sz w:val="16"/>
                <w:szCs w:val="16"/>
                <w:highlight w:val="lightGray"/>
              </w:rPr>
            </w:pPr>
            <w:r>
              <w:rPr>
                <w:color w:val="000000"/>
                <w:sz w:val="16"/>
                <w:szCs w:val="16"/>
              </w:rPr>
              <w:t>&lt;0.1</w:t>
            </w:r>
          </w:p>
        </w:tc>
      </w:tr>
      <w:tr w:rsidR="00AC086D" w:rsidRPr="00F640BE" w14:paraId="425ED5CA" w14:textId="77777777" w:rsidTr="002C3E26">
        <w:trPr>
          <w:trHeight w:val="225"/>
        </w:trPr>
        <w:tc>
          <w:tcPr>
            <w:tcW w:w="0" w:type="pct"/>
            <w:tcBorders>
              <w:right w:val="nil"/>
            </w:tcBorders>
            <w:hideMark/>
          </w:tcPr>
          <w:p w14:paraId="75AE0151" w14:textId="77777777" w:rsidR="0066671B" w:rsidRPr="00861D3B" w:rsidRDefault="0066671B" w:rsidP="0066671B">
            <w:pPr>
              <w:spacing w:after="0" w:line="240" w:lineRule="auto"/>
              <w:rPr>
                <w:rFonts w:asciiTheme="majorHAnsi" w:eastAsia="Times New Roman" w:hAnsiTheme="majorHAnsi" w:cs="Times New Roman"/>
                <w:color w:val="000000"/>
                <w:sz w:val="16"/>
                <w:szCs w:val="16"/>
                <w:lang w:eastAsia="en-AU"/>
              </w:rPr>
            </w:pPr>
            <w:proofErr w:type="gramStart"/>
            <w:r w:rsidRPr="00861D3B">
              <w:rPr>
                <w:rFonts w:asciiTheme="majorHAnsi" w:eastAsia="Times New Roman" w:hAnsiTheme="majorHAnsi" w:cs="Times New Roman"/>
                <w:color w:val="000000"/>
                <w:sz w:val="16"/>
                <w:szCs w:val="16"/>
                <w:lang w:eastAsia="en-AU"/>
              </w:rPr>
              <w:t>3 year olds</w:t>
            </w:r>
            <w:proofErr w:type="gramEnd"/>
          </w:p>
        </w:tc>
        <w:tc>
          <w:tcPr>
            <w:tcW w:w="0" w:type="pct"/>
            <w:tcBorders>
              <w:top w:val="single" w:sz="4" w:space="0" w:color="auto"/>
              <w:left w:val="nil"/>
              <w:bottom w:val="single" w:sz="4" w:space="0" w:color="auto"/>
              <w:right w:val="nil"/>
            </w:tcBorders>
            <w:vAlign w:val="center"/>
          </w:tcPr>
          <w:p w14:paraId="2F75685A" w14:textId="46D62478" w:rsidR="0066671B" w:rsidRPr="00EB3261" w:rsidRDefault="0066671B" w:rsidP="0066671B">
            <w:pPr>
              <w:spacing w:after="0" w:line="240" w:lineRule="auto"/>
              <w:jc w:val="right"/>
              <w:rPr>
                <w:rFonts w:asciiTheme="majorHAnsi" w:eastAsia="Times New Roman" w:hAnsiTheme="majorHAnsi" w:cs="Times New Roman"/>
                <w:color w:val="000000"/>
                <w:sz w:val="16"/>
                <w:szCs w:val="16"/>
                <w:lang w:eastAsia="en-AU"/>
              </w:rPr>
            </w:pPr>
            <w:r w:rsidRPr="00294BC2">
              <w:rPr>
                <w:color w:val="000000"/>
                <w:sz w:val="16"/>
                <w:szCs w:val="16"/>
              </w:rPr>
              <w:t>23.6</w:t>
            </w:r>
          </w:p>
        </w:tc>
        <w:tc>
          <w:tcPr>
            <w:tcW w:w="0" w:type="pct"/>
            <w:tcBorders>
              <w:top w:val="single" w:sz="4" w:space="0" w:color="auto"/>
              <w:left w:val="nil"/>
              <w:bottom w:val="single" w:sz="4" w:space="0" w:color="auto"/>
              <w:right w:val="single" w:sz="4" w:space="0" w:color="auto"/>
            </w:tcBorders>
            <w:vAlign w:val="center"/>
          </w:tcPr>
          <w:p w14:paraId="46311C23" w14:textId="2041DC79" w:rsidR="0066671B" w:rsidRPr="00EB3261" w:rsidRDefault="0066671B" w:rsidP="0066671B">
            <w:pPr>
              <w:spacing w:after="0" w:line="240" w:lineRule="auto"/>
              <w:jc w:val="right"/>
              <w:rPr>
                <w:rFonts w:asciiTheme="majorHAnsi" w:eastAsia="Times New Roman" w:hAnsiTheme="majorHAnsi" w:cs="Times New Roman"/>
                <w:color w:val="000000"/>
                <w:sz w:val="16"/>
                <w:szCs w:val="16"/>
                <w:lang w:eastAsia="en-AU"/>
              </w:rPr>
            </w:pPr>
            <w:r w:rsidRPr="00294BC2">
              <w:rPr>
                <w:color w:val="000000"/>
                <w:sz w:val="16"/>
                <w:szCs w:val="16"/>
              </w:rPr>
              <w:t>31.3</w:t>
            </w:r>
          </w:p>
        </w:tc>
        <w:tc>
          <w:tcPr>
            <w:tcW w:w="0" w:type="pct"/>
            <w:tcBorders>
              <w:top w:val="single" w:sz="4" w:space="0" w:color="auto"/>
              <w:left w:val="single" w:sz="4" w:space="0" w:color="auto"/>
              <w:bottom w:val="single" w:sz="4" w:space="0" w:color="auto"/>
              <w:right w:val="nil"/>
            </w:tcBorders>
            <w:vAlign w:val="center"/>
          </w:tcPr>
          <w:p w14:paraId="65114394" w14:textId="19B3CF5F" w:rsidR="0066671B" w:rsidRPr="008763FA" w:rsidRDefault="0066671B" w:rsidP="0066671B">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23.6</w:t>
            </w:r>
          </w:p>
        </w:tc>
        <w:tc>
          <w:tcPr>
            <w:tcW w:w="0" w:type="pct"/>
            <w:tcBorders>
              <w:top w:val="single" w:sz="4" w:space="0" w:color="auto"/>
              <w:left w:val="nil"/>
              <w:bottom w:val="single" w:sz="4" w:space="0" w:color="auto"/>
              <w:right w:val="nil"/>
            </w:tcBorders>
            <w:vAlign w:val="center"/>
          </w:tcPr>
          <w:p w14:paraId="625A6EF0" w14:textId="222738F2" w:rsidR="0066671B" w:rsidRPr="008763FA" w:rsidRDefault="0066671B" w:rsidP="0066671B">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31.3</w:t>
            </w:r>
          </w:p>
        </w:tc>
      </w:tr>
      <w:tr w:rsidR="00AC086D" w:rsidRPr="00F640BE" w14:paraId="5A65065B" w14:textId="77777777" w:rsidTr="002C3E26">
        <w:trPr>
          <w:trHeight w:val="225"/>
        </w:trPr>
        <w:tc>
          <w:tcPr>
            <w:tcW w:w="0" w:type="pct"/>
            <w:tcBorders>
              <w:right w:val="nil"/>
            </w:tcBorders>
          </w:tcPr>
          <w:p w14:paraId="4B3C6FBD" w14:textId="77777777" w:rsidR="0066671B" w:rsidRPr="00861D3B" w:rsidRDefault="0066671B" w:rsidP="0066671B">
            <w:pPr>
              <w:spacing w:after="0" w:line="240" w:lineRule="auto"/>
              <w:rPr>
                <w:rFonts w:asciiTheme="majorHAnsi" w:eastAsia="Times New Roman" w:hAnsiTheme="majorHAnsi" w:cs="Times New Roman"/>
                <w:color w:val="000000"/>
                <w:sz w:val="16"/>
                <w:szCs w:val="16"/>
                <w:lang w:eastAsia="en-AU"/>
              </w:rPr>
            </w:pPr>
            <w:proofErr w:type="gramStart"/>
            <w:r w:rsidRPr="00861D3B">
              <w:rPr>
                <w:rFonts w:asciiTheme="majorHAnsi" w:eastAsia="Times New Roman" w:hAnsiTheme="majorHAnsi" w:cs="Times New Roman"/>
                <w:color w:val="000000"/>
                <w:sz w:val="16"/>
                <w:szCs w:val="16"/>
                <w:lang w:eastAsia="en-AU"/>
              </w:rPr>
              <w:t>4-5 year olds</w:t>
            </w:r>
            <w:proofErr w:type="gramEnd"/>
          </w:p>
        </w:tc>
        <w:tc>
          <w:tcPr>
            <w:tcW w:w="0" w:type="pct"/>
            <w:tcBorders>
              <w:top w:val="single" w:sz="4" w:space="0" w:color="auto"/>
              <w:left w:val="nil"/>
              <w:bottom w:val="single" w:sz="4" w:space="0" w:color="auto"/>
              <w:right w:val="nil"/>
            </w:tcBorders>
            <w:vAlign w:val="center"/>
          </w:tcPr>
          <w:p w14:paraId="689778D4" w14:textId="55C04FB0" w:rsidR="0066671B" w:rsidRPr="00EB3261" w:rsidRDefault="0066671B" w:rsidP="0066671B">
            <w:pPr>
              <w:spacing w:after="0" w:line="240" w:lineRule="auto"/>
              <w:jc w:val="right"/>
              <w:rPr>
                <w:rFonts w:asciiTheme="majorHAnsi" w:eastAsia="Times New Roman" w:hAnsiTheme="majorHAnsi" w:cs="Times New Roman"/>
                <w:color w:val="000000"/>
                <w:sz w:val="16"/>
                <w:szCs w:val="16"/>
                <w:lang w:eastAsia="en-AU"/>
              </w:rPr>
            </w:pPr>
            <w:r w:rsidRPr="00294BC2">
              <w:rPr>
                <w:color w:val="000000"/>
                <w:sz w:val="16"/>
                <w:szCs w:val="16"/>
              </w:rPr>
              <w:t>63.2</w:t>
            </w:r>
          </w:p>
        </w:tc>
        <w:tc>
          <w:tcPr>
            <w:tcW w:w="0" w:type="pct"/>
            <w:tcBorders>
              <w:top w:val="single" w:sz="4" w:space="0" w:color="auto"/>
              <w:left w:val="nil"/>
              <w:bottom w:val="single" w:sz="4" w:space="0" w:color="auto"/>
              <w:right w:val="single" w:sz="4" w:space="0" w:color="auto"/>
            </w:tcBorders>
            <w:vAlign w:val="center"/>
          </w:tcPr>
          <w:p w14:paraId="16034EAF" w14:textId="4DBE007B" w:rsidR="0066671B" w:rsidRPr="00EB3261" w:rsidRDefault="0066671B" w:rsidP="0066671B">
            <w:pPr>
              <w:spacing w:after="0" w:line="240" w:lineRule="auto"/>
              <w:jc w:val="right"/>
              <w:rPr>
                <w:rFonts w:asciiTheme="majorHAnsi" w:eastAsia="Times New Roman" w:hAnsiTheme="majorHAnsi" w:cs="Times New Roman"/>
                <w:color w:val="000000"/>
                <w:sz w:val="16"/>
                <w:szCs w:val="16"/>
                <w:lang w:eastAsia="en-AU"/>
              </w:rPr>
            </w:pPr>
            <w:r w:rsidRPr="00294BC2">
              <w:rPr>
                <w:color w:val="000000"/>
                <w:sz w:val="16"/>
                <w:szCs w:val="16"/>
              </w:rPr>
              <w:t>84.2</w:t>
            </w:r>
          </w:p>
        </w:tc>
        <w:tc>
          <w:tcPr>
            <w:tcW w:w="0" w:type="pct"/>
            <w:tcBorders>
              <w:top w:val="single" w:sz="4" w:space="0" w:color="auto"/>
              <w:left w:val="single" w:sz="4" w:space="0" w:color="auto"/>
              <w:bottom w:val="single" w:sz="4" w:space="0" w:color="auto"/>
              <w:right w:val="nil"/>
            </w:tcBorders>
            <w:vAlign w:val="center"/>
          </w:tcPr>
          <w:p w14:paraId="17EE581C" w14:textId="0D255DF5" w:rsidR="0066671B" w:rsidRPr="008763FA" w:rsidRDefault="0066671B" w:rsidP="0066671B">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43.2</w:t>
            </w:r>
          </w:p>
        </w:tc>
        <w:tc>
          <w:tcPr>
            <w:tcW w:w="0" w:type="pct"/>
            <w:tcBorders>
              <w:top w:val="single" w:sz="4" w:space="0" w:color="auto"/>
              <w:left w:val="nil"/>
              <w:bottom w:val="single" w:sz="4" w:space="0" w:color="auto"/>
              <w:right w:val="nil"/>
            </w:tcBorders>
            <w:vAlign w:val="center"/>
          </w:tcPr>
          <w:p w14:paraId="2DB6D70E" w14:textId="6D92295D" w:rsidR="0066671B" w:rsidRPr="008763FA" w:rsidRDefault="0066671B" w:rsidP="0066671B">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57.5</w:t>
            </w:r>
          </w:p>
        </w:tc>
      </w:tr>
      <w:tr w:rsidR="00AC086D" w:rsidRPr="00F640BE" w14:paraId="12398EAF" w14:textId="77777777" w:rsidTr="002C3E26">
        <w:trPr>
          <w:trHeight w:val="225"/>
        </w:trPr>
        <w:tc>
          <w:tcPr>
            <w:tcW w:w="0" w:type="pct"/>
            <w:tcBorders>
              <w:right w:val="nil"/>
            </w:tcBorders>
            <w:hideMark/>
          </w:tcPr>
          <w:p w14:paraId="70B1BBD4" w14:textId="77777777" w:rsidR="0066671B" w:rsidRPr="00861D3B" w:rsidRDefault="0066671B" w:rsidP="0066671B">
            <w:pPr>
              <w:spacing w:after="0" w:line="240" w:lineRule="auto"/>
              <w:rPr>
                <w:rFonts w:asciiTheme="majorHAnsi" w:eastAsia="Times New Roman" w:hAnsiTheme="majorHAnsi" w:cs="Times New Roman"/>
                <w:i/>
                <w:color w:val="000000"/>
                <w:sz w:val="16"/>
                <w:szCs w:val="16"/>
                <w:lang w:eastAsia="en-AU"/>
              </w:rPr>
            </w:pPr>
            <w:r w:rsidRPr="00861D3B">
              <w:rPr>
                <w:rFonts w:asciiTheme="majorHAnsi" w:eastAsia="Times New Roman" w:hAnsiTheme="majorHAnsi" w:cs="Times New Roman"/>
                <w:i/>
                <w:color w:val="000000"/>
                <w:sz w:val="16"/>
                <w:szCs w:val="16"/>
                <w:lang w:eastAsia="en-AU"/>
              </w:rPr>
              <w:t>Total</w:t>
            </w:r>
          </w:p>
        </w:tc>
        <w:tc>
          <w:tcPr>
            <w:tcW w:w="0" w:type="pct"/>
            <w:tcBorders>
              <w:top w:val="single" w:sz="4" w:space="0" w:color="auto"/>
              <w:left w:val="nil"/>
              <w:bottom w:val="single" w:sz="4" w:space="0" w:color="auto"/>
              <w:right w:val="nil"/>
            </w:tcBorders>
            <w:vAlign w:val="center"/>
          </w:tcPr>
          <w:p w14:paraId="6D7FADFF" w14:textId="1B49B8D1" w:rsidR="0066671B" w:rsidRPr="00EB3261" w:rsidRDefault="0066671B" w:rsidP="0066671B">
            <w:pPr>
              <w:spacing w:after="0" w:line="240" w:lineRule="auto"/>
              <w:jc w:val="right"/>
              <w:rPr>
                <w:rFonts w:asciiTheme="majorHAnsi" w:eastAsia="Times New Roman" w:hAnsiTheme="majorHAnsi" w:cs="Times New Roman"/>
                <w:color w:val="000000"/>
                <w:sz w:val="16"/>
                <w:szCs w:val="16"/>
                <w:lang w:eastAsia="en-AU"/>
              </w:rPr>
            </w:pPr>
            <w:r w:rsidRPr="00294BC2">
              <w:rPr>
                <w:color w:val="000000"/>
                <w:sz w:val="16"/>
                <w:szCs w:val="16"/>
              </w:rPr>
              <w:t>86.9</w:t>
            </w:r>
          </w:p>
        </w:tc>
        <w:tc>
          <w:tcPr>
            <w:tcW w:w="0" w:type="pct"/>
            <w:tcBorders>
              <w:top w:val="single" w:sz="4" w:space="0" w:color="auto"/>
              <w:left w:val="nil"/>
              <w:bottom w:val="single" w:sz="4" w:space="0" w:color="auto"/>
              <w:right w:val="single" w:sz="4" w:space="0" w:color="auto"/>
            </w:tcBorders>
            <w:vAlign w:val="center"/>
          </w:tcPr>
          <w:p w14:paraId="564304C0" w14:textId="7643F048" w:rsidR="0066671B" w:rsidRPr="00EB3261" w:rsidRDefault="0066671B" w:rsidP="0066671B">
            <w:pPr>
              <w:spacing w:after="0" w:line="240" w:lineRule="auto"/>
              <w:jc w:val="right"/>
              <w:rPr>
                <w:rFonts w:asciiTheme="majorHAnsi" w:eastAsia="Times New Roman" w:hAnsiTheme="majorHAnsi" w:cs="Times New Roman"/>
                <w:color w:val="000000"/>
                <w:sz w:val="16"/>
                <w:szCs w:val="16"/>
                <w:lang w:eastAsia="en-AU"/>
              </w:rPr>
            </w:pPr>
            <w:r w:rsidRPr="00294BC2">
              <w:rPr>
                <w:color w:val="000000"/>
                <w:sz w:val="16"/>
                <w:szCs w:val="16"/>
              </w:rPr>
              <w:t>115.5</w:t>
            </w:r>
          </w:p>
        </w:tc>
        <w:tc>
          <w:tcPr>
            <w:tcW w:w="0" w:type="pct"/>
            <w:tcBorders>
              <w:top w:val="single" w:sz="4" w:space="0" w:color="auto"/>
              <w:left w:val="single" w:sz="4" w:space="0" w:color="auto"/>
              <w:bottom w:val="single" w:sz="4" w:space="0" w:color="auto"/>
              <w:right w:val="nil"/>
            </w:tcBorders>
            <w:vAlign w:val="center"/>
          </w:tcPr>
          <w:p w14:paraId="641A0FFE" w14:textId="2765E980" w:rsidR="0066671B" w:rsidRPr="008763FA" w:rsidRDefault="0066671B" w:rsidP="0066671B">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66.9</w:t>
            </w:r>
          </w:p>
        </w:tc>
        <w:tc>
          <w:tcPr>
            <w:tcW w:w="0" w:type="pct"/>
            <w:tcBorders>
              <w:top w:val="single" w:sz="4" w:space="0" w:color="auto"/>
              <w:left w:val="nil"/>
              <w:bottom w:val="single" w:sz="4" w:space="0" w:color="auto"/>
              <w:right w:val="nil"/>
            </w:tcBorders>
            <w:vAlign w:val="center"/>
          </w:tcPr>
          <w:p w14:paraId="56E45FBC" w14:textId="0BBBAA58" w:rsidR="0066671B" w:rsidRPr="008763FA" w:rsidRDefault="0066671B" w:rsidP="0066671B">
            <w:pPr>
              <w:spacing w:after="0" w:line="240" w:lineRule="auto"/>
              <w:jc w:val="right"/>
              <w:rPr>
                <w:rFonts w:asciiTheme="majorHAnsi" w:eastAsia="Times New Roman" w:hAnsiTheme="majorHAnsi" w:cs="Times New Roman"/>
                <w:color w:val="000000"/>
                <w:sz w:val="16"/>
                <w:szCs w:val="16"/>
                <w:highlight w:val="lightGray"/>
                <w:lang w:eastAsia="en-AU"/>
              </w:rPr>
            </w:pPr>
            <w:r>
              <w:rPr>
                <w:color w:val="000000"/>
                <w:sz w:val="16"/>
                <w:szCs w:val="16"/>
              </w:rPr>
              <w:t>88.8</w:t>
            </w:r>
          </w:p>
        </w:tc>
      </w:tr>
    </w:tbl>
    <w:p w14:paraId="2ABC3132" w14:textId="6711558E" w:rsidR="00231B49" w:rsidRPr="001630DB" w:rsidRDefault="001630DB" w:rsidP="001630DB">
      <w:pPr>
        <w:pStyle w:val="Source"/>
      </w:pPr>
      <w:r>
        <w:t xml:space="preserve">Source: Deloitte Access Economics </w:t>
      </w:r>
      <w:r w:rsidR="00F93904">
        <w:t>(2025</w:t>
      </w:r>
      <w:r>
        <w:t xml:space="preserve">). *The 50 new </w:t>
      </w:r>
      <w:proofErr w:type="gramStart"/>
      <w:r>
        <w:t>child care</w:t>
      </w:r>
      <w:proofErr w:type="gramEnd"/>
      <w:r>
        <w:t xml:space="preserve"> centres are expected to support additional enrolments by </w:t>
      </w:r>
      <w:proofErr w:type="gramStart"/>
      <w:r>
        <w:t>0-2 year olds</w:t>
      </w:r>
      <w:proofErr w:type="gramEnd"/>
      <w:r>
        <w:t>.</w:t>
      </w:r>
    </w:p>
    <w:p w14:paraId="5E374CEE" w14:textId="3329FE3D" w:rsidR="00F95D5A" w:rsidRDefault="00F95D5A" w:rsidP="00F95D5A">
      <w:pPr>
        <w:pStyle w:val="HeadingA"/>
      </w:pPr>
      <w:r>
        <w:t>Impacts on child developmental outcomes</w:t>
      </w:r>
    </w:p>
    <w:p w14:paraId="4288CC66" w14:textId="2535AD7E" w:rsidR="00330C6B" w:rsidRDefault="00637B62" w:rsidP="00F95D5A">
      <w:r>
        <w:t xml:space="preserve">As more children </w:t>
      </w:r>
      <w:r w:rsidR="00DF64A4">
        <w:t xml:space="preserve">who have participated in the BSBL </w:t>
      </w:r>
      <w:r w:rsidR="00B24082">
        <w:t xml:space="preserve">programs join the </w:t>
      </w:r>
      <w:r w:rsidR="00277C14">
        <w:t>labour market,</w:t>
      </w:r>
      <w:r w:rsidR="00164584">
        <w:t xml:space="preserve"> the overall </w:t>
      </w:r>
      <w:r w:rsidR="00162DB4">
        <w:t>productive capacity</w:t>
      </w:r>
      <w:r w:rsidR="00692CD5">
        <w:t xml:space="preserve"> of the workforce</w:t>
      </w:r>
      <w:r w:rsidR="00277C14">
        <w:t xml:space="preserve"> is expected to expand. </w:t>
      </w:r>
      <w:r w:rsidR="00162DB4">
        <w:t>By 20</w:t>
      </w:r>
      <w:r w:rsidR="000F3532">
        <w:t>6</w:t>
      </w:r>
      <w:r w:rsidR="00855854">
        <w:t>5</w:t>
      </w:r>
      <w:r w:rsidR="000F3532">
        <w:t>-6</w:t>
      </w:r>
      <w:r w:rsidR="00855854">
        <w:t>6</w:t>
      </w:r>
      <w:r w:rsidR="00162DB4" w:rsidRPr="00D67EAF">
        <w:t xml:space="preserve">, </w:t>
      </w:r>
      <w:r w:rsidR="000A36B1" w:rsidRPr="00D67EAF">
        <w:t>2</w:t>
      </w:r>
      <w:r w:rsidR="00D67EAF" w:rsidRPr="00EB3261">
        <w:t>7</w:t>
      </w:r>
      <w:r w:rsidR="00AC5324" w:rsidRPr="00D67EAF">
        <w:t xml:space="preserve"> cohorts</w:t>
      </w:r>
      <w:r w:rsidR="00AC5324" w:rsidRPr="008271F5">
        <w:t xml:space="preserve"> of children who have benefited from the BSBL reforms will have entered the workforce. This is</w:t>
      </w:r>
      <w:r w:rsidR="004D4385" w:rsidRPr="008271F5">
        <w:t xml:space="preserve"> associated with </w:t>
      </w:r>
      <w:r w:rsidR="00060D2E" w:rsidRPr="00855854">
        <w:t xml:space="preserve">a </w:t>
      </w:r>
      <w:r w:rsidR="00060D2E" w:rsidRPr="00EB3261">
        <w:t>0.1</w:t>
      </w:r>
      <w:r w:rsidR="00855854" w:rsidRPr="00EB3261">
        <w:t>3</w:t>
      </w:r>
      <w:r w:rsidR="00873E77" w:rsidRPr="00EB3261">
        <w:t xml:space="preserve"> per cent</w:t>
      </w:r>
      <w:r w:rsidR="00060D2E" w:rsidRPr="00EB3261">
        <w:t xml:space="preserve"> to 0.</w:t>
      </w:r>
      <w:r w:rsidR="00855854" w:rsidRPr="00EB3261">
        <w:t>18</w:t>
      </w:r>
      <w:r w:rsidR="00873E77" w:rsidRPr="00EB3261">
        <w:t xml:space="preserve"> per cent</w:t>
      </w:r>
      <w:r w:rsidR="00060D2E" w:rsidRPr="00855854">
        <w:t xml:space="preserve"> increase in overall labour </w:t>
      </w:r>
      <w:r w:rsidR="00A058D9" w:rsidRPr="00855854">
        <w:t>productivity</w:t>
      </w:r>
      <w:r w:rsidR="00FD06DD" w:rsidRPr="00855854">
        <w:t xml:space="preserve"> (equivalent to </w:t>
      </w:r>
      <w:r w:rsidR="005469D0" w:rsidRPr="00855854">
        <w:t xml:space="preserve">between </w:t>
      </w:r>
      <w:r w:rsidR="005469D0" w:rsidRPr="00EB3261">
        <w:t>$</w:t>
      </w:r>
      <w:r w:rsidR="00432351">
        <w:t>800</w:t>
      </w:r>
      <w:r w:rsidR="005469D0" w:rsidRPr="00EB3261">
        <w:t xml:space="preserve"> million and $</w:t>
      </w:r>
      <w:r w:rsidR="00855854" w:rsidRPr="00EB3261">
        <w:t>1,</w:t>
      </w:r>
      <w:r w:rsidR="00432351">
        <w:t>130</w:t>
      </w:r>
      <w:r w:rsidR="005469D0" w:rsidRPr="00EB3261">
        <w:t xml:space="preserve"> </w:t>
      </w:r>
      <w:r w:rsidR="00AE4C36" w:rsidRPr="00EB3261">
        <w:t>million</w:t>
      </w:r>
      <w:r w:rsidR="005469D0" w:rsidRPr="00855854">
        <w:t xml:space="preserve"> </w:t>
      </w:r>
      <w:r w:rsidR="002070BE" w:rsidRPr="00855854">
        <w:t>in</w:t>
      </w:r>
      <w:r w:rsidR="005469D0" w:rsidRPr="00855854">
        <w:t xml:space="preserve"> additional output)</w:t>
      </w:r>
      <w:r w:rsidR="00060D2E" w:rsidRPr="00855854">
        <w:t xml:space="preserve">, and </w:t>
      </w:r>
      <w:r w:rsidR="00596036" w:rsidRPr="00855854">
        <w:t>between</w:t>
      </w:r>
      <w:r w:rsidR="00060D2E" w:rsidRPr="00855854">
        <w:t xml:space="preserve"> </w:t>
      </w:r>
      <w:r w:rsidR="00855854" w:rsidRPr="00EB3261">
        <w:t>5</w:t>
      </w:r>
      <w:r w:rsidR="00F35E23" w:rsidRPr="00EB3261">
        <w:t>,</w:t>
      </w:r>
      <w:r w:rsidR="00855854" w:rsidRPr="00EB3261">
        <w:t>3</w:t>
      </w:r>
      <w:r w:rsidR="000B34F1" w:rsidRPr="00EB3261">
        <w:t>0</w:t>
      </w:r>
      <w:r w:rsidR="00F35E23" w:rsidRPr="00EB3261">
        <w:t xml:space="preserve">0 to </w:t>
      </w:r>
      <w:r w:rsidR="00811E30" w:rsidRPr="00EB3261">
        <w:t>7</w:t>
      </w:r>
      <w:r w:rsidR="00F35E23" w:rsidRPr="00EB3261">
        <w:t>,</w:t>
      </w:r>
      <w:r w:rsidR="00877C18">
        <w:t>5</w:t>
      </w:r>
      <w:r w:rsidR="00811E30" w:rsidRPr="00EB3261">
        <w:t>0</w:t>
      </w:r>
      <w:r w:rsidR="00F35E23" w:rsidRPr="00EB3261">
        <w:t>0</w:t>
      </w:r>
      <w:r w:rsidR="00F35E23" w:rsidRPr="00855854">
        <w:t xml:space="preserve"> more </w:t>
      </w:r>
      <w:r w:rsidR="00F61546" w:rsidRPr="00855854">
        <w:t>participants</w:t>
      </w:r>
      <w:r w:rsidR="0093235D" w:rsidRPr="00855854">
        <w:t xml:space="preserve"> in the labour </w:t>
      </w:r>
      <w:r w:rsidR="00F61546" w:rsidRPr="00855854">
        <w:t>force</w:t>
      </w:r>
      <w:r w:rsidR="00651956" w:rsidRPr="00855854">
        <w:t xml:space="preserve"> per annum</w:t>
      </w:r>
      <w:r w:rsidR="00F61546" w:rsidRPr="00855854">
        <w:t xml:space="preserve"> (</w:t>
      </w:r>
      <w:r w:rsidR="00F61546" w:rsidRPr="00855854">
        <w:fldChar w:fldCharType="begin"/>
      </w:r>
      <w:r w:rsidR="00F61546" w:rsidRPr="00855854">
        <w:instrText xml:space="preserve"> REF _Ref152851826 \r \h </w:instrText>
      </w:r>
      <w:r w:rsidR="008C72A4" w:rsidRPr="00855854">
        <w:instrText xml:space="preserve"> \* MERGEFORMAT </w:instrText>
      </w:r>
      <w:r w:rsidR="00F61546" w:rsidRPr="00855854">
        <w:fldChar w:fldCharType="separate"/>
      </w:r>
      <w:r w:rsidR="008537EC">
        <w:t>Table v</w:t>
      </w:r>
      <w:r w:rsidR="00F61546" w:rsidRPr="00855854">
        <w:fldChar w:fldCharType="end"/>
      </w:r>
      <w:r w:rsidR="00F61546" w:rsidRPr="00855854">
        <w:t>)</w:t>
      </w:r>
      <w:r w:rsidR="0093235D" w:rsidRPr="00855854">
        <w:t xml:space="preserve">. </w:t>
      </w:r>
      <w:r w:rsidR="00277C14" w:rsidRPr="00855854">
        <w:t xml:space="preserve">These </w:t>
      </w:r>
      <w:r w:rsidR="002D0983" w:rsidRPr="00855854">
        <w:t>estimates are used as inputs into the CGE model.</w:t>
      </w:r>
    </w:p>
    <w:p w14:paraId="17B53C2D" w14:textId="4A04D43C" w:rsidR="00BE15A8" w:rsidRDefault="0066397C" w:rsidP="00F95D5A">
      <w:pPr>
        <w:pStyle w:val="ExecTableCaption"/>
      </w:pPr>
      <w:bookmarkStart w:id="55" w:name="_Ref152851826"/>
      <w:r w:rsidRPr="00C904C9">
        <w:t xml:space="preserve">: </w:t>
      </w:r>
      <w:r>
        <w:t xml:space="preserve">Impact of reforms on </w:t>
      </w:r>
      <w:r w:rsidR="00532798">
        <w:t>children’s future labour market outcomes</w:t>
      </w:r>
      <w:bookmarkEnd w:id="55"/>
    </w:p>
    <w:tbl>
      <w:tblPr>
        <w:tblStyle w:val="Deloittetable"/>
        <w:tblW w:w="5000" w:type="pct"/>
        <w:tblLayout w:type="fixed"/>
        <w:tblCellMar>
          <w:left w:w="57" w:type="dxa"/>
          <w:right w:w="57" w:type="dxa"/>
        </w:tblCellMar>
        <w:tblLook w:val="04A0" w:firstRow="1" w:lastRow="0" w:firstColumn="1" w:lastColumn="0" w:noHBand="0" w:noVBand="1"/>
      </w:tblPr>
      <w:tblGrid>
        <w:gridCol w:w="3594"/>
        <w:gridCol w:w="1083"/>
        <w:gridCol w:w="1419"/>
        <w:gridCol w:w="1417"/>
        <w:gridCol w:w="1513"/>
      </w:tblGrid>
      <w:tr w:rsidR="00A30AC1" w:rsidRPr="00E6735F" w14:paraId="30E45E79" w14:textId="77777777" w:rsidTr="006F4D85">
        <w:trPr>
          <w:cnfStyle w:val="100000000000" w:firstRow="1" w:lastRow="0" w:firstColumn="0" w:lastColumn="0" w:oddVBand="0" w:evenVBand="0" w:oddHBand="0" w:evenHBand="0" w:firstRowFirstColumn="0" w:firstRowLastColumn="0" w:lastRowFirstColumn="0" w:lastRowLastColumn="0"/>
          <w:trHeight w:val="20"/>
        </w:trPr>
        <w:tc>
          <w:tcPr>
            <w:tcW w:w="1991" w:type="pct"/>
            <w:vMerge w:val="restart"/>
          </w:tcPr>
          <w:p w14:paraId="77666D7E" w14:textId="77777777" w:rsidR="00A30AC1" w:rsidRPr="00E6735F" w:rsidRDefault="00A30AC1">
            <w:pPr>
              <w:spacing w:after="0" w:line="240" w:lineRule="auto"/>
              <w:rPr>
                <w:rFonts w:asciiTheme="majorHAnsi" w:eastAsia="Times New Roman" w:hAnsiTheme="majorHAnsi" w:cs="Times New Roman"/>
                <w:color w:val="000000"/>
                <w:sz w:val="16"/>
                <w:szCs w:val="16"/>
                <w:lang w:eastAsia="en-AU"/>
              </w:rPr>
            </w:pPr>
          </w:p>
        </w:tc>
        <w:tc>
          <w:tcPr>
            <w:tcW w:w="1386" w:type="pct"/>
            <w:gridSpan w:val="2"/>
            <w:tcBorders>
              <w:right w:val="single" w:sz="4" w:space="0" w:color="000000"/>
            </w:tcBorders>
          </w:tcPr>
          <w:p w14:paraId="2F837F79" w14:textId="77777777" w:rsidR="00A30AC1" w:rsidRPr="00E6735F" w:rsidRDefault="00A30AC1">
            <w:pPr>
              <w:spacing w:after="0" w:line="240" w:lineRule="auto"/>
              <w:jc w:val="center"/>
              <w:rPr>
                <w:rFonts w:asciiTheme="majorHAnsi" w:eastAsia="Times New Roman" w:hAnsiTheme="majorHAnsi" w:cs="Times New Roman"/>
                <w:b/>
                <w:bCs/>
                <w:color w:val="000000"/>
                <w:sz w:val="16"/>
                <w:szCs w:val="16"/>
                <w:lang w:eastAsia="en-AU"/>
              </w:rPr>
            </w:pPr>
            <w:r w:rsidRPr="00E6735F">
              <w:rPr>
                <w:rFonts w:asciiTheme="majorHAnsi" w:eastAsia="Times New Roman" w:hAnsiTheme="majorHAnsi" w:cs="Times New Roman"/>
                <w:b/>
                <w:bCs/>
                <w:color w:val="000000"/>
                <w:sz w:val="16"/>
                <w:szCs w:val="16"/>
                <w:lang w:eastAsia="en-AU"/>
              </w:rPr>
              <w:t>Low impact</w:t>
            </w:r>
          </w:p>
        </w:tc>
        <w:tc>
          <w:tcPr>
            <w:tcW w:w="1623" w:type="pct"/>
            <w:gridSpan w:val="2"/>
            <w:tcBorders>
              <w:left w:val="single" w:sz="4" w:space="0" w:color="000000"/>
            </w:tcBorders>
          </w:tcPr>
          <w:p w14:paraId="62BE12CE" w14:textId="77777777" w:rsidR="00A30AC1" w:rsidRPr="00E6735F" w:rsidRDefault="00A30AC1">
            <w:pPr>
              <w:spacing w:after="0" w:line="240" w:lineRule="auto"/>
              <w:jc w:val="center"/>
              <w:rPr>
                <w:rFonts w:asciiTheme="majorHAnsi" w:eastAsia="Times New Roman" w:hAnsiTheme="majorHAnsi" w:cs="Times New Roman"/>
                <w:b/>
                <w:bCs/>
                <w:color w:val="000000"/>
                <w:sz w:val="16"/>
                <w:szCs w:val="16"/>
                <w:lang w:eastAsia="en-AU"/>
              </w:rPr>
            </w:pPr>
            <w:r w:rsidRPr="00E6735F">
              <w:rPr>
                <w:rFonts w:asciiTheme="majorHAnsi" w:eastAsia="Times New Roman" w:hAnsiTheme="majorHAnsi" w:cs="Times New Roman"/>
                <w:b/>
                <w:bCs/>
                <w:color w:val="000000"/>
                <w:sz w:val="16"/>
                <w:szCs w:val="16"/>
                <w:lang w:eastAsia="en-AU"/>
              </w:rPr>
              <w:t>High impact</w:t>
            </w:r>
          </w:p>
        </w:tc>
      </w:tr>
      <w:tr w:rsidR="00EB3261" w:rsidRPr="00E6735F" w14:paraId="4743542F" w14:textId="77777777" w:rsidTr="00EB3261">
        <w:trPr>
          <w:trHeight w:val="20"/>
        </w:trPr>
        <w:tc>
          <w:tcPr>
            <w:tcW w:w="0" w:type="pct"/>
            <w:vMerge/>
            <w:hideMark/>
          </w:tcPr>
          <w:p w14:paraId="4409288A" w14:textId="77777777" w:rsidR="00855854" w:rsidRPr="00E6735F" w:rsidRDefault="00855854" w:rsidP="00855854">
            <w:pPr>
              <w:spacing w:after="0" w:line="240" w:lineRule="auto"/>
              <w:rPr>
                <w:rFonts w:asciiTheme="majorHAnsi" w:eastAsia="Times New Roman" w:hAnsiTheme="majorHAnsi" w:cs="Times New Roman"/>
                <w:color w:val="000000"/>
                <w:sz w:val="16"/>
                <w:szCs w:val="16"/>
                <w:lang w:eastAsia="en-AU"/>
              </w:rPr>
            </w:pPr>
          </w:p>
        </w:tc>
        <w:tc>
          <w:tcPr>
            <w:tcW w:w="0" w:type="pct"/>
            <w:vAlign w:val="center"/>
            <w:hideMark/>
          </w:tcPr>
          <w:p w14:paraId="2E651525" w14:textId="0F13051C" w:rsidR="00855854" w:rsidRPr="00DF5283" w:rsidRDefault="00855854" w:rsidP="00855854">
            <w:pPr>
              <w:spacing w:after="0" w:line="240" w:lineRule="auto"/>
              <w:jc w:val="right"/>
              <w:rPr>
                <w:rFonts w:asciiTheme="majorHAnsi" w:eastAsia="Times New Roman" w:hAnsiTheme="majorHAnsi" w:cs="Times New Roman"/>
                <w:b/>
                <w:bCs/>
                <w:color w:val="000000"/>
                <w:sz w:val="16"/>
                <w:szCs w:val="16"/>
                <w:highlight w:val="lightGray"/>
                <w:lang w:eastAsia="en-AU"/>
              </w:rPr>
            </w:pPr>
            <w:r>
              <w:rPr>
                <w:b/>
                <w:bCs/>
                <w:color w:val="000000"/>
                <w:sz w:val="16"/>
                <w:szCs w:val="16"/>
              </w:rPr>
              <w:t>2035-36</w:t>
            </w:r>
          </w:p>
        </w:tc>
        <w:tc>
          <w:tcPr>
            <w:tcW w:w="0" w:type="pct"/>
            <w:tcBorders>
              <w:right w:val="single" w:sz="4" w:space="0" w:color="000000"/>
            </w:tcBorders>
            <w:vAlign w:val="center"/>
            <w:hideMark/>
          </w:tcPr>
          <w:p w14:paraId="76E8EC34" w14:textId="67B7BE70" w:rsidR="00855854" w:rsidRPr="00DF5283" w:rsidRDefault="00855854" w:rsidP="00855854">
            <w:pPr>
              <w:spacing w:after="0" w:line="240" w:lineRule="auto"/>
              <w:jc w:val="right"/>
              <w:rPr>
                <w:rFonts w:asciiTheme="majorHAnsi" w:eastAsia="Times New Roman" w:hAnsiTheme="majorHAnsi" w:cs="Times New Roman"/>
                <w:b/>
                <w:bCs/>
                <w:color w:val="000000"/>
                <w:sz w:val="16"/>
                <w:szCs w:val="16"/>
                <w:highlight w:val="lightGray"/>
                <w:lang w:eastAsia="en-AU"/>
              </w:rPr>
            </w:pPr>
            <w:r>
              <w:rPr>
                <w:b/>
                <w:bCs/>
                <w:color w:val="000000"/>
                <w:sz w:val="16"/>
                <w:szCs w:val="16"/>
              </w:rPr>
              <w:t>2065-66</w:t>
            </w:r>
          </w:p>
        </w:tc>
        <w:tc>
          <w:tcPr>
            <w:tcW w:w="0" w:type="pct"/>
            <w:tcBorders>
              <w:left w:val="single" w:sz="4" w:space="0" w:color="000000"/>
            </w:tcBorders>
            <w:vAlign w:val="center"/>
            <w:hideMark/>
          </w:tcPr>
          <w:p w14:paraId="60BA76D5" w14:textId="0F11C288" w:rsidR="00855854" w:rsidRPr="00DF5283" w:rsidRDefault="00855854" w:rsidP="00855854">
            <w:pPr>
              <w:spacing w:after="0" w:line="240" w:lineRule="auto"/>
              <w:jc w:val="right"/>
              <w:rPr>
                <w:rFonts w:asciiTheme="majorHAnsi" w:eastAsia="Times New Roman" w:hAnsiTheme="majorHAnsi" w:cs="Times New Roman"/>
                <w:b/>
                <w:bCs/>
                <w:color w:val="000000"/>
                <w:sz w:val="16"/>
                <w:szCs w:val="16"/>
                <w:highlight w:val="lightGray"/>
                <w:lang w:eastAsia="en-AU"/>
              </w:rPr>
            </w:pPr>
            <w:r>
              <w:rPr>
                <w:b/>
                <w:bCs/>
                <w:color w:val="000000"/>
                <w:sz w:val="16"/>
                <w:szCs w:val="16"/>
              </w:rPr>
              <w:t>2035-36</w:t>
            </w:r>
          </w:p>
        </w:tc>
        <w:tc>
          <w:tcPr>
            <w:tcW w:w="0" w:type="pct"/>
            <w:vAlign w:val="center"/>
            <w:hideMark/>
          </w:tcPr>
          <w:p w14:paraId="6C6DB19A" w14:textId="376087D7" w:rsidR="00855854" w:rsidRPr="00DF5283" w:rsidRDefault="00855854" w:rsidP="00855854">
            <w:pPr>
              <w:spacing w:after="0" w:line="240" w:lineRule="auto"/>
              <w:jc w:val="right"/>
              <w:rPr>
                <w:rFonts w:asciiTheme="majorHAnsi" w:eastAsia="Times New Roman" w:hAnsiTheme="majorHAnsi" w:cs="Times New Roman"/>
                <w:b/>
                <w:bCs/>
                <w:color w:val="000000"/>
                <w:sz w:val="16"/>
                <w:szCs w:val="16"/>
                <w:highlight w:val="lightGray"/>
                <w:lang w:eastAsia="en-AU"/>
              </w:rPr>
            </w:pPr>
            <w:r>
              <w:rPr>
                <w:b/>
                <w:bCs/>
                <w:color w:val="000000"/>
                <w:sz w:val="16"/>
                <w:szCs w:val="16"/>
              </w:rPr>
              <w:t>2065-66</w:t>
            </w:r>
          </w:p>
        </w:tc>
      </w:tr>
      <w:tr w:rsidR="00A30AC1" w:rsidRPr="00E6735F" w14:paraId="24D9ACDF" w14:textId="77777777">
        <w:trPr>
          <w:trHeight w:val="225"/>
        </w:trPr>
        <w:tc>
          <w:tcPr>
            <w:tcW w:w="5000" w:type="pct"/>
            <w:gridSpan w:val="5"/>
            <w:tcBorders>
              <w:right w:val="single" w:sz="4" w:space="0" w:color="FFFFFF" w:themeColor="background1"/>
            </w:tcBorders>
            <w:shd w:val="clear" w:color="auto" w:fill="F2F2F2" w:themeFill="background1" w:themeFillShade="F2"/>
          </w:tcPr>
          <w:p w14:paraId="23E1B496" w14:textId="77777777" w:rsidR="00A30AC1" w:rsidRPr="00E6735F" w:rsidRDefault="00A30AC1">
            <w:pPr>
              <w:spacing w:after="0" w:line="240" w:lineRule="auto"/>
              <w:rPr>
                <w:rFonts w:asciiTheme="majorHAnsi" w:eastAsia="Times New Roman" w:hAnsiTheme="majorHAnsi" w:cs="Times New Roman"/>
                <w:b/>
                <w:bCs/>
                <w:color w:val="000000"/>
                <w:sz w:val="16"/>
                <w:szCs w:val="16"/>
                <w:lang w:eastAsia="en-AU"/>
              </w:rPr>
            </w:pPr>
            <w:r>
              <w:rPr>
                <w:rFonts w:asciiTheme="majorHAnsi" w:eastAsia="Times New Roman" w:hAnsiTheme="majorHAnsi" w:cs="Times New Roman"/>
                <w:b/>
                <w:bCs/>
                <w:color w:val="000000"/>
                <w:szCs w:val="17"/>
                <w:lang w:eastAsia="en-AU"/>
              </w:rPr>
              <w:t>Population aged 15+</w:t>
            </w:r>
          </w:p>
        </w:tc>
      </w:tr>
      <w:tr w:rsidR="00855854" w:rsidRPr="00E6735F" w14:paraId="6B39E6A2" w14:textId="77777777" w:rsidTr="006F4D85">
        <w:trPr>
          <w:trHeight w:val="225"/>
        </w:trPr>
        <w:tc>
          <w:tcPr>
            <w:tcW w:w="1991" w:type="pct"/>
            <w:tcBorders>
              <w:right w:val="nil"/>
            </w:tcBorders>
          </w:tcPr>
          <w:p w14:paraId="4DC99A56" w14:textId="77777777" w:rsidR="00855854" w:rsidRDefault="00855854" w:rsidP="00855854">
            <w:pPr>
              <w:spacing w:after="0" w:line="240" w:lineRule="auto"/>
              <w:rPr>
                <w:rFonts w:asciiTheme="majorHAnsi" w:eastAsia="Times New Roman" w:hAnsiTheme="majorHAnsi" w:cs="Times New Roman"/>
                <w:color w:val="000000"/>
                <w:sz w:val="16"/>
                <w:szCs w:val="16"/>
                <w:lang w:eastAsia="en-AU"/>
              </w:rPr>
            </w:pPr>
            <w:r>
              <w:rPr>
                <w:rFonts w:asciiTheme="majorHAnsi" w:eastAsia="Times New Roman" w:hAnsiTheme="majorHAnsi" w:cs="Times New Roman"/>
                <w:color w:val="000000"/>
                <w:sz w:val="16"/>
                <w:szCs w:val="16"/>
                <w:lang w:eastAsia="en-AU"/>
              </w:rPr>
              <w:t>Productivity benefit per annum</w:t>
            </w:r>
            <w:r>
              <w:rPr>
                <w:rFonts w:asciiTheme="majorHAnsi" w:eastAsia="Times New Roman" w:hAnsiTheme="majorHAnsi" w:cs="Times New Roman"/>
                <w:color w:val="000000"/>
                <w:sz w:val="16"/>
                <w:szCs w:val="16"/>
                <w:lang w:eastAsia="en-AU"/>
              </w:rPr>
              <w:br/>
              <w:t>($ million)</w:t>
            </w:r>
          </w:p>
        </w:tc>
        <w:tc>
          <w:tcPr>
            <w:tcW w:w="600" w:type="pct"/>
            <w:tcBorders>
              <w:top w:val="single" w:sz="4" w:space="0" w:color="auto"/>
              <w:left w:val="nil"/>
              <w:bottom w:val="single" w:sz="4" w:space="0" w:color="auto"/>
              <w:right w:val="nil"/>
            </w:tcBorders>
          </w:tcPr>
          <w:p w14:paraId="4A32BF57" w14:textId="77777777" w:rsidR="00855854" w:rsidRPr="00EB3261" w:rsidRDefault="00855854" w:rsidP="00855854">
            <w:pPr>
              <w:spacing w:after="0" w:line="240" w:lineRule="auto"/>
              <w:jc w:val="right"/>
              <w:rPr>
                <w:sz w:val="16"/>
                <w:szCs w:val="16"/>
              </w:rPr>
            </w:pPr>
            <w:r w:rsidRPr="00EB3261">
              <w:rPr>
                <w:sz w:val="16"/>
                <w:szCs w:val="16"/>
              </w:rPr>
              <w:t>-</w:t>
            </w:r>
          </w:p>
        </w:tc>
        <w:tc>
          <w:tcPr>
            <w:tcW w:w="786" w:type="pct"/>
            <w:tcBorders>
              <w:top w:val="single" w:sz="4" w:space="0" w:color="auto"/>
              <w:left w:val="nil"/>
              <w:bottom w:val="single" w:sz="4" w:space="0" w:color="auto"/>
              <w:right w:val="single" w:sz="4" w:space="0" w:color="auto"/>
            </w:tcBorders>
          </w:tcPr>
          <w:p w14:paraId="17E34E3D" w14:textId="0D4811EF" w:rsidR="00855854" w:rsidRPr="00EB3261" w:rsidRDefault="00174273" w:rsidP="00855854">
            <w:pPr>
              <w:spacing w:after="0" w:line="240" w:lineRule="auto"/>
              <w:jc w:val="right"/>
              <w:rPr>
                <w:sz w:val="16"/>
                <w:szCs w:val="16"/>
              </w:rPr>
            </w:pPr>
            <w:r>
              <w:rPr>
                <w:sz w:val="16"/>
                <w:szCs w:val="16"/>
              </w:rPr>
              <w:t>800</w:t>
            </w:r>
          </w:p>
        </w:tc>
        <w:tc>
          <w:tcPr>
            <w:tcW w:w="785" w:type="pct"/>
            <w:tcBorders>
              <w:top w:val="single" w:sz="4" w:space="0" w:color="auto"/>
              <w:left w:val="single" w:sz="4" w:space="0" w:color="auto"/>
              <w:bottom w:val="single" w:sz="4" w:space="0" w:color="auto"/>
              <w:right w:val="nil"/>
            </w:tcBorders>
          </w:tcPr>
          <w:p w14:paraId="063D47A4" w14:textId="77777777" w:rsidR="00855854" w:rsidRPr="00EB3261" w:rsidRDefault="00855854" w:rsidP="00855854">
            <w:pPr>
              <w:spacing w:after="0" w:line="240" w:lineRule="auto"/>
              <w:jc w:val="right"/>
              <w:rPr>
                <w:sz w:val="16"/>
                <w:szCs w:val="16"/>
              </w:rPr>
            </w:pPr>
            <w:r w:rsidRPr="00EB3261">
              <w:rPr>
                <w:sz w:val="16"/>
                <w:szCs w:val="16"/>
              </w:rPr>
              <w:t>-</w:t>
            </w:r>
          </w:p>
        </w:tc>
        <w:tc>
          <w:tcPr>
            <w:tcW w:w="838" w:type="pct"/>
            <w:tcBorders>
              <w:top w:val="single" w:sz="4" w:space="0" w:color="auto"/>
              <w:left w:val="nil"/>
              <w:bottom w:val="single" w:sz="4" w:space="0" w:color="auto"/>
              <w:right w:val="nil"/>
            </w:tcBorders>
          </w:tcPr>
          <w:p w14:paraId="77F20B02" w14:textId="20E4B499" w:rsidR="00855854" w:rsidRPr="00015FA3" w:rsidRDefault="00174273" w:rsidP="00855854">
            <w:pPr>
              <w:spacing w:after="0" w:line="240" w:lineRule="auto"/>
              <w:jc w:val="right"/>
              <w:rPr>
                <w:sz w:val="16"/>
                <w:szCs w:val="16"/>
                <w:highlight w:val="lightGray"/>
              </w:rPr>
            </w:pPr>
            <w:r w:rsidRPr="00EB3261">
              <w:rPr>
                <w:sz w:val="16"/>
                <w:szCs w:val="16"/>
              </w:rPr>
              <w:t>1,130</w:t>
            </w:r>
          </w:p>
        </w:tc>
      </w:tr>
      <w:tr w:rsidR="00855854" w:rsidRPr="00E6735F" w14:paraId="7CF7CD83" w14:textId="77777777" w:rsidTr="006F4D85">
        <w:trPr>
          <w:trHeight w:val="225"/>
        </w:trPr>
        <w:tc>
          <w:tcPr>
            <w:tcW w:w="1991" w:type="pct"/>
            <w:tcBorders>
              <w:right w:val="nil"/>
            </w:tcBorders>
          </w:tcPr>
          <w:p w14:paraId="7AD02E24" w14:textId="606E31F9" w:rsidR="00855854" w:rsidRDefault="00855854" w:rsidP="00855854">
            <w:pPr>
              <w:spacing w:after="0" w:line="240" w:lineRule="auto"/>
              <w:ind w:left="284"/>
              <w:rPr>
                <w:rFonts w:asciiTheme="majorHAnsi" w:eastAsia="Times New Roman" w:hAnsiTheme="majorHAnsi" w:cs="Times New Roman"/>
                <w:color w:val="000000"/>
                <w:sz w:val="16"/>
                <w:szCs w:val="16"/>
                <w:lang w:eastAsia="en-AU"/>
              </w:rPr>
            </w:pPr>
            <w:r>
              <w:rPr>
                <w:rFonts w:asciiTheme="majorHAnsi" w:eastAsia="Times New Roman" w:hAnsiTheme="majorHAnsi" w:cs="Times New Roman"/>
                <w:color w:val="000000"/>
                <w:sz w:val="16"/>
                <w:szCs w:val="16"/>
                <w:lang w:eastAsia="en-AU"/>
              </w:rPr>
              <w:t xml:space="preserve"> % change from base case</w:t>
            </w:r>
          </w:p>
        </w:tc>
        <w:tc>
          <w:tcPr>
            <w:tcW w:w="600" w:type="pct"/>
            <w:tcBorders>
              <w:top w:val="single" w:sz="4" w:space="0" w:color="auto"/>
              <w:left w:val="nil"/>
              <w:bottom w:val="single" w:sz="4" w:space="0" w:color="auto"/>
              <w:right w:val="nil"/>
            </w:tcBorders>
          </w:tcPr>
          <w:p w14:paraId="1F8712D1" w14:textId="77777777" w:rsidR="00855854" w:rsidRPr="00EB3261" w:rsidRDefault="00855854" w:rsidP="00855854">
            <w:pPr>
              <w:spacing w:after="0" w:line="240" w:lineRule="auto"/>
              <w:jc w:val="right"/>
              <w:rPr>
                <w:sz w:val="16"/>
                <w:szCs w:val="16"/>
              </w:rPr>
            </w:pPr>
            <w:r w:rsidRPr="00EB3261">
              <w:rPr>
                <w:sz w:val="16"/>
                <w:szCs w:val="16"/>
              </w:rPr>
              <w:t>-</w:t>
            </w:r>
          </w:p>
        </w:tc>
        <w:tc>
          <w:tcPr>
            <w:tcW w:w="786" w:type="pct"/>
            <w:tcBorders>
              <w:top w:val="single" w:sz="4" w:space="0" w:color="auto"/>
              <w:left w:val="nil"/>
              <w:bottom w:val="single" w:sz="4" w:space="0" w:color="auto"/>
              <w:right w:val="single" w:sz="4" w:space="0" w:color="auto"/>
            </w:tcBorders>
          </w:tcPr>
          <w:p w14:paraId="1BE99998" w14:textId="00F122F5" w:rsidR="00855854" w:rsidRPr="00EB3261" w:rsidRDefault="00855854" w:rsidP="00855854">
            <w:pPr>
              <w:spacing w:after="0" w:line="240" w:lineRule="auto"/>
              <w:jc w:val="right"/>
              <w:rPr>
                <w:sz w:val="16"/>
                <w:szCs w:val="16"/>
              </w:rPr>
            </w:pPr>
            <w:r w:rsidRPr="00294BC2">
              <w:rPr>
                <w:sz w:val="16"/>
                <w:szCs w:val="16"/>
              </w:rPr>
              <w:t>0.13%</w:t>
            </w:r>
          </w:p>
        </w:tc>
        <w:tc>
          <w:tcPr>
            <w:tcW w:w="785" w:type="pct"/>
            <w:tcBorders>
              <w:top w:val="single" w:sz="4" w:space="0" w:color="auto"/>
              <w:left w:val="single" w:sz="4" w:space="0" w:color="auto"/>
              <w:bottom w:val="single" w:sz="4" w:space="0" w:color="auto"/>
              <w:right w:val="nil"/>
            </w:tcBorders>
          </w:tcPr>
          <w:p w14:paraId="6BB62280" w14:textId="77777777" w:rsidR="00855854" w:rsidRPr="00EB3261" w:rsidRDefault="00855854" w:rsidP="00855854">
            <w:pPr>
              <w:spacing w:after="0" w:line="240" w:lineRule="auto"/>
              <w:jc w:val="right"/>
              <w:rPr>
                <w:sz w:val="16"/>
                <w:szCs w:val="16"/>
              </w:rPr>
            </w:pPr>
            <w:r w:rsidRPr="00EB3261">
              <w:rPr>
                <w:sz w:val="16"/>
                <w:szCs w:val="16"/>
              </w:rPr>
              <w:t>-</w:t>
            </w:r>
          </w:p>
        </w:tc>
        <w:tc>
          <w:tcPr>
            <w:tcW w:w="838" w:type="pct"/>
            <w:tcBorders>
              <w:top w:val="single" w:sz="4" w:space="0" w:color="auto"/>
              <w:left w:val="nil"/>
              <w:bottom w:val="single" w:sz="4" w:space="0" w:color="auto"/>
              <w:right w:val="nil"/>
            </w:tcBorders>
          </w:tcPr>
          <w:p w14:paraId="455670E0" w14:textId="2A241943" w:rsidR="00855854" w:rsidRPr="00032A89" w:rsidRDefault="00855854" w:rsidP="00855854">
            <w:pPr>
              <w:spacing w:after="0" w:line="240" w:lineRule="auto"/>
              <w:jc w:val="right"/>
              <w:rPr>
                <w:sz w:val="16"/>
                <w:szCs w:val="16"/>
                <w:highlight w:val="lightGray"/>
              </w:rPr>
            </w:pPr>
            <w:r w:rsidRPr="001C2286">
              <w:rPr>
                <w:sz w:val="16"/>
                <w:szCs w:val="16"/>
              </w:rPr>
              <w:t>0.18%</w:t>
            </w:r>
          </w:p>
        </w:tc>
      </w:tr>
      <w:tr w:rsidR="00855854" w:rsidRPr="00E6735F" w14:paraId="2941FA76" w14:textId="77777777" w:rsidTr="006F4D85">
        <w:trPr>
          <w:trHeight w:val="225"/>
        </w:trPr>
        <w:tc>
          <w:tcPr>
            <w:tcW w:w="1991" w:type="pct"/>
            <w:tcBorders>
              <w:right w:val="nil"/>
            </w:tcBorders>
            <w:hideMark/>
          </w:tcPr>
          <w:p w14:paraId="308A1CD8" w14:textId="77777777" w:rsidR="00855854" w:rsidRPr="00E6735F" w:rsidRDefault="00855854" w:rsidP="00855854">
            <w:pPr>
              <w:spacing w:after="0" w:line="240" w:lineRule="auto"/>
              <w:rPr>
                <w:rFonts w:asciiTheme="majorHAnsi" w:eastAsia="Times New Roman" w:hAnsiTheme="majorHAnsi" w:cs="Times New Roman"/>
                <w:color w:val="000000"/>
                <w:sz w:val="16"/>
                <w:szCs w:val="16"/>
                <w:lang w:eastAsia="en-AU"/>
              </w:rPr>
            </w:pPr>
            <w:r>
              <w:rPr>
                <w:rFonts w:asciiTheme="majorHAnsi" w:eastAsia="Times New Roman" w:hAnsiTheme="majorHAnsi" w:cs="Times New Roman"/>
                <w:color w:val="000000"/>
                <w:sz w:val="16"/>
                <w:szCs w:val="16"/>
                <w:lang w:eastAsia="en-AU"/>
              </w:rPr>
              <w:t xml:space="preserve">Additional participants (FTE </w:t>
            </w:r>
            <w:proofErr w:type="spellStart"/>
            <w:r>
              <w:rPr>
                <w:rFonts w:asciiTheme="majorHAnsi" w:eastAsia="Times New Roman" w:hAnsiTheme="majorHAnsi" w:cs="Times New Roman"/>
                <w:color w:val="000000"/>
                <w:sz w:val="16"/>
                <w:szCs w:val="16"/>
                <w:lang w:eastAsia="en-AU"/>
              </w:rPr>
              <w:t>equiv</w:t>
            </w:r>
            <w:proofErr w:type="spellEnd"/>
            <w:r>
              <w:rPr>
                <w:rFonts w:asciiTheme="majorHAnsi" w:eastAsia="Times New Roman" w:hAnsiTheme="majorHAnsi" w:cs="Times New Roman"/>
                <w:color w:val="000000"/>
                <w:sz w:val="16"/>
                <w:szCs w:val="16"/>
                <w:lang w:eastAsia="en-AU"/>
              </w:rPr>
              <w:t>)</w:t>
            </w:r>
          </w:p>
        </w:tc>
        <w:tc>
          <w:tcPr>
            <w:tcW w:w="600" w:type="pct"/>
            <w:tcBorders>
              <w:top w:val="single" w:sz="4" w:space="0" w:color="auto"/>
              <w:left w:val="nil"/>
              <w:bottom w:val="single" w:sz="4" w:space="0" w:color="auto"/>
              <w:right w:val="nil"/>
            </w:tcBorders>
          </w:tcPr>
          <w:p w14:paraId="3D815087" w14:textId="77777777" w:rsidR="00855854" w:rsidRPr="00EB3261" w:rsidRDefault="00855854" w:rsidP="00855854">
            <w:pPr>
              <w:spacing w:after="0" w:line="240" w:lineRule="auto"/>
              <w:jc w:val="right"/>
              <w:rPr>
                <w:rFonts w:asciiTheme="majorHAnsi" w:eastAsia="Times New Roman" w:hAnsiTheme="majorHAnsi" w:cs="Times New Roman"/>
                <w:color w:val="000000"/>
                <w:sz w:val="16"/>
                <w:szCs w:val="16"/>
                <w:lang w:eastAsia="en-AU"/>
              </w:rPr>
            </w:pPr>
            <w:r w:rsidRPr="00EB3261">
              <w:rPr>
                <w:sz w:val="16"/>
                <w:szCs w:val="16"/>
              </w:rPr>
              <w:t xml:space="preserve"> -   </w:t>
            </w:r>
          </w:p>
        </w:tc>
        <w:tc>
          <w:tcPr>
            <w:tcW w:w="786" w:type="pct"/>
            <w:tcBorders>
              <w:top w:val="single" w:sz="4" w:space="0" w:color="auto"/>
              <w:left w:val="nil"/>
              <w:bottom w:val="single" w:sz="4" w:space="0" w:color="auto"/>
              <w:right w:val="single" w:sz="4" w:space="0" w:color="auto"/>
            </w:tcBorders>
          </w:tcPr>
          <w:p w14:paraId="24FB1E84" w14:textId="45E9F163" w:rsidR="00855854" w:rsidRPr="00EB3261" w:rsidRDefault="00855854" w:rsidP="00855854">
            <w:pPr>
              <w:spacing w:after="0" w:line="240" w:lineRule="auto"/>
              <w:jc w:val="right"/>
              <w:rPr>
                <w:sz w:val="16"/>
                <w:szCs w:val="16"/>
              </w:rPr>
            </w:pPr>
            <w:r w:rsidRPr="00294BC2">
              <w:rPr>
                <w:sz w:val="16"/>
                <w:szCs w:val="16"/>
              </w:rPr>
              <w:t xml:space="preserve"> 5,300 </w:t>
            </w:r>
          </w:p>
        </w:tc>
        <w:tc>
          <w:tcPr>
            <w:tcW w:w="785" w:type="pct"/>
            <w:tcBorders>
              <w:top w:val="single" w:sz="4" w:space="0" w:color="auto"/>
              <w:left w:val="single" w:sz="4" w:space="0" w:color="auto"/>
              <w:bottom w:val="single" w:sz="4" w:space="0" w:color="auto"/>
              <w:right w:val="nil"/>
            </w:tcBorders>
          </w:tcPr>
          <w:p w14:paraId="50CE6EC4" w14:textId="77777777" w:rsidR="00855854" w:rsidRPr="00EB3261" w:rsidRDefault="00855854" w:rsidP="00855854">
            <w:pPr>
              <w:spacing w:after="0" w:line="240" w:lineRule="auto"/>
              <w:jc w:val="right"/>
              <w:rPr>
                <w:rFonts w:asciiTheme="majorHAnsi" w:eastAsia="Times New Roman" w:hAnsiTheme="majorHAnsi" w:cs="Times New Roman"/>
                <w:color w:val="000000"/>
                <w:sz w:val="16"/>
                <w:szCs w:val="16"/>
                <w:lang w:eastAsia="en-AU"/>
              </w:rPr>
            </w:pPr>
            <w:r w:rsidRPr="00EB3261">
              <w:rPr>
                <w:sz w:val="16"/>
                <w:szCs w:val="16"/>
              </w:rPr>
              <w:t xml:space="preserve"> -   </w:t>
            </w:r>
          </w:p>
        </w:tc>
        <w:tc>
          <w:tcPr>
            <w:tcW w:w="838" w:type="pct"/>
            <w:tcBorders>
              <w:top w:val="single" w:sz="4" w:space="0" w:color="auto"/>
              <w:left w:val="nil"/>
              <w:bottom w:val="single" w:sz="4" w:space="0" w:color="auto"/>
              <w:right w:val="nil"/>
            </w:tcBorders>
          </w:tcPr>
          <w:p w14:paraId="1A7C339E" w14:textId="3699ADAD" w:rsidR="00855854" w:rsidRPr="00032A89" w:rsidRDefault="00855854" w:rsidP="00855854">
            <w:pPr>
              <w:spacing w:after="0" w:line="240" w:lineRule="auto"/>
              <w:jc w:val="right"/>
              <w:rPr>
                <w:sz w:val="16"/>
                <w:szCs w:val="16"/>
                <w:highlight w:val="lightGray"/>
              </w:rPr>
            </w:pPr>
            <w:r w:rsidRPr="001C2286">
              <w:rPr>
                <w:sz w:val="16"/>
                <w:szCs w:val="16"/>
              </w:rPr>
              <w:t xml:space="preserve"> 7,</w:t>
            </w:r>
            <w:r w:rsidR="00923F7A">
              <w:rPr>
                <w:sz w:val="16"/>
                <w:szCs w:val="16"/>
              </w:rPr>
              <w:t>5</w:t>
            </w:r>
            <w:r w:rsidRPr="001C2286">
              <w:rPr>
                <w:sz w:val="16"/>
                <w:szCs w:val="16"/>
              </w:rPr>
              <w:t xml:space="preserve">00 </w:t>
            </w:r>
          </w:p>
        </w:tc>
      </w:tr>
      <w:tr w:rsidR="00855854" w:rsidRPr="00E6735F" w14:paraId="74B40415" w14:textId="77777777" w:rsidTr="006F4D85">
        <w:trPr>
          <w:trHeight w:val="225"/>
        </w:trPr>
        <w:tc>
          <w:tcPr>
            <w:tcW w:w="1991" w:type="pct"/>
            <w:tcBorders>
              <w:right w:val="nil"/>
            </w:tcBorders>
          </w:tcPr>
          <w:p w14:paraId="670CD6D7" w14:textId="77777777" w:rsidR="00855854" w:rsidRPr="00E6735F" w:rsidRDefault="00855854" w:rsidP="00855854">
            <w:pPr>
              <w:spacing w:after="0" w:line="240" w:lineRule="auto"/>
              <w:ind w:left="284"/>
              <w:rPr>
                <w:rFonts w:asciiTheme="majorHAnsi" w:eastAsia="Times New Roman" w:hAnsiTheme="majorHAnsi" w:cs="Times New Roman"/>
                <w:color w:val="000000"/>
                <w:sz w:val="16"/>
                <w:szCs w:val="16"/>
                <w:lang w:eastAsia="en-AU"/>
              </w:rPr>
            </w:pPr>
            <w:r w:rsidRPr="00E6735F">
              <w:rPr>
                <w:rFonts w:asciiTheme="majorHAnsi" w:eastAsia="Times New Roman" w:hAnsiTheme="majorHAnsi" w:cs="Times New Roman"/>
                <w:color w:val="000000"/>
                <w:sz w:val="16"/>
                <w:szCs w:val="16"/>
                <w:lang w:eastAsia="en-AU"/>
              </w:rPr>
              <w:t xml:space="preserve">% change from </w:t>
            </w:r>
            <w:r>
              <w:rPr>
                <w:rFonts w:asciiTheme="majorHAnsi" w:eastAsia="Times New Roman" w:hAnsiTheme="majorHAnsi" w:cs="Times New Roman"/>
                <w:color w:val="000000"/>
                <w:sz w:val="16"/>
                <w:szCs w:val="16"/>
                <w:lang w:eastAsia="en-AU"/>
              </w:rPr>
              <w:t>base case</w:t>
            </w:r>
          </w:p>
        </w:tc>
        <w:tc>
          <w:tcPr>
            <w:tcW w:w="600" w:type="pct"/>
            <w:tcBorders>
              <w:top w:val="single" w:sz="4" w:space="0" w:color="auto"/>
              <w:left w:val="nil"/>
              <w:bottom w:val="single" w:sz="4" w:space="0" w:color="auto"/>
              <w:right w:val="nil"/>
            </w:tcBorders>
          </w:tcPr>
          <w:p w14:paraId="729ADB2E" w14:textId="77777777" w:rsidR="00855854" w:rsidRPr="00EB3261" w:rsidRDefault="00855854" w:rsidP="00855854">
            <w:pPr>
              <w:spacing w:after="0" w:line="240" w:lineRule="auto"/>
              <w:jc w:val="right"/>
              <w:rPr>
                <w:rFonts w:asciiTheme="majorHAnsi" w:eastAsia="Times New Roman" w:hAnsiTheme="majorHAnsi" w:cs="Times New Roman"/>
                <w:color w:val="000000"/>
                <w:sz w:val="16"/>
                <w:szCs w:val="16"/>
                <w:lang w:eastAsia="en-AU"/>
              </w:rPr>
            </w:pPr>
            <w:r w:rsidRPr="00EB3261">
              <w:rPr>
                <w:sz w:val="16"/>
                <w:szCs w:val="16"/>
              </w:rPr>
              <w:t>-</w:t>
            </w:r>
          </w:p>
        </w:tc>
        <w:tc>
          <w:tcPr>
            <w:tcW w:w="786" w:type="pct"/>
            <w:tcBorders>
              <w:top w:val="single" w:sz="4" w:space="0" w:color="auto"/>
              <w:left w:val="nil"/>
              <w:bottom w:val="single" w:sz="4" w:space="0" w:color="auto"/>
              <w:right w:val="single" w:sz="4" w:space="0" w:color="auto"/>
            </w:tcBorders>
          </w:tcPr>
          <w:p w14:paraId="39D77530" w14:textId="40A8902D" w:rsidR="00855854" w:rsidRPr="00EB3261" w:rsidRDefault="00855854" w:rsidP="00855854">
            <w:pPr>
              <w:spacing w:after="0" w:line="240" w:lineRule="auto"/>
              <w:jc w:val="right"/>
              <w:rPr>
                <w:sz w:val="16"/>
                <w:szCs w:val="16"/>
              </w:rPr>
            </w:pPr>
            <w:r w:rsidRPr="00294BC2">
              <w:rPr>
                <w:sz w:val="16"/>
                <w:szCs w:val="16"/>
              </w:rPr>
              <w:t>1.94%</w:t>
            </w:r>
          </w:p>
        </w:tc>
        <w:tc>
          <w:tcPr>
            <w:tcW w:w="785" w:type="pct"/>
            <w:tcBorders>
              <w:top w:val="single" w:sz="4" w:space="0" w:color="auto"/>
              <w:left w:val="single" w:sz="4" w:space="0" w:color="auto"/>
              <w:bottom w:val="single" w:sz="4" w:space="0" w:color="auto"/>
              <w:right w:val="nil"/>
            </w:tcBorders>
          </w:tcPr>
          <w:p w14:paraId="19B7877C" w14:textId="77777777" w:rsidR="00855854" w:rsidRPr="00EB3261" w:rsidRDefault="00855854" w:rsidP="00855854">
            <w:pPr>
              <w:spacing w:after="0" w:line="240" w:lineRule="auto"/>
              <w:jc w:val="right"/>
              <w:rPr>
                <w:rFonts w:asciiTheme="majorHAnsi" w:eastAsia="Times New Roman" w:hAnsiTheme="majorHAnsi" w:cs="Times New Roman"/>
                <w:color w:val="000000"/>
                <w:sz w:val="16"/>
                <w:szCs w:val="16"/>
                <w:lang w:eastAsia="en-AU"/>
              </w:rPr>
            </w:pPr>
            <w:r w:rsidRPr="00EB3261">
              <w:rPr>
                <w:sz w:val="16"/>
                <w:szCs w:val="16"/>
              </w:rPr>
              <w:t>-</w:t>
            </w:r>
          </w:p>
        </w:tc>
        <w:tc>
          <w:tcPr>
            <w:tcW w:w="838" w:type="pct"/>
            <w:tcBorders>
              <w:top w:val="single" w:sz="4" w:space="0" w:color="auto"/>
              <w:left w:val="nil"/>
              <w:bottom w:val="single" w:sz="4" w:space="0" w:color="auto"/>
              <w:right w:val="nil"/>
            </w:tcBorders>
          </w:tcPr>
          <w:p w14:paraId="30D559BE" w14:textId="017F3EB3" w:rsidR="00855854" w:rsidRPr="00032A89" w:rsidRDefault="00855854" w:rsidP="00855854">
            <w:pPr>
              <w:spacing w:after="0" w:line="240" w:lineRule="auto"/>
              <w:jc w:val="right"/>
              <w:rPr>
                <w:sz w:val="16"/>
                <w:szCs w:val="16"/>
                <w:highlight w:val="lightGray"/>
              </w:rPr>
            </w:pPr>
            <w:r w:rsidRPr="001C2286">
              <w:rPr>
                <w:sz w:val="16"/>
                <w:szCs w:val="16"/>
              </w:rPr>
              <w:t>2.72%</w:t>
            </w:r>
          </w:p>
        </w:tc>
      </w:tr>
    </w:tbl>
    <w:p w14:paraId="05D0B457" w14:textId="34305801" w:rsidR="00BE15A8" w:rsidRDefault="00E6735F" w:rsidP="00A02CCD">
      <w:pPr>
        <w:pStyle w:val="Source"/>
      </w:pPr>
      <w:r>
        <w:t xml:space="preserve">Source: Deloitte Access Economics </w:t>
      </w:r>
      <w:r w:rsidR="00F93904">
        <w:t>(2025</w:t>
      </w:r>
      <w:r>
        <w:t>). Note that the totals may not equal to the sum of the individual age groups due to rounding.</w:t>
      </w:r>
    </w:p>
    <w:tbl>
      <w:tblPr>
        <w:tblStyle w:val="TableGrid"/>
        <w:tblW w:w="0" w:type="auto"/>
        <w:shd w:val="clear" w:color="auto" w:fill="DFF0F9" w:themeFill="accent3" w:themeFillTint="33"/>
        <w:tblCellMar>
          <w:top w:w="113" w:type="dxa"/>
          <w:left w:w="113" w:type="dxa"/>
          <w:bottom w:w="113" w:type="dxa"/>
          <w:right w:w="113" w:type="dxa"/>
        </w:tblCellMar>
        <w:tblLook w:val="04A0" w:firstRow="1" w:lastRow="0" w:firstColumn="1" w:lastColumn="0" w:noHBand="0" w:noVBand="1"/>
      </w:tblPr>
      <w:tblGrid>
        <w:gridCol w:w="9026"/>
      </w:tblGrid>
      <w:tr w:rsidR="00E6735F" w14:paraId="5CAC4F24" w14:textId="77777777" w:rsidTr="00E6735F">
        <w:trPr>
          <w:cnfStyle w:val="100000000000" w:firstRow="1" w:lastRow="0" w:firstColumn="0" w:lastColumn="0" w:oddVBand="0" w:evenVBand="0" w:oddHBand="0" w:evenHBand="0" w:firstRowFirstColumn="0" w:firstRowLastColumn="0" w:lastRowFirstColumn="0" w:lastRowLastColumn="0"/>
        </w:trPr>
        <w:tc>
          <w:tcPr>
            <w:tcW w:w="9026" w:type="dxa"/>
            <w:shd w:val="clear" w:color="auto" w:fill="DFF0F9" w:themeFill="accent3" w:themeFillTint="33"/>
          </w:tcPr>
          <w:p w14:paraId="0C679416" w14:textId="5D7D2380" w:rsidR="00E6735F" w:rsidRPr="00E6735F" w:rsidRDefault="00712CC7" w:rsidP="008763FA">
            <w:pPr>
              <w:keepNext/>
              <w:rPr>
                <w:b/>
                <w:bCs/>
              </w:rPr>
            </w:pPr>
            <w:r>
              <w:rPr>
                <w:b/>
                <w:bCs/>
              </w:rPr>
              <w:lastRenderedPageBreak/>
              <w:t xml:space="preserve">Box ii: </w:t>
            </w:r>
            <w:r w:rsidR="00E6735F" w:rsidRPr="00E6735F">
              <w:rPr>
                <w:b/>
                <w:bCs/>
              </w:rPr>
              <w:t>Avoided social costs</w:t>
            </w:r>
            <w:r w:rsidR="000D3725">
              <w:rPr>
                <w:b/>
                <w:bCs/>
              </w:rPr>
              <w:t xml:space="preserve"> from improved </w:t>
            </w:r>
            <w:r w:rsidR="002917EB">
              <w:rPr>
                <w:b/>
                <w:bCs/>
              </w:rPr>
              <w:t>cognitive outcomes for children</w:t>
            </w:r>
          </w:p>
          <w:p w14:paraId="06F44310" w14:textId="4A5FFB82" w:rsidR="00E95732" w:rsidRDefault="00E6735F" w:rsidP="00F95D5A">
            <w:r w:rsidRPr="00E6735F">
              <w:t xml:space="preserve">In addition </w:t>
            </w:r>
            <w:r>
              <w:t xml:space="preserve">to </w:t>
            </w:r>
            <w:r w:rsidR="00A02CCD">
              <w:t>building human capital and improving children’s labour market outcomes</w:t>
            </w:r>
            <w:r>
              <w:t xml:space="preserve">, </w:t>
            </w:r>
            <w:r w:rsidR="00A02CCD">
              <w:t xml:space="preserve">the </w:t>
            </w:r>
            <w:r>
              <w:t xml:space="preserve">BSBL reforms are </w:t>
            </w:r>
            <w:r w:rsidR="00A02CCD">
              <w:t xml:space="preserve">also expected to </w:t>
            </w:r>
            <w:r>
              <w:t>improv</w:t>
            </w:r>
            <w:r w:rsidR="00A02CCD">
              <w:t>e children’s longer term</w:t>
            </w:r>
            <w:r>
              <w:t xml:space="preserve"> health outcomes</w:t>
            </w:r>
            <w:r w:rsidR="00A02CCD">
              <w:t xml:space="preserve">, reduce reliance on welfare, </w:t>
            </w:r>
            <w:r>
              <w:t xml:space="preserve">and </w:t>
            </w:r>
            <w:r w:rsidR="00A02CCD">
              <w:t xml:space="preserve">reduce </w:t>
            </w:r>
            <w:r>
              <w:t>crime.</w:t>
            </w:r>
            <w:r w:rsidR="00F3510B">
              <w:t xml:space="preserve"> Drawing on </w:t>
            </w:r>
            <w:r w:rsidR="00851865">
              <w:t>research</w:t>
            </w:r>
            <w:r w:rsidR="00BD055D">
              <w:t xml:space="preserve"> by </w:t>
            </w:r>
            <w:r w:rsidR="00F3510B">
              <w:t>Lamb and Huo (2017)</w:t>
            </w:r>
            <w:r w:rsidR="00F3510B">
              <w:rPr>
                <w:rStyle w:val="FootnoteReference"/>
              </w:rPr>
              <w:footnoteReference w:id="26"/>
            </w:r>
            <w:r w:rsidR="00F3510B">
              <w:t xml:space="preserve"> </w:t>
            </w:r>
            <w:r w:rsidR="00BD055D">
              <w:t xml:space="preserve">on the </w:t>
            </w:r>
            <w:r w:rsidR="006D34F4">
              <w:t xml:space="preserve">social costs associated with early school leavers, </w:t>
            </w:r>
            <w:r w:rsidR="00137C65">
              <w:t xml:space="preserve">this study estimates </w:t>
            </w:r>
            <w:r w:rsidR="00FE0E8D">
              <w:t xml:space="preserve">the </w:t>
            </w:r>
            <w:r w:rsidR="00A915BF">
              <w:t xml:space="preserve">broader </w:t>
            </w:r>
            <w:r w:rsidR="00C00282">
              <w:t xml:space="preserve">social </w:t>
            </w:r>
            <w:r w:rsidR="00A915BF">
              <w:t>benefits</w:t>
            </w:r>
            <w:r w:rsidR="00137C65">
              <w:t xml:space="preserve"> </w:t>
            </w:r>
            <w:r w:rsidR="00092523">
              <w:t>associated</w:t>
            </w:r>
            <w:r w:rsidR="00A915BF">
              <w:t xml:space="preserve"> </w:t>
            </w:r>
            <w:r w:rsidR="00353F61">
              <w:t xml:space="preserve">higher </w:t>
            </w:r>
            <w:r w:rsidR="00BF6025">
              <w:t xml:space="preserve">Year 12 </w:t>
            </w:r>
            <w:r w:rsidR="00353F61">
              <w:t>attainment under the reforms</w:t>
            </w:r>
            <w:r w:rsidR="00BF6025">
              <w:t>.</w:t>
            </w:r>
            <w:r w:rsidR="00C00282">
              <w:t xml:space="preserve"> </w:t>
            </w:r>
            <w:r w:rsidR="00FE0E8D">
              <w:t xml:space="preserve">As a result of the reforms, there are expected </w:t>
            </w:r>
            <w:r w:rsidR="00FE0E8D" w:rsidRPr="00855854">
              <w:t xml:space="preserve">between </w:t>
            </w:r>
            <w:r w:rsidR="00FE0E8D" w:rsidRPr="00EB3261">
              <w:t>$</w:t>
            </w:r>
            <w:r w:rsidR="00855854" w:rsidRPr="00EB3261">
              <w:t>2</w:t>
            </w:r>
            <w:r w:rsidR="001E3291">
              <w:t>12</w:t>
            </w:r>
            <w:r w:rsidR="00FE0E8D" w:rsidRPr="00EB3261">
              <w:t xml:space="preserve"> million and $</w:t>
            </w:r>
            <w:r w:rsidR="001E3291">
              <w:t>284</w:t>
            </w:r>
            <w:r w:rsidR="00FE0E8D" w:rsidRPr="00EB3261">
              <w:t xml:space="preserve"> million</w:t>
            </w:r>
            <w:r w:rsidR="00FE0E8D" w:rsidRPr="00855854">
              <w:t xml:space="preserve"> in annual</w:t>
            </w:r>
            <w:r w:rsidR="00FE0E8D">
              <w:t xml:space="preserve"> avoided social costs by 20</w:t>
            </w:r>
            <w:r w:rsidR="00FE0E8D" w:rsidDel="000F3532">
              <w:t>6</w:t>
            </w:r>
            <w:r w:rsidR="00855854">
              <w:t>5</w:t>
            </w:r>
            <w:r w:rsidR="00FE0E8D" w:rsidDel="000F3532">
              <w:t>-6</w:t>
            </w:r>
            <w:r w:rsidR="00855854">
              <w:t>6</w:t>
            </w:r>
            <w:r w:rsidR="00A02CCD">
              <w:t>.</w:t>
            </w:r>
          </w:p>
          <w:p w14:paraId="7A48EB9D" w14:textId="5F407F0B" w:rsidR="00E6735F" w:rsidRDefault="00F3510B" w:rsidP="00F95D5A">
            <w:pPr>
              <w:pStyle w:val="ExecTableCaption"/>
            </w:pPr>
            <w:r w:rsidRPr="00C904C9">
              <w:t xml:space="preserve">: </w:t>
            </w:r>
            <w:r w:rsidR="00A7318D">
              <w:t>Annual a</w:t>
            </w:r>
            <w:r>
              <w:t xml:space="preserve">voided </w:t>
            </w:r>
            <w:r w:rsidRPr="00851865">
              <w:t>social</w:t>
            </w:r>
            <w:r>
              <w:t xml:space="preserve"> costs of </w:t>
            </w:r>
            <w:r w:rsidR="00B40582">
              <w:t>the BSBL reforms ($</w:t>
            </w:r>
            <w:r w:rsidR="009E224B">
              <w:t xml:space="preserve"> millions</w:t>
            </w:r>
            <w:r w:rsidR="00E95732">
              <w:t xml:space="preserve">, </w:t>
            </w:r>
            <w:r w:rsidR="00432351">
              <w:t xml:space="preserve">2025 </w:t>
            </w:r>
            <w:r w:rsidR="00E95732">
              <w:t>dollars</w:t>
            </w:r>
            <w:r w:rsidR="009E224B">
              <w:t>)</w:t>
            </w:r>
          </w:p>
          <w:tbl>
            <w:tblPr>
              <w:tblStyle w:val="Deloittetable"/>
              <w:tblW w:w="5000" w:type="pct"/>
              <w:tblCellMar>
                <w:left w:w="57" w:type="dxa"/>
                <w:right w:w="57" w:type="dxa"/>
              </w:tblCellMar>
              <w:tblLook w:val="04A0" w:firstRow="1" w:lastRow="0" w:firstColumn="1" w:lastColumn="0" w:noHBand="0" w:noVBand="1"/>
            </w:tblPr>
            <w:tblGrid>
              <w:gridCol w:w="4136"/>
              <w:gridCol w:w="2332"/>
              <w:gridCol w:w="2332"/>
            </w:tblGrid>
            <w:tr w:rsidR="00851865" w:rsidRPr="00825713" w14:paraId="4735716E" w14:textId="77777777" w:rsidTr="008763FA">
              <w:trPr>
                <w:cnfStyle w:val="100000000000" w:firstRow="1" w:lastRow="0" w:firstColumn="0" w:lastColumn="0" w:oddVBand="0" w:evenVBand="0" w:oddHBand="0" w:evenHBand="0" w:firstRowFirstColumn="0" w:firstRowLastColumn="0" w:lastRowFirstColumn="0" w:lastRowLastColumn="0"/>
                <w:trHeight w:val="20"/>
              </w:trPr>
              <w:tc>
                <w:tcPr>
                  <w:tcW w:w="2350" w:type="pct"/>
                  <w:hideMark/>
                </w:tcPr>
                <w:p w14:paraId="0ABCDF41" w14:textId="77777777" w:rsidR="00851865" w:rsidRPr="00E80E28" w:rsidRDefault="00851865" w:rsidP="00851865">
                  <w:pPr>
                    <w:spacing w:after="0" w:line="240" w:lineRule="auto"/>
                    <w:rPr>
                      <w:rFonts w:eastAsia="Times New Roman" w:cs="Times New Roman"/>
                      <w:b/>
                      <w:color w:val="000000"/>
                      <w:sz w:val="16"/>
                      <w:szCs w:val="16"/>
                      <w:lang w:eastAsia="en-AU"/>
                    </w:rPr>
                  </w:pPr>
                </w:p>
              </w:tc>
              <w:tc>
                <w:tcPr>
                  <w:tcW w:w="1325" w:type="pct"/>
                  <w:noWrap/>
                  <w:hideMark/>
                </w:tcPr>
                <w:p w14:paraId="0ACD71B2" w14:textId="77777777" w:rsidR="00851865" w:rsidRPr="00E80E28" w:rsidRDefault="00851865" w:rsidP="00851865">
                  <w:pPr>
                    <w:spacing w:after="0" w:line="240" w:lineRule="auto"/>
                    <w:jc w:val="center"/>
                    <w:rPr>
                      <w:rFonts w:eastAsia="Times New Roman" w:cs="Times New Roman"/>
                      <w:b/>
                      <w:color w:val="000000"/>
                      <w:sz w:val="16"/>
                      <w:szCs w:val="16"/>
                      <w:lang w:eastAsia="en-AU"/>
                    </w:rPr>
                  </w:pPr>
                  <w:r>
                    <w:rPr>
                      <w:rFonts w:eastAsia="Times New Roman" w:cs="Times New Roman"/>
                      <w:b/>
                      <w:color w:val="000000"/>
                      <w:sz w:val="16"/>
                      <w:szCs w:val="16"/>
                      <w:lang w:eastAsia="en-AU"/>
                    </w:rPr>
                    <w:t>Low</w:t>
                  </w:r>
                  <w:r w:rsidRPr="00E80E28">
                    <w:rPr>
                      <w:rFonts w:eastAsia="Times New Roman" w:cs="Times New Roman"/>
                      <w:b/>
                      <w:color w:val="000000"/>
                      <w:sz w:val="16"/>
                      <w:szCs w:val="16"/>
                      <w:lang w:eastAsia="en-AU"/>
                    </w:rPr>
                    <w:t xml:space="preserve"> impact</w:t>
                  </w:r>
                </w:p>
              </w:tc>
              <w:tc>
                <w:tcPr>
                  <w:tcW w:w="1325" w:type="pct"/>
                  <w:noWrap/>
                  <w:hideMark/>
                </w:tcPr>
                <w:p w14:paraId="068F6C2B" w14:textId="77777777" w:rsidR="00851865" w:rsidRPr="00E80E28" w:rsidRDefault="00851865" w:rsidP="00851865">
                  <w:pPr>
                    <w:spacing w:after="0" w:line="240" w:lineRule="auto"/>
                    <w:jc w:val="center"/>
                    <w:rPr>
                      <w:rFonts w:eastAsia="Times New Roman" w:cs="Times New Roman"/>
                      <w:b/>
                      <w:color w:val="000000"/>
                      <w:sz w:val="16"/>
                      <w:szCs w:val="16"/>
                      <w:lang w:eastAsia="en-AU"/>
                    </w:rPr>
                  </w:pPr>
                  <w:r>
                    <w:rPr>
                      <w:rFonts w:eastAsia="Times New Roman" w:cs="Times New Roman"/>
                      <w:b/>
                      <w:color w:val="000000"/>
                      <w:sz w:val="16"/>
                      <w:szCs w:val="16"/>
                      <w:lang w:eastAsia="en-AU"/>
                    </w:rPr>
                    <w:t xml:space="preserve">High </w:t>
                  </w:r>
                  <w:r w:rsidRPr="00E80E28">
                    <w:rPr>
                      <w:rFonts w:eastAsia="Times New Roman" w:cs="Times New Roman"/>
                      <w:b/>
                      <w:color w:val="000000"/>
                      <w:sz w:val="16"/>
                      <w:szCs w:val="16"/>
                      <w:lang w:eastAsia="en-AU"/>
                    </w:rPr>
                    <w:t>impact</w:t>
                  </w:r>
                </w:p>
              </w:tc>
            </w:tr>
            <w:tr w:rsidR="00855854" w:rsidRPr="00825713" w14:paraId="699109B2" w14:textId="77777777" w:rsidTr="00EB3261">
              <w:trPr>
                <w:trHeight w:val="20"/>
              </w:trPr>
              <w:tc>
                <w:tcPr>
                  <w:tcW w:w="2350" w:type="pct"/>
                  <w:hideMark/>
                </w:tcPr>
                <w:p w14:paraId="684D718F" w14:textId="77777777" w:rsidR="00855854" w:rsidRPr="00E80E28" w:rsidRDefault="00855854" w:rsidP="00855854">
                  <w:pPr>
                    <w:spacing w:after="0" w:line="240" w:lineRule="auto"/>
                    <w:rPr>
                      <w:rFonts w:eastAsia="Times New Roman" w:cs="Times New Roman"/>
                      <w:b/>
                      <w:color w:val="000000"/>
                      <w:sz w:val="16"/>
                      <w:szCs w:val="16"/>
                      <w:lang w:eastAsia="en-AU"/>
                    </w:rPr>
                  </w:pPr>
                </w:p>
              </w:tc>
              <w:tc>
                <w:tcPr>
                  <w:tcW w:w="1325" w:type="pct"/>
                  <w:noWrap/>
                  <w:vAlign w:val="center"/>
                  <w:hideMark/>
                </w:tcPr>
                <w:p w14:paraId="7E0A6AAA" w14:textId="4856BA83" w:rsidR="00855854" w:rsidRPr="00DF5283" w:rsidRDefault="00855854" w:rsidP="00855854">
                  <w:pPr>
                    <w:spacing w:after="0" w:line="240" w:lineRule="auto"/>
                    <w:jc w:val="center"/>
                    <w:rPr>
                      <w:rFonts w:eastAsia="Times New Roman" w:cs="Times New Roman"/>
                      <w:b/>
                      <w:color w:val="000000"/>
                      <w:sz w:val="16"/>
                      <w:szCs w:val="16"/>
                      <w:highlight w:val="lightGray"/>
                      <w:lang w:eastAsia="en-AU"/>
                    </w:rPr>
                  </w:pPr>
                  <w:r>
                    <w:rPr>
                      <w:b/>
                      <w:bCs/>
                      <w:color w:val="000000"/>
                      <w:sz w:val="16"/>
                      <w:szCs w:val="16"/>
                    </w:rPr>
                    <w:t>2065-66</w:t>
                  </w:r>
                </w:p>
              </w:tc>
              <w:tc>
                <w:tcPr>
                  <w:tcW w:w="1325" w:type="pct"/>
                  <w:noWrap/>
                  <w:vAlign w:val="center"/>
                  <w:hideMark/>
                </w:tcPr>
                <w:p w14:paraId="70AAF54A" w14:textId="423E148C" w:rsidR="00855854" w:rsidRPr="00DF5283" w:rsidRDefault="00855854" w:rsidP="00855854">
                  <w:pPr>
                    <w:spacing w:after="0" w:line="240" w:lineRule="auto"/>
                    <w:jc w:val="center"/>
                    <w:rPr>
                      <w:rFonts w:eastAsia="Times New Roman" w:cs="Times New Roman"/>
                      <w:b/>
                      <w:color w:val="000000"/>
                      <w:sz w:val="16"/>
                      <w:szCs w:val="16"/>
                      <w:highlight w:val="lightGray"/>
                      <w:lang w:eastAsia="en-AU"/>
                    </w:rPr>
                  </w:pPr>
                  <w:r>
                    <w:rPr>
                      <w:b/>
                      <w:bCs/>
                      <w:color w:val="000000"/>
                      <w:sz w:val="16"/>
                      <w:szCs w:val="16"/>
                    </w:rPr>
                    <w:t>2065-66</w:t>
                  </w:r>
                </w:p>
              </w:tc>
            </w:tr>
            <w:tr w:rsidR="00432351" w:rsidRPr="00825713" w14:paraId="58EA5BC1" w14:textId="77777777" w:rsidTr="008763FA">
              <w:trPr>
                <w:trHeight w:val="58"/>
              </w:trPr>
              <w:tc>
                <w:tcPr>
                  <w:tcW w:w="2350" w:type="pct"/>
                </w:tcPr>
                <w:p w14:paraId="7C2DEE91" w14:textId="77777777" w:rsidR="00432351" w:rsidRPr="00E80E28" w:rsidRDefault="00432351" w:rsidP="00432351">
                  <w:pPr>
                    <w:spacing w:after="0" w:line="240" w:lineRule="auto"/>
                    <w:rPr>
                      <w:rFonts w:eastAsia="Times New Roman" w:cs="Times New Roman"/>
                      <w:color w:val="000000"/>
                      <w:sz w:val="16"/>
                      <w:szCs w:val="16"/>
                      <w:lang w:eastAsia="en-AU"/>
                    </w:rPr>
                  </w:pPr>
                  <w:r>
                    <w:rPr>
                      <w:sz w:val="16"/>
                      <w:szCs w:val="16"/>
                    </w:rPr>
                    <w:t>Public h</w:t>
                  </w:r>
                  <w:r w:rsidRPr="00E80E28">
                    <w:rPr>
                      <w:sz w:val="16"/>
                      <w:szCs w:val="16"/>
                    </w:rPr>
                    <w:t>ealth</w:t>
                  </w:r>
                  <w:r>
                    <w:rPr>
                      <w:sz w:val="16"/>
                      <w:szCs w:val="16"/>
                    </w:rPr>
                    <w:t xml:space="preserve"> expenditure</w:t>
                  </w:r>
                </w:p>
              </w:tc>
              <w:tc>
                <w:tcPr>
                  <w:tcW w:w="1325" w:type="pct"/>
                  <w:vAlign w:val="center"/>
                </w:tcPr>
                <w:p w14:paraId="09262904" w14:textId="3FAA99DB" w:rsidR="00432351" w:rsidRPr="008763FA" w:rsidRDefault="001E3291" w:rsidP="00432351">
                  <w:pPr>
                    <w:spacing w:after="0" w:line="240" w:lineRule="auto"/>
                    <w:jc w:val="center"/>
                    <w:rPr>
                      <w:rFonts w:eastAsia="Times New Roman" w:cs="Times New Roman"/>
                      <w:color w:val="000000"/>
                      <w:sz w:val="16"/>
                      <w:szCs w:val="16"/>
                      <w:highlight w:val="lightGray"/>
                      <w:lang w:eastAsia="en-AU"/>
                    </w:rPr>
                  </w:pPr>
                  <w:r>
                    <w:rPr>
                      <w:color w:val="000000"/>
                      <w:sz w:val="16"/>
                      <w:szCs w:val="16"/>
                    </w:rPr>
                    <w:t>7</w:t>
                  </w:r>
                </w:p>
              </w:tc>
              <w:tc>
                <w:tcPr>
                  <w:tcW w:w="1325" w:type="pct"/>
                  <w:vAlign w:val="center"/>
                </w:tcPr>
                <w:p w14:paraId="18002724" w14:textId="2F61FFF4" w:rsidR="00432351" w:rsidRPr="008763FA" w:rsidRDefault="001E3291" w:rsidP="00432351">
                  <w:pPr>
                    <w:spacing w:after="0" w:line="240" w:lineRule="auto"/>
                    <w:jc w:val="center"/>
                    <w:rPr>
                      <w:rFonts w:eastAsia="Times New Roman" w:cs="Times New Roman"/>
                      <w:color w:val="000000"/>
                      <w:sz w:val="16"/>
                      <w:szCs w:val="16"/>
                      <w:highlight w:val="lightGray"/>
                      <w:lang w:eastAsia="en-AU"/>
                    </w:rPr>
                  </w:pPr>
                  <w:r>
                    <w:rPr>
                      <w:color w:val="000000"/>
                      <w:sz w:val="16"/>
                      <w:szCs w:val="16"/>
                    </w:rPr>
                    <w:t>9</w:t>
                  </w:r>
                </w:p>
              </w:tc>
            </w:tr>
            <w:tr w:rsidR="00432351" w:rsidRPr="00825713" w14:paraId="5E7353D0" w14:textId="77777777" w:rsidTr="008763FA">
              <w:trPr>
                <w:trHeight w:val="23"/>
              </w:trPr>
              <w:tc>
                <w:tcPr>
                  <w:tcW w:w="2350" w:type="pct"/>
                </w:tcPr>
                <w:p w14:paraId="31CEE67D" w14:textId="77777777" w:rsidR="00432351" w:rsidRPr="00E80E28" w:rsidRDefault="00432351" w:rsidP="00432351">
                  <w:pPr>
                    <w:spacing w:after="0" w:line="240" w:lineRule="auto"/>
                    <w:rPr>
                      <w:rFonts w:eastAsia="Times New Roman" w:cs="Times New Roman"/>
                      <w:color w:val="000000"/>
                      <w:sz w:val="16"/>
                      <w:szCs w:val="16"/>
                      <w:lang w:eastAsia="en-AU"/>
                    </w:rPr>
                  </w:pPr>
                  <w:r>
                    <w:rPr>
                      <w:rFonts w:eastAsia="Times New Roman" w:cs="Times New Roman"/>
                      <w:color w:val="000000"/>
                      <w:sz w:val="16"/>
                      <w:szCs w:val="16"/>
                      <w:lang w:eastAsia="en-AU"/>
                    </w:rPr>
                    <w:t>Welfare payments</w:t>
                  </w:r>
                </w:p>
              </w:tc>
              <w:tc>
                <w:tcPr>
                  <w:tcW w:w="1325" w:type="pct"/>
                  <w:vAlign w:val="center"/>
                </w:tcPr>
                <w:p w14:paraId="696D080C" w14:textId="7A1D4D65" w:rsidR="00432351" w:rsidRPr="008763FA" w:rsidRDefault="00432351" w:rsidP="00432351">
                  <w:pPr>
                    <w:spacing w:after="0" w:line="240" w:lineRule="auto"/>
                    <w:jc w:val="center"/>
                    <w:rPr>
                      <w:rFonts w:eastAsia="Times New Roman" w:cs="Times New Roman"/>
                      <w:color w:val="000000"/>
                      <w:sz w:val="16"/>
                      <w:szCs w:val="16"/>
                      <w:highlight w:val="lightGray"/>
                      <w:lang w:eastAsia="en-AU"/>
                    </w:rPr>
                  </w:pPr>
                  <w:r>
                    <w:rPr>
                      <w:color w:val="000000"/>
                      <w:sz w:val="16"/>
                      <w:szCs w:val="16"/>
                    </w:rPr>
                    <w:t>1</w:t>
                  </w:r>
                  <w:r w:rsidR="001E3291">
                    <w:rPr>
                      <w:color w:val="000000"/>
                      <w:sz w:val="16"/>
                      <w:szCs w:val="16"/>
                    </w:rPr>
                    <w:t>69</w:t>
                  </w:r>
                </w:p>
              </w:tc>
              <w:tc>
                <w:tcPr>
                  <w:tcW w:w="1325" w:type="pct"/>
                  <w:vAlign w:val="center"/>
                </w:tcPr>
                <w:p w14:paraId="16DAAEDF" w14:textId="6D52DB42" w:rsidR="00432351" w:rsidRPr="008763FA" w:rsidRDefault="00432351" w:rsidP="00432351">
                  <w:pPr>
                    <w:spacing w:after="0" w:line="240" w:lineRule="auto"/>
                    <w:jc w:val="center"/>
                    <w:rPr>
                      <w:rFonts w:eastAsia="Times New Roman" w:cs="Times New Roman"/>
                      <w:color w:val="000000"/>
                      <w:sz w:val="16"/>
                      <w:szCs w:val="16"/>
                      <w:highlight w:val="lightGray"/>
                      <w:lang w:eastAsia="en-AU"/>
                    </w:rPr>
                  </w:pPr>
                  <w:r>
                    <w:rPr>
                      <w:color w:val="000000"/>
                      <w:sz w:val="16"/>
                      <w:szCs w:val="16"/>
                    </w:rPr>
                    <w:t>2</w:t>
                  </w:r>
                  <w:r w:rsidR="001E3291">
                    <w:rPr>
                      <w:color w:val="000000"/>
                      <w:sz w:val="16"/>
                      <w:szCs w:val="16"/>
                    </w:rPr>
                    <w:t>27</w:t>
                  </w:r>
                </w:p>
              </w:tc>
            </w:tr>
            <w:tr w:rsidR="00432351" w:rsidRPr="00825713" w14:paraId="6DF3016D" w14:textId="77777777" w:rsidTr="008763FA">
              <w:trPr>
                <w:trHeight w:val="23"/>
              </w:trPr>
              <w:tc>
                <w:tcPr>
                  <w:tcW w:w="2350" w:type="pct"/>
                </w:tcPr>
                <w:p w14:paraId="09633240" w14:textId="77777777" w:rsidR="00432351" w:rsidRPr="00E80E28" w:rsidRDefault="00432351" w:rsidP="00432351">
                  <w:pPr>
                    <w:spacing w:after="0" w:line="240" w:lineRule="auto"/>
                    <w:rPr>
                      <w:sz w:val="16"/>
                      <w:szCs w:val="16"/>
                    </w:rPr>
                  </w:pPr>
                  <w:r w:rsidRPr="00E80E28">
                    <w:rPr>
                      <w:sz w:val="16"/>
                      <w:szCs w:val="16"/>
                    </w:rPr>
                    <w:t>Crime</w:t>
                  </w:r>
                  <w:r>
                    <w:rPr>
                      <w:sz w:val="16"/>
                      <w:szCs w:val="16"/>
                    </w:rPr>
                    <w:t xml:space="preserve"> and law enforcement (both government expenditure and costs to society)</w:t>
                  </w:r>
                </w:p>
              </w:tc>
              <w:tc>
                <w:tcPr>
                  <w:tcW w:w="1325" w:type="pct"/>
                  <w:vAlign w:val="center"/>
                </w:tcPr>
                <w:p w14:paraId="3D8B7301" w14:textId="08990E6C" w:rsidR="00432351" w:rsidRPr="008763FA" w:rsidRDefault="00432351" w:rsidP="00432351">
                  <w:pPr>
                    <w:spacing w:after="0" w:line="240" w:lineRule="auto"/>
                    <w:jc w:val="center"/>
                    <w:rPr>
                      <w:highlight w:val="lightGray"/>
                    </w:rPr>
                  </w:pPr>
                  <w:r>
                    <w:rPr>
                      <w:color w:val="000000"/>
                      <w:sz w:val="16"/>
                      <w:szCs w:val="16"/>
                    </w:rPr>
                    <w:t>3</w:t>
                  </w:r>
                  <w:r w:rsidR="001E3291">
                    <w:rPr>
                      <w:color w:val="000000"/>
                      <w:sz w:val="16"/>
                      <w:szCs w:val="16"/>
                    </w:rPr>
                    <w:t>5</w:t>
                  </w:r>
                </w:p>
              </w:tc>
              <w:tc>
                <w:tcPr>
                  <w:tcW w:w="1325" w:type="pct"/>
                  <w:vAlign w:val="center"/>
                </w:tcPr>
                <w:p w14:paraId="29C7B838" w14:textId="27F2138D" w:rsidR="00432351" w:rsidRPr="008763FA" w:rsidRDefault="001E3291" w:rsidP="00432351">
                  <w:pPr>
                    <w:spacing w:after="0" w:line="240" w:lineRule="auto"/>
                    <w:jc w:val="center"/>
                    <w:rPr>
                      <w:highlight w:val="lightGray"/>
                    </w:rPr>
                  </w:pPr>
                  <w:r>
                    <w:rPr>
                      <w:color w:val="000000"/>
                      <w:sz w:val="16"/>
                      <w:szCs w:val="16"/>
                    </w:rPr>
                    <w:t>47</w:t>
                  </w:r>
                </w:p>
              </w:tc>
            </w:tr>
            <w:tr w:rsidR="00432351" w:rsidRPr="00825713" w14:paraId="3953B4C0" w14:textId="77777777" w:rsidTr="008763FA">
              <w:trPr>
                <w:trHeight w:val="23"/>
              </w:trPr>
              <w:tc>
                <w:tcPr>
                  <w:tcW w:w="2350" w:type="pct"/>
                  <w:hideMark/>
                </w:tcPr>
                <w:p w14:paraId="1E8A9E92" w14:textId="77777777" w:rsidR="00432351" w:rsidRPr="00E80E28" w:rsidRDefault="00432351" w:rsidP="00432351">
                  <w:pPr>
                    <w:spacing w:after="0" w:line="240" w:lineRule="auto"/>
                    <w:rPr>
                      <w:rFonts w:eastAsia="Times New Roman" w:cs="Times New Roman"/>
                      <w:b/>
                      <w:color w:val="000000"/>
                      <w:sz w:val="16"/>
                      <w:szCs w:val="16"/>
                      <w:lang w:eastAsia="en-AU"/>
                    </w:rPr>
                  </w:pPr>
                  <w:r w:rsidRPr="00E80E28">
                    <w:rPr>
                      <w:rFonts w:eastAsia="Times New Roman" w:cs="Times New Roman"/>
                      <w:b/>
                      <w:color w:val="000000"/>
                      <w:sz w:val="16"/>
                      <w:szCs w:val="16"/>
                      <w:lang w:eastAsia="en-AU"/>
                    </w:rPr>
                    <w:t>Total</w:t>
                  </w:r>
                </w:p>
              </w:tc>
              <w:tc>
                <w:tcPr>
                  <w:tcW w:w="1325" w:type="pct"/>
                  <w:vAlign w:val="center"/>
                  <w:hideMark/>
                </w:tcPr>
                <w:p w14:paraId="46F21723" w14:textId="3F8F592D" w:rsidR="00432351" w:rsidRPr="008763FA" w:rsidRDefault="00432351" w:rsidP="00432351">
                  <w:pPr>
                    <w:spacing w:after="0" w:line="240" w:lineRule="auto"/>
                    <w:jc w:val="center"/>
                    <w:rPr>
                      <w:rFonts w:eastAsia="Times New Roman" w:cs="Times New Roman"/>
                      <w:b/>
                      <w:color w:val="000000"/>
                      <w:sz w:val="16"/>
                      <w:szCs w:val="16"/>
                      <w:highlight w:val="lightGray"/>
                      <w:lang w:eastAsia="en-AU"/>
                    </w:rPr>
                  </w:pPr>
                  <w:r>
                    <w:rPr>
                      <w:b/>
                      <w:bCs/>
                      <w:color w:val="000000"/>
                      <w:sz w:val="16"/>
                      <w:szCs w:val="16"/>
                    </w:rPr>
                    <w:t>2</w:t>
                  </w:r>
                  <w:r w:rsidR="001E3291">
                    <w:rPr>
                      <w:b/>
                      <w:bCs/>
                      <w:color w:val="000000"/>
                      <w:sz w:val="16"/>
                      <w:szCs w:val="16"/>
                    </w:rPr>
                    <w:t>12</w:t>
                  </w:r>
                </w:p>
              </w:tc>
              <w:tc>
                <w:tcPr>
                  <w:tcW w:w="1325" w:type="pct"/>
                  <w:vAlign w:val="center"/>
                </w:tcPr>
                <w:p w14:paraId="506E7A39" w14:textId="2D7DE757" w:rsidR="00432351" w:rsidRPr="008763FA" w:rsidRDefault="001E3291" w:rsidP="00432351">
                  <w:pPr>
                    <w:spacing w:after="0" w:line="240" w:lineRule="auto"/>
                    <w:jc w:val="center"/>
                    <w:rPr>
                      <w:rFonts w:eastAsia="Times New Roman" w:cs="Times New Roman"/>
                      <w:b/>
                      <w:color w:val="000000"/>
                      <w:sz w:val="16"/>
                      <w:szCs w:val="16"/>
                      <w:highlight w:val="lightGray"/>
                      <w:lang w:eastAsia="en-AU"/>
                    </w:rPr>
                  </w:pPr>
                  <w:r>
                    <w:rPr>
                      <w:b/>
                      <w:bCs/>
                      <w:color w:val="000000"/>
                      <w:sz w:val="16"/>
                      <w:szCs w:val="16"/>
                    </w:rPr>
                    <w:t>284</w:t>
                  </w:r>
                </w:p>
              </w:tc>
            </w:tr>
          </w:tbl>
          <w:p w14:paraId="75E7E796" w14:textId="501B3765" w:rsidR="00A81604" w:rsidRPr="00A81604" w:rsidRDefault="00017107" w:rsidP="00D7215E">
            <w:pPr>
              <w:pStyle w:val="Caption"/>
              <w:spacing w:before="0"/>
            </w:pPr>
            <w:r w:rsidRPr="00AC51F0">
              <w:rPr>
                <w:sz w:val="14"/>
                <w:szCs w:val="14"/>
              </w:rPr>
              <w:t xml:space="preserve">Source: Deloitte Access Economics </w:t>
            </w:r>
            <w:r w:rsidR="00F93904">
              <w:rPr>
                <w:sz w:val="14"/>
                <w:szCs w:val="14"/>
              </w:rPr>
              <w:t>(2025</w:t>
            </w:r>
            <w:r w:rsidRPr="00AC51F0">
              <w:rPr>
                <w:sz w:val="14"/>
                <w:szCs w:val="14"/>
              </w:rPr>
              <w:t>).</w:t>
            </w:r>
          </w:p>
        </w:tc>
      </w:tr>
    </w:tbl>
    <w:p w14:paraId="64F02EAF" w14:textId="072AA46F" w:rsidR="00F95D5A" w:rsidRDefault="00F95D5A" w:rsidP="00F95D5A">
      <w:pPr>
        <w:pStyle w:val="HeadingA"/>
      </w:pPr>
      <w:r>
        <w:t xml:space="preserve">Impacts on </w:t>
      </w:r>
      <w:r w:rsidR="00980803">
        <w:t>primary carer</w:t>
      </w:r>
      <w:r>
        <w:t xml:space="preserve"> labour </w:t>
      </w:r>
      <w:r w:rsidR="00FC5A76">
        <w:t>supply and productivity</w:t>
      </w:r>
    </w:p>
    <w:p w14:paraId="0C346D45" w14:textId="090340B0" w:rsidR="001E1EA9" w:rsidRDefault="001E1EA9" w:rsidP="001E1EA9">
      <w:pPr>
        <w:rPr>
          <w:lang w:val="en-US"/>
        </w:rPr>
      </w:pPr>
      <w:r>
        <w:rPr>
          <w:lang w:val="en-US"/>
        </w:rPr>
        <w:t xml:space="preserve">Through expanding kindergarten and overall ECEC usage, the BSBL reforms are expected to allow more primary carers to return to the workforce or increase their hours worked. </w:t>
      </w:r>
    </w:p>
    <w:p w14:paraId="7A3C4DFE" w14:textId="32664C6E" w:rsidR="00FC5A76" w:rsidRDefault="002C7801" w:rsidP="00FC5A76">
      <w:r>
        <w:rPr>
          <w:lang w:val="en-US"/>
        </w:rPr>
        <w:t xml:space="preserve">Achieving </w:t>
      </w:r>
      <w:r w:rsidRPr="00BB030A">
        <w:rPr>
          <w:lang w:val="en-US"/>
        </w:rPr>
        <w:t xml:space="preserve">the aspirations of the BSBL </w:t>
      </w:r>
      <w:r w:rsidR="00A254CA" w:rsidRPr="00BB030A">
        <w:rPr>
          <w:lang w:val="en-US"/>
        </w:rPr>
        <w:t xml:space="preserve">reform </w:t>
      </w:r>
      <w:r w:rsidR="00746E7B" w:rsidRPr="00BB030A">
        <w:rPr>
          <w:lang w:val="en-US"/>
        </w:rPr>
        <w:t xml:space="preserve">is expected to </w:t>
      </w:r>
      <w:r w:rsidRPr="00BB030A">
        <w:rPr>
          <w:lang w:val="en-US"/>
        </w:rPr>
        <w:t xml:space="preserve">support an additional </w:t>
      </w:r>
      <w:r w:rsidR="00B10A7A" w:rsidRPr="00EB3261">
        <w:rPr>
          <w:lang w:val="en-US"/>
        </w:rPr>
        <w:t>13</w:t>
      </w:r>
      <w:r w:rsidRPr="00EB3261">
        <w:rPr>
          <w:lang w:val="en-US"/>
        </w:rPr>
        <w:t>,</w:t>
      </w:r>
      <w:r w:rsidR="00BB030A" w:rsidRPr="00EB3261">
        <w:rPr>
          <w:lang w:val="en-US"/>
        </w:rPr>
        <w:t>8</w:t>
      </w:r>
      <w:r w:rsidRPr="00EB3261">
        <w:rPr>
          <w:lang w:val="en-US"/>
        </w:rPr>
        <w:t xml:space="preserve">00 to </w:t>
      </w:r>
      <w:r w:rsidR="00B10A7A" w:rsidRPr="00EB3261">
        <w:rPr>
          <w:lang w:val="en-US"/>
        </w:rPr>
        <w:t>1</w:t>
      </w:r>
      <w:r w:rsidR="00BB030A" w:rsidRPr="00EB3261">
        <w:rPr>
          <w:lang w:val="en-US"/>
        </w:rPr>
        <w:t>9</w:t>
      </w:r>
      <w:r w:rsidRPr="00EB3261">
        <w:rPr>
          <w:lang w:val="en-US"/>
        </w:rPr>
        <w:t>,</w:t>
      </w:r>
      <w:r w:rsidR="00B10A7A" w:rsidRPr="00EB3261">
        <w:rPr>
          <w:lang w:val="en-US"/>
        </w:rPr>
        <w:t>0</w:t>
      </w:r>
      <w:r w:rsidRPr="00EB3261">
        <w:rPr>
          <w:lang w:val="en-US"/>
        </w:rPr>
        <w:t>00</w:t>
      </w:r>
      <w:r w:rsidRPr="00BB030A">
        <w:rPr>
          <w:lang w:val="en-US"/>
        </w:rPr>
        <w:t xml:space="preserve"> primary</w:t>
      </w:r>
      <w:r w:rsidRPr="008271F5">
        <w:rPr>
          <w:lang w:val="en-US"/>
        </w:rPr>
        <w:t xml:space="preserve"> carers </w:t>
      </w:r>
      <w:r w:rsidRPr="008271F5">
        <w:rPr>
          <w:rFonts w:asciiTheme="majorHAnsi" w:hAnsiTheme="majorHAnsi"/>
        </w:rPr>
        <w:t>with</w:t>
      </w:r>
      <w:r w:rsidRPr="008271F5">
        <w:rPr>
          <w:rFonts w:asciiTheme="majorHAnsi" w:hAnsiTheme="majorHAnsi"/>
          <w:bCs/>
          <w:sz w:val="16"/>
          <w:szCs w:val="16"/>
        </w:rPr>
        <w:t xml:space="preserve"> </w:t>
      </w:r>
      <w:r w:rsidRPr="008271F5">
        <w:rPr>
          <w:rFonts w:asciiTheme="majorHAnsi" w:hAnsiTheme="majorHAnsi"/>
        </w:rPr>
        <w:t>a child aged under five</w:t>
      </w:r>
      <w:r w:rsidRPr="008271F5">
        <w:rPr>
          <w:rFonts w:asciiTheme="majorHAnsi" w:hAnsiTheme="majorHAnsi"/>
          <w:b/>
          <w:sz w:val="16"/>
          <w:szCs w:val="16"/>
        </w:rPr>
        <w:t xml:space="preserve"> </w:t>
      </w:r>
      <w:r w:rsidRPr="008271F5">
        <w:rPr>
          <w:lang w:val="en-US"/>
        </w:rPr>
        <w:t xml:space="preserve">to participate in the </w:t>
      </w:r>
      <w:proofErr w:type="spellStart"/>
      <w:r w:rsidRPr="008271F5">
        <w:rPr>
          <w:lang w:val="en-US"/>
        </w:rPr>
        <w:t>labour</w:t>
      </w:r>
      <w:proofErr w:type="spellEnd"/>
      <w:r w:rsidRPr="008271F5">
        <w:rPr>
          <w:lang w:val="en-US"/>
        </w:rPr>
        <w:t xml:space="preserve"> force by </w:t>
      </w:r>
      <w:r w:rsidR="006148DA">
        <w:rPr>
          <w:lang w:val="en-US"/>
        </w:rPr>
        <w:t>203</w:t>
      </w:r>
      <w:r w:rsidR="00BB030A">
        <w:rPr>
          <w:lang w:val="en-US"/>
        </w:rPr>
        <w:t>5</w:t>
      </w:r>
      <w:r w:rsidR="006148DA">
        <w:rPr>
          <w:lang w:val="en-US"/>
        </w:rPr>
        <w:t>-3</w:t>
      </w:r>
      <w:r w:rsidR="00BB030A">
        <w:rPr>
          <w:lang w:val="en-US"/>
        </w:rPr>
        <w:t>6</w:t>
      </w:r>
      <w:r w:rsidR="00A74179">
        <w:rPr>
          <w:lang w:val="en-US"/>
        </w:rPr>
        <w:t xml:space="preserve">, and increase </w:t>
      </w:r>
      <w:r w:rsidR="0038774D">
        <w:rPr>
          <w:lang w:val="en-US"/>
        </w:rPr>
        <w:t xml:space="preserve">their </w:t>
      </w:r>
      <w:r w:rsidR="00A74179">
        <w:rPr>
          <w:lang w:val="en-US"/>
        </w:rPr>
        <w:t>total hours worked by</w:t>
      </w:r>
      <w:r w:rsidR="000F1ED4">
        <w:rPr>
          <w:lang w:val="en-US"/>
        </w:rPr>
        <w:t xml:space="preserve"> </w:t>
      </w:r>
      <w:r w:rsidR="000F1ED4" w:rsidRPr="0029280F">
        <w:rPr>
          <w:lang w:val="en-US"/>
        </w:rPr>
        <w:t>between</w:t>
      </w:r>
      <w:r w:rsidR="00A74179" w:rsidRPr="0029280F">
        <w:rPr>
          <w:lang w:val="en-US"/>
        </w:rPr>
        <w:t xml:space="preserve"> </w:t>
      </w:r>
      <w:r w:rsidR="000F1ED4" w:rsidRPr="00EB3261">
        <w:rPr>
          <w:lang w:val="en-US"/>
        </w:rPr>
        <w:t>11</w:t>
      </w:r>
      <w:r w:rsidR="00A74179" w:rsidRPr="00EB3261">
        <w:rPr>
          <w:lang w:val="en-US"/>
        </w:rPr>
        <w:t xml:space="preserve"> </w:t>
      </w:r>
      <w:r w:rsidR="006C14CF" w:rsidRPr="00EB3261">
        <w:rPr>
          <w:lang w:val="en-US"/>
        </w:rPr>
        <w:t>and</w:t>
      </w:r>
      <w:r w:rsidR="00A74179" w:rsidRPr="00EB3261">
        <w:rPr>
          <w:lang w:val="en-US"/>
        </w:rPr>
        <w:t xml:space="preserve"> </w:t>
      </w:r>
      <w:r w:rsidR="000F1ED4" w:rsidRPr="00EB3261">
        <w:rPr>
          <w:lang w:val="en-US"/>
        </w:rPr>
        <w:t>1</w:t>
      </w:r>
      <w:r w:rsidR="00E91722" w:rsidRPr="00EB3261">
        <w:rPr>
          <w:lang w:val="en-US"/>
        </w:rPr>
        <w:t>5</w:t>
      </w:r>
      <w:r w:rsidR="00746E7B" w:rsidRPr="00EB3261">
        <w:rPr>
          <w:lang w:val="en-US"/>
        </w:rPr>
        <w:t xml:space="preserve"> per cent</w:t>
      </w:r>
      <w:r w:rsidRPr="0029280F">
        <w:rPr>
          <w:lang w:val="en-US"/>
        </w:rPr>
        <w:t xml:space="preserve">. </w:t>
      </w:r>
      <w:r w:rsidR="004B2608" w:rsidRPr="0029280F">
        <w:rPr>
          <w:lang w:val="en-US"/>
        </w:rPr>
        <w:t>With 94 per cent of all primary carers being women – health services, business services and retail and</w:t>
      </w:r>
      <w:r w:rsidR="004B2608">
        <w:rPr>
          <w:lang w:val="en-US"/>
        </w:rPr>
        <w:t xml:space="preserve"> hospitality – all currently facing skills shortages – are the sectors most likely to benefit. </w:t>
      </w:r>
    </w:p>
    <w:p w14:paraId="148DAA67" w14:textId="41698CB7" w:rsidR="00987070" w:rsidRDefault="00987070" w:rsidP="00987070">
      <w:r>
        <w:rPr>
          <w:lang w:val="en-US"/>
        </w:rPr>
        <w:t xml:space="preserve">Through greater engagement with the </w:t>
      </w:r>
      <w:proofErr w:type="spellStart"/>
      <w:r>
        <w:rPr>
          <w:lang w:val="en-US"/>
        </w:rPr>
        <w:t>labour</w:t>
      </w:r>
      <w:proofErr w:type="spellEnd"/>
      <w:r>
        <w:rPr>
          <w:lang w:val="en-US"/>
        </w:rPr>
        <w:t xml:space="preserve"> force while their children are young, the reforms are also expected to create long term career benefits </w:t>
      </w:r>
      <w:r w:rsidR="002A7B10">
        <w:rPr>
          <w:lang w:val="en-US"/>
        </w:rPr>
        <w:t>by</w:t>
      </w:r>
      <w:r>
        <w:rPr>
          <w:lang w:val="en-US"/>
        </w:rPr>
        <w:t xml:space="preserve"> increas</w:t>
      </w:r>
      <w:r w:rsidR="002A7B10">
        <w:rPr>
          <w:lang w:val="en-US"/>
        </w:rPr>
        <w:t>ing</w:t>
      </w:r>
      <w:r>
        <w:rPr>
          <w:lang w:val="en-US"/>
        </w:rPr>
        <w:t xml:space="preserve"> the likelihood of primary carers returning to the workforce</w:t>
      </w:r>
      <w:r w:rsidR="008B3D55">
        <w:rPr>
          <w:lang w:val="en-US"/>
        </w:rPr>
        <w:t xml:space="preserve">, and ensuring their skills remain current from shorter </w:t>
      </w:r>
      <w:r w:rsidR="00E37CC0">
        <w:rPr>
          <w:lang w:val="en-US"/>
        </w:rPr>
        <w:t xml:space="preserve">career </w:t>
      </w:r>
      <w:r w:rsidR="008B3D55">
        <w:rPr>
          <w:lang w:val="en-US"/>
        </w:rPr>
        <w:t>break</w:t>
      </w:r>
      <w:r w:rsidR="00E37CC0">
        <w:rPr>
          <w:lang w:val="en-US"/>
        </w:rPr>
        <w:t>s</w:t>
      </w:r>
      <w:r>
        <w:t>.</w:t>
      </w:r>
    </w:p>
    <w:p w14:paraId="5E50ABB7" w14:textId="15738669" w:rsidR="00C819DB" w:rsidRDefault="004B6DF3" w:rsidP="004B6DF3">
      <w:pPr>
        <w:rPr>
          <w:lang w:val="en-US"/>
        </w:rPr>
      </w:pPr>
      <w:r>
        <w:rPr>
          <w:lang w:val="en-US"/>
        </w:rPr>
        <w:t xml:space="preserve">Given that </w:t>
      </w:r>
      <w:proofErr w:type="gramStart"/>
      <w:r>
        <w:rPr>
          <w:lang w:val="en-US"/>
        </w:rPr>
        <w:t>the vast majority of</w:t>
      </w:r>
      <w:proofErr w:type="gramEnd"/>
      <w:r>
        <w:rPr>
          <w:lang w:val="en-US"/>
        </w:rPr>
        <w:t xml:space="preserve"> primary carers are women, the policy is expected to</w:t>
      </w:r>
      <w:r>
        <w:t xml:space="preserve"> </w:t>
      </w:r>
      <w:r w:rsidR="00292567">
        <w:t>reduce</w:t>
      </w:r>
      <w:r>
        <w:rPr>
          <w:lang w:val="en-US"/>
        </w:rPr>
        <w:t xml:space="preserve"> the gender gap in participation and wages over the longer term. </w:t>
      </w:r>
      <w:r w:rsidRPr="008271F5">
        <w:t xml:space="preserve">By </w:t>
      </w:r>
      <w:r w:rsidR="006148DA" w:rsidRPr="009D5673">
        <w:t>206</w:t>
      </w:r>
      <w:r w:rsidR="00BB030A" w:rsidRPr="009D5673">
        <w:t>5</w:t>
      </w:r>
      <w:r w:rsidR="006148DA" w:rsidRPr="009D5673">
        <w:t>-6</w:t>
      </w:r>
      <w:r w:rsidR="00BB030A" w:rsidRPr="009D5673">
        <w:t>6</w:t>
      </w:r>
      <w:r w:rsidRPr="009D5673">
        <w:t xml:space="preserve">, </w:t>
      </w:r>
      <w:r w:rsidRPr="009D5673">
        <w:rPr>
          <w:lang w:val="en-US"/>
        </w:rPr>
        <w:t xml:space="preserve">the BSBL reforms are projected to increase the participation rate among women aged 15 and over by between </w:t>
      </w:r>
      <w:r w:rsidRPr="00EB3261">
        <w:rPr>
          <w:lang w:val="en-US"/>
        </w:rPr>
        <w:t>0.</w:t>
      </w:r>
      <w:r w:rsidR="00BB030A" w:rsidRPr="00EB3261">
        <w:rPr>
          <w:lang w:val="en-US"/>
        </w:rPr>
        <w:t>5</w:t>
      </w:r>
      <w:r w:rsidRPr="00EB3261">
        <w:rPr>
          <w:lang w:val="en-US"/>
        </w:rPr>
        <w:t xml:space="preserve"> and </w:t>
      </w:r>
      <w:r w:rsidR="00BB030A" w:rsidRPr="00EB3261">
        <w:rPr>
          <w:lang w:val="en-US"/>
        </w:rPr>
        <w:t>0.9</w:t>
      </w:r>
      <w:r w:rsidRPr="00EB3261">
        <w:rPr>
          <w:lang w:val="en-US"/>
        </w:rPr>
        <w:t xml:space="preserve"> percentage points</w:t>
      </w:r>
      <w:r w:rsidRPr="009D5673">
        <w:rPr>
          <w:lang w:val="en-US"/>
        </w:rPr>
        <w:t xml:space="preserve">; increase their average hours worked by between </w:t>
      </w:r>
      <w:r w:rsidRPr="00EB3261">
        <w:rPr>
          <w:lang w:val="en-US"/>
        </w:rPr>
        <w:t>0.</w:t>
      </w:r>
      <w:r w:rsidR="009D5673" w:rsidRPr="00EB3261">
        <w:rPr>
          <w:lang w:val="en-US"/>
        </w:rPr>
        <w:t>4</w:t>
      </w:r>
      <w:r w:rsidRPr="00EB3261">
        <w:rPr>
          <w:lang w:val="en-US"/>
        </w:rPr>
        <w:t xml:space="preserve"> and 0.</w:t>
      </w:r>
      <w:r w:rsidR="00A90423" w:rsidRPr="00EB3261">
        <w:rPr>
          <w:lang w:val="en-US"/>
        </w:rPr>
        <w:t>6</w:t>
      </w:r>
      <w:r w:rsidRPr="00EB3261">
        <w:rPr>
          <w:lang w:val="en-US"/>
        </w:rPr>
        <w:t xml:space="preserve"> hours</w:t>
      </w:r>
      <w:r w:rsidRPr="009D5673">
        <w:rPr>
          <w:lang w:val="en-US"/>
        </w:rPr>
        <w:t xml:space="preserve"> per week; and increase their average hourly wages by between </w:t>
      </w:r>
      <w:r w:rsidRPr="00EB3261">
        <w:rPr>
          <w:lang w:val="en-US"/>
        </w:rPr>
        <w:t>0.</w:t>
      </w:r>
      <w:r w:rsidR="001632AD" w:rsidRPr="00EB3261">
        <w:rPr>
          <w:lang w:val="en-US"/>
        </w:rPr>
        <w:t>5</w:t>
      </w:r>
      <w:r w:rsidRPr="00EB3261">
        <w:rPr>
          <w:lang w:val="en-US"/>
        </w:rPr>
        <w:t xml:space="preserve"> and 0.</w:t>
      </w:r>
      <w:r w:rsidR="00A90423" w:rsidRPr="00EB3261">
        <w:rPr>
          <w:lang w:val="en-US"/>
        </w:rPr>
        <w:t>7</w:t>
      </w:r>
      <w:r w:rsidR="007620D3" w:rsidRPr="009D5673">
        <w:rPr>
          <w:lang w:val="en-US"/>
        </w:rPr>
        <w:t xml:space="preserve"> per cent</w:t>
      </w:r>
      <w:r w:rsidR="007620D3">
        <w:rPr>
          <w:lang w:val="en-US"/>
        </w:rPr>
        <w:t xml:space="preserve"> </w:t>
      </w:r>
      <w:r w:rsidRPr="008271F5">
        <w:rPr>
          <w:lang w:val="en-US"/>
        </w:rPr>
        <w:t>(</w:t>
      </w:r>
      <w:r w:rsidR="00D066ED" w:rsidRPr="008271F5">
        <w:rPr>
          <w:lang w:val="en-US"/>
        </w:rPr>
        <w:fldChar w:fldCharType="begin"/>
      </w:r>
      <w:r w:rsidR="00D066ED" w:rsidRPr="008271F5">
        <w:rPr>
          <w:lang w:val="en-US"/>
        </w:rPr>
        <w:instrText xml:space="preserve"> REF _Ref152786792 \r \h </w:instrText>
      </w:r>
      <w:r w:rsidR="00A90423" w:rsidRPr="008271F5">
        <w:rPr>
          <w:lang w:val="en-US"/>
        </w:rPr>
        <w:instrText xml:space="preserve"> \* MERGEFORMAT </w:instrText>
      </w:r>
      <w:r w:rsidR="00D066ED" w:rsidRPr="008271F5">
        <w:rPr>
          <w:lang w:val="en-US"/>
        </w:rPr>
      </w:r>
      <w:r w:rsidR="00D066ED" w:rsidRPr="008271F5">
        <w:rPr>
          <w:lang w:val="en-US"/>
        </w:rPr>
        <w:fldChar w:fldCharType="separate"/>
      </w:r>
      <w:r w:rsidR="008537EC">
        <w:rPr>
          <w:lang w:val="en-US"/>
        </w:rPr>
        <w:t>Table vii</w:t>
      </w:r>
      <w:r w:rsidR="00D066ED" w:rsidRPr="008271F5">
        <w:rPr>
          <w:lang w:val="en-US"/>
        </w:rPr>
        <w:fldChar w:fldCharType="end"/>
      </w:r>
      <w:r w:rsidRPr="008271F5">
        <w:rPr>
          <w:lang w:val="en-US"/>
        </w:rPr>
        <w:t>).</w:t>
      </w:r>
      <w:r w:rsidR="00C819DB">
        <w:rPr>
          <w:lang w:val="en-US"/>
        </w:rPr>
        <w:br w:type="page"/>
      </w:r>
    </w:p>
    <w:p w14:paraId="6E6EEAAB" w14:textId="393802C1" w:rsidR="00921D3B" w:rsidRDefault="00921D3B" w:rsidP="00D066ED">
      <w:pPr>
        <w:pStyle w:val="ExecTableCaption"/>
      </w:pPr>
      <w:bookmarkStart w:id="56" w:name="_Ref152786792"/>
      <w:r w:rsidRPr="00C904C9">
        <w:lastRenderedPageBreak/>
        <w:t xml:space="preserve">: </w:t>
      </w:r>
      <w:r w:rsidR="00D066ED">
        <w:t>Impact of reforms on primary carer labour supply and productivity</w:t>
      </w:r>
      <w:bookmarkEnd w:id="56"/>
    </w:p>
    <w:tbl>
      <w:tblPr>
        <w:tblStyle w:val="Deloittetable"/>
        <w:tblW w:w="5000" w:type="pct"/>
        <w:tblCellMar>
          <w:left w:w="57" w:type="dxa"/>
          <w:right w:w="57" w:type="dxa"/>
        </w:tblCellMar>
        <w:tblLook w:val="04A0" w:firstRow="1" w:lastRow="0" w:firstColumn="1" w:lastColumn="0" w:noHBand="0" w:noVBand="1"/>
      </w:tblPr>
      <w:tblGrid>
        <w:gridCol w:w="3373"/>
        <w:gridCol w:w="1414"/>
        <w:gridCol w:w="1413"/>
        <w:gridCol w:w="1413"/>
        <w:gridCol w:w="1413"/>
      </w:tblGrid>
      <w:tr w:rsidR="00921D3B" w:rsidRPr="00646EAD" w14:paraId="1B0CEFD7" w14:textId="77777777" w:rsidTr="00E339E3">
        <w:trPr>
          <w:cnfStyle w:val="100000000000" w:firstRow="1" w:lastRow="0" w:firstColumn="0" w:lastColumn="0" w:oddVBand="0" w:evenVBand="0" w:oddHBand="0" w:evenHBand="0" w:firstRowFirstColumn="0" w:firstRowLastColumn="0" w:lastRowFirstColumn="0" w:lastRowLastColumn="0"/>
          <w:trHeight w:val="156"/>
        </w:trPr>
        <w:tc>
          <w:tcPr>
            <w:tcW w:w="1868" w:type="pct"/>
          </w:tcPr>
          <w:p w14:paraId="2C6C4755" w14:textId="77777777" w:rsidR="00921D3B" w:rsidRPr="0003382A" w:rsidRDefault="00921D3B" w:rsidP="00E339E3">
            <w:pPr>
              <w:spacing w:after="0" w:line="240" w:lineRule="auto"/>
              <w:rPr>
                <w:rFonts w:asciiTheme="majorHAnsi" w:hAnsiTheme="majorHAnsi"/>
                <w:b/>
                <w:sz w:val="16"/>
                <w:szCs w:val="16"/>
              </w:rPr>
            </w:pPr>
          </w:p>
        </w:tc>
        <w:tc>
          <w:tcPr>
            <w:tcW w:w="1566" w:type="pct"/>
            <w:gridSpan w:val="2"/>
            <w:tcBorders>
              <w:right w:val="single" w:sz="4" w:space="0" w:color="auto"/>
            </w:tcBorders>
          </w:tcPr>
          <w:p w14:paraId="50F955BB" w14:textId="77777777" w:rsidR="00921D3B" w:rsidRPr="0003382A" w:rsidRDefault="00921D3B" w:rsidP="00E339E3">
            <w:pPr>
              <w:spacing w:after="0" w:line="240" w:lineRule="auto"/>
              <w:jc w:val="center"/>
              <w:rPr>
                <w:rFonts w:asciiTheme="majorHAnsi" w:hAnsiTheme="majorHAnsi"/>
                <w:b/>
                <w:sz w:val="16"/>
                <w:szCs w:val="16"/>
              </w:rPr>
            </w:pPr>
            <w:r w:rsidRPr="0003382A">
              <w:rPr>
                <w:rFonts w:asciiTheme="majorHAnsi" w:hAnsiTheme="majorHAnsi"/>
                <w:b/>
                <w:sz w:val="16"/>
                <w:szCs w:val="16"/>
              </w:rPr>
              <w:t>Low</w:t>
            </w:r>
            <w:r>
              <w:rPr>
                <w:rFonts w:asciiTheme="majorHAnsi" w:hAnsiTheme="majorHAnsi"/>
                <w:b/>
                <w:sz w:val="16"/>
                <w:szCs w:val="16"/>
              </w:rPr>
              <w:t xml:space="preserve"> elasticity</w:t>
            </w:r>
          </w:p>
        </w:tc>
        <w:tc>
          <w:tcPr>
            <w:tcW w:w="1565" w:type="pct"/>
            <w:gridSpan w:val="2"/>
            <w:tcBorders>
              <w:left w:val="single" w:sz="4" w:space="0" w:color="auto"/>
            </w:tcBorders>
          </w:tcPr>
          <w:p w14:paraId="085AB636" w14:textId="77777777" w:rsidR="00921D3B" w:rsidRPr="0003382A" w:rsidRDefault="00921D3B" w:rsidP="00E339E3">
            <w:pPr>
              <w:spacing w:after="0" w:line="240" w:lineRule="auto"/>
              <w:jc w:val="center"/>
              <w:rPr>
                <w:rFonts w:asciiTheme="majorHAnsi" w:hAnsiTheme="majorHAnsi"/>
                <w:b/>
                <w:sz w:val="16"/>
                <w:szCs w:val="16"/>
              </w:rPr>
            </w:pPr>
            <w:r w:rsidRPr="0003382A">
              <w:rPr>
                <w:rFonts w:asciiTheme="majorHAnsi" w:hAnsiTheme="majorHAnsi"/>
                <w:b/>
                <w:sz w:val="16"/>
                <w:szCs w:val="16"/>
              </w:rPr>
              <w:t>High</w:t>
            </w:r>
            <w:r>
              <w:rPr>
                <w:rFonts w:asciiTheme="majorHAnsi" w:hAnsiTheme="majorHAnsi"/>
                <w:b/>
                <w:sz w:val="16"/>
                <w:szCs w:val="16"/>
              </w:rPr>
              <w:t xml:space="preserve"> elasticity</w:t>
            </w:r>
          </w:p>
        </w:tc>
      </w:tr>
      <w:tr w:rsidR="009D5673" w:rsidRPr="00646EAD" w14:paraId="4C3CD97D" w14:textId="77777777" w:rsidTr="00E339E3">
        <w:trPr>
          <w:trHeight w:val="156"/>
        </w:trPr>
        <w:tc>
          <w:tcPr>
            <w:tcW w:w="1868" w:type="pct"/>
          </w:tcPr>
          <w:p w14:paraId="5A59C3C0" w14:textId="77777777" w:rsidR="009D5673" w:rsidRPr="0003382A" w:rsidRDefault="009D5673" w:rsidP="009D5673">
            <w:pPr>
              <w:spacing w:after="0" w:line="240" w:lineRule="auto"/>
              <w:rPr>
                <w:rFonts w:asciiTheme="majorHAnsi" w:hAnsiTheme="majorHAnsi"/>
                <w:b/>
                <w:sz w:val="16"/>
                <w:szCs w:val="16"/>
              </w:rPr>
            </w:pPr>
          </w:p>
        </w:tc>
        <w:tc>
          <w:tcPr>
            <w:tcW w:w="783" w:type="pct"/>
            <w:hideMark/>
          </w:tcPr>
          <w:p w14:paraId="40B782E1" w14:textId="5D079784" w:rsidR="009D5673" w:rsidRPr="00DF5283"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b/>
                <w:sz w:val="16"/>
                <w:szCs w:val="16"/>
              </w:rPr>
              <w:t>2035-36</w:t>
            </w:r>
          </w:p>
        </w:tc>
        <w:tc>
          <w:tcPr>
            <w:tcW w:w="783" w:type="pct"/>
            <w:tcBorders>
              <w:right w:val="single" w:sz="4" w:space="0" w:color="auto"/>
            </w:tcBorders>
            <w:hideMark/>
          </w:tcPr>
          <w:p w14:paraId="5B24BB51" w14:textId="074C9AB1" w:rsidR="009D5673" w:rsidRPr="00DF5283"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b/>
                <w:sz w:val="16"/>
                <w:szCs w:val="16"/>
              </w:rPr>
              <w:t>2065-66</w:t>
            </w:r>
          </w:p>
        </w:tc>
        <w:tc>
          <w:tcPr>
            <w:tcW w:w="783" w:type="pct"/>
            <w:tcBorders>
              <w:top w:val="single" w:sz="4" w:space="0" w:color="000000" w:themeColor="text1"/>
              <w:left w:val="single" w:sz="4" w:space="0" w:color="auto"/>
            </w:tcBorders>
            <w:hideMark/>
          </w:tcPr>
          <w:p w14:paraId="2B32FA81" w14:textId="20D735D2" w:rsidR="009D5673" w:rsidRPr="00DF5283"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b/>
                <w:sz w:val="16"/>
                <w:szCs w:val="16"/>
              </w:rPr>
              <w:t>2035-36</w:t>
            </w:r>
          </w:p>
        </w:tc>
        <w:tc>
          <w:tcPr>
            <w:tcW w:w="783" w:type="pct"/>
            <w:tcBorders>
              <w:top w:val="single" w:sz="4" w:space="0" w:color="000000" w:themeColor="text1"/>
            </w:tcBorders>
            <w:hideMark/>
          </w:tcPr>
          <w:p w14:paraId="5DC0E5CD" w14:textId="7B3871A2" w:rsidR="009D5673" w:rsidRPr="00DF5283"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b/>
                <w:sz w:val="16"/>
                <w:szCs w:val="16"/>
              </w:rPr>
              <w:t>2065-66</w:t>
            </w:r>
          </w:p>
        </w:tc>
      </w:tr>
      <w:tr w:rsidR="00921D3B" w:rsidRPr="00646EAD" w14:paraId="57D66652" w14:textId="77777777" w:rsidTr="00E339E3">
        <w:trPr>
          <w:trHeight w:val="156"/>
        </w:trPr>
        <w:tc>
          <w:tcPr>
            <w:tcW w:w="5000" w:type="pct"/>
            <w:gridSpan w:val="5"/>
            <w:shd w:val="clear" w:color="auto" w:fill="F2F2F2" w:themeFill="background1" w:themeFillShade="F2"/>
          </w:tcPr>
          <w:p w14:paraId="55707F74" w14:textId="77777777" w:rsidR="00921D3B" w:rsidRPr="0003382A" w:rsidRDefault="00921D3B" w:rsidP="00E339E3">
            <w:pPr>
              <w:spacing w:after="0" w:line="240" w:lineRule="auto"/>
              <w:rPr>
                <w:rFonts w:asciiTheme="majorHAnsi" w:hAnsiTheme="majorHAnsi"/>
                <w:b/>
                <w:sz w:val="16"/>
                <w:szCs w:val="16"/>
              </w:rPr>
            </w:pPr>
            <w:r>
              <w:rPr>
                <w:rFonts w:asciiTheme="majorHAnsi" w:hAnsiTheme="majorHAnsi"/>
                <w:b/>
                <w:sz w:val="16"/>
                <w:szCs w:val="16"/>
              </w:rPr>
              <w:t>P</w:t>
            </w:r>
            <w:r w:rsidRPr="0003382A">
              <w:rPr>
                <w:rFonts w:asciiTheme="majorHAnsi" w:hAnsiTheme="majorHAnsi"/>
                <w:b/>
                <w:sz w:val="16"/>
                <w:szCs w:val="16"/>
              </w:rPr>
              <w:t>rimary carers</w:t>
            </w:r>
            <w:r>
              <w:rPr>
                <w:rFonts w:asciiTheme="majorHAnsi" w:hAnsiTheme="majorHAnsi"/>
                <w:b/>
                <w:sz w:val="16"/>
                <w:szCs w:val="16"/>
              </w:rPr>
              <w:t xml:space="preserve"> </w:t>
            </w:r>
            <w:r w:rsidRPr="00341ADA">
              <w:rPr>
                <w:rFonts w:eastAsia="Times New Roman" w:cs="Times New Roman"/>
                <w:b/>
                <w:bCs/>
                <w:color w:val="000000"/>
                <w:sz w:val="16"/>
                <w:szCs w:val="16"/>
                <w:lang w:eastAsia="en-AU"/>
              </w:rPr>
              <w:t>with a child aged 0-5</w:t>
            </w:r>
          </w:p>
        </w:tc>
      </w:tr>
      <w:tr w:rsidR="009D5673" w:rsidRPr="00646EAD" w14:paraId="3DF3AACE" w14:textId="77777777" w:rsidTr="009D5673">
        <w:trPr>
          <w:trHeight w:val="156"/>
        </w:trPr>
        <w:tc>
          <w:tcPr>
            <w:tcW w:w="1868" w:type="pct"/>
          </w:tcPr>
          <w:p w14:paraId="7A6F674D" w14:textId="2C2FA967" w:rsidR="009D5673" w:rsidRPr="0003382A" w:rsidRDefault="009D5673" w:rsidP="009D5673">
            <w:pPr>
              <w:spacing w:after="0" w:line="240" w:lineRule="auto"/>
              <w:rPr>
                <w:rFonts w:asciiTheme="majorHAnsi" w:hAnsiTheme="majorHAnsi"/>
                <w:sz w:val="16"/>
                <w:szCs w:val="16"/>
              </w:rPr>
            </w:pPr>
            <w:r>
              <w:rPr>
                <w:rFonts w:asciiTheme="majorHAnsi" w:hAnsiTheme="majorHAnsi"/>
                <w:sz w:val="16"/>
                <w:szCs w:val="16"/>
              </w:rPr>
              <w:t>Additional participants (no.)</w:t>
            </w:r>
          </w:p>
        </w:tc>
        <w:tc>
          <w:tcPr>
            <w:tcW w:w="783" w:type="pct"/>
            <w:vAlign w:val="center"/>
          </w:tcPr>
          <w:p w14:paraId="1EDAF63A" w14:textId="3F6C4478" w:rsidR="009D5673" w:rsidRPr="003A49D8" w:rsidRDefault="009D5673" w:rsidP="009D5673">
            <w:pPr>
              <w:spacing w:after="0" w:line="240" w:lineRule="auto"/>
              <w:jc w:val="center"/>
              <w:rPr>
                <w:rFonts w:asciiTheme="majorHAnsi" w:hAnsiTheme="majorHAnsi"/>
                <w:sz w:val="16"/>
                <w:szCs w:val="16"/>
                <w:highlight w:val="lightGray"/>
              </w:rPr>
            </w:pPr>
            <w:r w:rsidRPr="00FE0E2A">
              <w:rPr>
                <w:color w:val="000000"/>
                <w:sz w:val="16"/>
                <w:szCs w:val="16"/>
              </w:rPr>
              <w:t>13,000</w:t>
            </w:r>
          </w:p>
        </w:tc>
        <w:tc>
          <w:tcPr>
            <w:tcW w:w="783" w:type="pct"/>
            <w:tcBorders>
              <w:right w:val="single" w:sz="4" w:space="0" w:color="auto"/>
            </w:tcBorders>
            <w:vAlign w:val="center"/>
          </w:tcPr>
          <w:p w14:paraId="5124CF48" w14:textId="378B89BC" w:rsidR="009D5673" w:rsidRPr="003A49D8" w:rsidRDefault="009D5673" w:rsidP="009D5673">
            <w:pPr>
              <w:spacing w:after="0" w:line="240" w:lineRule="auto"/>
              <w:jc w:val="center"/>
              <w:rPr>
                <w:rFonts w:asciiTheme="majorHAnsi" w:hAnsiTheme="majorHAnsi"/>
                <w:sz w:val="16"/>
                <w:szCs w:val="16"/>
                <w:highlight w:val="lightGray"/>
              </w:rPr>
            </w:pPr>
            <w:r w:rsidRPr="00FE0E2A">
              <w:rPr>
                <w:color w:val="000000"/>
                <w:sz w:val="16"/>
                <w:szCs w:val="16"/>
              </w:rPr>
              <w:t>17,000</w:t>
            </w:r>
          </w:p>
        </w:tc>
        <w:tc>
          <w:tcPr>
            <w:tcW w:w="783" w:type="pct"/>
            <w:tcBorders>
              <w:top w:val="single" w:sz="4" w:space="0" w:color="000000" w:themeColor="text1"/>
              <w:left w:val="single" w:sz="4" w:space="0" w:color="auto"/>
            </w:tcBorders>
            <w:vAlign w:val="center"/>
          </w:tcPr>
          <w:p w14:paraId="0C30F08D" w14:textId="7F2FB87A" w:rsidR="009D5673" w:rsidRPr="003A49D8" w:rsidRDefault="009D5673" w:rsidP="009D5673">
            <w:pPr>
              <w:spacing w:after="0" w:line="240" w:lineRule="auto"/>
              <w:jc w:val="center"/>
              <w:rPr>
                <w:rFonts w:asciiTheme="majorHAnsi" w:hAnsiTheme="majorHAnsi"/>
                <w:sz w:val="16"/>
                <w:szCs w:val="16"/>
                <w:highlight w:val="lightGray"/>
              </w:rPr>
            </w:pPr>
            <w:r w:rsidRPr="00FE0E2A">
              <w:rPr>
                <w:color w:val="000000"/>
                <w:sz w:val="16"/>
                <w:szCs w:val="16"/>
              </w:rPr>
              <w:t>19,000</w:t>
            </w:r>
          </w:p>
        </w:tc>
        <w:tc>
          <w:tcPr>
            <w:tcW w:w="783" w:type="pct"/>
            <w:tcBorders>
              <w:top w:val="single" w:sz="4" w:space="0" w:color="000000" w:themeColor="text1"/>
            </w:tcBorders>
            <w:vAlign w:val="center"/>
          </w:tcPr>
          <w:p w14:paraId="4C88FA35" w14:textId="64C50F96" w:rsidR="009D5673" w:rsidRPr="003A49D8" w:rsidRDefault="009D5673" w:rsidP="009D5673">
            <w:pPr>
              <w:spacing w:after="0" w:line="240" w:lineRule="auto"/>
              <w:jc w:val="center"/>
              <w:rPr>
                <w:rFonts w:asciiTheme="majorHAnsi" w:hAnsiTheme="majorHAnsi"/>
                <w:sz w:val="16"/>
                <w:szCs w:val="16"/>
                <w:highlight w:val="lightGray"/>
              </w:rPr>
            </w:pPr>
            <w:r w:rsidRPr="00FE0E2A">
              <w:rPr>
                <w:color w:val="000000"/>
                <w:sz w:val="16"/>
                <w:szCs w:val="16"/>
              </w:rPr>
              <w:t>25,000</w:t>
            </w:r>
          </w:p>
        </w:tc>
      </w:tr>
      <w:tr w:rsidR="009D5673" w:rsidRPr="00646EAD" w14:paraId="6746CDE4" w14:textId="77777777" w:rsidTr="00E339E3">
        <w:trPr>
          <w:trHeight w:val="156"/>
        </w:trPr>
        <w:tc>
          <w:tcPr>
            <w:tcW w:w="1868" w:type="pct"/>
          </w:tcPr>
          <w:p w14:paraId="5720482E" w14:textId="77777777" w:rsidR="009D5673" w:rsidRPr="0003382A" w:rsidRDefault="009D5673" w:rsidP="009D5673">
            <w:pPr>
              <w:spacing w:after="0" w:line="240" w:lineRule="auto"/>
              <w:rPr>
                <w:rFonts w:asciiTheme="majorHAnsi" w:hAnsiTheme="majorHAnsi"/>
                <w:sz w:val="16"/>
                <w:szCs w:val="16"/>
              </w:rPr>
            </w:pPr>
            <w:r w:rsidRPr="0003382A">
              <w:rPr>
                <w:rFonts w:asciiTheme="majorHAnsi" w:hAnsiTheme="majorHAnsi"/>
                <w:sz w:val="16"/>
                <w:szCs w:val="16"/>
              </w:rPr>
              <w:t>Participation rate (ppt)</w:t>
            </w:r>
          </w:p>
        </w:tc>
        <w:tc>
          <w:tcPr>
            <w:tcW w:w="783" w:type="pct"/>
          </w:tcPr>
          <w:p w14:paraId="0C7DF83D" w14:textId="76F3E3A7"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+4.0</w:t>
            </w:r>
          </w:p>
        </w:tc>
        <w:tc>
          <w:tcPr>
            <w:tcW w:w="783" w:type="pct"/>
            <w:tcBorders>
              <w:right w:val="single" w:sz="4" w:space="0" w:color="auto"/>
            </w:tcBorders>
          </w:tcPr>
          <w:p w14:paraId="57A8E25F" w14:textId="057168AB"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+4.0</w:t>
            </w:r>
          </w:p>
        </w:tc>
        <w:tc>
          <w:tcPr>
            <w:tcW w:w="783" w:type="pct"/>
            <w:tcBorders>
              <w:top w:val="single" w:sz="4" w:space="0" w:color="000000" w:themeColor="text1"/>
              <w:left w:val="single" w:sz="4" w:space="0" w:color="auto"/>
            </w:tcBorders>
          </w:tcPr>
          <w:p w14:paraId="050148C8" w14:textId="6AC92A48"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+5.8</w:t>
            </w:r>
          </w:p>
        </w:tc>
        <w:tc>
          <w:tcPr>
            <w:tcW w:w="783" w:type="pct"/>
            <w:tcBorders>
              <w:top w:val="single" w:sz="4" w:space="0" w:color="000000" w:themeColor="text1"/>
            </w:tcBorders>
          </w:tcPr>
          <w:p w14:paraId="1D51D436" w14:textId="4267F4E8"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+5.8</w:t>
            </w:r>
          </w:p>
        </w:tc>
      </w:tr>
      <w:tr w:rsidR="009D5673" w:rsidRPr="00646EAD" w14:paraId="502CBF1E" w14:textId="77777777" w:rsidTr="00E339E3">
        <w:trPr>
          <w:trHeight w:val="156"/>
        </w:trPr>
        <w:tc>
          <w:tcPr>
            <w:tcW w:w="1868" w:type="pct"/>
          </w:tcPr>
          <w:p w14:paraId="22559F76" w14:textId="14468141" w:rsidR="009D5673" w:rsidRPr="0003382A" w:rsidRDefault="009D5673" w:rsidP="009D5673">
            <w:pPr>
              <w:spacing w:after="0" w:line="240" w:lineRule="auto"/>
              <w:rPr>
                <w:rFonts w:asciiTheme="majorHAnsi" w:hAnsiTheme="majorHAnsi"/>
                <w:sz w:val="16"/>
                <w:szCs w:val="16"/>
              </w:rPr>
            </w:pPr>
            <w:r w:rsidRPr="0003382A">
              <w:rPr>
                <w:rFonts w:asciiTheme="majorHAnsi" w:hAnsiTheme="majorHAnsi"/>
                <w:sz w:val="16"/>
                <w:szCs w:val="16"/>
              </w:rPr>
              <w:t>Average weekly hours worked</w:t>
            </w:r>
          </w:p>
        </w:tc>
        <w:tc>
          <w:tcPr>
            <w:tcW w:w="783" w:type="pct"/>
          </w:tcPr>
          <w:p w14:paraId="49D34077" w14:textId="292B3FB9"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+1.0</w:t>
            </w:r>
          </w:p>
        </w:tc>
        <w:tc>
          <w:tcPr>
            <w:tcW w:w="783" w:type="pct"/>
            <w:tcBorders>
              <w:right w:val="single" w:sz="4" w:space="0" w:color="auto"/>
            </w:tcBorders>
          </w:tcPr>
          <w:p w14:paraId="485D03D3" w14:textId="7B387512"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+1.0</w:t>
            </w:r>
          </w:p>
        </w:tc>
        <w:tc>
          <w:tcPr>
            <w:tcW w:w="783" w:type="pct"/>
            <w:tcBorders>
              <w:top w:val="single" w:sz="4" w:space="0" w:color="000000" w:themeColor="text1"/>
              <w:left w:val="single" w:sz="4" w:space="0" w:color="auto"/>
            </w:tcBorders>
          </w:tcPr>
          <w:p w14:paraId="33689364" w14:textId="3FF01DB6"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+1.5</w:t>
            </w:r>
          </w:p>
        </w:tc>
        <w:tc>
          <w:tcPr>
            <w:tcW w:w="783" w:type="pct"/>
            <w:tcBorders>
              <w:top w:val="single" w:sz="4" w:space="0" w:color="000000" w:themeColor="text1"/>
            </w:tcBorders>
          </w:tcPr>
          <w:p w14:paraId="4DEB1FB8" w14:textId="79B0B7CA"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+1.5</w:t>
            </w:r>
          </w:p>
        </w:tc>
      </w:tr>
      <w:tr w:rsidR="009D5673" w:rsidRPr="00646EAD" w14:paraId="7F717248" w14:textId="77777777" w:rsidTr="009D5673">
        <w:trPr>
          <w:trHeight w:val="124"/>
        </w:trPr>
        <w:tc>
          <w:tcPr>
            <w:tcW w:w="1868" w:type="pct"/>
          </w:tcPr>
          <w:p w14:paraId="09E335C4" w14:textId="4153BB11" w:rsidR="009D5673" w:rsidRPr="0003382A" w:rsidRDefault="009D5673" w:rsidP="009D5673">
            <w:pPr>
              <w:spacing w:after="0" w:line="240" w:lineRule="auto"/>
              <w:ind w:left="284"/>
              <w:rPr>
                <w:rFonts w:asciiTheme="majorHAnsi" w:hAnsiTheme="majorHAnsi"/>
                <w:sz w:val="16"/>
                <w:szCs w:val="16"/>
              </w:rPr>
            </w:pPr>
            <w:r>
              <w:rPr>
                <w:rFonts w:asciiTheme="majorHAnsi" w:hAnsiTheme="majorHAnsi"/>
                <w:sz w:val="16"/>
                <w:szCs w:val="16"/>
              </w:rPr>
              <w:t>% change from base case</w:t>
            </w:r>
          </w:p>
        </w:tc>
        <w:tc>
          <w:tcPr>
            <w:tcW w:w="783" w:type="pct"/>
          </w:tcPr>
          <w:p w14:paraId="6C926343" w14:textId="0B87B713"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+3.8</w:t>
            </w:r>
          </w:p>
        </w:tc>
        <w:tc>
          <w:tcPr>
            <w:tcW w:w="783" w:type="pct"/>
            <w:tcBorders>
              <w:right w:val="single" w:sz="4" w:space="0" w:color="auto"/>
            </w:tcBorders>
          </w:tcPr>
          <w:p w14:paraId="46F6F0FC" w14:textId="7086FC96"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+3.8</w:t>
            </w:r>
          </w:p>
        </w:tc>
        <w:tc>
          <w:tcPr>
            <w:tcW w:w="783" w:type="pct"/>
            <w:tcBorders>
              <w:top w:val="single" w:sz="4" w:space="0" w:color="000000" w:themeColor="text1"/>
              <w:left w:val="single" w:sz="4" w:space="0" w:color="auto"/>
            </w:tcBorders>
          </w:tcPr>
          <w:p w14:paraId="0A87BFE7" w14:textId="0594F889"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+5.5</w:t>
            </w:r>
          </w:p>
        </w:tc>
        <w:tc>
          <w:tcPr>
            <w:tcW w:w="783" w:type="pct"/>
            <w:tcBorders>
              <w:top w:val="single" w:sz="4" w:space="0" w:color="000000" w:themeColor="text1"/>
            </w:tcBorders>
          </w:tcPr>
          <w:p w14:paraId="14D9B7EB" w14:textId="3F0F64EE"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+5.5</w:t>
            </w:r>
          </w:p>
        </w:tc>
      </w:tr>
      <w:tr w:rsidR="009D5673" w:rsidRPr="00646EAD" w14:paraId="374049F7" w14:textId="77777777" w:rsidTr="008763FA">
        <w:trPr>
          <w:trHeight w:val="156"/>
        </w:trPr>
        <w:tc>
          <w:tcPr>
            <w:tcW w:w="1868" w:type="pct"/>
          </w:tcPr>
          <w:p w14:paraId="587CB69F" w14:textId="45865E1C" w:rsidR="009D5673" w:rsidRDefault="009D5673" w:rsidP="009D5673">
            <w:pPr>
              <w:spacing w:after="0" w:line="240" w:lineRule="auto"/>
              <w:ind w:left="0"/>
              <w:rPr>
                <w:rFonts w:asciiTheme="majorHAnsi" w:hAnsiTheme="majorHAnsi"/>
                <w:sz w:val="16"/>
                <w:szCs w:val="16"/>
              </w:rPr>
            </w:pPr>
            <w:r>
              <w:rPr>
                <w:rFonts w:asciiTheme="majorHAnsi" w:hAnsiTheme="majorHAnsi"/>
                <w:sz w:val="16"/>
                <w:szCs w:val="16"/>
              </w:rPr>
              <w:t>Change in total hours worked (% relative to base case)</w:t>
            </w:r>
          </w:p>
        </w:tc>
        <w:tc>
          <w:tcPr>
            <w:tcW w:w="783" w:type="pct"/>
            <w:vAlign w:val="center"/>
          </w:tcPr>
          <w:p w14:paraId="4376E2D4" w14:textId="293D0A89" w:rsidR="009D5673" w:rsidRPr="00EB3261" w:rsidRDefault="009D5673" w:rsidP="009D5673">
            <w:pPr>
              <w:spacing w:after="0" w:line="240" w:lineRule="auto"/>
              <w:jc w:val="center"/>
              <w:rPr>
                <w:color w:val="000000"/>
                <w:sz w:val="16"/>
                <w:szCs w:val="16"/>
              </w:rPr>
            </w:pPr>
            <w:r w:rsidRPr="00EB3261">
              <w:rPr>
                <w:sz w:val="16"/>
                <w:szCs w:val="16"/>
              </w:rPr>
              <w:t>11%</w:t>
            </w:r>
          </w:p>
        </w:tc>
        <w:tc>
          <w:tcPr>
            <w:tcW w:w="783" w:type="pct"/>
            <w:tcBorders>
              <w:right w:val="single" w:sz="4" w:space="0" w:color="auto"/>
            </w:tcBorders>
            <w:vAlign w:val="center"/>
          </w:tcPr>
          <w:p w14:paraId="42E8BC87" w14:textId="25CA03AF" w:rsidR="009D5673" w:rsidRPr="00EB3261" w:rsidRDefault="009D5673" w:rsidP="009D5673">
            <w:pPr>
              <w:spacing w:after="0" w:line="240" w:lineRule="auto"/>
              <w:jc w:val="center"/>
              <w:rPr>
                <w:color w:val="000000"/>
                <w:sz w:val="16"/>
                <w:szCs w:val="16"/>
              </w:rPr>
            </w:pPr>
            <w:r w:rsidRPr="00EB3261">
              <w:rPr>
                <w:sz w:val="16"/>
                <w:szCs w:val="16"/>
              </w:rPr>
              <w:t>10%</w:t>
            </w:r>
          </w:p>
        </w:tc>
        <w:tc>
          <w:tcPr>
            <w:tcW w:w="783" w:type="pct"/>
            <w:tcBorders>
              <w:top w:val="single" w:sz="4" w:space="0" w:color="000000" w:themeColor="text1"/>
              <w:left w:val="single" w:sz="4" w:space="0" w:color="auto"/>
            </w:tcBorders>
            <w:vAlign w:val="center"/>
          </w:tcPr>
          <w:p w14:paraId="759554E4" w14:textId="51FC2937" w:rsidR="009D5673" w:rsidRPr="00EB3261" w:rsidRDefault="009D5673" w:rsidP="009D5673">
            <w:pPr>
              <w:spacing w:after="0" w:line="240" w:lineRule="auto"/>
              <w:jc w:val="center"/>
              <w:rPr>
                <w:color w:val="000000"/>
                <w:sz w:val="16"/>
                <w:szCs w:val="16"/>
              </w:rPr>
            </w:pPr>
            <w:r w:rsidRPr="00EB3261">
              <w:rPr>
                <w:sz w:val="16"/>
                <w:szCs w:val="16"/>
              </w:rPr>
              <w:t>15%</w:t>
            </w:r>
          </w:p>
        </w:tc>
        <w:tc>
          <w:tcPr>
            <w:tcW w:w="783" w:type="pct"/>
            <w:tcBorders>
              <w:top w:val="single" w:sz="4" w:space="0" w:color="000000" w:themeColor="text1"/>
            </w:tcBorders>
            <w:vAlign w:val="center"/>
          </w:tcPr>
          <w:p w14:paraId="7CE6A476" w14:textId="51C5F840" w:rsidR="009D5673" w:rsidRPr="00EB3261" w:rsidRDefault="009D5673" w:rsidP="009D5673">
            <w:pPr>
              <w:spacing w:after="0" w:line="240" w:lineRule="auto"/>
              <w:jc w:val="center"/>
              <w:rPr>
                <w:color w:val="000000"/>
                <w:sz w:val="16"/>
                <w:szCs w:val="16"/>
              </w:rPr>
            </w:pPr>
            <w:r w:rsidRPr="00EB3261">
              <w:rPr>
                <w:sz w:val="16"/>
                <w:szCs w:val="16"/>
              </w:rPr>
              <w:t>15%</w:t>
            </w:r>
          </w:p>
        </w:tc>
      </w:tr>
      <w:tr w:rsidR="0067537B" w:rsidRPr="00646EAD" w14:paraId="627D1916" w14:textId="77777777" w:rsidTr="00E339E3">
        <w:trPr>
          <w:trHeight w:val="156"/>
        </w:trPr>
        <w:tc>
          <w:tcPr>
            <w:tcW w:w="5000" w:type="pct"/>
            <w:gridSpan w:val="5"/>
            <w:shd w:val="clear" w:color="auto" w:fill="F2F2F2" w:themeFill="background1" w:themeFillShade="F2"/>
          </w:tcPr>
          <w:p w14:paraId="3B5FBA5B" w14:textId="70F024B3" w:rsidR="0067537B" w:rsidRPr="0003382A" w:rsidRDefault="0067537B" w:rsidP="0067537B">
            <w:pPr>
              <w:spacing w:after="0" w:line="240" w:lineRule="auto"/>
              <w:rPr>
                <w:rFonts w:asciiTheme="majorHAnsi" w:hAnsiTheme="majorHAnsi"/>
                <w:sz w:val="16"/>
                <w:szCs w:val="16"/>
              </w:rPr>
            </w:pPr>
            <w:r w:rsidRPr="0003382A">
              <w:rPr>
                <w:rFonts w:asciiTheme="majorHAnsi" w:hAnsiTheme="majorHAnsi"/>
                <w:b/>
                <w:sz w:val="16"/>
                <w:szCs w:val="16"/>
              </w:rPr>
              <w:t>Women aged 15+</w:t>
            </w:r>
          </w:p>
        </w:tc>
      </w:tr>
      <w:tr w:rsidR="009D5673" w:rsidRPr="00646EAD" w14:paraId="51F4C1EA" w14:textId="77777777" w:rsidTr="00E339E3">
        <w:trPr>
          <w:trHeight w:val="156"/>
        </w:trPr>
        <w:tc>
          <w:tcPr>
            <w:tcW w:w="1868" w:type="pct"/>
          </w:tcPr>
          <w:p w14:paraId="74384DA3" w14:textId="77777777" w:rsidR="009D5673" w:rsidRPr="0003382A" w:rsidRDefault="009D5673" w:rsidP="009D5673">
            <w:pPr>
              <w:spacing w:after="0" w:line="240" w:lineRule="auto"/>
              <w:rPr>
                <w:rFonts w:asciiTheme="majorHAnsi" w:hAnsiTheme="majorHAnsi"/>
                <w:sz w:val="16"/>
                <w:szCs w:val="16"/>
              </w:rPr>
            </w:pPr>
            <w:r w:rsidRPr="0003382A">
              <w:rPr>
                <w:rFonts w:asciiTheme="majorHAnsi" w:hAnsiTheme="majorHAnsi"/>
                <w:sz w:val="16"/>
                <w:szCs w:val="16"/>
              </w:rPr>
              <w:t>Participation rate (ppt)</w:t>
            </w:r>
          </w:p>
        </w:tc>
        <w:tc>
          <w:tcPr>
            <w:tcW w:w="783" w:type="pct"/>
          </w:tcPr>
          <w:p w14:paraId="2F074E97" w14:textId="32D17DDA"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+0.5</w:t>
            </w:r>
          </w:p>
        </w:tc>
        <w:tc>
          <w:tcPr>
            <w:tcW w:w="783" w:type="pct"/>
            <w:tcBorders>
              <w:right w:val="single" w:sz="4" w:space="0" w:color="auto"/>
            </w:tcBorders>
          </w:tcPr>
          <w:p w14:paraId="465ED1BE" w14:textId="29D5DC6E"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+0.5</w:t>
            </w:r>
          </w:p>
        </w:tc>
        <w:tc>
          <w:tcPr>
            <w:tcW w:w="783" w:type="pct"/>
            <w:tcBorders>
              <w:top w:val="single" w:sz="4" w:space="0" w:color="000000" w:themeColor="text1"/>
              <w:left w:val="single" w:sz="4" w:space="0" w:color="auto"/>
            </w:tcBorders>
          </w:tcPr>
          <w:p w14:paraId="3EA14C87" w14:textId="0C761F56"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+0.9</w:t>
            </w:r>
          </w:p>
        </w:tc>
        <w:tc>
          <w:tcPr>
            <w:tcW w:w="783" w:type="pct"/>
            <w:tcBorders>
              <w:top w:val="single" w:sz="4" w:space="0" w:color="000000" w:themeColor="text1"/>
            </w:tcBorders>
          </w:tcPr>
          <w:p w14:paraId="4D019D1A" w14:textId="2A9CE2A3"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+0.9</w:t>
            </w:r>
          </w:p>
        </w:tc>
      </w:tr>
      <w:tr w:rsidR="009D5673" w:rsidRPr="00646EAD" w14:paraId="6B7F1A3E" w14:textId="77777777" w:rsidTr="00E339E3">
        <w:trPr>
          <w:trHeight w:val="156"/>
        </w:trPr>
        <w:tc>
          <w:tcPr>
            <w:tcW w:w="1868" w:type="pct"/>
          </w:tcPr>
          <w:p w14:paraId="35C0152F" w14:textId="77777777" w:rsidR="009D5673" w:rsidRPr="0003382A" w:rsidRDefault="009D5673" w:rsidP="009D5673">
            <w:pPr>
              <w:spacing w:after="0" w:line="240" w:lineRule="auto"/>
              <w:rPr>
                <w:rFonts w:asciiTheme="majorHAnsi" w:hAnsiTheme="majorHAnsi"/>
                <w:sz w:val="16"/>
                <w:szCs w:val="16"/>
              </w:rPr>
            </w:pPr>
            <w:r w:rsidRPr="0003382A">
              <w:rPr>
                <w:rFonts w:asciiTheme="majorHAnsi" w:hAnsiTheme="majorHAnsi"/>
                <w:sz w:val="16"/>
                <w:szCs w:val="16"/>
              </w:rPr>
              <w:t>Average weekly hours worked</w:t>
            </w:r>
          </w:p>
        </w:tc>
        <w:tc>
          <w:tcPr>
            <w:tcW w:w="783" w:type="pct"/>
          </w:tcPr>
          <w:p w14:paraId="24F98A7C" w14:textId="5FAF4A20"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+0.1</w:t>
            </w:r>
          </w:p>
        </w:tc>
        <w:tc>
          <w:tcPr>
            <w:tcW w:w="783" w:type="pct"/>
            <w:tcBorders>
              <w:right w:val="single" w:sz="4" w:space="0" w:color="auto"/>
            </w:tcBorders>
          </w:tcPr>
          <w:p w14:paraId="14428BCB" w14:textId="62BB8F54"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+0.4</w:t>
            </w:r>
          </w:p>
        </w:tc>
        <w:tc>
          <w:tcPr>
            <w:tcW w:w="783" w:type="pct"/>
            <w:tcBorders>
              <w:top w:val="single" w:sz="4" w:space="0" w:color="000000" w:themeColor="text1"/>
              <w:left w:val="single" w:sz="4" w:space="0" w:color="auto"/>
            </w:tcBorders>
          </w:tcPr>
          <w:p w14:paraId="57F9AEEE" w14:textId="50768453"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+0.1</w:t>
            </w:r>
          </w:p>
        </w:tc>
        <w:tc>
          <w:tcPr>
            <w:tcW w:w="783" w:type="pct"/>
            <w:tcBorders>
              <w:top w:val="single" w:sz="4" w:space="0" w:color="000000" w:themeColor="text1"/>
            </w:tcBorders>
          </w:tcPr>
          <w:p w14:paraId="20B8C58B" w14:textId="6DBF32D3"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+0.6</w:t>
            </w:r>
          </w:p>
        </w:tc>
      </w:tr>
      <w:tr w:rsidR="009D5673" w:rsidRPr="00646EAD" w14:paraId="07E5628F" w14:textId="77777777" w:rsidTr="00E339E3">
        <w:trPr>
          <w:trHeight w:val="156"/>
        </w:trPr>
        <w:tc>
          <w:tcPr>
            <w:tcW w:w="1868" w:type="pct"/>
          </w:tcPr>
          <w:p w14:paraId="061EB7EF" w14:textId="77777777" w:rsidR="009D5673" w:rsidRPr="0003382A" w:rsidRDefault="009D5673" w:rsidP="009D5673">
            <w:pPr>
              <w:spacing w:after="0" w:line="240" w:lineRule="auto"/>
              <w:rPr>
                <w:rFonts w:asciiTheme="majorHAnsi" w:hAnsiTheme="majorHAnsi"/>
                <w:sz w:val="16"/>
                <w:szCs w:val="16"/>
              </w:rPr>
            </w:pPr>
            <w:r w:rsidRPr="0003382A">
              <w:rPr>
                <w:rFonts w:asciiTheme="majorHAnsi" w:hAnsiTheme="majorHAnsi"/>
                <w:sz w:val="16"/>
                <w:szCs w:val="16"/>
              </w:rPr>
              <w:t>Average wages (</w:t>
            </w:r>
            <w:r>
              <w:rPr>
                <w:rFonts w:asciiTheme="majorHAnsi" w:hAnsiTheme="majorHAnsi"/>
                <w:sz w:val="16"/>
                <w:szCs w:val="16"/>
              </w:rPr>
              <w:t>%</w:t>
            </w:r>
            <w:r w:rsidRPr="0003382A">
              <w:rPr>
                <w:rFonts w:asciiTheme="majorHAnsi" w:hAnsiTheme="majorHAnsi"/>
                <w:sz w:val="16"/>
                <w:szCs w:val="16"/>
              </w:rPr>
              <w:t>)</w:t>
            </w:r>
          </w:p>
        </w:tc>
        <w:tc>
          <w:tcPr>
            <w:tcW w:w="783" w:type="pct"/>
          </w:tcPr>
          <w:p w14:paraId="63830598" w14:textId="5B0DBE37"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+0.1</w:t>
            </w:r>
          </w:p>
        </w:tc>
        <w:tc>
          <w:tcPr>
            <w:tcW w:w="783" w:type="pct"/>
            <w:tcBorders>
              <w:right w:val="single" w:sz="4" w:space="0" w:color="auto"/>
            </w:tcBorders>
          </w:tcPr>
          <w:p w14:paraId="347A73C8" w14:textId="39471DAC"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+0.5</w:t>
            </w:r>
          </w:p>
        </w:tc>
        <w:tc>
          <w:tcPr>
            <w:tcW w:w="783" w:type="pct"/>
            <w:tcBorders>
              <w:top w:val="single" w:sz="4" w:space="0" w:color="000000" w:themeColor="text1"/>
              <w:left w:val="single" w:sz="4" w:space="0" w:color="auto"/>
              <w:bottom w:val="single" w:sz="4" w:space="0" w:color="000000" w:themeColor="text1"/>
            </w:tcBorders>
          </w:tcPr>
          <w:p w14:paraId="58B89825" w14:textId="784A1337"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+0.1</w:t>
            </w:r>
          </w:p>
        </w:tc>
        <w:tc>
          <w:tcPr>
            <w:tcW w:w="783" w:type="pct"/>
            <w:tcBorders>
              <w:top w:val="single" w:sz="4" w:space="0" w:color="000000" w:themeColor="text1"/>
              <w:bottom w:val="single" w:sz="4" w:space="0" w:color="000000" w:themeColor="text1"/>
            </w:tcBorders>
          </w:tcPr>
          <w:p w14:paraId="3CB1B123" w14:textId="4CD02CFA" w:rsidR="009D5673" w:rsidRPr="008763FA" w:rsidRDefault="009D5673" w:rsidP="009D5673">
            <w:pPr>
              <w:spacing w:after="0" w:line="240" w:lineRule="auto"/>
              <w:jc w:val="center"/>
              <w:rPr>
                <w:rFonts w:asciiTheme="majorHAnsi" w:hAnsiTheme="majorHAnsi"/>
                <w:sz w:val="16"/>
                <w:szCs w:val="16"/>
                <w:highlight w:val="lightGray"/>
              </w:rPr>
            </w:pPr>
            <w:r w:rsidRPr="001C2286">
              <w:rPr>
                <w:rFonts w:asciiTheme="majorHAnsi" w:hAnsiTheme="majorHAnsi"/>
                <w:sz w:val="16"/>
                <w:szCs w:val="16"/>
              </w:rPr>
              <w:t>+0.7</w:t>
            </w:r>
          </w:p>
        </w:tc>
      </w:tr>
      <w:tr w:rsidR="009D5673" w:rsidRPr="00646EAD" w14:paraId="03454CF0" w14:textId="77777777" w:rsidTr="009D5673">
        <w:trPr>
          <w:trHeight w:val="156"/>
        </w:trPr>
        <w:tc>
          <w:tcPr>
            <w:tcW w:w="1868" w:type="pct"/>
          </w:tcPr>
          <w:p w14:paraId="0602CF6F" w14:textId="77777777" w:rsidR="009D5673" w:rsidRPr="006654BF" w:rsidRDefault="009D5673" w:rsidP="009D5673">
            <w:pPr>
              <w:spacing w:after="0" w:line="240" w:lineRule="auto"/>
              <w:rPr>
                <w:rFonts w:asciiTheme="majorHAnsi" w:hAnsiTheme="majorHAnsi"/>
                <w:sz w:val="16"/>
                <w:szCs w:val="16"/>
              </w:rPr>
            </w:pPr>
            <w:r w:rsidRPr="00E274D7">
              <w:rPr>
                <w:rFonts w:asciiTheme="majorHAnsi" w:hAnsiTheme="majorHAnsi"/>
                <w:sz w:val="16"/>
                <w:szCs w:val="16"/>
              </w:rPr>
              <w:t xml:space="preserve">Additional </w:t>
            </w:r>
            <w:r w:rsidRPr="006654BF">
              <w:rPr>
                <w:rFonts w:asciiTheme="majorHAnsi" w:hAnsiTheme="majorHAnsi"/>
                <w:sz w:val="16"/>
                <w:szCs w:val="16"/>
              </w:rPr>
              <w:t>participants (no.)</w:t>
            </w:r>
          </w:p>
        </w:tc>
        <w:tc>
          <w:tcPr>
            <w:tcW w:w="783" w:type="pct"/>
          </w:tcPr>
          <w:p w14:paraId="34DC93BE" w14:textId="695A405E" w:rsidR="009D5673" w:rsidRPr="008763FA" w:rsidRDefault="009D5673" w:rsidP="009D5673">
            <w:pPr>
              <w:spacing w:after="0" w:line="240" w:lineRule="auto"/>
              <w:jc w:val="center"/>
              <w:rPr>
                <w:rFonts w:asciiTheme="majorHAnsi" w:hAnsiTheme="majorHAnsi"/>
                <w:sz w:val="16"/>
                <w:szCs w:val="16"/>
                <w:highlight w:val="lightGray"/>
              </w:rPr>
            </w:pPr>
            <w:r w:rsidRPr="001C2286">
              <w:rPr>
                <w:sz w:val="16"/>
                <w:szCs w:val="16"/>
              </w:rPr>
              <w:t>13,000</w:t>
            </w:r>
          </w:p>
        </w:tc>
        <w:tc>
          <w:tcPr>
            <w:tcW w:w="783" w:type="pct"/>
            <w:tcBorders>
              <w:top w:val="single" w:sz="4" w:space="0" w:color="000000" w:themeColor="text1"/>
              <w:bottom w:val="single" w:sz="4" w:space="0" w:color="000000" w:themeColor="text1"/>
              <w:right w:val="single" w:sz="4" w:space="0" w:color="000000"/>
            </w:tcBorders>
          </w:tcPr>
          <w:p w14:paraId="0D1C9F44" w14:textId="46645647" w:rsidR="009D5673" w:rsidRPr="008763FA" w:rsidRDefault="009D5673" w:rsidP="009D5673">
            <w:pPr>
              <w:spacing w:after="0" w:line="240" w:lineRule="auto"/>
              <w:jc w:val="center"/>
              <w:rPr>
                <w:rFonts w:asciiTheme="majorHAnsi" w:hAnsiTheme="majorHAnsi"/>
                <w:sz w:val="16"/>
                <w:szCs w:val="16"/>
                <w:highlight w:val="lightGray"/>
              </w:rPr>
            </w:pPr>
            <w:r w:rsidRPr="001C2286">
              <w:rPr>
                <w:sz w:val="16"/>
                <w:szCs w:val="16"/>
              </w:rPr>
              <w:t>18,000</w:t>
            </w:r>
          </w:p>
        </w:tc>
        <w:tc>
          <w:tcPr>
            <w:tcW w:w="783" w:type="pct"/>
            <w:tcBorders>
              <w:top w:val="single" w:sz="4" w:space="0" w:color="000000" w:themeColor="text1"/>
              <w:left w:val="single" w:sz="4" w:space="0" w:color="000000"/>
              <w:bottom w:val="single" w:sz="4" w:space="0" w:color="000000" w:themeColor="text1"/>
            </w:tcBorders>
          </w:tcPr>
          <w:p w14:paraId="1E16B2DF" w14:textId="124EAC80" w:rsidR="009D5673" w:rsidRPr="008763FA" w:rsidRDefault="009D5673" w:rsidP="009D5673">
            <w:pPr>
              <w:spacing w:after="0" w:line="240" w:lineRule="auto"/>
              <w:jc w:val="center"/>
              <w:rPr>
                <w:rFonts w:asciiTheme="majorHAnsi" w:hAnsiTheme="majorHAnsi"/>
                <w:sz w:val="16"/>
                <w:szCs w:val="16"/>
                <w:highlight w:val="lightGray"/>
              </w:rPr>
            </w:pPr>
            <w:r w:rsidRPr="001C2286">
              <w:rPr>
                <w:sz w:val="16"/>
                <w:szCs w:val="16"/>
              </w:rPr>
              <w:t>19,000</w:t>
            </w:r>
          </w:p>
        </w:tc>
        <w:tc>
          <w:tcPr>
            <w:tcW w:w="783" w:type="pct"/>
            <w:tcBorders>
              <w:top w:val="single" w:sz="4" w:space="0" w:color="000000" w:themeColor="text1"/>
              <w:bottom w:val="single" w:sz="4" w:space="0" w:color="000000" w:themeColor="text1"/>
              <w:right w:val="nil"/>
            </w:tcBorders>
          </w:tcPr>
          <w:p w14:paraId="67D8CD35" w14:textId="6F3C61A5" w:rsidR="009D5673" w:rsidRPr="008763FA" w:rsidRDefault="009D5673" w:rsidP="009D5673">
            <w:pPr>
              <w:spacing w:after="0" w:line="240" w:lineRule="auto"/>
              <w:jc w:val="center"/>
              <w:rPr>
                <w:rFonts w:asciiTheme="majorHAnsi" w:hAnsiTheme="majorHAnsi"/>
                <w:sz w:val="16"/>
                <w:szCs w:val="16"/>
                <w:highlight w:val="lightGray"/>
              </w:rPr>
            </w:pPr>
            <w:r w:rsidRPr="001C2286">
              <w:rPr>
                <w:sz w:val="16"/>
                <w:szCs w:val="16"/>
              </w:rPr>
              <w:t>26,000</w:t>
            </w:r>
          </w:p>
        </w:tc>
      </w:tr>
    </w:tbl>
    <w:p w14:paraId="14A54F22" w14:textId="589C2CE1" w:rsidR="00921D3B" w:rsidRDefault="00921D3B" w:rsidP="00921D3B">
      <w:pPr>
        <w:pStyle w:val="Caption"/>
        <w:spacing w:before="0"/>
        <w:rPr>
          <w:sz w:val="14"/>
          <w:szCs w:val="14"/>
        </w:rPr>
      </w:pPr>
      <w:r w:rsidRPr="00AC51F0">
        <w:rPr>
          <w:sz w:val="14"/>
          <w:szCs w:val="14"/>
        </w:rPr>
        <w:t xml:space="preserve">Source: Deloitte Access Economics </w:t>
      </w:r>
      <w:r w:rsidR="00F93904">
        <w:rPr>
          <w:sz w:val="14"/>
          <w:szCs w:val="14"/>
        </w:rPr>
        <w:t>(2025</w:t>
      </w:r>
      <w:r w:rsidRPr="00AC51F0">
        <w:rPr>
          <w:sz w:val="14"/>
          <w:szCs w:val="14"/>
        </w:rPr>
        <w:t xml:space="preserve">). </w:t>
      </w:r>
    </w:p>
    <w:p w14:paraId="3DB49E0F" w14:textId="2BB14687" w:rsidR="00FC5A76" w:rsidRDefault="00FC5A76" w:rsidP="00FC5A76">
      <w:pPr>
        <w:pStyle w:val="HeadingA"/>
      </w:pPr>
      <w:r>
        <w:t>Economy-wide impacts</w:t>
      </w:r>
    </w:p>
    <w:p w14:paraId="5BF4B678" w14:textId="23518215" w:rsidR="00313BBB" w:rsidRDefault="009945C8" w:rsidP="009945C8">
      <w:pPr>
        <w:rPr>
          <w:lang w:val="en-US"/>
        </w:rPr>
      </w:pPr>
      <w:r>
        <w:t xml:space="preserve">Through supporting </w:t>
      </w:r>
      <w:r w:rsidR="007F559C">
        <w:t>a more</w:t>
      </w:r>
      <w:r>
        <w:t xml:space="preserve"> </w:t>
      </w:r>
      <w:r w:rsidR="00BB4C17">
        <w:t>productive</w:t>
      </w:r>
      <w:r>
        <w:t xml:space="preserve"> and </w:t>
      </w:r>
      <w:r w:rsidR="007F559C">
        <w:t xml:space="preserve">larger workforce as </w:t>
      </w:r>
      <w:r>
        <w:t>primary carers and</w:t>
      </w:r>
      <w:r w:rsidR="00D75E84">
        <w:t>, in time,</w:t>
      </w:r>
      <w:r>
        <w:t xml:space="preserve"> </w:t>
      </w:r>
      <w:r w:rsidR="00430C5A">
        <w:t xml:space="preserve">direct beneficiaries of the BSBL reforms </w:t>
      </w:r>
      <w:r w:rsidR="007F559C">
        <w:t>enter the labour market</w:t>
      </w:r>
      <w:r>
        <w:t xml:space="preserve">, the BSBL reforms </w:t>
      </w:r>
      <w:r w:rsidR="007F559C">
        <w:t xml:space="preserve">will </w:t>
      </w:r>
      <w:r w:rsidRPr="008319CC">
        <w:rPr>
          <w:lang w:val="en-US"/>
        </w:rPr>
        <w:t xml:space="preserve">enable faster growth for both the Victorian and Australian economy. </w:t>
      </w:r>
    </w:p>
    <w:p w14:paraId="08943FC0" w14:textId="05727B61" w:rsidR="00CA36CC" w:rsidRDefault="00B23320" w:rsidP="00716BE4">
      <w:pPr>
        <w:rPr>
          <w:lang w:val="en-US"/>
        </w:rPr>
      </w:pPr>
      <w:r>
        <w:rPr>
          <w:lang w:val="en-US"/>
        </w:rPr>
        <w:t xml:space="preserve">On average, </w:t>
      </w:r>
      <w:r w:rsidR="00BB4CB6">
        <w:rPr>
          <w:lang w:val="en-US"/>
        </w:rPr>
        <w:t>Gross State Product (</w:t>
      </w:r>
      <w:r>
        <w:rPr>
          <w:lang w:val="en-US"/>
        </w:rPr>
        <w:t>GSP</w:t>
      </w:r>
      <w:r w:rsidR="00BB4CB6">
        <w:rPr>
          <w:lang w:val="en-US"/>
        </w:rPr>
        <w:t>)</w:t>
      </w:r>
      <w:r>
        <w:rPr>
          <w:lang w:val="en-US"/>
        </w:rPr>
        <w:t xml:space="preserve"> is projected </w:t>
      </w:r>
      <w:r w:rsidRPr="00A90C93">
        <w:rPr>
          <w:lang w:val="en-US"/>
        </w:rPr>
        <w:t xml:space="preserve">to be higher by </w:t>
      </w:r>
      <w:r w:rsidRPr="00EB3261">
        <w:rPr>
          <w:lang w:val="en-US"/>
        </w:rPr>
        <w:t>$</w:t>
      </w:r>
      <w:r w:rsidR="00A90C93" w:rsidRPr="00EB3261">
        <w:rPr>
          <w:lang w:val="en-US"/>
        </w:rPr>
        <w:t>10</w:t>
      </w:r>
      <w:r w:rsidRPr="00EB3261">
        <w:rPr>
          <w:lang w:val="en-US"/>
        </w:rPr>
        <w:t>.</w:t>
      </w:r>
      <w:r w:rsidR="00A90C93" w:rsidRPr="00EB3261">
        <w:rPr>
          <w:lang w:val="en-US"/>
        </w:rPr>
        <w:t xml:space="preserve">2 </w:t>
      </w:r>
      <w:r w:rsidRPr="00EB3261">
        <w:rPr>
          <w:lang w:val="en-US"/>
        </w:rPr>
        <w:t>billion to $</w:t>
      </w:r>
      <w:r w:rsidR="00A90C93" w:rsidRPr="00EB3261">
        <w:rPr>
          <w:lang w:val="en-US"/>
        </w:rPr>
        <w:t>14</w:t>
      </w:r>
      <w:r w:rsidRPr="00EB3261">
        <w:rPr>
          <w:lang w:val="en-US"/>
        </w:rPr>
        <w:t>.</w:t>
      </w:r>
      <w:r w:rsidR="00A90C93" w:rsidRPr="00EB3261">
        <w:rPr>
          <w:lang w:val="en-US"/>
        </w:rPr>
        <w:t xml:space="preserve">9 </w:t>
      </w:r>
      <w:r w:rsidRPr="00EB3261">
        <w:rPr>
          <w:lang w:val="en-US"/>
        </w:rPr>
        <w:t>billion</w:t>
      </w:r>
      <w:r w:rsidRPr="00232A0C">
        <w:rPr>
          <w:lang w:val="en-US"/>
        </w:rPr>
        <w:t xml:space="preserve"> per annum</w:t>
      </w:r>
      <w:r w:rsidR="0063475C" w:rsidRPr="00232A0C">
        <w:rPr>
          <w:lang w:val="en-US"/>
        </w:rPr>
        <w:t xml:space="preserve"> (in </w:t>
      </w:r>
      <w:r w:rsidR="00425811" w:rsidRPr="00232A0C">
        <w:rPr>
          <w:lang w:val="en-US"/>
        </w:rPr>
        <w:t>202</w:t>
      </w:r>
      <w:r w:rsidR="00425811">
        <w:rPr>
          <w:lang w:val="en-US"/>
        </w:rPr>
        <w:t>5</w:t>
      </w:r>
      <w:r w:rsidR="00425811" w:rsidRPr="00232A0C">
        <w:rPr>
          <w:lang w:val="en-US"/>
        </w:rPr>
        <w:t xml:space="preserve"> </w:t>
      </w:r>
      <w:r w:rsidR="0063475C" w:rsidRPr="00232A0C">
        <w:rPr>
          <w:lang w:val="en-US"/>
        </w:rPr>
        <w:t>dollars)</w:t>
      </w:r>
      <w:r w:rsidRPr="00232A0C">
        <w:rPr>
          <w:lang w:val="en-US"/>
        </w:rPr>
        <w:t xml:space="preserve">, </w:t>
      </w:r>
      <w:r w:rsidRPr="00232A0C">
        <w:t xml:space="preserve">or an average increase in GSP of </w:t>
      </w:r>
      <w:r w:rsidRPr="00700494">
        <w:t xml:space="preserve">between </w:t>
      </w:r>
      <w:r w:rsidRPr="00EB3261">
        <w:t>$</w:t>
      </w:r>
      <w:r w:rsidR="00700494" w:rsidRPr="00EB3261">
        <w:t>2</w:t>
      </w:r>
      <w:r w:rsidR="005E2241" w:rsidRPr="00EB3261">
        <w:t>,</w:t>
      </w:r>
      <w:r w:rsidR="00700494" w:rsidRPr="00EB3261">
        <w:t xml:space="preserve">700 </w:t>
      </w:r>
      <w:r w:rsidRPr="00EB3261">
        <w:t>and $</w:t>
      </w:r>
      <w:r w:rsidR="0022022B" w:rsidRPr="00EB3261">
        <w:t>3</w:t>
      </w:r>
      <w:r w:rsidRPr="00EB3261">
        <w:t>,</w:t>
      </w:r>
      <w:r w:rsidR="00700494" w:rsidRPr="00EB3261">
        <w:t>900</w:t>
      </w:r>
      <w:r w:rsidR="00700494" w:rsidRPr="00700494">
        <w:t xml:space="preserve"> </w:t>
      </w:r>
      <w:r w:rsidRPr="00700494">
        <w:t xml:space="preserve">per Victorian household, </w:t>
      </w:r>
      <w:r w:rsidRPr="00700494">
        <w:rPr>
          <w:lang w:val="en-US"/>
        </w:rPr>
        <w:t xml:space="preserve">over the period to </w:t>
      </w:r>
      <w:r w:rsidR="006148DA" w:rsidRPr="00700494">
        <w:rPr>
          <w:lang w:val="en-US"/>
        </w:rPr>
        <w:t>206</w:t>
      </w:r>
      <w:r w:rsidR="007B2CDE" w:rsidRPr="00700494">
        <w:rPr>
          <w:lang w:val="en-US"/>
        </w:rPr>
        <w:t>5</w:t>
      </w:r>
      <w:r w:rsidR="006148DA" w:rsidRPr="00700494">
        <w:rPr>
          <w:lang w:val="en-US"/>
        </w:rPr>
        <w:t>-6</w:t>
      </w:r>
      <w:r w:rsidR="007B2CDE" w:rsidRPr="00700494">
        <w:rPr>
          <w:lang w:val="en-US"/>
        </w:rPr>
        <w:t>6</w:t>
      </w:r>
      <w:r w:rsidRPr="00700494">
        <w:rPr>
          <w:lang w:val="en-US"/>
        </w:rPr>
        <w:t xml:space="preserve">. </w:t>
      </w:r>
      <w:r w:rsidR="006F1931" w:rsidRPr="00700494">
        <w:rPr>
          <w:lang w:val="en-US"/>
        </w:rPr>
        <w:t>Alongside the additional economic activity,</w:t>
      </w:r>
      <w:r w:rsidR="006F1931" w:rsidRPr="00A90C93">
        <w:rPr>
          <w:lang w:val="en-US"/>
        </w:rPr>
        <w:t xml:space="preserve"> employment is expected to increase by between </w:t>
      </w:r>
      <w:r w:rsidR="00A90C93" w:rsidRPr="00EB3261">
        <w:rPr>
          <w:lang w:val="en-US"/>
        </w:rPr>
        <w:t>4</w:t>
      </w:r>
      <w:r w:rsidR="00995990">
        <w:rPr>
          <w:lang w:val="en-US"/>
        </w:rPr>
        <w:t>5</w:t>
      </w:r>
      <w:r w:rsidR="006F1931" w:rsidRPr="00EB3261">
        <w:rPr>
          <w:lang w:val="en-US"/>
        </w:rPr>
        <w:t>,</w:t>
      </w:r>
      <w:r w:rsidR="00995990">
        <w:rPr>
          <w:lang w:val="en-US"/>
        </w:rPr>
        <w:t>1</w:t>
      </w:r>
      <w:r w:rsidR="00995990" w:rsidRPr="00EB3261">
        <w:rPr>
          <w:lang w:val="en-US"/>
        </w:rPr>
        <w:t xml:space="preserve">00 </w:t>
      </w:r>
      <w:r w:rsidR="006F1931" w:rsidRPr="00EB3261">
        <w:rPr>
          <w:lang w:val="en-US"/>
        </w:rPr>
        <w:t xml:space="preserve">and </w:t>
      </w:r>
      <w:r w:rsidR="00A90C93" w:rsidRPr="00EB3261">
        <w:rPr>
          <w:lang w:val="en-US"/>
        </w:rPr>
        <w:t>6</w:t>
      </w:r>
      <w:r w:rsidR="00995990">
        <w:rPr>
          <w:lang w:val="en-US"/>
        </w:rPr>
        <w:t>6</w:t>
      </w:r>
      <w:r w:rsidR="00F27037" w:rsidRPr="00EB3261">
        <w:rPr>
          <w:lang w:val="en-US"/>
        </w:rPr>
        <w:t>,</w:t>
      </w:r>
      <w:r w:rsidR="00995990">
        <w:rPr>
          <w:lang w:val="en-US"/>
        </w:rPr>
        <w:t>8</w:t>
      </w:r>
      <w:r w:rsidR="00A90C93" w:rsidRPr="00EB3261">
        <w:rPr>
          <w:lang w:val="en-US"/>
        </w:rPr>
        <w:t>00</w:t>
      </w:r>
      <w:r w:rsidR="00A90C93" w:rsidRPr="00A90C93">
        <w:rPr>
          <w:lang w:val="en-US"/>
        </w:rPr>
        <w:t xml:space="preserve"> </w:t>
      </w:r>
      <w:proofErr w:type="gramStart"/>
      <w:r w:rsidR="006F1931" w:rsidRPr="00A90C93">
        <w:rPr>
          <w:lang w:val="en-US"/>
        </w:rPr>
        <w:t>full time equivalent</w:t>
      </w:r>
      <w:proofErr w:type="gramEnd"/>
      <w:r w:rsidR="006F1931" w:rsidRPr="00A90C93">
        <w:rPr>
          <w:lang w:val="en-US"/>
        </w:rPr>
        <w:t xml:space="preserve"> (FTE) jobs,</w:t>
      </w:r>
      <w:r w:rsidR="006F1931" w:rsidRPr="00A90C93" w:rsidDel="00586482">
        <w:rPr>
          <w:lang w:val="en-US"/>
        </w:rPr>
        <w:t xml:space="preserve"> </w:t>
      </w:r>
      <w:r w:rsidR="006F1931" w:rsidRPr="00A90C93">
        <w:rPr>
          <w:lang w:val="en-US"/>
        </w:rPr>
        <w:t xml:space="preserve">on average, between 2022 and </w:t>
      </w:r>
      <w:r w:rsidR="00F72C21" w:rsidRPr="00A90C93">
        <w:rPr>
          <w:lang w:val="en-US"/>
        </w:rPr>
        <w:t>206</w:t>
      </w:r>
      <w:r w:rsidR="007B2CDE" w:rsidRPr="00A90C93">
        <w:rPr>
          <w:lang w:val="en-US"/>
        </w:rPr>
        <w:t>6</w:t>
      </w:r>
      <w:r w:rsidR="006F1931" w:rsidRPr="00A90C93">
        <w:rPr>
          <w:lang w:val="en-US"/>
        </w:rPr>
        <w:t xml:space="preserve">, </w:t>
      </w:r>
      <w:proofErr w:type="gramStart"/>
      <w:r w:rsidR="006F1931" w:rsidRPr="00A90C93">
        <w:rPr>
          <w:lang w:val="en-US"/>
        </w:rPr>
        <w:t>as a result of</w:t>
      </w:r>
      <w:proofErr w:type="gramEnd"/>
      <w:r w:rsidR="006F1931" w:rsidRPr="00A90C93">
        <w:rPr>
          <w:lang w:val="en-US"/>
        </w:rPr>
        <w:t xml:space="preserve"> the BSBL reforms.</w:t>
      </w:r>
      <w:r w:rsidR="006F1931" w:rsidRPr="008319CC">
        <w:rPr>
          <w:lang w:val="en-US"/>
        </w:rPr>
        <w:t xml:space="preserve"> </w:t>
      </w:r>
    </w:p>
    <w:p w14:paraId="2EF242AE" w14:textId="3D052761" w:rsidR="00313BBB" w:rsidRPr="008763FA" w:rsidRDefault="00313BBB" w:rsidP="00716BE4">
      <w:r>
        <w:t xml:space="preserve">The scenarios presented capture some of the uncertainty in the literature in relation to the responsiveness of parental labour supply to improving the accessibility of kindergarten and potential differences in child development outcomes. This provides a degree of sensitivity analysis although it remains possible that parental labour supply could be </w:t>
      </w:r>
      <w:proofErr w:type="gramStart"/>
      <w:r>
        <w:t>more or less responsive</w:t>
      </w:r>
      <w:proofErr w:type="gramEnd"/>
      <w:r>
        <w:t xml:space="preserve"> than what has been observed historically or that the impact of the policy on children’s developmental outcomes may vary from what has been assumed based on the existing literature. </w:t>
      </w:r>
    </w:p>
    <w:p w14:paraId="07823464" w14:textId="67529698" w:rsidR="00CE7C79" w:rsidRPr="008C3B87" w:rsidRDefault="00CE7C79" w:rsidP="0010561A">
      <w:pPr>
        <w:pStyle w:val="ExecTableCaption"/>
      </w:pPr>
      <w:r>
        <w:lastRenderedPageBreak/>
        <w:t xml:space="preserve">: </w:t>
      </w:r>
      <w:r w:rsidRPr="008C3B87">
        <w:t>Summary of economy-wide modelling results, real $202</w:t>
      </w:r>
      <w:r w:rsidRPr="00EB3261">
        <w:t>5</w:t>
      </w:r>
      <w:r w:rsidRPr="008C3B87">
        <w:t xml:space="preserve"> dollars</w:t>
      </w:r>
    </w:p>
    <w:tbl>
      <w:tblPr>
        <w:tblStyle w:val="Deloittetable"/>
        <w:tblW w:w="5000" w:type="pct"/>
        <w:tblLook w:val="04A0" w:firstRow="1" w:lastRow="0" w:firstColumn="1" w:lastColumn="0" w:noHBand="0" w:noVBand="1"/>
      </w:tblPr>
      <w:tblGrid>
        <w:gridCol w:w="1324"/>
        <w:gridCol w:w="1248"/>
        <w:gridCol w:w="1248"/>
        <w:gridCol w:w="1255"/>
        <w:gridCol w:w="1253"/>
        <w:gridCol w:w="1247"/>
        <w:gridCol w:w="1451"/>
      </w:tblGrid>
      <w:tr w:rsidR="00CE7C79" w:rsidRPr="00507078" w14:paraId="67D333E5" w14:textId="77777777" w:rsidTr="00890882">
        <w:trPr>
          <w:cnfStyle w:val="100000000000" w:firstRow="1" w:lastRow="0" w:firstColumn="0" w:lastColumn="0" w:oddVBand="0" w:evenVBand="0" w:oddHBand="0" w:evenHBand="0" w:firstRowFirstColumn="0" w:firstRowLastColumn="0" w:lastRowFirstColumn="0" w:lastRowLastColumn="0"/>
          <w:trHeight w:val="20"/>
        </w:trPr>
        <w:tc>
          <w:tcPr>
            <w:tcW w:w="733" w:type="pct"/>
          </w:tcPr>
          <w:p w14:paraId="292095C1" w14:textId="77777777" w:rsidR="00CE7C79" w:rsidRPr="00F41670" w:rsidRDefault="00CE7C79" w:rsidP="0010561A">
            <w:pPr>
              <w:pStyle w:val="TabletextLeft"/>
              <w:keepNext/>
              <w:spacing w:line="240" w:lineRule="auto"/>
              <w:rPr>
                <w:rFonts w:asciiTheme="majorHAnsi" w:hAnsiTheme="majorHAnsi"/>
                <w:b/>
                <w:sz w:val="16"/>
                <w:szCs w:val="16"/>
              </w:rPr>
            </w:pPr>
            <w:r>
              <w:rPr>
                <w:rFonts w:asciiTheme="majorHAnsi" w:hAnsiTheme="majorHAnsi"/>
                <w:b/>
                <w:sz w:val="16"/>
                <w:szCs w:val="16"/>
              </w:rPr>
              <w:t>Scenario</w:t>
            </w:r>
          </w:p>
        </w:tc>
        <w:tc>
          <w:tcPr>
            <w:tcW w:w="2077" w:type="pct"/>
            <w:gridSpan w:val="3"/>
            <w:tcBorders>
              <w:right w:val="single" w:sz="4" w:space="0" w:color="auto"/>
            </w:tcBorders>
            <w:vAlign w:val="center"/>
          </w:tcPr>
          <w:p w14:paraId="621DD425" w14:textId="77777777" w:rsidR="00CE7C79" w:rsidRPr="00AA17A0" w:rsidRDefault="00CE7C79" w:rsidP="0010561A">
            <w:pPr>
              <w:pStyle w:val="TabletextLeft"/>
              <w:keepNext/>
              <w:spacing w:line="240" w:lineRule="auto"/>
              <w:jc w:val="center"/>
              <w:rPr>
                <w:b/>
                <w:bCs/>
              </w:rPr>
            </w:pPr>
            <w:r w:rsidRPr="00AA17A0">
              <w:rPr>
                <w:rFonts w:asciiTheme="majorHAnsi" w:hAnsiTheme="majorHAnsi"/>
                <w:b/>
                <w:bCs/>
                <w:color w:val="000000"/>
                <w:sz w:val="16"/>
                <w:szCs w:val="16"/>
                <w:lang w:val="en-GB"/>
              </w:rPr>
              <w:t>Low</w:t>
            </w:r>
            <w:r>
              <w:rPr>
                <w:rFonts w:asciiTheme="majorHAnsi" w:hAnsiTheme="majorHAnsi"/>
                <w:b/>
                <w:bCs/>
                <w:color w:val="000000"/>
                <w:sz w:val="16"/>
                <w:szCs w:val="16"/>
                <w:lang w:val="en-GB"/>
              </w:rPr>
              <w:t xml:space="preserve"> (low impact; low elasticity)</w:t>
            </w:r>
          </w:p>
        </w:tc>
        <w:tc>
          <w:tcPr>
            <w:tcW w:w="0" w:type="pct"/>
            <w:gridSpan w:val="3"/>
            <w:vAlign w:val="center"/>
          </w:tcPr>
          <w:p w14:paraId="2D6070C6" w14:textId="77777777" w:rsidR="00CE7C79" w:rsidRPr="00AA17A0" w:rsidRDefault="00CE7C79" w:rsidP="0010561A">
            <w:pPr>
              <w:pStyle w:val="TabletextLeft"/>
              <w:keepNext/>
              <w:spacing w:line="240" w:lineRule="auto"/>
              <w:jc w:val="center"/>
              <w:rPr>
                <w:b/>
                <w:bCs/>
              </w:rPr>
            </w:pPr>
            <w:r w:rsidRPr="00AA17A0">
              <w:rPr>
                <w:rFonts w:asciiTheme="minorHAnsi" w:hAnsiTheme="minorHAnsi"/>
                <w:b/>
                <w:bCs/>
                <w:color w:val="000000"/>
                <w:sz w:val="16"/>
                <w:szCs w:val="16"/>
                <w:lang w:val="en-GB"/>
              </w:rPr>
              <w:t>High</w:t>
            </w:r>
            <w:r>
              <w:rPr>
                <w:rFonts w:asciiTheme="minorHAnsi" w:hAnsiTheme="minorHAnsi"/>
                <w:b/>
                <w:bCs/>
                <w:color w:val="000000"/>
                <w:sz w:val="16"/>
                <w:szCs w:val="16"/>
                <w:lang w:val="en-GB"/>
              </w:rPr>
              <w:t xml:space="preserve"> </w:t>
            </w:r>
            <w:r>
              <w:rPr>
                <w:rFonts w:asciiTheme="majorHAnsi" w:hAnsiTheme="majorHAnsi"/>
                <w:b/>
                <w:bCs/>
                <w:color w:val="000000"/>
                <w:sz w:val="16"/>
                <w:szCs w:val="16"/>
                <w:lang w:val="en-GB"/>
              </w:rPr>
              <w:t>(high impact; high elasticity)</w:t>
            </w:r>
          </w:p>
        </w:tc>
      </w:tr>
      <w:tr w:rsidR="00CE7C79" w:rsidRPr="00507078" w14:paraId="1052D8E4" w14:textId="77777777" w:rsidTr="00890882">
        <w:trPr>
          <w:trHeight w:val="254"/>
        </w:trPr>
        <w:tc>
          <w:tcPr>
            <w:tcW w:w="733" w:type="pct"/>
          </w:tcPr>
          <w:p w14:paraId="2C7ABB79" w14:textId="77777777" w:rsidR="00CE7C79" w:rsidRPr="00F41670" w:rsidRDefault="00CE7C79" w:rsidP="0010561A">
            <w:pPr>
              <w:pStyle w:val="TabletextLeft"/>
              <w:keepNext/>
              <w:spacing w:line="240" w:lineRule="auto"/>
              <w:rPr>
                <w:rFonts w:asciiTheme="majorHAnsi" w:hAnsiTheme="majorHAnsi"/>
                <w:b/>
                <w:sz w:val="16"/>
                <w:szCs w:val="16"/>
              </w:rPr>
            </w:pPr>
          </w:p>
        </w:tc>
        <w:tc>
          <w:tcPr>
            <w:tcW w:w="691" w:type="pct"/>
          </w:tcPr>
          <w:p w14:paraId="7B76DE48" w14:textId="77777777" w:rsidR="00CE7C79" w:rsidRPr="008C3B87" w:rsidRDefault="00CE7C79" w:rsidP="0010561A">
            <w:pPr>
              <w:pStyle w:val="TabletextLeft"/>
              <w:keepNext/>
              <w:spacing w:line="240" w:lineRule="auto"/>
              <w:jc w:val="center"/>
            </w:pPr>
            <w:r w:rsidRPr="008C3B87">
              <w:rPr>
                <w:rFonts w:asciiTheme="majorHAnsi" w:hAnsiTheme="majorHAnsi"/>
                <w:b/>
                <w:sz w:val="16"/>
                <w:szCs w:val="16"/>
              </w:rPr>
              <w:t xml:space="preserve">Annual avg to </w:t>
            </w:r>
            <w:r w:rsidRPr="008C3B87">
              <w:rPr>
                <w:rFonts w:asciiTheme="majorHAnsi" w:hAnsiTheme="majorHAnsi"/>
                <w:b/>
                <w:sz w:val="16"/>
                <w:szCs w:val="16"/>
              </w:rPr>
              <w:br/>
              <w:t>20</w:t>
            </w:r>
            <w:r w:rsidRPr="008C3B87" w:rsidDel="000F3532">
              <w:rPr>
                <w:rFonts w:asciiTheme="majorHAnsi" w:hAnsiTheme="majorHAnsi"/>
                <w:b/>
                <w:sz w:val="16"/>
                <w:szCs w:val="16"/>
              </w:rPr>
              <w:t>6</w:t>
            </w:r>
            <w:r w:rsidRPr="008C3B87">
              <w:rPr>
                <w:rFonts w:asciiTheme="majorHAnsi" w:hAnsiTheme="majorHAnsi"/>
                <w:b/>
                <w:sz w:val="16"/>
                <w:szCs w:val="16"/>
              </w:rPr>
              <w:t>5</w:t>
            </w:r>
            <w:r w:rsidRPr="008C3B87" w:rsidDel="000F3532">
              <w:rPr>
                <w:rFonts w:asciiTheme="majorHAnsi" w:hAnsiTheme="majorHAnsi"/>
                <w:b/>
                <w:sz w:val="16"/>
                <w:szCs w:val="16"/>
              </w:rPr>
              <w:t>-6</w:t>
            </w:r>
            <w:r w:rsidRPr="008C3B87">
              <w:rPr>
                <w:rFonts w:asciiTheme="majorHAnsi" w:hAnsiTheme="majorHAnsi"/>
                <w:b/>
                <w:sz w:val="16"/>
                <w:szCs w:val="16"/>
              </w:rPr>
              <w:t>6</w:t>
            </w:r>
          </w:p>
        </w:tc>
        <w:tc>
          <w:tcPr>
            <w:tcW w:w="691" w:type="pct"/>
          </w:tcPr>
          <w:p w14:paraId="1A3A5B62" w14:textId="77777777" w:rsidR="00CE7C79" w:rsidRPr="008C3B87" w:rsidRDefault="00CE7C79" w:rsidP="0010561A">
            <w:pPr>
              <w:pStyle w:val="TabletextLeft"/>
              <w:keepNext/>
              <w:spacing w:line="240" w:lineRule="auto"/>
              <w:jc w:val="center"/>
            </w:pPr>
            <w:r w:rsidRPr="008C3B87">
              <w:rPr>
                <w:rFonts w:asciiTheme="majorHAnsi" w:hAnsiTheme="majorHAnsi"/>
                <w:b/>
                <w:sz w:val="16"/>
                <w:szCs w:val="16"/>
              </w:rPr>
              <w:t>20</w:t>
            </w:r>
            <w:r w:rsidRPr="008C3B87" w:rsidDel="009508DD">
              <w:rPr>
                <w:rFonts w:asciiTheme="majorHAnsi" w:hAnsiTheme="majorHAnsi"/>
                <w:b/>
                <w:sz w:val="16"/>
                <w:szCs w:val="16"/>
              </w:rPr>
              <w:t>3</w:t>
            </w:r>
            <w:r w:rsidRPr="008C3B87">
              <w:rPr>
                <w:rFonts w:asciiTheme="majorHAnsi" w:hAnsiTheme="majorHAnsi"/>
                <w:b/>
                <w:sz w:val="16"/>
                <w:szCs w:val="16"/>
              </w:rPr>
              <w:t>5</w:t>
            </w:r>
            <w:r w:rsidRPr="008C3B87" w:rsidDel="009508DD">
              <w:rPr>
                <w:rFonts w:asciiTheme="majorHAnsi" w:hAnsiTheme="majorHAnsi"/>
                <w:b/>
                <w:sz w:val="16"/>
                <w:szCs w:val="16"/>
              </w:rPr>
              <w:t>-3</w:t>
            </w:r>
            <w:r w:rsidRPr="008C3B87">
              <w:rPr>
                <w:rFonts w:asciiTheme="majorHAnsi" w:hAnsiTheme="majorHAnsi"/>
                <w:b/>
                <w:sz w:val="16"/>
                <w:szCs w:val="16"/>
              </w:rPr>
              <w:t>6</w:t>
            </w:r>
          </w:p>
        </w:tc>
        <w:tc>
          <w:tcPr>
            <w:tcW w:w="694" w:type="pct"/>
            <w:tcBorders>
              <w:top w:val="single" w:sz="4" w:space="0" w:color="000000" w:themeColor="text1"/>
              <w:right w:val="single" w:sz="4" w:space="0" w:color="auto"/>
            </w:tcBorders>
          </w:tcPr>
          <w:p w14:paraId="4BD06F61" w14:textId="77777777" w:rsidR="00CE7C79" w:rsidRPr="008C3B87" w:rsidRDefault="00CE7C79" w:rsidP="0010561A">
            <w:pPr>
              <w:pStyle w:val="TabletextLeft"/>
              <w:keepNext/>
              <w:spacing w:line="240" w:lineRule="auto"/>
              <w:jc w:val="center"/>
            </w:pPr>
            <w:r w:rsidRPr="008C3B87">
              <w:rPr>
                <w:rFonts w:asciiTheme="majorHAnsi" w:hAnsiTheme="majorHAnsi"/>
                <w:b/>
                <w:sz w:val="16"/>
                <w:szCs w:val="16"/>
              </w:rPr>
              <w:t>20</w:t>
            </w:r>
            <w:r w:rsidRPr="008C3B87" w:rsidDel="000F3532">
              <w:rPr>
                <w:rFonts w:asciiTheme="majorHAnsi" w:hAnsiTheme="majorHAnsi"/>
                <w:b/>
                <w:sz w:val="16"/>
                <w:szCs w:val="16"/>
              </w:rPr>
              <w:t>6</w:t>
            </w:r>
            <w:r w:rsidRPr="008C3B87">
              <w:rPr>
                <w:rFonts w:asciiTheme="majorHAnsi" w:hAnsiTheme="majorHAnsi"/>
                <w:b/>
                <w:sz w:val="16"/>
                <w:szCs w:val="16"/>
              </w:rPr>
              <w:t>5</w:t>
            </w:r>
            <w:r w:rsidRPr="008C3B87" w:rsidDel="000F3532">
              <w:rPr>
                <w:rFonts w:asciiTheme="majorHAnsi" w:hAnsiTheme="majorHAnsi"/>
                <w:b/>
                <w:sz w:val="16"/>
                <w:szCs w:val="16"/>
              </w:rPr>
              <w:t>-6</w:t>
            </w:r>
            <w:r w:rsidRPr="008C3B87">
              <w:rPr>
                <w:rFonts w:asciiTheme="majorHAnsi" w:hAnsiTheme="majorHAnsi"/>
                <w:b/>
                <w:sz w:val="16"/>
                <w:szCs w:val="16"/>
              </w:rPr>
              <w:t>6</w:t>
            </w:r>
          </w:p>
        </w:tc>
        <w:tc>
          <w:tcPr>
            <w:tcW w:w="694" w:type="pct"/>
          </w:tcPr>
          <w:p w14:paraId="164DBF99" w14:textId="77777777" w:rsidR="00CE7C79" w:rsidRDefault="00CE7C79" w:rsidP="0010561A">
            <w:pPr>
              <w:pStyle w:val="TabletextLeft"/>
              <w:keepNext/>
              <w:spacing w:line="240" w:lineRule="auto"/>
              <w:jc w:val="center"/>
              <w:rPr>
                <w:rFonts w:asciiTheme="majorHAnsi" w:hAnsiTheme="majorHAnsi"/>
                <w:b/>
                <w:sz w:val="16"/>
                <w:szCs w:val="16"/>
              </w:rPr>
            </w:pPr>
            <w:r w:rsidRPr="008C3B87">
              <w:rPr>
                <w:rFonts w:asciiTheme="majorHAnsi" w:hAnsiTheme="majorHAnsi"/>
                <w:b/>
                <w:sz w:val="16"/>
                <w:szCs w:val="16"/>
              </w:rPr>
              <w:t xml:space="preserve">Annual </w:t>
            </w:r>
          </w:p>
          <w:p w14:paraId="3FBBFE83" w14:textId="77777777" w:rsidR="00CE7C79" w:rsidRPr="008C3B87" w:rsidRDefault="00CE7C79" w:rsidP="0010561A">
            <w:pPr>
              <w:pStyle w:val="TabletextLeft"/>
              <w:keepNext/>
              <w:spacing w:line="240" w:lineRule="auto"/>
              <w:jc w:val="center"/>
            </w:pPr>
            <w:r w:rsidRPr="008C3B87">
              <w:rPr>
                <w:rFonts w:asciiTheme="majorHAnsi" w:hAnsiTheme="majorHAnsi"/>
                <w:b/>
                <w:sz w:val="16"/>
                <w:szCs w:val="16"/>
              </w:rPr>
              <w:t xml:space="preserve">avg to </w:t>
            </w:r>
            <w:r w:rsidRPr="008C3B87">
              <w:rPr>
                <w:rFonts w:asciiTheme="majorHAnsi" w:hAnsiTheme="majorHAnsi"/>
                <w:b/>
                <w:sz w:val="16"/>
                <w:szCs w:val="16"/>
              </w:rPr>
              <w:br/>
              <w:t>20</w:t>
            </w:r>
            <w:r w:rsidRPr="008C3B87" w:rsidDel="000F3532">
              <w:rPr>
                <w:rFonts w:asciiTheme="majorHAnsi" w:hAnsiTheme="majorHAnsi"/>
                <w:b/>
                <w:sz w:val="16"/>
                <w:szCs w:val="16"/>
              </w:rPr>
              <w:t>6</w:t>
            </w:r>
            <w:r w:rsidRPr="008C3B87">
              <w:rPr>
                <w:rFonts w:asciiTheme="majorHAnsi" w:hAnsiTheme="majorHAnsi"/>
                <w:b/>
                <w:sz w:val="16"/>
                <w:szCs w:val="16"/>
              </w:rPr>
              <w:t>5</w:t>
            </w:r>
            <w:r w:rsidRPr="008C3B87" w:rsidDel="000F3532">
              <w:rPr>
                <w:rFonts w:asciiTheme="majorHAnsi" w:hAnsiTheme="majorHAnsi"/>
                <w:b/>
                <w:sz w:val="16"/>
                <w:szCs w:val="16"/>
              </w:rPr>
              <w:t>-6</w:t>
            </w:r>
            <w:r w:rsidRPr="008C3B87">
              <w:rPr>
                <w:rFonts w:asciiTheme="majorHAnsi" w:hAnsiTheme="majorHAnsi"/>
                <w:b/>
                <w:sz w:val="16"/>
                <w:szCs w:val="16"/>
              </w:rPr>
              <w:t>6</w:t>
            </w:r>
          </w:p>
        </w:tc>
        <w:tc>
          <w:tcPr>
            <w:tcW w:w="691" w:type="pct"/>
            <w:tcBorders>
              <w:top w:val="single" w:sz="4" w:space="0" w:color="000000" w:themeColor="text1"/>
              <w:right w:val="nil"/>
            </w:tcBorders>
          </w:tcPr>
          <w:p w14:paraId="2A1FCEB1" w14:textId="77777777" w:rsidR="00CE7C79" w:rsidRPr="008C3B87" w:rsidRDefault="00CE7C79" w:rsidP="0010561A">
            <w:pPr>
              <w:pStyle w:val="TabletextLeft"/>
              <w:keepNext/>
              <w:spacing w:line="240" w:lineRule="auto"/>
              <w:jc w:val="center"/>
            </w:pPr>
            <w:r w:rsidRPr="008C3B87">
              <w:rPr>
                <w:rFonts w:asciiTheme="majorHAnsi" w:hAnsiTheme="majorHAnsi"/>
                <w:b/>
                <w:sz w:val="16"/>
                <w:szCs w:val="16"/>
              </w:rPr>
              <w:t>20</w:t>
            </w:r>
            <w:r w:rsidRPr="008C3B87" w:rsidDel="009508DD">
              <w:rPr>
                <w:rFonts w:asciiTheme="majorHAnsi" w:hAnsiTheme="majorHAnsi"/>
                <w:b/>
                <w:sz w:val="16"/>
                <w:szCs w:val="16"/>
              </w:rPr>
              <w:t>3</w:t>
            </w:r>
            <w:r w:rsidRPr="008C3B87">
              <w:rPr>
                <w:rFonts w:asciiTheme="majorHAnsi" w:hAnsiTheme="majorHAnsi"/>
                <w:b/>
                <w:sz w:val="16"/>
                <w:szCs w:val="16"/>
              </w:rPr>
              <w:t>5</w:t>
            </w:r>
            <w:r w:rsidRPr="008C3B87" w:rsidDel="009508DD">
              <w:rPr>
                <w:rFonts w:asciiTheme="majorHAnsi" w:hAnsiTheme="majorHAnsi"/>
                <w:b/>
                <w:sz w:val="16"/>
                <w:szCs w:val="16"/>
              </w:rPr>
              <w:t>-3</w:t>
            </w:r>
            <w:r w:rsidRPr="008C3B87">
              <w:rPr>
                <w:rFonts w:asciiTheme="majorHAnsi" w:hAnsiTheme="majorHAnsi"/>
                <w:b/>
                <w:sz w:val="16"/>
                <w:szCs w:val="16"/>
              </w:rPr>
              <w:t>6</w:t>
            </w:r>
          </w:p>
        </w:tc>
        <w:tc>
          <w:tcPr>
            <w:tcW w:w="804" w:type="pct"/>
            <w:tcBorders>
              <w:top w:val="single" w:sz="4" w:space="0" w:color="000000" w:themeColor="text1"/>
              <w:left w:val="nil"/>
            </w:tcBorders>
          </w:tcPr>
          <w:p w14:paraId="214933BF" w14:textId="77777777" w:rsidR="00CE7C79" w:rsidRPr="008C3B87" w:rsidRDefault="00CE7C79" w:rsidP="0010561A">
            <w:pPr>
              <w:pStyle w:val="TabletextLeft"/>
              <w:keepNext/>
              <w:spacing w:line="240" w:lineRule="auto"/>
              <w:jc w:val="center"/>
            </w:pPr>
            <w:r w:rsidRPr="008C3B87">
              <w:rPr>
                <w:rFonts w:asciiTheme="majorHAnsi" w:hAnsiTheme="majorHAnsi"/>
                <w:b/>
                <w:sz w:val="16"/>
                <w:szCs w:val="16"/>
              </w:rPr>
              <w:t>20</w:t>
            </w:r>
            <w:r w:rsidRPr="008C3B87" w:rsidDel="000F3532">
              <w:rPr>
                <w:rFonts w:asciiTheme="majorHAnsi" w:hAnsiTheme="majorHAnsi"/>
                <w:b/>
                <w:sz w:val="16"/>
                <w:szCs w:val="16"/>
              </w:rPr>
              <w:t>6</w:t>
            </w:r>
            <w:r w:rsidRPr="008C3B87">
              <w:rPr>
                <w:rFonts w:asciiTheme="majorHAnsi" w:hAnsiTheme="majorHAnsi"/>
                <w:b/>
                <w:sz w:val="16"/>
                <w:szCs w:val="16"/>
              </w:rPr>
              <w:t>5</w:t>
            </w:r>
            <w:r w:rsidRPr="008C3B87" w:rsidDel="000F3532">
              <w:rPr>
                <w:rFonts w:asciiTheme="majorHAnsi" w:hAnsiTheme="majorHAnsi"/>
                <w:b/>
                <w:sz w:val="16"/>
                <w:szCs w:val="16"/>
              </w:rPr>
              <w:t>-6</w:t>
            </w:r>
            <w:r w:rsidRPr="008C3B87">
              <w:rPr>
                <w:rFonts w:asciiTheme="majorHAnsi" w:hAnsiTheme="majorHAnsi"/>
                <w:b/>
                <w:sz w:val="16"/>
                <w:szCs w:val="16"/>
              </w:rPr>
              <w:t>6</w:t>
            </w:r>
          </w:p>
        </w:tc>
      </w:tr>
      <w:tr w:rsidR="00CE7C79" w:rsidRPr="00507078" w14:paraId="5E15950A" w14:textId="77777777" w:rsidTr="00890882">
        <w:trPr>
          <w:trHeight w:val="254"/>
        </w:trPr>
        <w:tc>
          <w:tcPr>
            <w:tcW w:w="733" w:type="pct"/>
          </w:tcPr>
          <w:p w14:paraId="555766A3" w14:textId="77777777" w:rsidR="00CE7C79" w:rsidRPr="00F41670" w:rsidRDefault="00CE7C79" w:rsidP="0010561A">
            <w:pPr>
              <w:pStyle w:val="TabletextLeft"/>
              <w:keepNext/>
              <w:spacing w:line="240" w:lineRule="auto"/>
              <w:rPr>
                <w:rFonts w:asciiTheme="majorHAnsi" w:hAnsiTheme="majorHAnsi"/>
                <w:b/>
                <w:sz w:val="16"/>
                <w:szCs w:val="16"/>
              </w:rPr>
            </w:pPr>
            <w:r w:rsidRPr="00F41670">
              <w:rPr>
                <w:rFonts w:asciiTheme="majorHAnsi" w:hAnsiTheme="majorHAnsi"/>
                <w:b/>
                <w:sz w:val="16"/>
                <w:szCs w:val="16"/>
              </w:rPr>
              <w:t>Change in Victorian real GSP ($million</w:t>
            </w:r>
            <w:r w:rsidRPr="00F41670">
              <w:rPr>
                <w:rFonts w:asciiTheme="majorHAnsi" w:hAnsiTheme="majorHAnsi"/>
                <w:b/>
                <w:bCs/>
                <w:sz w:val="16"/>
                <w:szCs w:val="16"/>
              </w:rPr>
              <w:t>)</w:t>
            </w:r>
          </w:p>
        </w:tc>
        <w:tc>
          <w:tcPr>
            <w:tcW w:w="691" w:type="pct"/>
            <w:vAlign w:val="center"/>
          </w:tcPr>
          <w:p w14:paraId="150963D1" w14:textId="3D6FABE5" w:rsidR="00CE7C79" w:rsidRPr="009D6768" w:rsidRDefault="00CE7C79" w:rsidP="0010561A">
            <w:pPr>
              <w:pStyle w:val="TabletextLeft"/>
              <w:keepNext/>
              <w:spacing w:line="240" w:lineRule="auto"/>
              <w:jc w:val="center"/>
            </w:pPr>
            <w:r>
              <w:rPr>
                <w:color w:val="000000"/>
                <w:sz w:val="16"/>
                <w:szCs w:val="16"/>
              </w:rPr>
              <w:t>10,20</w:t>
            </w:r>
            <w:r w:rsidR="00281132">
              <w:rPr>
                <w:color w:val="000000"/>
                <w:sz w:val="16"/>
                <w:szCs w:val="16"/>
              </w:rPr>
              <w:t>0</w:t>
            </w:r>
          </w:p>
        </w:tc>
        <w:tc>
          <w:tcPr>
            <w:tcW w:w="691" w:type="pct"/>
            <w:vAlign w:val="center"/>
          </w:tcPr>
          <w:p w14:paraId="24471248" w14:textId="39408ED1" w:rsidR="00CE7C79" w:rsidRPr="009D6768" w:rsidRDefault="00CE7C79" w:rsidP="0010561A">
            <w:pPr>
              <w:pStyle w:val="TabletextLeft"/>
              <w:keepNext/>
              <w:spacing w:line="240" w:lineRule="auto"/>
              <w:jc w:val="center"/>
            </w:pPr>
            <w:r>
              <w:rPr>
                <w:color w:val="000000"/>
                <w:sz w:val="16"/>
                <w:szCs w:val="16"/>
              </w:rPr>
              <w:t>6,</w:t>
            </w:r>
            <w:r w:rsidR="00281132">
              <w:rPr>
                <w:color w:val="000000"/>
                <w:sz w:val="16"/>
                <w:szCs w:val="16"/>
              </w:rPr>
              <w:t>800</w:t>
            </w:r>
          </w:p>
        </w:tc>
        <w:tc>
          <w:tcPr>
            <w:tcW w:w="694" w:type="pct"/>
            <w:tcBorders>
              <w:top w:val="single" w:sz="4" w:space="0" w:color="000000" w:themeColor="text1"/>
              <w:right w:val="single" w:sz="4" w:space="0" w:color="auto"/>
            </w:tcBorders>
            <w:vAlign w:val="center"/>
          </w:tcPr>
          <w:p w14:paraId="55952753" w14:textId="77777777" w:rsidR="00CE7C79" w:rsidRPr="009D6768" w:rsidRDefault="00CE7C79" w:rsidP="0010561A">
            <w:pPr>
              <w:pStyle w:val="TabletextLeft"/>
              <w:keepNext/>
              <w:spacing w:line="240" w:lineRule="auto"/>
              <w:jc w:val="center"/>
            </w:pPr>
            <w:r>
              <w:rPr>
                <w:color w:val="000000"/>
                <w:sz w:val="16"/>
                <w:szCs w:val="16"/>
              </w:rPr>
              <w:t>22,100</w:t>
            </w:r>
          </w:p>
        </w:tc>
        <w:tc>
          <w:tcPr>
            <w:tcW w:w="694" w:type="pct"/>
            <w:vAlign w:val="center"/>
          </w:tcPr>
          <w:p w14:paraId="56128CD1" w14:textId="11934473" w:rsidR="00CE7C79" w:rsidRPr="00AE6AC6" w:rsidRDefault="00CE7C79" w:rsidP="0010561A">
            <w:pPr>
              <w:pStyle w:val="TabletextLeft"/>
              <w:keepNext/>
              <w:spacing w:line="240" w:lineRule="auto"/>
              <w:jc w:val="center"/>
              <w:rPr>
                <w:rFonts w:asciiTheme="minorHAnsi" w:eastAsia="Verdana" w:hAnsiTheme="minorHAnsi" w:cstheme="minorHAnsi"/>
                <w:sz w:val="16"/>
                <w:szCs w:val="16"/>
              </w:rPr>
            </w:pPr>
            <w:r>
              <w:rPr>
                <w:color w:val="000000"/>
                <w:sz w:val="16"/>
                <w:szCs w:val="16"/>
              </w:rPr>
              <w:t>14,9</w:t>
            </w:r>
            <w:r w:rsidR="00281132">
              <w:rPr>
                <w:color w:val="000000"/>
                <w:sz w:val="16"/>
                <w:szCs w:val="16"/>
              </w:rPr>
              <w:t>00</w:t>
            </w:r>
          </w:p>
        </w:tc>
        <w:tc>
          <w:tcPr>
            <w:tcW w:w="691" w:type="pct"/>
            <w:tcBorders>
              <w:top w:val="single" w:sz="4" w:space="0" w:color="000000" w:themeColor="text1"/>
              <w:right w:val="nil"/>
            </w:tcBorders>
            <w:vAlign w:val="center"/>
          </w:tcPr>
          <w:p w14:paraId="20B11CD2" w14:textId="25683CC6" w:rsidR="00CE7C79" w:rsidRPr="00AE6AC6" w:rsidRDefault="00CE7C79" w:rsidP="0010561A">
            <w:pPr>
              <w:pStyle w:val="TabletextLeft"/>
              <w:keepNext/>
              <w:spacing w:line="240" w:lineRule="auto"/>
              <w:jc w:val="center"/>
              <w:rPr>
                <w:rFonts w:asciiTheme="minorHAnsi" w:eastAsia="Verdana" w:hAnsiTheme="minorHAnsi" w:cstheme="minorHAnsi"/>
                <w:sz w:val="16"/>
                <w:szCs w:val="16"/>
              </w:rPr>
            </w:pPr>
            <w:r>
              <w:rPr>
                <w:color w:val="000000"/>
                <w:sz w:val="16"/>
                <w:szCs w:val="16"/>
              </w:rPr>
              <w:t>9,</w:t>
            </w:r>
            <w:r w:rsidR="00281132">
              <w:rPr>
                <w:color w:val="000000"/>
                <w:sz w:val="16"/>
                <w:szCs w:val="16"/>
              </w:rPr>
              <w:t>200</w:t>
            </w:r>
          </w:p>
        </w:tc>
        <w:tc>
          <w:tcPr>
            <w:tcW w:w="804" w:type="pct"/>
            <w:tcBorders>
              <w:top w:val="single" w:sz="4" w:space="0" w:color="000000" w:themeColor="text1"/>
              <w:left w:val="nil"/>
            </w:tcBorders>
            <w:vAlign w:val="center"/>
          </w:tcPr>
          <w:p w14:paraId="45AB7789" w14:textId="0992FC6F" w:rsidR="00CE7C79" w:rsidRPr="00AE6AC6" w:rsidRDefault="00CE7C79" w:rsidP="0010561A">
            <w:pPr>
              <w:pStyle w:val="TabletextLeft"/>
              <w:keepNext/>
              <w:spacing w:line="240" w:lineRule="auto"/>
              <w:jc w:val="center"/>
              <w:rPr>
                <w:rFonts w:asciiTheme="minorHAnsi" w:eastAsia="Verdana" w:hAnsiTheme="minorHAnsi" w:cstheme="minorHAnsi"/>
                <w:sz w:val="16"/>
                <w:szCs w:val="16"/>
              </w:rPr>
            </w:pPr>
            <w:r>
              <w:rPr>
                <w:color w:val="000000"/>
                <w:sz w:val="16"/>
                <w:szCs w:val="16"/>
              </w:rPr>
              <w:t>33,</w:t>
            </w:r>
            <w:r w:rsidR="00281132">
              <w:rPr>
                <w:color w:val="000000"/>
                <w:sz w:val="16"/>
                <w:szCs w:val="16"/>
              </w:rPr>
              <w:t>400</w:t>
            </w:r>
          </w:p>
        </w:tc>
      </w:tr>
      <w:tr w:rsidR="00CE7C79" w:rsidRPr="00507078" w14:paraId="0F5B38F5" w14:textId="77777777" w:rsidTr="00890882">
        <w:trPr>
          <w:trHeight w:val="254"/>
        </w:trPr>
        <w:tc>
          <w:tcPr>
            <w:tcW w:w="733" w:type="pct"/>
          </w:tcPr>
          <w:p w14:paraId="7D038B67" w14:textId="77777777" w:rsidR="00CE7C79" w:rsidRPr="00F41670" w:rsidRDefault="00CE7C79" w:rsidP="0010561A">
            <w:pPr>
              <w:pStyle w:val="TabletextLeft"/>
              <w:keepNext/>
              <w:spacing w:line="240" w:lineRule="auto"/>
              <w:rPr>
                <w:rFonts w:asciiTheme="majorHAnsi" w:hAnsiTheme="majorHAnsi"/>
                <w:b/>
                <w:sz w:val="16"/>
                <w:szCs w:val="16"/>
              </w:rPr>
            </w:pPr>
            <w:r w:rsidRPr="00F41670">
              <w:rPr>
                <w:rFonts w:asciiTheme="majorHAnsi" w:hAnsiTheme="majorHAnsi"/>
                <w:b/>
                <w:sz w:val="16"/>
                <w:szCs w:val="16"/>
              </w:rPr>
              <w:t xml:space="preserve">Change in Victorian GSP </w:t>
            </w:r>
            <w:r w:rsidRPr="00F41670">
              <w:rPr>
                <w:rFonts w:asciiTheme="majorHAnsi" w:hAnsiTheme="majorHAnsi"/>
                <w:b/>
                <w:bCs/>
                <w:sz w:val="16"/>
                <w:szCs w:val="16"/>
              </w:rPr>
              <w:t>(%)</w:t>
            </w:r>
          </w:p>
        </w:tc>
        <w:tc>
          <w:tcPr>
            <w:tcW w:w="691" w:type="pct"/>
            <w:vAlign w:val="center"/>
          </w:tcPr>
          <w:p w14:paraId="0C07E868" w14:textId="77777777" w:rsidR="00CE7C79" w:rsidRPr="000759BB" w:rsidRDefault="00CE7C79" w:rsidP="0010561A">
            <w:pPr>
              <w:pStyle w:val="TabletextLeft"/>
              <w:keepNext/>
              <w:spacing w:line="240" w:lineRule="auto"/>
              <w:jc w:val="center"/>
              <w:rPr>
                <w:rFonts w:asciiTheme="majorHAnsi" w:hAnsiTheme="majorHAnsi"/>
                <w:color w:val="000000"/>
                <w:sz w:val="16"/>
                <w:szCs w:val="16"/>
                <w:lang w:val="en-GB"/>
              </w:rPr>
            </w:pPr>
            <w:r>
              <w:rPr>
                <w:color w:val="000000"/>
                <w:sz w:val="16"/>
                <w:szCs w:val="16"/>
              </w:rPr>
              <w:t>0.90</w:t>
            </w:r>
          </w:p>
        </w:tc>
        <w:tc>
          <w:tcPr>
            <w:tcW w:w="691" w:type="pct"/>
            <w:vAlign w:val="center"/>
          </w:tcPr>
          <w:p w14:paraId="266B862B" w14:textId="77777777" w:rsidR="00CE7C79" w:rsidRPr="000759BB" w:rsidRDefault="00CE7C79" w:rsidP="0010561A">
            <w:pPr>
              <w:pStyle w:val="TabletextLeft"/>
              <w:keepNext/>
              <w:spacing w:line="240" w:lineRule="auto"/>
              <w:jc w:val="center"/>
              <w:rPr>
                <w:rFonts w:asciiTheme="majorHAnsi" w:hAnsiTheme="majorHAnsi"/>
                <w:color w:val="000000"/>
                <w:sz w:val="16"/>
                <w:szCs w:val="16"/>
                <w:lang w:val="en-GB"/>
              </w:rPr>
            </w:pPr>
            <w:r>
              <w:rPr>
                <w:color w:val="000000"/>
                <w:sz w:val="16"/>
                <w:szCs w:val="16"/>
              </w:rPr>
              <w:t>0.86</w:t>
            </w:r>
          </w:p>
        </w:tc>
        <w:tc>
          <w:tcPr>
            <w:tcW w:w="694" w:type="pct"/>
            <w:tcBorders>
              <w:top w:val="single" w:sz="4" w:space="0" w:color="000000" w:themeColor="text1"/>
              <w:right w:val="single" w:sz="4" w:space="0" w:color="auto"/>
            </w:tcBorders>
            <w:vAlign w:val="center"/>
          </w:tcPr>
          <w:p w14:paraId="0606F5CB" w14:textId="77777777" w:rsidR="00CE7C79" w:rsidRPr="000759BB" w:rsidRDefault="00CE7C79" w:rsidP="0010561A">
            <w:pPr>
              <w:pStyle w:val="TabletextLeft"/>
              <w:keepNext/>
              <w:spacing w:line="240" w:lineRule="auto"/>
              <w:jc w:val="center"/>
              <w:rPr>
                <w:rFonts w:asciiTheme="majorHAnsi" w:hAnsiTheme="majorHAnsi"/>
                <w:sz w:val="16"/>
                <w:szCs w:val="16"/>
              </w:rPr>
            </w:pPr>
            <w:r>
              <w:rPr>
                <w:color w:val="000000"/>
                <w:sz w:val="16"/>
                <w:szCs w:val="16"/>
              </w:rPr>
              <w:t>1.34</w:t>
            </w:r>
          </w:p>
        </w:tc>
        <w:tc>
          <w:tcPr>
            <w:tcW w:w="694" w:type="pct"/>
            <w:vAlign w:val="center"/>
          </w:tcPr>
          <w:p w14:paraId="54101BE0" w14:textId="77777777" w:rsidR="00CE7C79" w:rsidRPr="000759BB" w:rsidRDefault="00CE7C79" w:rsidP="0010561A">
            <w:pPr>
              <w:pStyle w:val="TabletextLeft"/>
              <w:keepNext/>
              <w:spacing w:line="240" w:lineRule="auto"/>
              <w:jc w:val="center"/>
              <w:rPr>
                <w:rFonts w:asciiTheme="majorHAnsi" w:hAnsiTheme="majorHAnsi"/>
                <w:color w:val="000000"/>
                <w:sz w:val="16"/>
                <w:szCs w:val="16"/>
                <w:lang w:val="en-GB"/>
              </w:rPr>
            </w:pPr>
            <w:r>
              <w:rPr>
                <w:color w:val="000000"/>
                <w:sz w:val="16"/>
                <w:szCs w:val="16"/>
              </w:rPr>
              <w:t>1.31</w:t>
            </w:r>
          </w:p>
        </w:tc>
        <w:tc>
          <w:tcPr>
            <w:tcW w:w="691" w:type="pct"/>
            <w:tcBorders>
              <w:top w:val="single" w:sz="4" w:space="0" w:color="000000" w:themeColor="text1"/>
              <w:right w:val="nil"/>
            </w:tcBorders>
            <w:vAlign w:val="center"/>
          </w:tcPr>
          <w:p w14:paraId="090A43E2" w14:textId="77777777" w:rsidR="00CE7C79" w:rsidRPr="00CB040B" w:rsidRDefault="00CE7C79" w:rsidP="0010561A">
            <w:pPr>
              <w:pStyle w:val="TabletextLeft"/>
              <w:keepNext/>
              <w:spacing w:line="240" w:lineRule="auto"/>
              <w:jc w:val="center"/>
            </w:pPr>
            <w:r>
              <w:rPr>
                <w:color w:val="000000"/>
                <w:sz w:val="16"/>
                <w:szCs w:val="16"/>
              </w:rPr>
              <w:t>1.17</w:t>
            </w:r>
          </w:p>
        </w:tc>
        <w:tc>
          <w:tcPr>
            <w:tcW w:w="804" w:type="pct"/>
            <w:tcBorders>
              <w:top w:val="single" w:sz="4" w:space="0" w:color="000000" w:themeColor="text1"/>
              <w:left w:val="nil"/>
            </w:tcBorders>
            <w:vAlign w:val="center"/>
          </w:tcPr>
          <w:p w14:paraId="69DAF0F8" w14:textId="77777777" w:rsidR="00CE7C79" w:rsidRPr="00CB040B" w:rsidRDefault="00CE7C79" w:rsidP="0010561A">
            <w:pPr>
              <w:pStyle w:val="TabletextLeft"/>
              <w:keepNext/>
              <w:spacing w:line="240" w:lineRule="auto"/>
              <w:jc w:val="center"/>
            </w:pPr>
            <w:r>
              <w:rPr>
                <w:color w:val="000000"/>
                <w:sz w:val="16"/>
                <w:szCs w:val="16"/>
              </w:rPr>
              <w:t>2.02</w:t>
            </w:r>
          </w:p>
        </w:tc>
      </w:tr>
      <w:tr w:rsidR="00CE7C79" w:rsidRPr="00507078" w14:paraId="3ECADCF0" w14:textId="77777777" w:rsidTr="00890882">
        <w:trPr>
          <w:trHeight w:val="254"/>
        </w:trPr>
        <w:tc>
          <w:tcPr>
            <w:tcW w:w="733" w:type="pct"/>
          </w:tcPr>
          <w:p w14:paraId="39A4C0D5" w14:textId="77777777" w:rsidR="00CE7C79" w:rsidRPr="00F41670" w:rsidRDefault="00CE7C79" w:rsidP="0010561A">
            <w:pPr>
              <w:pStyle w:val="TabletextLeft"/>
              <w:keepNext/>
              <w:spacing w:line="240" w:lineRule="auto"/>
              <w:rPr>
                <w:rFonts w:asciiTheme="majorHAnsi" w:hAnsiTheme="majorHAnsi"/>
                <w:b/>
                <w:sz w:val="16"/>
                <w:szCs w:val="16"/>
              </w:rPr>
            </w:pPr>
            <w:r w:rsidRPr="00F41670">
              <w:rPr>
                <w:rFonts w:asciiTheme="majorHAnsi" w:hAnsiTheme="majorHAnsi"/>
                <w:b/>
                <w:sz w:val="16"/>
                <w:szCs w:val="16"/>
              </w:rPr>
              <w:t>Change in real GDP ($million</w:t>
            </w:r>
            <w:r w:rsidRPr="00F41670">
              <w:rPr>
                <w:rFonts w:asciiTheme="majorHAnsi" w:hAnsiTheme="majorHAnsi"/>
                <w:b/>
                <w:bCs/>
                <w:sz w:val="16"/>
                <w:szCs w:val="16"/>
              </w:rPr>
              <w:t>)</w:t>
            </w:r>
          </w:p>
        </w:tc>
        <w:tc>
          <w:tcPr>
            <w:tcW w:w="691" w:type="pct"/>
            <w:vAlign w:val="center"/>
          </w:tcPr>
          <w:p w14:paraId="00867D34" w14:textId="1BACC849" w:rsidR="00CE7C79" w:rsidRPr="000759BB" w:rsidRDefault="00CE7C79" w:rsidP="0010561A">
            <w:pPr>
              <w:pStyle w:val="TabletextLeft"/>
              <w:keepNext/>
              <w:spacing w:line="240" w:lineRule="auto"/>
              <w:jc w:val="center"/>
              <w:rPr>
                <w:rFonts w:asciiTheme="majorHAnsi" w:hAnsiTheme="majorHAnsi"/>
                <w:color w:val="000000"/>
                <w:sz w:val="16"/>
                <w:szCs w:val="16"/>
                <w:lang w:val="en-GB"/>
              </w:rPr>
            </w:pPr>
            <w:r>
              <w:rPr>
                <w:color w:val="000000"/>
                <w:sz w:val="16"/>
                <w:szCs w:val="16"/>
              </w:rPr>
              <w:t>9,8</w:t>
            </w:r>
            <w:r w:rsidR="00281132">
              <w:rPr>
                <w:color w:val="000000"/>
                <w:sz w:val="16"/>
                <w:szCs w:val="16"/>
              </w:rPr>
              <w:t>00</w:t>
            </w:r>
          </w:p>
        </w:tc>
        <w:tc>
          <w:tcPr>
            <w:tcW w:w="691" w:type="pct"/>
            <w:vAlign w:val="center"/>
          </w:tcPr>
          <w:p w14:paraId="427DF4DB" w14:textId="5DF25C3A" w:rsidR="00CE7C79" w:rsidRPr="000759BB" w:rsidRDefault="00CE7C79" w:rsidP="0010561A">
            <w:pPr>
              <w:pStyle w:val="TabletextLeft"/>
              <w:keepNext/>
              <w:spacing w:line="240" w:lineRule="auto"/>
              <w:jc w:val="center"/>
              <w:rPr>
                <w:rFonts w:asciiTheme="majorHAnsi" w:hAnsiTheme="majorHAnsi"/>
                <w:color w:val="000000"/>
                <w:sz w:val="16"/>
                <w:szCs w:val="16"/>
                <w:lang w:val="en-GB"/>
              </w:rPr>
            </w:pPr>
            <w:r>
              <w:rPr>
                <w:color w:val="000000"/>
                <w:sz w:val="16"/>
                <w:szCs w:val="16"/>
              </w:rPr>
              <w:t>6,</w:t>
            </w:r>
            <w:r w:rsidR="00281132">
              <w:rPr>
                <w:color w:val="000000"/>
                <w:sz w:val="16"/>
                <w:szCs w:val="16"/>
              </w:rPr>
              <w:t>400</w:t>
            </w:r>
          </w:p>
        </w:tc>
        <w:tc>
          <w:tcPr>
            <w:tcW w:w="694" w:type="pct"/>
            <w:tcBorders>
              <w:top w:val="single" w:sz="4" w:space="0" w:color="000000" w:themeColor="text1"/>
              <w:right w:val="single" w:sz="4" w:space="0" w:color="auto"/>
            </w:tcBorders>
            <w:vAlign w:val="center"/>
          </w:tcPr>
          <w:p w14:paraId="75273B8A" w14:textId="4559E7D1" w:rsidR="00CE7C79" w:rsidRPr="000759BB" w:rsidRDefault="00CE7C79" w:rsidP="0010561A">
            <w:pPr>
              <w:pStyle w:val="TabletextLeft"/>
              <w:keepNext/>
              <w:spacing w:line="240" w:lineRule="auto"/>
              <w:jc w:val="center"/>
              <w:rPr>
                <w:rFonts w:asciiTheme="majorHAnsi" w:hAnsiTheme="majorHAnsi"/>
                <w:color w:val="000000"/>
                <w:sz w:val="16"/>
                <w:szCs w:val="16"/>
                <w:lang w:val="en-GB"/>
              </w:rPr>
            </w:pPr>
            <w:r>
              <w:rPr>
                <w:color w:val="000000"/>
                <w:sz w:val="16"/>
                <w:szCs w:val="16"/>
              </w:rPr>
              <w:t>21,7</w:t>
            </w:r>
            <w:r w:rsidR="00281132">
              <w:rPr>
                <w:color w:val="000000"/>
                <w:sz w:val="16"/>
                <w:szCs w:val="16"/>
              </w:rPr>
              <w:t>00</w:t>
            </w:r>
          </w:p>
        </w:tc>
        <w:tc>
          <w:tcPr>
            <w:tcW w:w="694" w:type="pct"/>
            <w:vAlign w:val="center"/>
          </w:tcPr>
          <w:p w14:paraId="7D241B75" w14:textId="40F0CA9D" w:rsidR="00CE7C79" w:rsidRPr="000759BB" w:rsidRDefault="00CE7C79" w:rsidP="0010561A">
            <w:pPr>
              <w:pStyle w:val="TabletextLeft"/>
              <w:keepNext/>
              <w:spacing w:line="240" w:lineRule="auto"/>
              <w:jc w:val="center"/>
              <w:rPr>
                <w:rFonts w:asciiTheme="majorHAnsi" w:hAnsiTheme="majorHAnsi"/>
                <w:color w:val="000000"/>
                <w:sz w:val="16"/>
                <w:szCs w:val="16"/>
                <w:lang w:val="en-GB"/>
              </w:rPr>
            </w:pPr>
            <w:r>
              <w:rPr>
                <w:color w:val="000000"/>
                <w:sz w:val="16"/>
                <w:szCs w:val="16"/>
              </w:rPr>
              <w:t>14,4</w:t>
            </w:r>
            <w:r w:rsidR="00281132">
              <w:rPr>
                <w:color w:val="000000"/>
                <w:sz w:val="16"/>
                <w:szCs w:val="16"/>
              </w:rPr>
              <w:t>00</w:t>
            </w:r>
          </w:p>
        </w:tc>
        <w:tc>
          <w:tcPr>
            <w:tcW w:w="691" w:type="pct"/>
            <w:tcBorders>
              <w:top w:val="single" w:sz="4" w:space="0" w:color="000000" w:themeColor="text1"/>
              <w:right w:val="nil"/>
            </w:tcBorders>
            <w:vAlign w:val="center"/>
          </w:tcPr>
          <w:p w14:paraId="6D3E614B" w14:textId="3F635B01" w:rsidR="00CE7C79" w:rsidRPr="00AE6AC6" w:rsidRDefault="00CE7C79" w:rsidP="0010561A">
            <w:pPr>
              <w:keepNext/>
              <w:spacing w:after="0"/>
              <w:jc w:val="center"/>
              <w:rPr>
                <w:rFonts w:asciiTheme="minorHAnsi" w:eastAsia="Verdana" w:hAnsiTheme="minorHAnsi" w:cstheme="minorHAnsi"/>
                <w:sz w:val="16"/>
                <w:szCs w:val="16"/>
              </w:rPr>
            </w:pPr>
            <w:r>
              <w:rPr>
                <w:color w:val="000000"/>
                <w:sz w:val="16"/>
                <w:szCs w:val="16"/>
              </w:rPr>
              <w:t>8,6</w:t>
            </w:r>
            <w:r w:rsidR="00281132">
              <w:rPr>
                <w:color w:val="000000"/>
                <w:sz w:val="16"/>
                <w:szCs w:val="16"/>
              </w:rPr>
              <w:t>00</w:t>
            </w:r>
          </w:p>
        </w:tc>
        <w:tc>
          <w:tcPr>
            <w:tcW w:w="804" w:type="pct"/>
            <w:tcBorders>
              <w:top w:val="single" w:sz="4" w:space="0" w:color="000000" w:themeColor="text1"/>
              <w:left w:val="nil"/>
            </w:tcBorders>
            <w:vAlign w:val="center"/>
          </w:tcPr>
          <w:p w14:paraId="0D277BF3" w14:textId="3C6440AB" w:rsidR="00CE7C79" w:rsidRPr="00CB040B" w:rsidRDefault="00CE7C79" w:rsidP="0010561A">
            <w:pPr>
              <w:pStyle w:val="TabletextLeft"/>
              <w:keepNext/>
              <w:spacing w:line="240" w:lineRule="auto"/>
              <w:jc w:val="center"/>
            </w:pPr>
            <w:r>
              <w:rPr>
                <w:color w:val="000000"/>
                <w:sz w:val="16"/>
                <w:szCs w:val="16"/>
              </w:rPr>
              <w:t>32,</w:t>
            </w:r>
            <w:r w:rsidR="00281132">
              <w:rPr>
                <w:color w:val="000000"/>
                <w:sz w:val="16"/>
                <w:szCs w:val="16"/>
              </w:rPr>
              <w:t>800</w:t>
            </w:r>
          </w:p>
        </w:tc>
      </w:tr>
      <w:tr w:rsidR="00CE7C79" w:rsidRPr="00507078" w14:paraId="24D34623" w14:textId="77777777" w:rsidTr="00890882">
        <w:trPr>
          <w:trHeight w:val="254"/>
        </w:trPr>
        <w:tc>
          <w:tcPr>
            <w:tcW w:w="733" w:type="pct"/>
          </w:tcPr>
          <w:p w14:paraId="078ABDDB" w14:textId="77777777" w:rsidR="00CE7C79" w:rsidRPr="00F41670" w:rsidRDefault="00CE7C79" w:rsidP="0010561A">
            <w:pPr>
              <w:pStyle w:val="TabletextLeft"/>
              <w:keepNext/>
              <w:spacing w:line="240" w:lineRule="auto"/>
              <w:rPr>
                <w:rFonts w:asciiTheme="majorHAnsi" w:hAnsiTheme="majorHAnsi"/>
                <w:b/>
                <w:sz w:val="16"/>
                <w:szCs w:val="16"/>
              </w:rPr>
            </w:pPr>
            <w:r w:rsidRPr="00F41670">
              <w:rPr>
                <w:rFonts w:asciiTheme="majorHAnsi" w:hAnsiTheme="majorHAnsi"/>
                <w:b/>
                <w:sz w:val="16"/>
                <w:szCs w:val="16"/>
              </w:rPr>
              <w:t>Change in Victorian FTE employment</w:t>
            </w:r>
          </w:p>
        </w:tc>
        <w:tc>
          <w:tcPr>
            <w:tcW w:w="691" w:type="pct"/>
            <w:vAlign w:val="center"/>
          </w:tcPr>
          <w:p w14:paraId="70A225CA" w14:textId="2B3A5598" w:rsidR="00CE7C79" w:rsidRPr="000759BB" w:rsidRDefault="00CE7C79" w:rsidP="0010561A">
            <w:pPr>
              <w:keepNext/>
              <w:spacing w:after="0" w:line="240" w:lineRule="auto"/>
              <w:jc w:val="center"/>
              <w:rPr>
                <w:rFonts w:asciiTheme="majorHAnsi" w:hAnsiTheme="majorHAnsi"/>
                <w:color w:val="000000"/>
                <w:sz w:val="16"/>
                <w:szCs w:val="16"/>
              </w:rPr>
            </w:pPr>
            <w:r>
              <w:rPr>
                <w:color w:val="000000"/>
                <w:sz w:val="16"/>
                <w:szCs w:val="16"/>
              </w:rPr>
              <w:t>45,</w:t>
            </w:r>
            <w:r w:rsidR="00004BDE">
              <w:rPr>
                <w:color w:val="000000"/>
                <w:sz w:val="16"/>
                <w:szCs w:val="16"/>
              </w:rPr>
              <w:t>1</w:t>
            </w:r>
            <w:r w:rsidR="00D91E2A">
              <w:rPr>
                <w:color w:val="000000"/>
                <w:sz w:val="16"/>
                <w:szCs w:val="16"/>
              </w:rPr>
              <w:t>00</w:t>
            </w:r>
          </w:p>
        </w:tc>
        <w:tc>
          <w:tcPr>
            <w:tcW w:w="691" w:type="pct"/>
            <w:vAlign w:val="center"/>
          </w:tcPr>
          <w:p w14:paraId="1790AF2C" w14:textId="34C57067" w:rsidR="00CE7C79" w:rsidRPr="000759BB" w:rsidRDefault="00CE7C79" w:rsidP="0010561A">
            <w:pPr>
              <w:keepNext/>
              <w:spacing w:after="0" w:line="240" w:lineRule="auto"/>
              <w:jc w:val="center"/>
              <w:rPr>
                <w:rFonts w:asciiTheme="majorHAnsi" w:hAnsiTheme="majorHAnsi"/>
                <w:color w:val="000000"/>
                <w:sz w:val="16"/>
                <w:szCs w:val="16"/>
              </w:rPr>
            </w:pPr>
            <w:r>
              <w:rPr>
                <w:color w:val="000000"/>
                <w:sz w:val="16"/>
                <w:szCs w:val="16"/>
              </w:rPr>
              <w:t>34,</w:t>
            </w:r>
            <w:r w:rsidR="00D91E2A">
              <w:rPr>
                <w:color w:val="000000"/>
                <w:sz w:val="16"/>
                <w:szCs w:val="16"/>
              </w:rPr>
              <w:t>800</w:t>
            </w:r>
          </w:p>
        </w:tc>
        <w:tc>
          <w:tcPr>
            <w:tcW w:w="694" w:type="pct"/>
            <w:tcBorders>
              <w:top w:val="single" w:sz="4" w:space="0" w:color="000000" w:themeColor="text1"/>
              <w:right w:val="single" w:sz="4" w:space="0" w:color="auto"/>
            </w:tcBorders>
            <w:vAlign w:val="center"/>
          </w:tcPr>
          <w:p w14:paraId="249CD6F8" w14:textId="144224F4" w:rsidR="00CE7C79" w:rsidRPr="000759BB" w:rsidRDefault="00CE7C79" w:rsidP="0010561A">
            <w:pPr>
              <w:keepNext/>
              <w:spacing w:after="0" w:line="240" w:lineRule="auto"/>
              <w:jc w:val="center"/>
              <w:rPr>
                <w:rFonts w:asciiTheme="majorHAnsi" w:hAnsiTheme="majorHAnsi"/>
                <w:color w:val="000000"/>
                <w:sz w:val="16"/>
                <w:szCs w:val="16"/>
              </w:rPr>
            </w:pPr>
            <w:r>
              <w:rPr>
                <w:color w:val="000000"/>
                <w:sz w:val="16"/>
                <w:szCs w:val="16"/>
              </w:rPr>
              <w:t>81,</w:t>
            </w:r>
            <w:r w:rsidR="00D91E2A">
              <w:rPr>
                <w:color w:val="000000"/>
                <w:sz w:val="16"/>
                <w:szCs w:val="16"/>
              </w:rPr>
              <w:t>400</w:t>
            </w:r>
          </w:p>
        </w:tc>
        <w:tc>
          <w:tcPr>
            <w:tcW w:w="694" w:type="pct"/>
            <w:vAlign w:val="center"/>
          </w:tcPr>
          <w:p w14:paraId="2FEFB379" w14:textId="6AD0C45B" w:rsidR="00CE7C79" w:rsidRPr="00AE6AC6" w:rsidRDefault="00CE7C79" w:rsidP="0010561A">
            <w:pPr>
              <w:pStyle w:val="TabletextLeft"/>
              <w:keepNext/>
              <w:spacing w:line="240" w:lineRule="auto"/>
              <w:jc w:val="center"/>
              <w:rPr>
                <w:rFonts w:asciiTheme="minorHAnsi" w:eastAsia="Verdana" w:hAnsiTheme="minorHAnsi" w:cstheme="minorHAnsi"/>
                <w:sz w:val="16"/>
                <w:szCs w:val="16"/>
              </w:rPr>
            </w:pPr>
            <w:r>
              <w:rPr>
                <w:color w:val="000000"/>
                <w:sz w:val="16"/>
                <w:szCs w:val="16"/>
              </w:rPr>
              <w:t>66,8</w:t>
            </w:r>
            <w:r w:rsidR="00281132">
              <w:rPr>
                <w:color w:val="000000"/>
                <w:sz w:val="16"/>
                <w:szCs w:val="16"/>
              </w:rPr>
              <w:t>00</w:t>
            </w:r>
          </w:p>
        </w:tc>
        <w:tc>
          <w:tcPr>
            <w:tcW w:w="691" w:type="pct"/>
            <w:tcBorders>
              <w:top w:val="single" w:sz="4" w:space="0" w:color="000000" w:themeColor="text1"/>
              <w:bottom w:val="single" w:sz="4" w:space="0" w:color="000000" w:themeColor="text1"/>
              <w:right w:val="nil"/>
            </w:tcBorders>
            <w:vAlign w:val="center"/>
          </w:tcPr>
          <w:p w14:paraId="19C4F875" w14:textId="02B22EE2" w:rsidR="00CE7C79" w:rsidRPr="00AE6AC6" w:rsidRDefault="00CE7C79" w:rsidP="0010561A">
            <w:pPr>
              <w:pStyle w:val="TabletextLeft"/>
              <w:keepNext/>
              <w:spacing w:line="240" w:lineRule="auto"/>
              <w:jc w:val="center"/>
              <w:rPr>
                <w:rFonts w:asciiTheme="minorHAnsi" w:eastAsia="Verdana" w:hAnsiTheme="minorHAnsi" w:cstheme="minorHAnsi"/>
                <w:sz w:val="16"/>
                <w:szCs w:val="16"/>
              </w:rPr>
            </w:pPr>
            <w:r>
              <w:rPr>
                <w:color w:val="000000"/>
                <w:sz w:val="16"/>
                <w:szCs w:val="16"/>
              </w:rPr>
              <w:t>48,7</w:t>
            </w:r>
            <w:r w:rsidR="00281132">
              <w:rPr>
                <w:color w:val="000000"/>
                <w:sz w:val="16"/>
                <w:szCs w:val="16"/>
              </w:rPr>
              <w:t>00</w:t>
            </w:r>
          </w:p>
        </w:tc>
        <w:tc>
          <w:tcPr>
            <w:tcW w:w="804" w:type="pct"/>
            <w:tcBorders>
              <w:top w:val="single" w:sz="4" w:space="0" w:color="000000" w:themeColor="text1"/>
              <w:left w:val="nil"/>
              <w:bottom w:val="single" w:sz="4" w:space="0" w:color="000000" w:themeColor="text1"/>
            </w:tcBorders>
            <w:vAlign w:val="center"/>
          </w:tcPr>
          <w:p w14:paraId="347C6FA1" w14:textId="41DB250A" w:rsidR="00CE7C79" w:rsidRPr="00AE6AC6" w:rsidRDefault="00CE7C79" w:rsidP="0010561A">
            <w:pPr>
              <w:pStyle w:val="TabletextLeft"/>
              <w:keepNext/>
              <w:spacing w:line="240" w:lineRule="auto"/>
              <w:jc w:val="center"/>
              <w:rPr>
                <w:rFonts w:asciiTheme="minorHAnsi" w:eastAsia="Verdana" w:hAnsiTheme="minorHAnsi" w:cstheme="minorHAnsi"/>
                <w:sz w:val="16"/>
                <w:szCs w:val="16"/>
              </w:rPr>
            </w:pPr>
            <w:r>
              <w:rPr>
                <w:color w:val="000000"/>
                <w:sz w:val="16"/>
                <w:szCs w:val="16"/>
              </w:rPr>
              <w:t>125,</w:t>
            </w:r>
            <w:r w:rsidR="00281132">
              <w:rPr>
                <w:color w:val="000000"/>
                <w:sz w:val="16"/>
                <w:szCs w:val="16"/>
              </w:rPr>
              <w:t>400</w:t>
            </w:r>
          </w:p>
        </w:tc>
      </w:tr>
      <w:tr w:rsidR="00CE7C79" w:rsidRPr="00507078" w14:paraId="2817ED72" w14:textId="77777777" w:rsidTr="00890882">
        <w:trPr>
          <w:trHeight w:val="254"/>
        </w:trPr>
        <w:tc>
          <w:tcPr>
            <w:tcW w:w="733" w:type="pct"/>
          </w:tcPr>
          <w:p w14:paraId="58366D9A" w14:textId="77777777" w:rsidR="00CE7C79" w:rsidRPr="00F41670" w:rsidRDefault="00CE7C79" w:rsidP="0010561A">
            <w:pPr>
              <w:pStyle w:val="TabletextLeft"/>
              <w:keepNext/>
              <w:spacing w:line="240" w:lineRule="auto"/>
              <w:rPr>
                <w:rFonts w:asciiTheme="majorHAnsi" w:hAnsiTheme="majorHAnsi"/>
                <w:b/>
                <w:sz w:val="16"/>
                <w:szCs w:val="16"/>
              </w:rPr>
            </w:pPr>
            <w:r w:rsidRPr="00F41670">
              <w:rPr>
                <w:rFonts w:asciiTheme="majorHAnsi" w:hAnsiTheme="majorHAnsi"/>
                <w:b/>
                <w:sz w:val="16"/>
                <w:szCs w:val="16"/>
              </w:rPr>
              <w:t xml:space="preserve">Change in Victorian FTE employment </w:t>
            </w:r>
            <w:r w:rsidRPr="00F41670">
              <w:rPr>
                <w:rFonts w:asciiTheme="majorHAnsi" w:hAnsiTheme="majorHAnsi"/>
                <w:b/>
                <w:bCs/>
                <w:sz w:val="16"/>
                <w:szCs w:val="16"/>
              </w:rPr>
              <w:t>(%)</w:t>
            </w:r>
          </w:p>
        </w:tc>
        <w:tc>
          <w:tcPr>
            <w:tcW w:w="691" w:type="pct"/>
            <w:vAlign w:val="center"/>
          </w:tcPr>
          <w:p w14:paraId="3B179253" w14:textId="77777777" w:rsidR="00CE7C79" w:rsidRPr="000759BB" w:rsidRDefault="00CE7C79" w:rsidP="0010561A">
            <w:pPr>
              <w:pStyle w:val="TabletextLeft"/>
              <w:keepNext/>
              <w:spacing w:line="240" w:lineRule="auto"/>
              <w:jc w:val="center"/>
              <w:rPr>
                <w:rFonts w:asciiTheme="majorHAnsi" w:hAnsiTheme="majorHAnsi"/>
                <w:sz w:val="16"/>
                <w:szCs w:val="16"/>
              </w:rPr>
            </w:pPr>
            <w:r>
              <w:rPr>
                <w:color w:val="000000"/>
                <w:sz w:val="16"/>
                <w:szCs w:val="16"/>
              </w:rPr>
              <w:t>1.01</w:t>
            </w:r>
          </w:p>
        </w:tc>
        <w:tc>
          <w:tcPr>
            <w:tcW w:w="691" w:type="pct"/>
            <w:vAlign w:val="center"/>
          </w:tcPr>
          <w:p w14:paraId="12554AC7" w14:textId="77777777" w:rsidR="00CE7C79" w:rsidRPr="000759BB" w:rsidRDefault="00CE7C79" w:rsidP="0010561A">
            <w:pPr>
              <w:pStyle w:val="TabletextLeft"/>
              <w:keepNext/>
              <w:spacing w:line="240" w:lineRule="auto"/>
              <w:jc w:val="center"/>
              <w:rPr>
                <w:rFonts w:asciiTheme="majorHAnsi" w:hAnsiTheme="majorHAnsi"/>
                <w:sz w:val="16"/>
                <w:szCs w:val="16"/>
              </w:rPr>
            </w:pPr>
            <w:r>
              <w:rPr>
                <w:color w:val="000000"/>
                <w:sz w:val="16"/>
                <w:szCs w:val="16"/>
              </w:rPr>
              <w:t>0.98</w:t>
            </w:r>
          </w:p>
        </w:tc>
        <w:tc>
          <w:tcPr>
            <w:tcW w:w="694" w:type="pct"/>
            <w:tcBorders>
              <w:top w:val="single" w:sz="4" w:space="0" w:color="000000" w:themeColor="text1"/>
              <w:bottom w:val="single" w:sz="4" w:space="0" w:color="000000" w:themeColor="text1"/>
              <w:right w:val="single" w:sz="4" w:space="0" w:color="auto"/>
            </w:tcBorders>
            <w:vAlign w:val="center"/>
          </w:tcPr>
          <w:p w14:paraId="6D2278DA" w14:textId="77777777" w:rsidR="00CE7C79" w:rsidRPr="000759BB" w:rsidRDefault="00CE7C79" w:rsidP="0010561A">
            <w:pPr>
              <w:pStyle w:val="TabletextLeft"/>
              <w:keepNext/>
              <w:spacing w:line="240" w:lineRule="auto"/>
              <w:jc w:val="center"/>
              <w:rPr>
                <w:rFonts w:asciiTheme="majorHAnsi" w:hAnsiTheme="majorHAnsi"/>
                <w:sz w:val="16"/>
                <w:szCs w:val="16"/>
              </w:rPr>
            </w:pPr>
            <w:r>
              <w:rPr>
                <w:color w:val="000000"/>
                <w:sz w:val="16"/>
                <w:szCs w:val="16"/>
              </w:rPr>
              <w:t>1.39</w:t>
            </w:r>
          </w:p>
        </w:tc>
        <w:tc>
          <w:tcPr>
            <w:tcW w:w="694" w:type="pct"/>
            <w:vAlign w:val="center"/>
          </w:tcPr>
          <w:p w14:paraId="5E8324C0" w14:textId="77777777" w:rsidR="00CE7C79" w:rsidRPr="000759BB" w:rsidRDefault="00CE7C79" w:rsidP="0010561A">
            <w:pPr>
              <w:pStyle w:val="TabletextLeft"/>
              <w:keepNext/>
              <w:spacing w:line="240" w:lineRule="auto"/>
              <w:jc w:val="center"/>
              <w:rPr>
                <w:rFonts w:asciiTheme="majorHAnsi" w:hAnsiTheme="majorHAnsi"/>
                <w:sz w:val="16"/>
                <w:szCs w:val="16"/>
              </w:rPr>
            </w:pPr>
            <w:r>
              <w:rPr>
                <w:color w:val="000000"/>
                <w:sz w:val="16"/>
                <w:szCs w:val="16"/>
              </w:rPr>
              <w:t>1.48</w:t>
            </w:r>
          </w:p>
        </w:tc>
        <w:tc>
          <w:tcPr>
            <w:tcW w:w="691" w:type="pct"/>
            <w:tcBorders>
              <w:top w:val="single" w:sz="4" w:space="0" w:color="000000" w:themeColor="text1"/>
              <w:right w:val="nil"/>
            </w:tcBorders>
            <w:vAlign w:val="center"/>
          </w:tcPr>
          <w:p w14:paraId="6825C6C5" w14:textId="77777777" w:rsidR="00CE7C79" w:rsidRPr="00CB040B" w:rsidRDefault="00CE7C79" w:rsidP="0010561A">
            <w:pPr>
              <w:pStyle w:val="TabletextLeft"/>
              <w:keepNext/>
              <w:spacing w:line="240" w:lineRule="auto"/>
              <w:jc w:val="center"/>
            </w:pPr>
            <w:r>
              <w:rPr>
                <w:color w:val="000000"/>
                <w:sz w:val="16"/>
                <w:szCs w:val="16"/>
              </w:rPr>
              <w:t>1.37</w:t>
            </w:r>
          </w:p>
        </w:tc>
        <w:tc>
          <w:tcPr>
            <w:tcW w:w="804" w:type="pct"/>
            <w:tcBorders>
              <w:top w:val="single" w:sz="4" w:space="0" w:color="000000" w:themeColor="text1"/>
              <w:left w:val="nil"/>
            </w:tcBorders>
            <w:vAlign w:val="center"/>
          </w:tcPr>
          <w:p w14:paraId="0C47586C" w14:textId="77777777" w:rsidR="00CE7C79" w:rsidRPr="00CB040B" w:rsidRDefault="00CE7C79" w:rsidP="0010561A">
            <w:pPr>
              <w:pStyle w:val="TabletextLeft"/>
              <w:keepNext/>
              <w:spacing w:line="240" w:lineRule="auto"/>
              <w:jc w:val="center"/>
            </w:pPr>
            <w:r>
              <w:rPr>
                <w:color w:val="000000"/>
                <w:sz w:val="16"/>
                <w:szCs w:val="16"/>
              </w:rPr>
              <w:t>2.14</w:t>
            </w:r>
          </w:p>
        </w:tc>
      </w:tr>
    </w:tbl>
    <w:p w14:paraId="38FCE975" w14:textId="77777777" w:rsidR="00CE7C79" w:rsidRDefault="00CE7C79" w:rsidP="0010561A">
      <w:pPr>
        <w:keepNext/>
        <w:spacing w:after="120"/>
        <w:rPr>
          <w:rFonts w:asciiTheme="minorHAnsi" w:hAnsiTheme="minorHAnsi"/>
          <w:color w:val="75787B" w:themeColor="accent6"/>
          <w:sz w:val="14"/>
          <w:szCs w:val="14"/>
        </w:rPr>
      </w:pPr>
      <w:r w:rsidRPr="00F74859">
        <w:rPr>
          <w:rFonts w:asciiTheme="minorHAnsi" w:hAnsiTheme="minorHAnsi"/>
          <w:color w:val="75787B" w:themeColor="accent6"/>
          <w:sz w:val="14"/>
          <w:szCs w:val="14"/>
        </w:rPr>
        <w:t>Source: Deloitte Access Economics</w:t>
      </w:r>
      <w:r>
        <w:rPr>
          <w:rFonts w:asciiTheme="minorHAnsi" w:hAnsiTheme="minorHAnsi"/>
          <w:color w:val="75787B" w:themeColor="accent6"/>
          <w:sz w:val="14"/>
          <w:szCs w:val="14"/>
        </w:rPr>
        <w:t xml:space="preserve"> (2025).</w:t>
      </w:r>
    </w:p>
    <w:p w14:paraId="1F95A6B2" w14:textId="48D74B75" w:rsidR="00CA36CC" w:rsidRPr="002C0E1C" w:rsidRDefault="00C819DB" w:rsidP="00B12EC8">
      <w:pPr>
        <w:spacing w:before="170"/>
      </w:pPr>
      <w:r>
        <w:rPr>
          <w:lang w:val="en-US"/>
        </w:rPr>
        <w:t xml:space="preserve">The GSP effects are expected to continue increasing over time as more children enter the workforce, with impacts </w:t>
      </w:r>
      <w:proofErr w:type="spellStart"/>
      <w:r>
        <w:rPr>
          <w:lang w:val="en-US"/>
        </w:rPr>
        <w:t>stabilising</w:t>
      </w:r>
      <w:proofErr w:type="spellEnd"/>
      <w:r>
        <w:rPr>
          <w:lang w:val="en-US"/>
        </w:rPr>
        <w:t xml:space="preserve"> </w:t>
      </w:r>
      <w:r w:rsidRPr="00F22A28">
        <w:rPr>
          <w:lang w:val="en-US"/>
        </w:rPr>
        <w:t xml:space="preserve">from </w:t>
      </w:r>
      <w:r w:rsidRPr="00EB3261">
        <w:rPr>
          <w:lang w:val="en-US"/>
        </w:rPr>
        <w:t>209</w:t>
      </w:r>
      <w:r w:rsidR="00F22A28" w:rsidRPr="00EB3261">
        <w:rPr>
          <w:lang w:val="en-US"/>
        </w:rPr>
        <w:t>3</w:t>
      </w:r>
      <w:r>
        <w:rPr>
          <w:lang w:val="en-US"/>
        </w:rPr>
        <w:t xml:space="preserve"> onwards as the full workforce will have benefited from the BSBL reforms. This accounts for the time taken for the full </w:t>
      </w:r>
      <w:proofErr w:type="spellStart"/>
      <w:r>
        <w:rPr>
          <w:lang w:val="en-US"/>
        </w:rPr>
        <w:t>labour</w:t>
      </w:r>
      <w:proofErr w:type="spellEnd"/>
      <w:r>
        <w:rPr>
          <w:lang w:val="en-US"/>
        </w:rPr>
        <w:t xml:space="preserve"> force to be replaced by children who have gone through the BSBL programs. </w:t>
      </w:r>
      <w:r w:rsidR="00CA36CC">
        <w:t>The annual economy-wide GSP and FTE impacts for Victoria</w:t>
      </w:r>
      <w:r>
        <w:t xml:space="preserve"> up to 206</w:t>
      </w:r>
      <w:r w:rsidR="005A2855">
        <w:t>5</w:t>
      </w:r>
      <w:r>
        <w:t>-6</w:t>
      </w:r>
      <w:r w:rsidR="005A2855">
        <w:t>6</w:t>
      </w:r>
      <w:r>
        <w:t xml:space="preserve"> </w:t>
      </w:r>
      <w:r w:rsidR="00CA36CC">
        <w:t xml:space="preserve">are given in </w:t>
      </w:r>
      <w:r w:rsidR="00CA36CC">
        <w:fldChar w:fldCharType="begin"/>
      </w:r>
      <w:r w:rsidR="00CA36CC">
        <w:instrText xml:space="preserve"> REF _Ref175824470 \r \h </w:instrText>
      </w:r>
      <w:r w:rsidR="00CA36CC">
        <w:fldChar w:fldCharType="separate"/>
      </w:r>
      <w:r w:rsidR="008537EC">
        <w:t xml:space="preserve">Chart </w:t>
      </w:r>
      <w:proofErr w:type="spellStart"/>
      <w:r w:rsidR="008537EC">
        <w:t>i</w:t>
      </w:r>
      <w:proofErr w:type="spellEnd"/>
      <w:r w:rsidR="00CA36CC">
        <w:fldChar w:fldCharType="end"/>
      </w:r>
      <w:r w:rsidR="00CA36CC">
        <w:t xml:space="preserve">. </w:t>
      </w:r>
    </w:p>
    <w:p w14:paraId="4B28CC69" w14:textId="28E659E0" w:rsidR="00CA36CC" w:rsidRPr="00EB3261" w:rsidRDefault="00CA36CC" w:rsidP="00CA36CC">
      <w:pPr>
        <w:pStyle w:val="ExecChartCaption"/>
      </w:pPr>
      <w:bookmarkStart w:id="57" w:name="_Ref175824470"/>
      <w:r w:rsidRPr="00EB3261">
        <w:t xml:space="preserve">: Average Annual change in economy-wide impacts associated with BSBL reforms, </w:t>
      </w:r>
      <w:r w:rsidR="00F72C21" w:rsidRPr="00EB3261">
        <w:t>203</w:t>
      </w:r>
      <w:r w:rsidR="00710E34" w:rsidRPr="00EB3261">
        <w:t>5</w:t>
      </w:r>
      <w:r w:rsidR="00F72C21" w:rsidRPr="00EB3261">
        <w:t>-3</w:t>
      </w:r>
      <w:r w:rsidR="00710E34" w:rsidRPr="00EB3261">
        <w:t>6</w:t>
      </w:r>
      <w:r w:rsidRPr="00EB3261">
        <w:t xml:space="preserve"> to </w:t>
      </w:r>
      <w:r w:rsidR="00F72C21" w:rsidRPr="00EB3261">
        <w:t>206</w:t>
      </w:r>
      <w:r w:rsidR="007B2CDE" w:rsidRPr="00EB3261">
        <w:t>5</w:t>
      </w:r>
      <w:r w:rsidR="00F72C21" w:rsidRPr="00EB3261">
        <w:t>-6</w:t>
      </w:r>
      <w:r w:rsidR="007B2CDE" w:rsidRPr="00EB3261">
        <w:t>6</w:t>
      </w:r>
      <w:r w:rsidRPr="00EB3261">
        <w:t>, real $202</w:t>
      </w:r>
      <w:r w:rsidR="004218F6" w:rsidRPr="00EB3261">
        <w:t>5</w:t>
      </w:r>
      <w:r w:rsidRPr="00EB3261">
        <w:t xml:space="preserve"> dollars</w:t>
      </w:r>
      <w:bookmarkEnd w:id="57"/>
    </w:p>
    <w:tbl>
      <w:tblPr>
        <w:tblStyle w:val="TableGrid"/>
        <w:tblW w:w="5000" w:type="pct"/>
        <w:tblLook w:val="04A0" w:firstRow="1" w:lastRow="0" w:firstColumn="1" w:lastColumn="0" w:noHBand="0" w:noVBand="1"/>
      </w:tblPr>
      <w:tblGrid>
        <w:gridCol w:w="4456"/>
        <w:gridCol w:w="4570"/>
      </w:tblGrid>
      <w:tr w:rsidR="00F47E89" w:rsidRPr="00F8451D" w14:paraId="01C2B0A2" w14:textId="77777777" w:rsidTr="00710E34">
        <w:trPr>
          <w:cnfStyle w:val="100000000000" w:firstRow="1" w:lastRow="0" w:firstColumn="0" w:lastColumn="0" w:oddVBand="0" w:evenVBand="0" w:oddHBand="0" w:evenHBand="0" w:firstRowFirstColumn="0" w:firstRowLastColumn="0" w:lastRowFirstColumn="0" w:lastRowLastColumn="0"/>
        </w:trPr>
        <w:tc>
          <w:tcPr>
            <w:tcW w:w="2532" w:type="pct"/>
          </w:tcPr>
          <w:p w14:paraId="1A1EA92A" w14:textId="77777777" w:rsidR="004A097A" w:rsidRPr="002C0E1C" w:rsidRDefault="004A097A">
            <w:pPr>
              <w:rPr>
                <w:rFonts w:asciiTheme="minorHAnsi" w:hAnsiTheme="minorHAnsi"/>
                <w:color w:val="75787B" w:themeColor="accent6"/>
                <w:sz w:val="16"/>
                <w:szCs w:val="16"/>
              </w:rPr>
            </w:pPr>
            <w:r>
              <w:rPr>
                <w:rFonts w:asciiTheme="minorHAnsi" w:hAnsiTheme="minorHAnsi"/>
                <w:color w:val="75787B" w:themeColor="accent6"/>
                <w:sz w:val="16"/>
                <w:szCs w:val="16"/>
              </w:rPr>
              <w:t>GSP</w:t>
            </w:r>
          </w:p>
        </w:tc>
        <w:tc>
          <w:tcPr>
            <w:tcW w:w="2468" w:type="pct"/>
          </w:tcPr>
          <w:p w14:paraId="254C78CA" w14:textId="77777777" w:rsidR="004A097A" w:rsidRPr="002C0E1C" w:rsidRDefault="004A097A">
            <w:pPr>
              <w:rPr>
                <w:rFonts w:asciiTheme="minorHAnsi" w:hAnsiTheme="minorHAnsi"/>
                <w:color w:val="75787B" w:themeColor="accent6"/>
                <w:sz w:val="16"/>
                <w:szCs w:val="16"/>
              </w:rPr>
            </w:pPr>
            <w:r>
              <w:rPr>
                <w:rFonts w:asciiTheme="minorHAnsi" w:hAnsiTheme="minorHAnsi"/>
                <w:color w:val="75787B" w:themeColor="accent6"/>
                <w:sz w:val="16"/>
                <w:szCs w:val="16"/>
              </w:rPr>
              <w:t>FTE employment</w:t>
            </w:r>
          </w:p>
        </w:tc>
      </w:tr>
      <w:tr w:rsidR="00F47E89" w:rsidRPr="00F8451D" w14:paraId="0BDEDCE0" w14:textId="77777777" w:rsidTr="00F47E89">
        <w:tblPrEx>
          <w:tblCellMar>
            <w:left w:w="108" w:type="dxa"/>
            <w:right w:w="108" w:type="dxa"/>
          </w:tblCellMar>
        </w:tblPrEx>
        <w:trPr>
          <w:trHeight w:val="3271"/>
        </w:trPr>
        <w:tc>
          <w:tcPr>
            <w:tcW w:w="2532" w:type="pct"/>
          </w:tcPr>
          <w:p w14:paraId="24FEE2C3" w14:textId="62513B73" w:rsidR="004A097A" w:rsidRDefault="00710E34">
            <w:pPr>
              <w:rPr>
                <w:rFonts w:asciiTheme="minorHAnsi" w:hAnsiTheme="minorHAnsi"/>
                <w:color w:val="75787B" w:themeColor="accent6"/>
                <w:sz w:val="16"/>
                <w:szCs w:val="16"/>
              </w:rPr>
            </w:pPr>
            <w:r>
              <w:rPr>
                <w:noProof/>
              </w:rPr>
              <w:drawing>
                <wp:inline distT="0" distB="0" distL="0" distR="0" wp14:anchorId="02F47FEE" wp14:editId="40266FC4">
                  <wp:extent cx="2764465" cy="2066925"/>
                  <wp:effectExtent l="0" t="0" r="0" b="0"/>
                  <wp:docPr id="679243770" name="Chart 1">
                    <a:extLst xmlns:a="http://schemas.openxmlformats.org/drawingml/2006/main">
                      <a:ext uri="{FF2B5EF4-FFF2-40B4-BE49-F238E27FC236}">
                        <a16:creationId xmlns:a16="http://schemas.microsoft.com/office/drawing/2014/main" id="{F98979C7-8CD2-5623-E182-F8C3C5506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2468" w:type="pct"/>
          </w:tcPr>
          <w:p w14:paraId="614E1740" w14:textId="7CB01D3A" w:rsidR="004A097A" w:rsidRDefault="00F47E89">
            <w:pPr>
              <w:rPr>
                <w:rFonts w:asciiTheme="minorHAnsi" w:hAnsiTheme="minorHAnsi"/>
                <w:color w:val="75787B" w:themeColor="accent6"/>
                <w:sz w:val="16"/>
                <w:szCs w:val="16"/>
              </w:rPr>
            </w:pPr>
            <w:r>
              <w:rPr>
                <w:noProof/>
              </w:rPr>
              <w:drawing>
                <wp:inline distT="0" distB="0" distL="0" distR="0" wp14:anchorId="6D5452DD" wp14:editId="549CB471">
                  <wp:extent cx="2838406" cy="2083435"/>
                  <wp:effectExtent l="0" t="0" r="635" b="0"/>
                  <wp:docPr id="1632312058" name="Chart 1">
                    <a:extLst xmlns:a="http://schemas.openxmlformats.org/drawingml/2006/main">
                      <a:ext uri="{FF2B5EF4-FFF2-40B4-BE49-F238E27FC236}">
                        <a16:creationId xmlns:a16="http://schemas.microsoft.com/office/drawing/2014/main" id="{0DC034FA-FEAD-42AF-9C30-6FBE48CE69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F47E89" w:rsidRPr="00F8451D" w14:paraId="4EB45D8B" w14:textId="77777777" w:rsidTr="00710E34">
        <w:tc>
          <w:tcPr>
            <w:tcW w:w="2532" w:type="pct"/>
          </w:tcPr>
          <w:p w14:paraId="7FCC430E" w14:textId="0E363001" w:rsidR="004A097A" w:rsidRPr="002C0E1C" w:rsidRDefault="004A097A">
            <w:pPr>
              <w:rPr>
                <w:rFonts w:asciiTheme="minorHAnsi" w:hAnsiTheme="minorHAnsi"/>
                <w:color w:val="75787B" w:themeColor="accent6"/>
                <w:sz w:val="14"/>
                <w:szCs w:val="14"/>
              </w:rPr>
            </w:pPr>
            <w:r w:rsidRPr="00F74859">
              <w:rPr>
                <w:rFonts w:asciiTheme="minorHAnsi" w:hAnsiTheme="minorHAnsi"/>
                <w:color w:val="75787B" w:themeColor="accent6"/>
                <w:sz w:val="14"/>
                <w:szCs w:val="14"/>
              </w:rPr>
              <w:t>Source: Deloitte Access Economics</w:t>
            </w:r>
            <w:r>
              <w:rPr>
                <w:rFonts w:asciiTheme="minorHAnsi" w:hAnsiTheme="minorHAnsi"/>
                <w:color w:val="75787B" w:themeColor="accent6"/>
                <w:sz w:val="14"/>
                <w:szCs w:val="14"/>
              </w:rPr>
              <w:t xml:space="preserve"> (</w:t>
            </w:r>
            <w:r w:rsidR="00710E34">
              <w:rPr>
                <w:rFonts w:asciiTheme="minorHAnsi" w:hAnsiTheme="minorHAnsi"/>
                <w:color w:val="75787B" w:themeColor="accent6"/>
                <w:sz w:val="14"/>
                <w:szCs w:val="14"/>
              </w:rPr>
              <w:t>2025</w:t>
            </w:r>
            <w:r>
              <w:rPr>
                <w:rFonts w:asciiTheme="minorHAnsi" w:hAnsiTheme="minorHAnsi"/>
                <w:color w:val="75787B" w:themeColor="accent6"/>
                <w:sz w:val="14"/>
                <w:szCs w:val="14"/>
              </w:rPr>
              <w:t>).</w:t>
            </w:r>
          </w:p>
        </w:tc>
        <w:tc>
          <w:tcPr>
            <w:tcW w:w="2468" w:type="pct"/>
          </w:tcPr>
          <w:p w14:paraId="5A356D71" w14:textId="77777777" w:rsidR="004A097A" w:rsidRDefault="004A097A">
            <w:pPr>
              <w:rPr>
                <w:noProof/>
              </w:rPr>
            </w:pPr>
          </w:p>
        </w:tc>
      </w:tr>
    </w:tbl>
    <w:p w14:paraId="4794B0D7" w14:textId="175D0409" w:rsidR="00434688" w:rsidRDefault="00AE165C" w:rsidP="00B12EC8">
      <w:pPr>
        <w:spacing w:before="170"/>
        <w:rPr>
          <w:lang w:val="en-US"/>
        </w:rPr>
      </w:pPr>
      <w:r w:rsidRPr="00A25942">
        <w:rPr>
          <w:lang w:val="en-US"/>
        </w:rPr>
        <w:t xml:space="preserve">A </w:t>
      </w:r>
      <w:r w:rsidRPr="00CF7489">
        <w:rPr>
          <w:lang w:val="en-US"/>
        </w:rPr>
        <w:t xml:space="preserve">larger economy will lift Victorian Government real taxation revenue by an estimated </w:t>
      </w:r>
      <w:r w:rsidRPr="00EB3261">
        <w:rPr>
          <w:lang w:val="en-US"/>
        </w:rPr>
        <w:t>$</w:t>
      </w:r>
      <w:r w:rsidR="00CF7489" w:rsidRPr="00EB3261">
        <w:rPr>
          <w:lang w:val="en-US"/>
        </w:rPr>
        <w:t xml:space="preserve">524 </w:t>
      </w:r>
      <w:r w:rsidR="00533F3A" w:rsidRPr="00EB3261">
        <w:rPr>
          <w:lang w:val="en-US"/>
        </w:rPr>
        <w:t xml:space="preserve">million </w:t>
      </w:r>
      <w:r w:rsidRPr="00EB3261">
        <w:rPr>
          <w:lang w:val="en-US"/>
        </w:rPr>
        <w:t>to $</w:t>
      </w:r>
      <w:r w:rsidR="00CF7489" w:rsidRPr="00EB3261">
        <w:rPr>
          <w:lang w:val="en-US"/>
        </w:rPr>
        <w:t xml:space="preserve">767 </w:t>
      </w:r>
      <w:r w:rsidRPr="00EB3261">
        <w:rPr>
          <w:lang w:val="en-US"/>
        </w:rPr>
        <w:t>million</w:t>
      </w:r>
      <w:r w:rsidRPr="00CF7489">
        <w:rPr>
          <w:lang w:val="en-US"/>
        </w:rPr>
        <w:t xml:space="preserve"> on average each year over the period to </w:t>
      </w:r>
      <w:r w:rsidR="00F72C21" w:rsidRPr="00CF7489">
        <w:rPr>
          <w:lang w:val="en-US"/>
        </w:rPr>
        <w:t>206</w:t>
      </w:r>
      <w:r w:rsidR="0008410C">
        <w:rPr>
          <w:lang w:val="en-US"/>
        </w:rPr>
        <w:t>6</w:t>
      </w:r>
      <w:r w:rsidRPr="00CF7489">
        <w:rPr>
          <w:lang w:val="en-US"/>
        </w:rPr>
        <w:t xml:space="preserve">. The BSBL </w:t>
      </w:r>
      <w:r w:rsidR="006A7F7A" w:rsidRPr="00CF7489">
        <w:rPr>
          <w:lang w:val="en-US"/>
        </w:rPr>
        <w:t xml:space="preserve">reforms are </w:t>
      </w:r>
      <w:r w:rsidRPr="00CF7489">
        <w:rPr>
          <w:lang w:val="en-US"/>
        </w:rPr>
        <w:t>also expected to</w:t>
      </w:r>
      <w:r w:rsidR="006A7F7A" w:rsidRPr="00CF7489">
        <w:rPr>
          <w:lang w:val="en-US"/>
        </w:rPr>
        <w:t xml:space="preserve"> </w:t>
      </w:r>
      <w:r w:rsidR="00B40F4D" w:rsidRPr="00CF7489">
        <w:rPr>
          <w:lang w:val="en-US"/>
        </w:rPr>
        <w:t>increase</w:t>
      </w:r>
      <w:r w:rsidR="006A7F7A" w:rsidRPr="00CF7489">
        <w:rPr>
          <w:lang w:val="en-US"/>
        </w:rPr>
        <w:t xml:space="preserve"> the </w:t>
      </w:r>
      <w:r w:rsidRPr="00CF7489">
        <w:rPr>
          <w:lang w:val="en-US"/>
        </w:rPr>
        <w:t xml:space="preserve">revenue collected by the </w:t>
      </w:r>
      <w:r w:rsidR="006A7F7A" w:rsidRPr="00CF7489">
        <w:rPr>
          <w:lang w:val="en-US"/>
        </w:rPr>
        <w:t>Australian Government</w:t>
      </w:r>
      <w:r w:rsidR="006D2A51" w:rsidRPr="00CF7489">
        <w:rPr>
          <w:lang w:val="en-US"/>
        </w:rPr>
        <w:t xml:space="preserve">, </w:t>
      </w:r>
      <w:r w:rsidR="00B40F4D" w:rsidRPr="00CF7489">
        <w:rPr>
          <w:lang w:val="en-US"/>
        </w:rPr>
        <w:t xml:space="preserve">through </w:t>
      </w:r>
      <w:r w:rsidRPr="00CF7489">
        <w:rPr>
          <w:lang w:val="en-US"/>
        </w:rPr>
        <w:t xml:space="preserve">taxation </w:t>
      </w:r>
      <w:r w:rsidR="00B40F4D" w:rsidRPr="00CF7489">
        <w:rPr>
          <w:lang w:val="en-US"/>
        </w:rPr>
        <w:t xml:space="preserve">and </w:t>
      </w:r>
      <w:r w:rsidRPr="00CF7489">
        <w:rPr>
          <w:lang w:val="en-US"/>
        </w:rPr>
        <w:t xml:space="preserve">Goods and Service Tax (GST) </w:t>
      </w:r>
      <w:r w:rsidR="00B40F4D" w:rsidRPr="00CF7489">
        <w:rPr>
          <w:lang w:val="en-US"/>
        </w:rPr>
        <w:t>contributions.</w:t>
      </w:r>
      <w:r w:rsidR="00B40F4D">
        <w:rPr>
          <w:lang w:val="en-US"/>
        </w:rPr>
        <w:t xml:space="preserve"> </w:t>
      </w:r>
    </w:p>
    <w:p w14:paraId="43870A2C" w14:textId="3C5F2E94" w:rsidR="00A874E1" w:rsidRPr="00533F3A" w:rsidRDefault="008D0D12" w:rsidP="008D0D12">
      <w:pPr>
        <w:rPr>
          <w:lang w:val="en-US"/>
        </w:rPr>
      </w:pPr>
      <w:r w:rsidRPr="00A25942">
        <w:rPr>
          <w:lang w:val="en-US"/>
        </w:rPr>
        <w:lastRenderedPageBreak/>
        <w:t>The</w:t>
      </w:r>
      <w:r w:rsidR="001A3950" w:rsidRPr="00A25942">
        <w:rPr>
          <w:lang w:val="en-US"/>
        </w:rPr>
        <w:t xml:space="preserve">re is also </w:t>
      </w:r>
      <w:r w:rsidR="00397772" w:rsidRPr="00A25942">
        <w:rPr>
          <w:lang w:val="en-US"/>
        </w:rPr>
        <w:t xml:space="preserve">expected to be an </w:t>
      </w:r>
      <w:r w:rsidR="00397772" w:rsidRPr="00CF7489">
        <w:rPr>
          <w:lang w:val="en-US"/>
        </w:rPr>
        <w:t xml:space="preserve">average of </w:t>
      </w:r>
      <w:r w:rsidR="00397772" w:rsidRPr="00EB3261">
        <w:rPr>
          <w:lang w:val="en-US"/>
        </w:rPr>
        <w:t>$</w:t>
      </w:r>
      <w:r w:rsidR="00CF7489" w:rsidRPr="00EB3261">
        <w:rPr>
          <w:lang w:val="en-US"/>
        </w:rPr>
        <w:t>4</w:t>
      </w:r>
      <w:r w:rsidR="0048136C">
        <w:rPr>
          <w:lang w:val="en-US"/>
        </w:rPr>
        <w:t>7</w:t>
      </w:r>
      <w:r w:rsidR="00CF7489" w:rsidRPr="00EB3261">
        <w:rPr>
          <w:lang w:val="en-US"/>
        </w:rPr>
        <w:t xml:space="preserve"> </w:t>
      </w:r>
      <w:r w:rsidR="00397772" w:rsidRPr="00EB3261">
        <w:rPr>
          <w:lang w:val="en-US"/>
        </w:rPr>
        <w:t>million to $</w:t>
      </w:r>
      <w:r w:rsidR="0048136C">
        <w:rPr>
          <w:lang w:val="en-US"/>
        </w:rPr>
        <w:t>62</w:t>
      </w:r>
      <w:r w:rsidR="00CF7489" w:rsidRPr="00EB3261">
        <w:rPr>
          <w:lang w:val="en-US"/>
        </w:rPr>
        <w:t xml:space="preserve"> </w:t>
      </w:r>
      <w:r w:rsidR="00397772" w:rsidRPr="00EB3261">
        <w:rPr>
          <w:lang w:val="en-US"/>
        </w:rPr>
        <w:t>million</w:t>
      </w:r>
      <w:r w:rsidR="006A7F7A" w:rsidRPr="00CF7489">
        <w:rPr>
          <w:lang w:val="en-US"/>
        </w:rPr>
        <w:t xml:space="preserve"> in avoided </w:t>
      </w:r>
      <w:r w:rsidR="00F3510B" w:rsidRPr="00CF7489">
        <w:rPr>
          <w:lang w:val="en-US"/>
        </w:rPr>
        <w:t>fiscal</w:t>
      </w:r>
      <w:r w:rsidR="006A7F7A" w:rsidRPr="00CF7489">
        <w:rPr>
          <w:lang w:val="en-US"/>
        </w:rPr>
        <w:t xml:space="preserve"> cost</w:t>
      </w:r>
      <w:r w:rsidR="00F3510B" w:rsidRPr="00CF7489">
        <w:rPr>
          <w:lang w:val="en-US"/>
        </w:rPr>
        <w:t>s</w:t>
      </w:r>
      <w:r w:rsidR="00370DE1" w:rsidRPr="00CF7489">
        <w:rPr>
          <w:lang w:val="en-US"/>
        </w:rPr>
        <w:t xml:space="preserve"> over the </w:t>
      </w:r>
      <w:r w:rsidR="0028106B" w:rsidRPr="00CF7489">
        <w:rPr>
          <w:lang w:val="en-US"/>
        </w:rPr>
        <w:t xml:space="preserve">period to </w:t>
      </w:r>
      <w:r w:rsidR="00F72C21" w:rsidRPr="00CF7489">
        <w:rPr>
          <w:lang w:val="en-US"/>
        </w:rPr>
        <w:t>206</w:t>
      </w:r>
      <w:r w:rsidR="00C91963" w:rsidRPr="00CF7489">
        <w:rPr>
          <w:lang w:val="en-US"/>
        </w:rPr>
        <w:t>6</w:t>
      </w:r>
      <w:r w:rsidR="00533F3A" w:rsidRPr="00CF7489">
        <w:rPr>
          <w:lang w:val="en-US"/>
        </w:rPr>
        <w:t xml:space="preserve"> due to improved social outcomes</w:t>
      </w:r>
      <w:r w:rsidR="006A7F7A" w:rsidRPr="00CF7489">
        <w:rPr>
          <w:lang w:val="en-US"/>
        </w:rPr>
        <w:t xml:space="preserve"> </w:t>
      </w:r>
      <w:r w:rsidR="00F3510B" w:rsidRPr="00CF7489">
        <w:rPr>
          <w:lang w:val="en-US"/>
        </w:rPr>
        <w:t xml:space="preserve">for </w:t>
      </w:r>
      <w:r w:rsidR="00533F3A" w:rsidRPr="00CF7489">
        <w:rPr>
          <w:lang w:val="en-US"/>
        </w:rPr>
        <w:t xml:space="preserve">the </w:t>
      </w:r>
      <w:r w:rsidR="00F3510B" w:rsidRPr="00CF7489">
        <w:rPr>
          <w:lang w:val="en-US"/>
        </w:rPr>
        <w:t xml:space="preserve">Victorian and Australian </w:t>
      </w:r>
      <w:r w:rsidR="006A7650" w:rsidRPr="00CF7489">
        <w:rPr>
          <w:lang w:val="en-US"/>
        </w:rPr>
        <w:t>g</w:t>
      </w:r>
      <w:r w:rsidR="00F3510B" w:rsidRPr="00CF7489">
        <w:rPr>
          <w:lang w:val="en-US"/>
        </w:rPr>
        <w:t>overnment</w:t>
      </w:r>
      <w:r w:rsidR="00533F3A" w:rsidRPr="00CF7489">
        <w:rPr>
          <w:lang w:val="en-US"/>
        </w:rPr>
        <w:t>s</w:t>
      </w:r>
      <w:r w:rsidR="00F3510B" w:rsidRPr="00CF7489">
        <w:rPr>
          <w:lang w:val="en-US"/>
        </w:rPr>
        <w:t>.</w:t>
      </w:r>
      <w:r w:rsidR="00533F3A" w:rsidRPr="00CF7489">
        <w:rPr>
          <w:lang w:val="en-US"/>
        </w:rPr>
        <w:t xml:space="preserve"> These benefits result from reduced </w:t>
      </w:r>
      <w:r w:rsidR="002375EF" w:rsidRPr="00CF7489">
        <w:rPr>
          <w:lang w:val="en-US"/>
        </w:rPr>
        <w:t>public</w:t>
      </w:r>
      <w:r w:rsidR="00015A6A" w:rsidRPr="00CF7489">
        <w:rPr>
          <w:lang w:val="en-US"/>
        </w:rPr>
        <w:t xml:space="preserve"> expenditure on</w:t>
      </w:r>
      <w:r w:rsidR="002375EF" w:rsidRPr="00CF7489">
        <w:rPr>
          <w:lang w:val="en-US"/>
        </w:rPr>
        <w:t xml:space="preserve"> health, welfare payments</w:t>
      </w:r>
      <w:r w:rsidR="002375EF">
        <w:rPr>
          <w:lang w:val="en-US"/>
        </w:rPr>
        <w:t xml:space="preserve"> and </w:t>
      </w:r>
      <w:r w:rsidR="00015A6A">
        <w:rPr>
          <w:lang w:val="en-US"/>
        </w:rPr>
        <w:t>crime and law enforcement.</w:t>
      </w:r>
    </w:p>
    <w:p w14:paraId="777EF328" w14:textId="323B81A3" w:rsidR="00434688" w:rsidRDefault="002C5EFA" w:rsidP="00716BE4">
      <w:pPr>
        <w:pStyle w:val="ExecTableCaption"/>
      </w:pPr>
      <w:r w:rsidRPr="00F502A8">
        <w:t xml:space="preserve">: </w:t>
      </w:r>
      <w:r>
        <w:t xml:space="preserve">The potential fiscal impacts of the </w:t>
      </w:r>
      <w:r w:rsidRPr="00F502A8">
        <w:t>BSBL reforms</w:t>
      </w:r>
    </w:p>
    <w:tbl>
      <w:tblPr>
        <w:tblStyle w:val="Deloittetable"/>
        <w:tblW w:w="5000" w:type="pct"/>
        <w:tblLook w:val="04A0" w:firstRow="1" w:lastRow="0" w:firstColumn="1" w:lastColumn="0" w:noHBand="0" w:noVBand="1"/>
      </w:tblPr>
      <w:tblGrid>
        <w:gridCol w:w="2434"/>
        <w:gridCol w:w="1100"/>
        <w:gridCol w:w="1099"/>
        <w:gridCol w:w="1099"/>
        <w:gridCol w:w="1099"/>
        <w:gridCol w:w="1099"/>
        <w:gridCol w:w="1096"/>
      </w:tblGrid>
      <w:tr w:rsidR="00D36321" w:rsidRPr="00507078" w14:paraId="74E73F82" w14:textId="77777777">
        <w:trPr>
          <w:cnfStyle w:val="100000000000" w:firstRow="1" w:lastRow="0" w:firstColumn="0" w:lastColumn="0" w:oddVBand="0" w:evenVBand="0" w:oddHBand="0" w:evenHBand="0" w:firstRowFirstColumn="0" w:firstRowLastColumn="0" w:lastRowFirstColumn="0" w:lastRowLastColumn="0"/>
          <w:trHeight w:val="20"/>
        </w:trPr>
        <w:tc>
          <w:tcPr>
            <w:tcW w:w="1348" w:type="pct"/>
          </w:tcPr>
          <w:p w14:paraId="782475DE" w14:textId="77777777" w:rsidR="00D36321" w:rsidRPr="00F41670" w:rsidRDefault="00D36321" w:rsidP="00D01752">
            <w:pPr>
              <w:pStyle w:val="TabletextLeft"/>
              <w:spacing w:line="240" w:lineRule="auto"/>
              <w:rPr>
                <w:rFonts w:asciiTheme="majorHAnsi" w:hAnsiTheme="majorHAnsi"/>
                <w:b/>
                <w:sz w:val="16"/>
                <w:szCs w:val="16"/>
              </w:rPr>
            </w:pPr>
            <w:r>
              <w:rPr>
                <w:rFonts w:asciiTheme="majorHAnsi" w:hAnsiTheme="majorHAnsi"/>
                <w:b/>
                <w:sz w:val="16"/>
                <w:szCs w:val="16"/>
              </w:rPr>
              <w:t>Scenario</w:t>
            </w:r>
          </w:p>
        </w:tc>
        <w:tc>
          <w:tcPr>
            <w:tcW w:w="1827" w:type="pct"/>
            <w:gridSpan w:val="3"/>
            <w:tcBorders>
              <w:right w:val="single" w:sz="4" w:space="0" w:color="auto"/>
            </w:tcBorders>
            <w:vAlign w:val="center"/>
          </w:tcPr>
          <w:p w14:paraId="29CAC3FB" w14:textId="77777777" w:rsidR="00D36321" w:rsidRPr="00AA17A0" w:rsidRDefault="00D36321" w:rsidP="00D01752">
            <w:pPr>
              <w:pStyle w:val="TabletextLeft"/>
              <w:spacing w:line="240" w:lineRule="auto"/>
              <w:jc w:val="center"/>
              <w:rPr>
                <w:b/>
                <w:bCs/>
              </w:rPr>
            </w:pPr>
            <w:r w:rsidRPr="00AA17A0">
              <w:rPr>
                <w:rFonts w:asciiTheme="majorHAnsi" w:hAnsiTheme="majorHAnsi"/>
                <w:b/>
                <w:bCs/>
                <w:color w:val="000000"/>
                <w:sz w:val="16"/>
                <w:szCs w:val="16"/>
                <w:lang w:val="en-GB"/>
              </w:rPr>
              <w:t>Low</w:t>
            </w:r>
            <w:r>
              <w:rPr>
                <w:rFonts w:asciiTheme="majorHAnsi" w:hAnsiTheme="majorHAnsi"/>
                <w:b/>
                <w:bCs/>
                <w:color w:val="000000"/>
                <w:sz w:val="16"/>
                <w:szCs w:val="16"/>
                <w:lang w:val="en-GB"/>
              </w:rPr>
              <w:t xml:space="preserve"> (low impact; low elasticity)</w:t>
            </w:r>
          </w:p>
        </w:tc>
        <w:tc>
          <w:tcPr>
            <w:tcW w:w="1825" w:type="pct"/>
            <w:gridSpan w:val="3"/>
            <w:vAlign w:val="center"/>
          </w:tcPr>
          <w:p w14:paraId="62CD3140" w14:textId="77777777" w:rsidR="00D36321" w:rsidRPr="00AA17A0" w:rsidRDefault="00D36321" w:rsidP="00D01752">
            <w:pPr>
              <w:pStyle w:val="TabletextLeft"/>
              <w:spacing w:line="240" w:lineRule="auto"/>
              <w:jc w:val="center"/>
              <w:rPr>
                <w:b/>
                <w:bCs/>
              </w:rPr>
            </w:pPr>
            <w:r w:rsidRPr="00AA17A0">
              <w:rPr>
                <w:rFonts w:asciiTheme="minorHAnsi" w:hAnsiTheme="minorHAnsi"/>
                <w:b/>
                <w:bCs/>
                <w:color w:val="000000"/>
                <w:sz w:val="16"/>
                <w:szCs w:val="16"/>
                <w:lang w:val="en-GB"/>
              </w:rPr>
              <w:t>High</w:t>
            </w:r>
            <w:r>
              <w:rPr>
                <w:rFonts w:asciiTheme="minorHAnsi" w:hAnsiTheme="minorHAnsi"/>
                <w:b/>
                <w:bCs/>
                <w:color w:val="000000"/>
                <w:sz w:val="16"/>
                <w:szCs w:val="16"/>
                <w:lang w:val="en-GB"/>
              </w:rPr>
              <w:t xml:space="preserve"> </w:t>
            </w:r>
            <w:r>
              <w:rPr>
                <w:rFonts w:asciiTheme="majorHAnsi" w:hAnsiTheme="majorHAnsi"/>
                <w:b/>
                <w:bCs/>
                <w:color w:val="000000"/>
                <w:sz w:val="16"/>
                <w:szCs w:val="16"/>
                <w:lang w:val="en-GB"/>
              </w:rPr>
              <w:t>(high impact; high elasticity)</w:t>
            </w:r>
          </w:p>
        </w:tc>
      </w:tr>
      <w:tr w:rsidR="00C91963" w:rsidRPr="00507078" w14:paraId="1561DAFD" w14:textId="77777777" w:rsidTr="006F4D85">
        <w:trPr>
          <w:trHeight w:val="254"/>
        </w:trPr>
        <w:tc>
          <w:tcPr>
            <w:tcW w:w="1348" w:type="pct"/>
          </w:tcPr>
          <w:p w14:paraId="667C6791" w14:textId="77777777" w:rsidR="00C91963" w:rsidRPr="00F41670" w:rsidRDefault="00C91963" w:rsidP="00C91963">
            <w:pPr>
              <w:pStyle w:val="TabletextLeft"/>
              <w:spacing w:line="240" w:lineRule="auto"/>
              <w:rPr>
                <w:rFonts w:asciiTheme="majorHAnsi" w:hAnsiTheme="majorHAnsi"/>
                <w:b/>
                <w:sz w:val="16"/>
                <w:szCs w:val="16"/>
              </w:rPr>
            </w:pPr>
          </w:p>
        </w:tc>
        <w:tc>
          <w:tcPr>
            <w:tcW w:w="609" w:type="pct"/>
            <w:vAlign w:val="center"/>
          </w:tcPr>
          <w:p w14:paraId="4D9E23EE" w14:textId="26A73FD8" w:rsidR="00C91963" w:rsidRPr="00EB3261" w:rsidRDefault="00C91963" w:rsidP="00C91963">
            <w:pPr>
              <w:pStyle w:val="TabletextLeft"/>
              <w:spacing w:line="240" w:lineRule="auto"/>
              <w:jc w:val="center"/>
            </w:pPr>
            <w:r w:rsidRPr="00EB3261">
              <w:rPr>
                <w:rFonts w:asciiTheme="majorHAnsi" w:hAnsiTheme="majorHAnsi"/>
                <w:b/>
                <w:sz w:val="16"/>
                <w:szCs w:val="16"/>
              </w:rPr>
              <w:t xml:space="preserve">Annual avg to </w:t>
            </w:r>
            <w:r w:rsidRPr="00EB3261">
              <w:rPr>
                <w:rFonts w:asciiTheme="majorHAnsi" w:hAnsiTheme="majorHAnsi"/>
                <w:b/>
                <w:sz w:val="16"/>
                <w:szCs w:val="16"/>
              </w:rPr>
              <w:br/>
              <w:t>2065-66</w:t>
            </w:r>
          </w:p>
        </w:tc>
        <w:tc>
          <w:tcPr>
            <w:tcW w:w="609" w:type="pct"/>
            <w:vAlign w:val="center"/>
          </w:tcPr>
          <w:p w14:paraId="46D53DC6" w14:textId="04BAB699" w:rsidR="00C91963" w:rsidRPr="00EB3261" w:rsidRDefault="00C91963" w:rsidP="00C91963">
            <w:pPr>
              <w:pStyle w:val="TabletextLeft"/>
              <w:spacing w:line="240" w:lineRule="auto"/>
              <w:jc w:val="center"/>
            </w:pPr>
            <w:r w:rsidRPr="00EB3261">
              <w:rPr>
                <w:rFonts w:asciiTheme="majorHAnsi" w:hAnsiTheme="majorHAnsi"/>
                <w:b/>
                <w:sz w:val="16"/>
                <w:szCs w:val="16"/>
              </w:rPr>
              <w:t>2035-36</w:t>
            </w:r>
          </w:p>
        </w:tc>
        <w:tc>
          <w:tcPr>
            <w:tcW w:w="609" w:type="pct"/>
            <w:tcBorders>
              <w:top w:val="single" w:sz="4" w:space="0" w:color="000000" w:themeColor="text1"/>
              <w:right w:val="single" w:sz="4" w:space="0" w:color="auto"/>
            </w:tcBorders>
            <w:vAlign w:val="center"/>
          </w:tcPr>
          <w:p w14:paraId="7DAFA660" w14:textId="1BD75D5D" w:rsidR="00C91963" w:rsidRPr="00EB3261" w:rsidRDefault="00C91963" w:rsidP="00C91963">
            <w:pPr>
              <w:pStyle w:val="TabletextLeft"/>
              <w:spacing w:line="240" w:lineRule="auto"/>
              <w:jc w:val="center"/>
            </w:pPr>
            <w:r w:rsidRPr="00EB3261">
              <w:rPr>
                <w:rFonts w:asciiTheme="majorHAnsi" w:hAnsiTheme="majorHAnsi"/>
                <w:b/>
                <w:sz w:val="16"/>
                <w:szCs w:val="16"/>
              </w:rPr>
              <w:t>2065-66</w:t>
            </w:r>
          </w:p>
        </w:tc>
        <w:tc>
          <w:tcPr>
            <w:tcW w:w="609" w:type="pct"/>
            <w:vAlign w:val="center"/>
          </w:tcPr>
          <w:p w14:paraId="568E9BB9" w14:textId="30256F69" w:rsidR="00C91963" w:rsidRPr="00DF5283" w:rsidRDefault="00C91963" w:rsidP="00C91963">
            <w:pPr>
              <w:pStyle w:val="TabletextLeft"/>
              <w:spacing w:line="240" w:lineRule="auto"/>
              <w:jc w:val="center"/>
              <w:rPr>
                <w:highlight w:val="lightGray"/>
              </w:rPr>
            </w:pPr>
            <w:r w:rsidRPr="00CA6BF7">
              <w:rPr>
                <w:rFonts w:asciiTheme="majorHAnsi" w:hAnsiTheme="majorHAnsi"/>
                <w:b/>
                <w:sz w:val="16"/>
                <w:szCs w:val="16"/>
              </w:rPr>
              <w:t xml:space="preserve">Annual avg to </w:t>
            </w:r>
            <w:r w:rsidRPr="00CA6BF7">
              <w:rPr>
                <w:rFonts w:asciiTheme="majorHAnsi" w:hAnsiTheme="majorHAnsi"/>
                <w:b/>
                <w:sz w:val="16"/>
                <w:szCs w:val="16"/>
              </w:rPr>
              <w:br/>
              <w:t>2065-66</w:t>
            </w:r>
          </w:p>
        </w:tc>
        <w:tc>
          <w:tcPr>
            <w:tcW w:w="609" w:type="pct"/>
            <w:tcBorders>
              <w:top w:val="single" w:sz="4" w:space="0" w:color="000000" w:themeColor="text1"/>
              <w:right w:val="nil"/>
            </w:tcBorders>
            <w:vAlign w:val="center"/>
          </w:tcPr>
          <w:p w14:paraId="37F8E2F2" w14:textId="272FD295" w:rsidR="00C91963" w:rsidRPr="00DF5283" w:rsidRDefault="00C91963" w:rsidP="00C91963">
            <w:pPr>
              <w:pStyle w:val="TabletextLeft"/>
              <w:spacing w:line="240" w:lineRule="auto"/>
              <w:jc w:val="center"/>
              <w:rPr>
                <w:highlight w:val="lightGray"/>
              </w:rPr>
            </w:pPr>
            <w:r w:rsidRPr="00CA6BF7">
              <w:rPr>
                <w:rFonts w:asciiTheme="majorHAnsi" w:hAnsiTheme="majorHAnsi"/>
                <w:b/>
                <w:sz w:val="16"/>
                <w:szCs w:val="16"/>
              </w:rPr>
              <w:t>2035-36</w:t>
            </w:r>
          </w:p>
        </w:tc>
        <w:tc>
          <w:tcPr>
            <w:tcW w:w="607" w:type="pct"/>
            <w:tcBorders>
              <w:top w:val="single" w:sz="4" w:space="0" w:color="000000" w:themeColor="text1"/>
              <w:left w:val="nil"/>
            </w:tcBorders>
            <w:vAlign w:val="center"/>
          </w:tcPr>
          <w:p w14:paraId="6227367A" w14:textId="70AE63E2" w:rsidR="00C91963" w:rsidRPr="00DF5283" w:rsidRDefault="00C91963" w:rsidP="00C91963">
            <w:pPr>
              <w:pStyle w:val="TabletextLeft"/>
              <w:spacing w:line="240" w:lineRule="auto"/>
              <w:jc w:val="center"/>
              <w:rPr>
                <w:highlight w:val="lightGray"/>
              </w:rPr>
            </w:pPr>
            <w:r w:rsidRPr="00CA6BF7">
              <w:rPr>
                <w:rFonts w:asciiTheme="majorHAnsi" w:hAnsiTheme="majorHAnsi"/>
                <w:b/>
                <w:sz w:val="16"/>
                <w:szCs w:val="16"/>
              </w:rPr>
              <w:t>2065-66</w:t>
            </w:r>
          </w:p>
        </w:tc>
      </w:tr>
      <w:tr w:rsidR="00EB3261" w:rsidRPr="000759BB" w14:paraId="31D191D5" w14:textId="77777777" w:rsidTr="00EB3261">
        <w:trPr>
          <w:trHeight w:val="254"/>
        </w:trPr>
        <w:tc>
          <w:tcPr>
            <w:tcW w:w="0" w:type="pct"/>
          </w:tcPr>
          <w:p w14:paraId="661AC844" w14:textId="77777777" w:rsidR="00CF7489" w:rsidRPr="000759BB" w:rsidRDefault="00CF7489" w:rsidP="00CF7489">
            <w:pPr>
              <w:pStyle w:val="TabletextLeft"/>
              <w:spacing w:line="240" w:lineRule="auto"/>
              <w:rPr>
                <w:rFonts w:asciiTheme="majorHAnsi" w:hAnsiTheme="majorHAnsi"/>
                <w:sz w:val="16"/>
                <w:szCs w:val="16"/>
              </w:rPr>
            </w:pPr>
            <w:r>
              <w:rPr>
                <w:rFonts w:asciiTheme="majorHAnsi" w:hAnsiTheme="majorHAnsi"/>
                <w:b/>
                <w:bCs/>
                <w:sz w:val="16"/>
                <w:szCs w:val="16"/>
              </w:rPr>
              <w:t>State taxation ($m)</w:t>
            </w:r>
          </w:p>
        </w:tc>
        <w:tc>
          <w:tcPr>
            <w:tcW w:w="0" w:type="pct"/>
            <w:vAlign w:val="bottom"/>
          </w:tcPr>
          <w:p w14:paraId="2C81C6ED" w14:textId="6D3AD96C" w:rsidR="00CF7489" w:rsidRPr="008763FA" w:rsidRDefault="00CF7489" w:rsidP="00CF7489">
            <w:pPr>
              <w:pStyle w:val="TabletextLeft"/>
              <w:spacing w:line="240" w:lineRule="auto"/>
              <w:jc w:val="center"/>
              <w:rPr>
                <w:highlight w:val="lightGray"/>
              </w:rPr>
            </w:pPr>
            <w:r w:rsidRPr="00F226CF">
              <w:rPr>
                <w:color w:val="000000"/>
                <w:sz w:val="16"/>
                <w:szCs w:val="16"/>
              </w:rPr>
              <w:t>524</w:t>
            </w:r>
          </w:p>
        </w:tc>
        <w:tc>
          <w:tcPr>
            <w:tcW w:w="0" w:type="pct"/>
            <w:tcBorders>
              <w:top w:val="single" w:sz="4" w:space="0" w:color="000000" w:themeColor="text1"/>
            </w:tcBorders>
            <w:vAlign w:val="bottom"/>
          </w:tcPr>
          <w:p w14:paraId="09B92CFF" w14:textId="05B3FC0C" w:rsidR="00CF7489" w:rsidRPr="008763FA" w:rsidRDefault="00CF7489" w:rsidP="00CF7489">
            <w:pPr>
              <w:pStyle w:val="TabletextLeft"/>
              <w:spacing w:line="240" w:lineRule="auto"/>
              <w:jc w:val="center"/>
              <w:rPr>
                <w:highlight w:val="lightGray"/>
              </w:rPr>
            </w:pPr>
            <w:r w:rsidRPr="00F226CF">
              <w:rPr>
                <w:color w:val="000000"/>
                <w:sz w:val="16"/>
                <w:szCs w:val="16"/>
              </w:rPr>
              <w:t>347</w:t>
            </w:r>
          </w:p>
        </w:tc>
        <w:tc>
          <w:tcPr>
            <w:tcW w:w="0" w:type="pct"/>
            <w:tcBorders>
              <w:top w:val="single" w:sz="4" w:space="0" w:color="000000" w:themeColor="text1"/>
              <w:right w:val="single" w:sz="4" w:space="0" w:color="000000"/>
            </w:tcBorders>
            <w:vAlign w:val="bottom"/>
          </w:tcPr>
          <w:p w14:paraId="1FFFDD46" w14:textId="783744ED" w:rsidR="00CF7489" w:rsidRPr="008763FA" w:rsidRDefault="00CF7489" w:rsidP="00CF7489">
            <w:pPr>
              <w:pStyle w:val="TabletextLeft"/>
              <w:spacing w:line="240" w:lineRule="auto"/>
              <w:jc w:val="center"/>
              <w:rPr>
                <w:highlight w:val="lightGray"/>
              </w:rPr>
            </w:pPr>
            <w:r w:rsidRPr="00F226CF">
              <w:rPr>
                <w:color w:val="000000"/>
                <w:sz w:val="16"/>
                <w:szCs w:val="16"/>
              </w:rPr>
              <w:t>1,1</w:t>
            </w:r>
            <w:r w:rsidR="0025418A">
              <w:rPr>
                <w:color w:val="000000"/>
                <w:sz w:val="16"/>
                <w:szCs w:val="16"/>
              </w:rPr>
              <w:t>34</w:t>
            </w:r>
          </w:p>
        </w:tc>
        <w:tc>
          <w:tcPr>
            <w:tcW w:w="0" w:type="pct"/>
            <w:tcBorders>
              <w:left w:val="single" w:sz="4" w:space="0" w:color="000000"/>
            </w:tcBorders>
            <w:vAlign w:val="bottom"/>
          </w:tcPr>
          <w:p w14:paraId="35D88778" w14:textId="7B5C24F7" w:rsidR="00CF7489" w:rsidRPr="008763FA" w:rsidRDefault="00CF7489" w:rsidP="00CF7489">
            <w:pPr>
              <w:pStyle w:val="TabletextLeft"/>
              <w:spacing w:line="240" w:lineRule="auto"/>
              <w:jc w:val="center"/>
              <w:rPr>
                <w:highlight w:val="lightGray"/>
              </w:rPr>
            </w:pPr>
            <w:r w:rsidRPr="00F226CF">
              <w:rPr>
                <w:color w:val="000000"/>
                <w:sz w:val="16"/>
                <w:szCs w:val="16"/>
              </w:rPr>
              <w:t>767</w:t>
            </w:r>
          </w:p>
        </w:tc>
        <w:tc>
          <w:tcPr>
            <w:tcW w:w="0" w:type="pct"/>
            <w:vAlign w:val="bottom"/>
          </w:tcPr>
          <w:p w14:paraId="4ED1D38B" w14:textId="19031517" w:rsidR="00CF7489" w:rsidRPr="008763FA" w:rsidRDefault="00CF7489" w:rsidP="00CF7489">
            <w:pPr>
              <w:pStyle w:val="TabletextLeft"/>
              <w:spacing w:line="240" w:lineRule="auto"/>
              <w:jc w:val="center"/>
              <w:rPr>
                <w:highlight w:val="lightGray"/>
              </w:rPr>
            </w:pPr>
            <w:r w:rsidRPr="00F226CF">
              <w:rPr>
                <w:color w:val="000000"/>
                <w:sz w:val="16"/>
                <w:szCs w:val="16"/>
              </w:rPr>
              <w:t>472</w:t>
            </w:r>
          </w:p>
        </w:tc>
        <w:tc>
          <w:tcPr>
            <w:tcW w:w="0" w:type="pct"/>
            <w:vAlign w:val="bottom"/>
          </w:tcPr>
          <w:p w14:paraId="62AD6A3D" w14:textId="264CC27D" w:rsidR="00CF7489" w:rsidRPr="008763FA" w:rsidRDefault="00CF7489" w:rsidP="00CF7489">
            <w:pPr>
              <w:pStyle w:val="TabletextLeft"/>
              <w:spacing w:line="240" w:lineRule="auto"/>
              <w:jc w:val="center"/>
              <w:rPr>
                <w:highlight w:val="lightGray"/>
              </w:rPr>
            </w:pPr>
            <w:r w:rsidRPr="00F226CF">
              <w:rPr>
                <w:color w:val="000000"/>
                <w:sz w:val="16"/>
                <w:szCs w:val="16"/>
              </w:rPr>
              <w:t>1,713</w:t>
            </w:r>
          </w:p>
        </w:tc>
      </w:tr>
      <w:tr w:rsidR="00EB3261" w:rsidRPr="000759BB" w14:paraId="2D29E84F" w14:textId="77777777" w:rsidTr="00EB3261">
        <w:trPr>
          <w:trHeight w:val="254"/>
        </w:trPr>
        <w:tc>
          <w:tcPr>
            <w:tcW w:w="0" w:type="pct"/>
          </w:tcPr>
          <w:p w14:paraId="4FD472E4" w14:textId="77777777" w:rsidR="00CF7489" w:rsidRPr="000759BB" w:rsidRDefault="00CF7489" w:rsidP="00CF7489">
            <w:pPr>
              <w:pStyle w:val="TabletextLeft"/>
              <w:spacing w:line="240" w:lineRule="auto"/>
              <w:rPr>
                <w:rFonts w:asciiTheme="majorHAnsi" w:hAnsiTheme="majorHAnsi"/>
                <w:sz w:val="16"/>
                <w:szCs w:val="16"/>
              </w:rPr>
            </w:pPr>
            <w:r>
              <w:rPr>
                <w:rFonts w:asciiTheme="majorHAnsi" w:hAnsiTheme="majorHAnsi"/>
                <w:b/>
                <w:bCs/>
                <w:sz w:val="16"/>
                <w:szCs w:val="16"/>
              </w:rPr>
              <w:t>GST contribution ($m)</w:t>
            </w:r>
          </w:p>
        </w:tc>
        <w:tc>
          <w:tcPr>
            <w:tcW w:w="0" w:type="pct"/>
            <w:vAlign w:val="bottom"/>
          </w:tcPr>
          <w:p w14:paraId="24487EDB" w14:textId="69CDF28D" w:rsidR="00CF7489" w:rsidRPr="008763FA" w:rsidRDefault="00CF7489" w:rsidP="00CF7489">
            <w:pPr>
              <w:pStyle w:val="TabletextLeft"/>
              <w:spacing w:line="240" w:lineRule="auto"/>
              <w:jc w:val="center"/>
              <w:rPr>
                <w:highlight w:val="lightGray"/>
              </w:rPr>
            </w:pPr>
            <w:r w:rsidRPr="00F226CF">
              <w:rPr>
                <w:color w:val="000000"/>
                <w:sz w:val="16"/>
                <w:szCs w:val="16"/>
              </w:rPr>
              <w:t>295</w:t>
            </w:r>
          </w:p>
        </w:tc>
        <w:tc>
          <w:tcPr>
            <w:tcW w:w="0" w:type="pct"/>
            <w:tcBorders>
              <w:top w:val="single" w:sz="4" w:space="0" w:color="000000" w:themeColor="text1"/>
            </w:tcBorders>
            <w:vAlign w:val="bottom"/>
          </w:tcPr>
          <w:p w14:paraId="0C374BDD" w14:textId="1CDEED75" w:rsidR="00CF7489" w:rsidRPr="008763FA" w:rsidRDefault="00CF7489" w:rsidP="00CF7489">
            <w:pPr>
              <w:pStyle w:val="TabletextLeft"/>
              <w:spacing w:line="240" w:lineRule="auto"/>
              <w:jc w:val="center"/>
              <w:rPr>
                <w:highlight w:val="lightGray"/>
              </w:rPr>
            </w:pPr>
            <w:r w:rsidRPr="00F226CF">
              <w:rPr>
                <w:color w:val="000000"/>
                <w:sz w:val="16"/>
                <w:szCs w:val="16"/>
              </w:rPr>
              <w:t>183</w:t>
            </w:r>
          </w:p>
        </w:tc>
        <w:tc>
          <w:tcPr>
            <w:tcW w:w="0" w:type="pct"/>
            <w:tcBorders>
              <w:top w:val="single" w:sz="4" w:space="0" w:color="000000" w:themeColor="text1"/>
              <w:right w:val="single" w:sz="4" w:space="0" w:color="000000"/>
            </w:tcBorders>
            <w:vAlign w:val="bottom"/>
          </w:tcPr>
          <w:p w14:paraId="40660885" w14:textId="05B18A32" w:rsidR="00CF7489" w:rsidRPr="008763FA" w:rsidRDefault="0025418A" w:rsidP="00CF7489">
            <w:pPr>
              <w:pStyle w:val="TabletextLeft"/>
              <w:spacing w:line="240" w:lineRule="auto"/>
              <w:jc w:val="center"/>
              <w:rPr>
                <w:highlight w:val="lightGray"/>
              </w:rPr>
            </w:pPr>
            <w:r>
              <w:rPr>
                <w:color w:val="000000"/>
                <w:sz w:val="16"/>
                <w:szCs w:val="16"/>
              </w:rPr>
              <w:t>676</w:t>
            </w:r>
          </w:p>
        </w:tc>
        <w:tc>
          <w:tcPr>
            <w:tcW w:w="0" w:type="pct"/>
            <w:tcBorders>
              <w:left w:val="single" w:sz="4" w:space="0" w:color="000000"/>
            </w:tcBorders>
            <w:vAlign w:val="bottom"/>
          </w:tcPr>
          <w:p w14:paraId="2561A8BD" w14:textId="070F4BA0" w:rsidR="00CF7489" w:rsidRPr="008763FA" w:rsidRDefault="00CF7489" w:rsidP="00CF7489">
            <w:pPr>
              <w:pStyle w:val="TabletextLeft"/>
              <w:spacing w:line="240" w:lineRule="auto"/>
              <w:jc w:val="center"/>
              <w:rPr>
                <w:highlight w:val="lightGray"/>
              </w:rPr>
            </w:pPr>
            <w:r w:rsidRPr="00F226CF">
              <w:rPr>
                <w:color w:val="000000"/>
                <w:sz w:val="16"/>
                <w:szCs w:val="16"/>
              </w:rPr>
              <w:t>389</w:t>
            </w:r>
          </w:p>
        </w:tc>
        <w:tc>
          <w:tcPr>
            <w:tcW w:w="0" w:type="pct"/>
            <w:vAlign w:val="bottom"/>
          </w:tcPr>
          <w:p w14:paraId="2E932D02" w14:textId="70D4FA16" w:rsidR="00CF7489" w:rsidRPr="008763FA" w:rsidRDefault="00CF7489" w:rsidP="00CF7489">
            <w:pPr>
              <w:pStyle w:val="TabletextLeft"/>
              <w:spacing w:line="240" w:lineRule="auto"/>
              <w:jc w:val="center"/>
              <w:rPr>
                <w:highlight w:val="lightGray"/>
              </w:rPr>
            </w:pPr>
            <w:r w:rsidRPr="00F226CF">
              <w:rPr>
                <w:color w:val="000000"/>
                <w:sz w:val="16"/>
                <w:szCs w:val="16"/>
              </w:rPr>
              <w:t>194</w:t>
            </w:r>
          </w:p>
        </w:tc>
        <w:tc>
          <w:tcPr>
            <w:tcW w:w="0" w:type="pct"/>
            <w:vAlign w:val="bottom"/>
          </w:tcPr>
          <w:p w14:paraId="5F32711A" w14:textId="358B0A57" w:rsidR="00CF7489" w:rsidRPr="008763FA" w:rsidRDefault="00CF7489" w:rsidP="00CF7489">
            <w:pPr>
              <w:pStyle w:val="TabletextLeft"/>
              <w:spacing w:line="240" w:lineRule="auto"/>
              <w:jc w:val="center"/>
              <w:rPr>
                <w:highlight w:val="lightGray"/>
              </w:rPr>
            </w:pPr>
            <w:r w:rsidRPr="00F226CF">
              <w:rPr>
                <w:color w:val="000000"/>
                <w:sz w:val="16"/>
                <w:szCs w:val="16"/>
              </w:rPr>
              <w:t>990</w:t>
            </w:r>
          </w:p>
        </w:tc>
      </w:tr>
      <w:tr w:rsidR="00EB3261" w:rsidRPr="000759BB" w14:paraId="1116DEEE" w14:textId="77777777" w:rsidTr="00EB3261">
        <w:trPr>
          <w:trHeight w:val="254"/>
        </w:trPr>
        <w:tc>
          <w:tcPr>
            <w:tcW w:w="0" w:type="pct"/>
          </w:tcPr>
          <w:p w14:paraId="3BC1EDD3" w14:textId="77777777" w:rsidR="00CF7489" w:rsidRPr="000759BB" w:rsidRDefault="00CF7489" w:rsidP="00CF7489">
            <w:pPr>
              <w:pStyle w:val="TabletextLeft"/>
              <w:spacing w:line="240" w:lineRule="auto"/>
              <w:rPr>
                <w:rFonts w:asciiTheme="majorHAnsi" w:hAnsiTheme="majorHAnsi"/>
                <w:sz w:val="16"/>
                <w:szCs w:val="16"/>
              </w:rPr>
            </w:pPr>
            <w:r>
              <w:rPr>
                <w:rFonts w:asciiTheme="majorHAnsi" w:hAnsiTheme="majorHAnsi"/>
                <w:b/>
                <w:bCs/>
                <w:sz w:val="16"/>
                <w:szCs w:val="16"/>
              </w:rPr>
              <w:t>Aus. Gov taxation ($m)</w:t>
            </w:r>
          </w:p>
        </w:tc>
        <w:tc>
          <w:tcPr>
            <w:tcW w:w="0" w:type="pct"/>
            <w:vAlign w:val="bottom"/>
          </w:tcPr>
          <w:p w14:paraId="19CD8A4D" w14:textId="32187842" w:rsidR="00CF7489" w:rsidRPr="008763FA" w:rsidRDefault="00CF7489" w:rsidP="00CF7489">
            <w:pPr>
              <w:pStyle w:val="TabletextLeft"/>
              <w:spacing w:line="240" w:lineRule="auto"/>
              <w:jc w:val="center"/>
              <w:rPr>
                <w:highlight w:val="lightGray"/>
              </w:rPr>
            </w:pPr>
            <w:r w:rsidRPr="00F226CF">
              <w:rPr>
                <w:color w:val="000000"/>
                <w:sz w:val="16"/>
                <w:szCs w:val="16"/>
              </w:rPr>
              <w:t>1,913</w:t>
            </w:r>
          </w:p>
        </w:tc>
        <w:tc>
          <w:tcPr>
            <w:tcW w:w="0" w:type="pct"/>
            <w:tcBorders>
              <w:top w:val="single" w:sz="4" w:space="0" w:color="000000" w:themeColor="text1"/>
              <w:bottom w:val="single" w:sz="4" w:space="0" w:color="000000" w:themeColor="text1"/>
            </w:tcBorders>
            <w:vAlign w:val="bottom"/>
          </w:tcPr>
          <w:p w14:paraId="7D3F6CDB" w14:textId="6FCA4ED8" w:rsidR="00CF7489" w:rsidRPr="008763FA" w:rsidRDefault="00CF7489" w:rsidP="00CF7489">
            <w:pPr>
              <w:pStyle w:val="TabletextLeft"/>
              <w:spacing w:line="240" w:lineRule="auto"/>
              <w:jc w:val="center"/>
              <w:rPr>
                <w:highlight w:val="lightGray"/>
              </w:rPr>
            </w:pPr>
            <w:r w:rsidRPr="00F226CF">
              <w:rPr>
                <w:color w:val="000000"/>
                <w:sz w:val="16"/>
                <w:szCs w:val="16"/>
              </w:rPr>
              <w:t>1,236</w:t>
            </w:r>
          </w:p>
        </w:tc>
        <w:tc>
          <w:tcPr>
            <w:tcW w:w="0" w:type="pct"/>
            <w:tcBorders>
              <w:top w:val="single" w:sz="4" w:space="0" w:color="000000" w:themeColor="text1"/>
              <w:bottom w:val="single" w:sz="4" w:space="0" w:color="000000" w:themeColor="text1"/>
              <w:right w:val="single" w:sz="4" w:space="0" w:color="000000"/>
            </w:tcBorders>
            <w:vAlign w:val="bottom"/>
          </w:tcPr>
          <w:p w14:paraId="0540194E" w14:textId="0967C338" w:rsidR="00CF7489" w:rsidRPr="008763FA" w:rsidRDefault="00CF7489" w:rsidP="00CF7489">
            <w:pPr>
              <w:pStyle w:val="TabletextLeft"/>
              <w:spacing w:line="240" w:lineRule="auto"/>
              <w:jc w:val="center"/>
              <w:rPr>
                <w:highlight w:val="lightGray"/>
              </w:rPr>
            </w:pPr>
            <w:r w:rsidRPr="00F226CF">
              <w:rPr>
                <w:color w:val="000000"/>
                <w:sz w:val="16"/>
                <w:szCs w:val="16"/>
              </w:rPr>
              <w:t>4,</w:t>
            </w:r>
            <w:r w:rsidR="0025418A">
              <w:rPr>
                <w:color w:val="000000"/>
                <w:sz w:val="16"/>
                <w:szCs w:val="16"/>
              </w:rPr>
              <w:t>227</w:t>
            </w:r>
          </w:p>
        </w:tc>
        <w:tc>
          <w:tcPr>
            <w:tcW w:w="0" w:type="pct"/>
            <w:tcBorders>
              <w:left w:val="single" w:sz="4" w:space="0" w:color="000000"/>
            </w:tcBorders>
            <w:vAlign w:val="bottom"/>
          </w:tcPr>
          <w:p w14:paraId="07176FAD" w14:textId="6CB8EDB1" w:rsidR="00CF7489" w:rsidRPr="008763FA" w:rsidRDefault="00CF7489" w:rsidP="00CF7489">
            <w:pPr>
              <w:pStyle w:val="TabletextLeft"/>
              <w:spacing w:line="240" w:lineRule="auto"/>
              <w:jc w:val="center"/>
              <w:rPr>
                <w:highlight w:val="lightGray"/>
              </w:rPr>
            </w:pPr>
            <w:r w:rsidRPr="00F226CF">
              <w:rPr>
                <w:color w:val="000000"/>
                <w:sz w:val="16"/>
                <w:szCs w:val="16"/>
              </w:rPr>
              <w:t>2,806</w:t>
            </w:r>
          </w:p>
        </w:tc>
        <w:tc>
          <w:tcPr>
            <w:tcW w:w="0" w:type="pct"/>
            <w:vAlign w:val="bottom"/>
          </w:tcPr>
          <w:p w14:paraId="2923E504" w14:textId="0D83A1E7" w:rsidR="00CF7489" w:rsidRPr="008763FA" w:rsidRDefault="00CF7489" w:rsidP="00CF7489">
            <w:pPr>
              <w:pStyle w:val="TabletextLeft"/>
              <w:spacing w:line="240" w:lineRule="auto"/>
              <w:jc w:val="center"/>
              <w:rPr>
                <w:highlight w:val="lightGray"/>
              </w:rPr>
            </w:pPr>
            <w:r w:rsidRPr="00F226CF">
              <w:rPr>
                <w:color w:val="000000"/>
                <w:sz w:val="16"/>
                <w:szCs w:val="16"/>
              </w:rPr>
              <w:t>1,684</w:t>
            </w:r>
          </w:p>
        </w:tc>
        <w:tc>
          <w:tcPr>
            <w:tcW w:w="0" w:type="pct"/>
            <w:vAlign w:val="bottom"/>
          </w:tcPr>
          <w:p w14:paraId="61158186" w14:textId="0DE6E57A" w:rsidR="00CF7489" w:rsidRPr="008763FA" w:rsidRDefault="00CF7489" w:rsidP="00CF7489">
            <w:pPr>
              <w:pStyle w:val="TabletextLeft"/>
              <w:spacing w:line="240" w:lineRule="auto"/>
              <w:jc w:val="center"/>
              <w:rPr>
                <w:highlight w:val="lightGray"/>
              </w:rPr>
            </w:pPr>
            <w:r w:rsidRPr="00F226CF">
              <w:rPr>
                <w:color w:val="000000"/>
                <w:sz w:val="16"/>
                <w:szCs w:val="16"/>
              </w:rPr>
              <w:t>6,378</w:t>
            </w:r>
          </w:p>
        </w:tc>
      </w:tr>
      <w:tr w:rsidR="00CF7489" w:rsidRPr="001C63DA" w14:paraId="6B5278B4" w14:textId="77777777">
        <w:trPr>
          <w:trHeight w:val="254"/>
        </w:trPr>
        <w:tc>
          <w:tcPr>
            <w:tcW w:w="1348" w:type="pct"/>
          </w:tcPr>
          <w:p w14:paraId="3572FD7E" w14:textId="7BDB7308" w:rsidR="00CF7489" w:rsidRPr="00533F3A" w:rsidRDefault="00CF7489" w:rsidP="00CF7489">
            <w:pPr>
              <w:pStyle w:val="TabletextLeft"/>
              <w:spacing w:line="240" w:lineRule="auto"/>
              <w:rPr>
                <w:rFonts w:asciiTheme="majorHAnsi" w:hAnsiTheme="majorHAnsi"/>
                <w:b/>
                <w:sz w:val="16"/>
                <w:szCs w:val="16"/>
              </w:rPr>
            </w:pPr>
            <w:r w:rsidRPr="00533F3A">
              <w:rPr>
                <w:rFonts w:asciiTheme="majorHAnsi" w:hAnsiTheme="majorHAnsi"/>
                <w:b/>
                <w:sz w:val="16"/>
                <w:szCs w:val="16"/>
              </w:rPr>
              <w:t>Cost savings due to improved social outcomes ($m)</w:t>
            </w:r>
          </w:p>
        </w:tc>
        <w:tc>
          <w:tcPr>
            <w:tcW w:w="609" w:type="pct"/>
            <w:vAlign w:val="center"/>
          </w:tcPr>
          <w:p w14:paraId="1773AAFC" w14:textId="497F9180" w:rsidR="00CF7489" w:rsidRPr="008763FA" w:rsidRDefault="00CF7489" w:rsidP="00CF7489">
            <w:pPr>
              <w:pStyle w:val="TabletextLeft"/>
              <w:spacing w:line="240" w:lineRule="auto"/>
              <w:jc w:val="center"/>
              <w:rPr>
                <w:highlight w:val="lightGray"/>
              </w:rPr>
            </w:pPr>
            <w:r>
              <w:rPr>
                <w:color w:val="000000"/>
                <w:szCs w:val="17"/>
              </w:rPr>
              <w:t>4</w:t>
            </w:r>
            <w:r w:rsidR="0048136C">
              <w:rPr>
                <w:color w:val="000000"/>
                <w:szCs w:val="17"/>
              </w:rPr>
              <w:t>7</w:t>
            </w:r>
          </w:p>
        </w:tc>
        <w:tc>
          <w:tcPr>
            <w:tcW w:w="609" w:type="pct"/>
            <w:tcBorders>
              <w:top w:val="single" w:sz="4" w:space="0" w:color="000000" w:themeColor="text1"/>
            </w:tcBorders>
            <w:vAlign w:val="center"/>
          </w:tcPr>
          <w:p w14:paraId="4B7341B7" w14:textId="3DFDAA1A" w:rsidR="00CF7489" w:rsidRPr="008763FA" w:rsidRDefault="00CF7489" w:rsidP="00CF7489">
            <w:pPr>
              <w:pStyle w:val="TabletextLeft"/>
              <w:spacing w:line="240" w:lineRule="auto"/>
              <w:jc w:val="center"/>
              <w:rPr>
                <w:highlight w:val="lightGray"/>
              </w:rPr>
            </w:pPr>
            <w:r w:rsidRPr="008A4EE6">
              <w:rPr>
                <w:color w:val="000000"/>
                <w:szCs w:val="17"/>
              </w:rPr>
              <w:t>0</w:t>
            </w:r>
          </w:p>
        </w:tc>
        <w:tc>
          <w:tcPr>
            <w:tcW w:w="609" w:type="pct"/>
            <w:tcBorders>
              <w:top w:val="single" w:sz="4" w:space="0" w:color="000000" w:themeColor="text1"/>
              <w:right w:val="single" w:sz="4" w:space="0" w:color="000000"/>
            </w:tcBorders>
            <w:vAlign w:val="center"/>
          </w:tcPr>
          <w:p w14:paraId="1FACDDDA" w14:textId="32901D96" w:rsidR="00CF7489" w:rsidRPr="008763FA" w:rsidRDefault="00CF7489" w:rsidP="00CF7489">
            <w:pPr>
              <w:pStyle w:val="TabletextLeft"/>
              <w:spacing w:line="240" w:lineRule="auto"/>
              <w:jc w:val="center"/>
              <w:rPr>
                <w:highlight w:val="lightGray"/>
              </w:rPr>
            </w:pPr>
            <w:r>
              <w:rPr>
                <w:color w:val="000000"/>
                <w:szCs w:val="17"/>
              </w:rPr>
              <w:t>1</w:t>
            </w:r>
            <w:r w:rsidR="0048136C">
              <w:rPr>
                <w:color w:val="000000"/>
                <w:szCs w:val="17"/>
              </w:rPr>
              <w:t>95</w:t>
            </w:r>
          </w:p>
        </w:tc>
        <w:tc>
          <w:tcPr>
            <w:tcW w:w="609" w:type="pct"/>
            <w:tcBorders>
              <w:left w:val="single" w:sz="4" w:space="0" w:color="000000"/>
            </w:tcBorders>
            <w:vAlign w:val="center"/>
          </w:tcPr>
          <w:p w14:paraId="45C7BBE7" w14:textId="6C8D2A60" w:rsidR="00CF7489" w:rsidRPr="008763FA" w:rsidRDefault="0048136C" w:rsidP="00CF7489">
            <w:pPr>
              <w:pStyle w:val="TabletextLeft"/>
              <w:spacing w:line="240" w:lineRule="auto"/>
              <w:jc w:val="center"/>
              <w:rPr>
                <w:highlight w:val="lightGray"/>
              </w:rPr>
            </w:pPr>
            <w:r>
              <w:rPr>
                <w:color w:val="000000"/>
                <w:szCs w:val="17"/>
              </w:rPr>
              <w:t>62</w:t>
            </w:r>
          </w:p>
        </w:tc>
        <w:tc>
          <w:tcPr>
            <w:tcW w:w="609" w:type="pct"/>
            <w:vAlign w:val="center"/>
          </w:tcPr>
          <w:p w14:paraId="1A80603E" w14:textId="7E9F8694" w:rsidR="00CF7489" w:rsidRPr="008763FA" w:rsidRDefault="00CF7489" w:rsidP="00CF7489">
            <w:pPr>
              <w:pStyle w:val="TabletextLeft"/>
              <w:spacing w:line="240" w:lineRule="auto"/>
              <w:jc w:val="center"/>
              <w:rPr>
                <w:highlight w:val="lightGray"/>
              </w:rPr>
            </w:pPr>
            <w:r w:rsidRPr="008A4EE6">
              <w:rPr>
                <w:color w:val="000000"/>
                <w:szCs w:val="17"/>
              </w:rPr>
              <w:t>0</w:t>
            </w:r>
          </w:p>
        </w:tc>
        <w:tc>
          <w:tcPr>
            <w:tcW w:w="607" w:type="pct"/>
            <w:vAlign w:val="center"/>
          </w:tcPr>
          <w:p w14:paraId="49F8DD66" w14:textId="5A069427" w:rsidR="00CF7489" w:rsidRPr="008763FA" w:rsidRDefault="00CF7489" w:rsidP="00CF7489">
            <w:pPr>
              <w:pStyle w:val="TabletextLeft"/>
              <w:spacing w:line="240" w:lineRule="auto"/>
              <w:jc w:val="center"/>
              <w:rPr>
                <w:highlight w:val="lightGray"/>
              </w:rPr>
            </w:pPr>
            <w:r>
              <w:rPr>
                <w:color w:val="000000"/>
                <w:szCs w:val="17"/>
              </w:rPr>
              <w:t>2</w:t>
            </w:r>
            <w:r w:rsidR="0048136C">
              <w:rPr>
                <w:color w:val="000000"/>
                <w:szCs w:val="17"/>
              </w:rPr>
              <w:t>61</w:t>
            </w:r>
          </w:p>
        </w:tc>
      </w:tr>
    </w:tbl>
    <w:p w14:paraId="68F52C5A" w14:textId="2D2522BD" w:rsidR="00C20B68" w:rsidRDefault="00C20B68" w:rsidP="00C20B68">
      <w:pPr>
        <w:pStyle w:val="Caption"/>
        <w:spacing w:before="0"/>
        <w:rPr>
          <w:sz w:val="14"/>
          <w:szCs w:val="14"/>
        </w:rPr>
      </w:pPr>
      <w:r w:rsidRPr="00AC51F0">
        <w:rPr>
          <w:sz w:val="14"/>
          <w:szCs w:val="14"/>
        </w:rPr>
        <w:t xml:space="preserve">Source: Deloitte Access Economics </w:t>
      </w:r>
      <w:r w:rsidR="00F93904">
        <w:rPr>
          <w:sz w:val="14"/>
          <w:szCs w:val="14"/>
        </w:rPr>
        <w:t>(2025</w:t>
      </w:r>
      <w:r w:rsidRPr="00AC51F0">
        <w:rPr>
          <w:sz w:val="14"/>
          <w:szCs w:val="14"/>
        </w:rPr>
        <w:t xml:space="preserve">). </w:t>
      </w:r>
    </w:p>
    <w:p w14:paraId="3E5AE31F" w14:textId="77777777" w:rsidR="00C02958" w:rsidRDefault="00C02958" w:rsidP="002F3E39">
      <w:pPr>
        <w:pStyle w:val="HeadingA"/>
      </w:pPr>
      <w:bookmarkStart w:id="58" w:name="_Toc117695646"/>
      <w:r>
        <w:t>Concluding comments</w:t>
      </w:r>
      <w:bookmarkEnd w:id="58"/>
      <w:r>
        <w:t xml:space="preserve"> </w:t>
      </w:r>
    </w:p>
    <w:p w14:paraId="793DB80B" w14:textId="04B269CE" w:rsidR="00674577" w:rsidRPr="00973CF0" w:rsidRDefault="00782485" w:rsidP="00716BE4">
      <w:r>
        <w:t xml:space="preserve">The BSBL reforms represent a significant opportunity to increase kindergarten and ECEC participation and </w:t>
      </w:r>
      <w:r w:rsidR="00835C88">
        <w:t xml:space="preserve">have </w:t>
      </w:r>
      <w:r>
        <w:t xml:space="preserve">the potential to generate sustained benefits for Victoria’s economy and community. </w:t>
      </w:r>
      <w:r w:rsidR="008201CA" w:rsidRPr="00F502A8">
        <w:rPr>
          <w:lang w:val="en-US"/>
        </w:rPr>
        <w:t xml:space="preserve">The </w:t>
      </w:r>
      <w:r w:rsidR="00140108">
        <w:rPr>
          <w:lang w:val="en-US"/>
        </w:rPr>
        <w:t xml:space="preserve">full </w:t>
      </w:r>
      <w:proofErr w:type="spellStart"/>
      <w:r w:rsidR="008201CA" w:rsidRPr="00F502A8">
        <w:rPr>
          <w:lang w:val="en-US"/>
        </w:rPr>
        <w:t>realisation</w:t>
      </w:r>
      <w:proofErr w:type="spellEnd"/>
      <w:r w:rsidR="008201CA" w:rsidRPr="00F502A8">
        <w:rPr>
          <w:lang w:val="en-US"/>
        </w:rPr>
        <w:t xml:space="preserve"> of </w:t>
      </w:r>
      <w:r w:rsidR="00973CF0">
        <w:rPr>
          <w:lang w:val="en-US"/>
        </w:rPr>
        <w:t xml:space="preserve">the </w:t>
      </w:r>
      <w:r w:rsidR="008201CA" w:rsidRPr="00F502A8">
        <w:rPr>
          <w:lang w:val="en-US"/>
        </w:rPr>
        <w:t xml:space="preserve">benefits </w:t>
      </w:r>
      <w:r w:rsidR="00973CF0">
        <w:rPr>
          <w:lang w:val="en-US"/>
        </w:rPr>
        <w:t>estimated in this study</w:t>
      </w:r>
      <w:r w:rsidR="008201CA" w:rsidRPr="00F502A8">
        <w:rPr>
          <w:lang w:val="en-US"/>
        </w:rPr>
        <w:t xml:space="preserve"> </w:t>
      </w:r>
      <w:r w:rsidR="00BC6B76">
        <w:t>is contingent on the successful implementation of the reforms and</w:t>
      </w:r>
      <w:r w:rsidR="00563BD4">
        <w:t xml:space="preserve"> underlying </w:t>
      </w:r>
      <w:r w:rsidR="00BC6B76">
        <w:t>prerequisite conditions</w:t>
      </w:r>
      <w:r w:rsidR="008201CA">
        <w:rPr>
          <w:lang w:val="en-US"/>
        </w:rPr>
        <w:t>:</w:t>
      </w:r>
    </w:p>
    <w:p w14:paraId="1B2A0688" w14:textId="0904D3A1" w:rsidR="00D26771" w:rsidRPr="000C2012" w:rsidRDefault="00563BD4" w:rsidP="000C2012">
      <w:pPr>
        <w:pStyle w:val="ListParagraph"/>
        <w:numPr>
          <w:ilvl w:val="0"/>
          <w:numId w:val="77"/>
        </w:numPr>
        <w:rPr>
          <w:lang w:val="en-US"/>
        </w:rPr>
      </w:pPr>
      <w:r>
        <w:rPr>
          <w:lang w:val="en-US"/>
        </w:rPr>
        <w:t>Increases</w:t>
      </w:r>
      <w:r w:rsidR="000D1265">
        <w:rPr>
          <w:lang w:val="en-US"/>
        </w:rPr>
        <w:t xml:space="preserve"> in kindergarten and ECEC participation</w:t>
      </w:r>
      <w:r>
        <w:rPr>
          <w:lang w:val="en-US"/>
        </w:rPr>
        <w:t xml:space="preserve"> in </w:t>
      </w:r>
      <w:r w:rsidR="006951E1">
        <w:rPr>
          <w:lang w:val="en-US"/>
        </w:rPr>
        <w:t>line</w:t>
      </w:r>
      <w:r>
        <w:rPr>
          <w:lang w:val="en-US"/>
        </w:rPr>
        <w:t xml:space="preserve"> with</w:t>
      </w:r>
      <w:r w:rsidR="006951E1">
        <w:rPr>
          <w:lang w:val="en-US"/>
        </w:rPr>
        <w:t xml:space="preserve"> the 96 per cent target underpinning the modelling, driven</w:t>
      </w:r>
      <w:r w:rsidR="000D1265">
        <w:rPr>
          <w:lang w:val="en-US"/>
        </w:rPr>
        <w:t xml:space="preserve"> </w:t>
      </w:r>
      <w:proofErr w:type="gramStart"/>
      <w:r w:rsidR="000D1265">
        <w:rPr>
          <w:lang w:val="en-US"/>
        </w:rPr>
        <w:t xml:space="preserve">in particular </w:t>
      </w:r>
      <w:r w:rsidR="006951E1">
        <w:rPr>
          <w:lang w:val="en-US"/>
        </w:rPr>
        <w:t>by</w:t>
      </w:r>
      <w:proofErr w:type="gramEnd"/>
      <w:r w:rsidR="006951E1">
        <w:rPr>
          <w:lang w:val="en-US"/>
        </w:rPr>
        <w:t xml:space="preserve"> </w:t>
      </w:r>
      <w:r w:rsidR="00D26771" w:rsidRPr="00D26771">
        <w:rPr>
          <w:lang w:val="en-US"/>
        </w:rPr>
        <w:t>non-price initiatives aimed at increasing kindergarten enrolment and attendance</w:t>
      </w:r>
      <w:r w:rsidR="00D26771">
        <w:rPr>
          <w:lang w:val="en-US"/>
        </w:rPr>
        <w:t>.</w:t>
      </w:r>
    </w:p>
    <w:p w14:paraId="7E048E37" w14:textId="77777777" w:rsidR="00140108" w:rsidRPr="000C2012" w:rsidRDefault="00997207" w:rsidP="000C2012">
      <w:pPr>
        <w:pStyle w:val="ListParagraph"/>
        <w:numPr>
          <w:ilvl w:val="0"/>
          <w:numId w:val="77"/>
        </w:numPr>
        <w:rPr>
          <w:lang w:val="en-US"/>
        </w:rPr>
      </w:pPr>
      <w:r>
        <w:rPr>
          <w:lang w:val="en-US"/>
        </w:rPr>
        <w:t>The delivery of</w:t>
      </w:r>
      <w:r w:rsidR="00140108">
        <w:rPr>
          <w:lang w:val="en-US"/>
        </w:rPr>
        <w:t xml:space="preserve"> sufficiently</w:t>
      </w:r>
      <w:r>
        <w:rPr>
          <w:lang w:val="en-US"/>
        </w:rPr>
        <w:t xml:space="preserve"> </w:t>
      </w:r>
      <w:proofErr w:type="gramStart"/>
      <w:r>
        <w:rPr>
          <w:lang w:val="en-US"/>
        </w:rPr>
        <w:t>h</w:t>
      </w:r>
      <w:r w:rsidR="000C7587">
        <w:rPr>
          <w:lang w:val="en-US"/>
        </w:rPr>
        <w:t>igh quality</w:t>
      </w:r>
      <w:proofErr w:type="gramEnd"/>
      <w:r w:rsidR="000C7587">
        <w:rPr>
          <w:lang w:val="en-US"/>
        </w:rPr>
        <w:t xml:space="preserve"> </w:t>
      </w:r>
      <w:r>
        <w:rPr>
          <w:lang w:val="en-US"/>
        </w:rPr>
        <w:t>education programs</w:t>
      </w:r>
      <w:r w:rsidR="00140108">
        <w:rPr>
          <w:lang w:val="en-US"/>
        </w:rPr>
        <w:t xml:space="preserve"> in line with </w:t>
      </w:r>
      <w:r w:rsidR="00140108" w:rsidRPr="000C2012">
        <w:rPr>
          <w:lang w:val="en-US"/>
        </w:rPr>
        <w:t>the studies that have informed the parameters under the low impact scenario. A higher level of quality will likely be required to meet the child development impacts under the high impact scenario.</w:t>
      </w:r>
    </w:p>
    <w:p w14:paraId="53FFEF03" w14:textId="3CBF81F6" w:rsidR="00AA7BEA" w:rsidRDefault="00140108" w:rsidP="000C2012">
      <w:pPr>
        <w:pStyle w:val="ListParagraph"/>
        <w:numPr>
          <w:ilvl w:val="0"/>
          <w:numId w:val="77"/>
        </w:numPr>
        <w:rPr>
          <w:lang w:val="en-US"/>
        </w:rPr>
      </w:pPr>
      <w:r>
        <w:rPr>
          <w:lang w:val="en-US"/>
        </w:rPr>
        <w:t>A</w:t>
      </w:r>
      <w:r w:rsidRPr="00387248">
        <w:rPr>
          <w:lang w:val="en-US"/>
        </w:rPr>
        <w:t xml:space="preserve"> sufficient workforce (and enabling infrastructure) to meet the increased delivery requirements</w:t>
      </w:r>
      <w:r>
        <w:rPr>
          <w:lang w:val="en-US"/>
        </w:rPr>
        <w:t xml:space="preserve"> in a timely manner, while maintaining quality.</w:t>
      </w:r>
      <w:r w:rsidR="002E2602">
        <w:rPr>
          <w:lang w:val="en-US"/>
        </w:rPr>
        <w:t xml:space="preserve"> </w:t>
      </w:r>
    </w:p>
    <w:p w14:paraId="1A20F6AF" w14:textId="431C04E5" w:rsidR="00DE1E6F" w:rsidRDefault="00973CF0" w:rsidP="00B12EC8">
      <w:pPr>
        <w:spacing w:after="240"/>
      </w:pPr>
      <w:r>
        <w:t>Further, t</w:t>
      </w:r>
      <w:r w:rsidR="0003291B">
        <w:t xml:space="preserve">his study does not consider </w:t>
      </w:r>
      <w:r w:rsidR="009719ED">
        <w:t xml:space="preserve">full </w:t>
      </w:r>
      <w:r w:rsidR="0003291B">
        <w:t xml:space="preserve">costs associated with the successful implementation of the program, including </w:t>
      </w:r>
      <w:r w:rsidR="009E57AD">
        <w:t>workforce</w:t>
      </w:r>
      <w:r w:rsidR="00DE1E6F">
        <w:t>, infrastructure</w:t>
      </w:r>
      <w:r w:rsidR="009719ED">
        <w:t>, training costs to support</w:t>
      </w:r>
      <w:r w:rsidR="009719ED" w:rsidRPr="0088241B">
        <w:t xml:space="preserve"> </w:t>
      </w:r>
      <w:r w:rsidR="009719ED">
        <w:t xml:space="preserve">higher </w:t>
      </w:r>
      <w:r w:rsidR="009719ED" w:rsidRPr="0088241B">
        <w:t>university attainment for children</w:t>
      </w:r>
      <w:r w:rsidR="009719ED">
        <w:t xml:space="preserve">, and </w:t>
      </w:r>
      <w:r w:rsidR="00DE1E6F">
        <w:t xml:space="preserve">other </w:t>
      </w:r>
      <w:r w:rsidR="009E57AD">
        <w:t xml:space="preserve">resources required to </w:t>
      </w:r>
      <w:r w:rsidR="00DE1E6F">
        <w:t xml:space="preserve">expand the sector and </w:t>
      </w:r>
      <w:r w:rsidR="009E57AD">
        <w:t xml:space="preserve">ensure </w:t>
      </w:r>
      <w:r w:rsidR="00843198">
        <w:t xml:space="preserve">the delivery of </w:t>
      </w:r>
      <w:proofErr w:type="gramStart"/>
      <w:r w:rsidR="00843198">
        <w:t>high quality</w:t>
      </w:r>
      <w:proofErr w:type="gramEnd"/>
      <w:r w:rsidR="00843198">
        <w:t xml:space="preserve"> </w:t>
      </w:r>
      <w:r w:rsidR="00C911D5">
        <w:t>programs</w:t>
      </w:r>
      <w:r w:rsidR="00DE1E6F">
        <w:t>. A full consideration of the costs alongside the benefits is required to understand the overall returns of Government investment</w:t>
      </w:r>
      <w:r w:rsidR="00E632AA">
        <w:t xml:space="preserve"> on the BSBL reforms</w:t>
      </w:r>
      <w:r w:rsidR="00DE1E6F">
        <w:t>.</w:t>
      </w:r>
    </w:p>
    <w:p w14:paraId="7DA458B0" w14:textId="77777777" w:rsidR="00F9113D" w:rsidRDefault="00DD22FF" w:rsidP="007E562B">
      <w:pPr>
        <w:pStyle w:val="Heading4un-numbered"/>
      </w:pPr>
      <w:bookmarkStart w:id="59" w:name="_Toc462317838"/>
      <w:r w:rsidRPr="00DD22FF">
        <w:t>Deloitte Access Economics</w:t>
      </w:r>
      <w:bookmarkEnd w:id="59"/>
    </w:p>
    <w:p w14:paraId="58076BB8" w14:textId="77777777" w:rsidR="00232866" w:rsidRDefault="00232866" w:rsidP="00BF3260">
      <w:pPr>
        <w:sectPr w:rsidR="00232866" w:rsidSect="005F043A">
          <w:headerReference w:type="default" r:id="rId31"/>
          <w:footerReference w:type="even" r:id="rId32"/>
          <w:footerReference w:type="default" r:id="rId33"/>
          <w:footerReference w:type="first" r:id="rId34"/>
          <w:pgSz w:w="11906" w:h="16838" w:code="9"/>
          <w:pgMar w:top="1440" w:right="1440" w:bottom="1440" w:left="1440" w:header="680" w:footer="425" w:gutter="0"/>
          <w:pgNumType w:fmt="lowerRoman"/>
          <w:cols w:space="284"/>
          <w:noEndnote/>
          <w:docGrid w:linePitch="360"/>
        </w:sectPr>
      </w:pPr>
    </w:p>
    <w:p w14:paraId="5E50D29C" w14:textId="77777777" w:rsidR="005B00B8" w:rsidRDefault="00BF4216" w:rsidP="00BF4216">
      <w:pPr>
        <w:pStyle w:val="Heading1un-numbered"/>
        <w:rPr>
          <w:lang w:eastAsia="en-AU"/>
        </w:rPr>
      </w:pPr>
      <w:bookmarkStart w:id="60" w:name="_Toc463002439"/>
      <w:bookmarkStart w:id="61" w:name="_Toc472586353"/>
      <w:bookmarkStart w:id="62" w:name="_Toc482168131"/>
      <w:bookmarkStart w:id="63" w:name="_Toc482174916"/>
      <w:bookmarkStart w:id="64" w:name="_Toc152334943"/>
      <w:bookmarkStart w:id="65" w:name="_Toc209718540"/>
      <w:r w:rsidRPr="00BF4216">
        <w:rPr>
          <w:lang w:eastAsia="en-AU"/>
        </w:rPr>
        <w:lastRenderedPageBreak/>
        <w:t>Limitation of our work</w:t>
      </w:r>
      <w:bookmarkEnd w:id="60"/>
      <w:bookmarkEnd w:id="61"/>
      <w:bookmarkEnd w:id="62"/>
      <w:bookmarkEnd w:id="63"/>
      <w:bookmarkEnd w:id="64"/>
      <w:bookmarkEnd w:id="65"/>
    </w:p>
    <w:p w14:paraId="5DAC9AEA" w14:textId="77777777" w:rsidR="00BF4216" w:rsidRDefault="00BF4216" w:rsidP="00BF4216">
      <w:pPr>
        <w:pStyle w:val="Heading2un-numbered"/>
      </w:pPr>
      <w:bookmarkStart w:id="66" w:name="_Toc463002440"/>
      <w:bookmarkStart w:id="67" w:name="_Toc472586354"/>
      <w:bookmarkStart w:id="68" w:name="_Toc482168132"/>
      <w:bookmarkStart w:id="69" w:name="_Toc482174917"/>
      <w:bookmarkStart w:id="70" w:name="_Toc152334944"/>
      <w:bookmarkStart w:id="71" w:name="_Toc209718541"/>
      <w:r w:rsidRPr="006345F9">
        <w:t>General use restriction</w:t>
      </w:r>
      <w:bookmarkEnd w:id="66"/>
      <w:bookmarkEnd w:id="67"/>
      <w:bookmarkEnd w:id="68"/>
      <w:bookmarkEnd w:id="69"/>
      <w:bookmarkEnd w:id="70"/>
      <w:bookmarkEnd w:id="71"/>
    </w:p>
    <w:p w14:paraId="41BFE098" w14:textId="183D9FDF" w:rsidR="00DF06E9" w:rsidRDefault="00581B33" w:rsidP="007C1760">
      <w:r>
        <w:t xml:space="preserve">This report is prepared solely for the use </w:t>
      </w:r>
      <w:r w:rsidR="00CC662E">
        <w:t xml:space="preserve">of the </w:t>
      </w:r>
      <w:r w:rsidR="00261505" w:rsidRPr="000C70BA">
        <w:t>Victorian Department of Treasury and Finance</w:t>
      </w:r>
      <w:r>
        <w:t xml:space="preserve">. This report is not intended to and should not be used or relied upon by anyone else and we accept no duty of care to any other person or entity. The report has been prepared for the purpose </w:t>
      </w:r>
      <w:r w:rsidR="003C08E6">
        <w:t xml:space="preserve">of modelling the economic impact of </w:t>
      </w:r>
      <w:r w:rsidR="005606FA">
        <w:t>the BSBL reforms as</w:t>
      </w:r>
      <w:r>
        <w:t xml:space="preserve"> </w:t>
      </w:r>
      <w:r w:rsidR="003C08E6">
        <w:t xml:space="preserve">set out </w:t>
      </w:r>
      <w:r w:rsidR="00341F8B">
        <w:t>in our engagement letter</w:t>
      </w:r>
      <w:r w:rsidR="003C08E6">
        <w:t xml:space="preserve"> with the Department of Treasury and Finance </w:t>
      </w:r>
      <w:r w:rsidR="005606FA">
        <w:t xml:space="preserve">dated the </w:t>
      </w:r>
      <w:r w:rsidR="00341F8B">
        <w:t>23</w:t>
      </w:r>
      <w:r w:rsidR="00341F8B" w:rsidRPr="008763FA">
        <w:rPr>
          <w:vertAlign w:val="superscript"/>
        </w:rPr>
        <w:t>rd</w:t>
      </w:r>
      <w:r w:rsidR="00341F8B">
        <w:t xml:space="preserve"> of March 2023</w:t>
      </w:r>
      <w:r>
        <w:t>. You should not refer to or use our name or the advice for any other purpose.</w:t>
      </w:r>
      <w:r w:rsidR="001509A3">
        <w:tab/>
      </w:r>
    </w:p>
    <w:p w14:paraId="7917FC09" w14:textId="77777777" w:rsidR="00983929" w:rsidRPr="009232DC" w:rsidRDefault="004F1A53" w:rsidP="00983929">
      <w:pPr>
        <w:pageBreakBefore/>
      </w:pPr>
      <w:r>
        <w:rPr>
          <w:noProof/>
          <w:lang w:eastAsia="en-AU"/>
        </w:rPr>
        <w:lastRenderedPageBreak/>
        <w:drawing>
          <wp:anchor distT="0" distB="0" distL="114300" distR="114300" simplePos="0" relativeHeight="251658247" behindDoc="1" locked="0" layoutInCell="1" allowOverlap="1" wp14:anchorId="67A1CB0A" wp14:editId="44F73B3D">
            <wp:simplePos x="0" y="0"/>
            <wp:positionH relativeFrom="margin">
              <wp:align>left</wp:align>
            </wp:positionH>
            <wp:positionV relativeFrom="paragraph">
              <wp:posOffset>2540</wp:posOffset>
            </wp:positionV>
            <wp:extent cx="2085975" cy="914400"/>
            <wp:effectExtent l="0" t="0" r="0" b="0"/>
            <wp:wrapNone/>
            <wp:docPr id="266776721" name="Picture 266776721"/>
            <wp:cNvGraphicFramePr/>
            <a:graphic xmlns:a="http://schemas.openxmlformats.org/drawingml/2006/main">
              <a:graphicData uri="http://schemas.openxmlformats.org/drawingml/2006/picture">
                <pic:pic xmlns:pic="http://schemas.openxmlformats.org/drawingml/2006/picture">
                  <pic:nvPicPr>
                    <pic:cNvPr id="266776721" name="Frontpage_Logo_Positiv"/>
                    <pic:cNvPicPr/>
                  </pic:nvPicPr>
                  <pic:blipFill>
                    <a:blip r:embed="rId14" cstate="print">
                      <a:extLst>
                        <a:ext uri="{28A0092B-C50C-407E-A947-70E740481C1C}">
                          <a14:useLocalDpi xmlns:a14="http://schemas.microsoft.com/office/drawing/2010/main" val="0"/>
                        </a:ext>
                      </a:extLst>
                    </a:blip>
                    <a:srcRect/>
                    <a:stretch/>
                  </pic:blipFill>
                  <pic:spPr>
                    <a:xfrm>
                      <a:off x="0" y="0"/>
                      <a:ext cx="2085975" cy="914400"/>
                    </a:xfrm>
                    <a:prstGeom prst="rect">
                      <a:avLst/>
                    </a:prstGeom>
                  </pic:spPr>
                </pic:pic>
              </a:graphicData>
            </a:graphic>
            <wp14:sizeRelH relativeFrom="margin">
              <wp14:pctWidth>0</wp14:pctWidth>
            </wp14:sizeRelH>
            <wp14:sizeRelV relativeFrom="margin">
              <wp14:pctHeight>0</wp14:pctHeight>
            </wp14:sizeRelV>
          </wp:anchor>
        </w:drawing>
      </w:r>
    </w:p>
    <w:p w14:paraId="282CD6CA" w14:textId="77777777" w:rsidR="00D01239" w:rsidRPr="000F05E4" w:rsidRDefault="00D01239" w:rsidP="00983929"/>
    <w:tbl>
      <w:tblPr>
        <w:tblStyle w:val="TableGrid"/>
        <w:tblpPr w:horzAnchor="margin" w:tblpYSpec="bottom"/>
        <w:tblOverlap w:val="never"/>
        <w:tblW w:w="9185" w:type="dxa"/>
        <w:tblLook w:val="04A0" w:firstRow="1" w:lastRow="0" w:firstColumn="1" w:lastColumn="0" w:noHBand="0" w:noVBand="1"/>
      </w:tblPr>
      <w:tblGrid>
        <w:gridCol w:w="9185"/>
      </w:tblGrid>
      <w:tr w:rsidR="00493AF9" w:rsidRPr="00DB2D17" w14:paraId="705ACCB2" w14:textId="77777777" w:rsidTr="00CC75FD">
        <w:trPr>
          <w:cnfStyle w:val="100000000000" w:firstRow="1" w:lastRow="0" w:firstColumn="0" w:lastColumn="0" w:oddVBand="0" w:evenVBand="0" w:oddHBand="0" w:evenHBand="0" w:firstRowFirstColumn="0" w:firstRowLastColumn="0" w:lastRowFirstColumn="0" w:lastRowLastColumn="0"/>
          <w:trHeight w:val="6379"/>
        </w:trPr>
        <w:tc>
          <w:tcPr>
            <w:tcW w:w="9214" w:type="dxa"/>
            <w:vAlign w:val="bottom"/>
          </w:tcPr>
          <w:p w14:paraId="5B38BE0D" w14:textId="77777777" w:rsidR="00493AF9" w:rsidRPr="00DB2D17" w:rsidRDefault="00493AF9" w:rsidP="004D6E06">
            <w:pPr>
              <w:pStyle w:val="Legaltext"/>
            </w:pPr>
          </w:p>
          <w:p w14:paraId="2ADFDB2E" w14:textId="77777777" w:rsidR="00206BB8" w:rsidRPr="00DB2D17" w:rsidRDefault="00206BB8" w:rsidP="00206BB8">
            <w:pPr>
              <w:pStyle w:val="Legaltext"/>
            </w:pPr>
          </w:p>
          <w:p w14:paraId="78ECFE6E" w14:textId="77777777" w:rsidR="00AE59DC" w:rsidRPr="00614AA3" w:rsidRDefault="00AE59DC" w:rsidP="00AE59DC">
            <w:pPr>
              <w:pStyle w:val="paragraph"/>
              <w:shd w:val="clear" w:color="auto" w:fill="FFFFFF"/>
              <w:spacing w:before="0" w:beforeAutospacing="0" w:after="0" w:afterAutospacing="0"/>
              <w:textAlignment w:val="baseline"/>
              <w:rPr>
                <w:rFonts w:ascii="Verdana" w:eastAsiaTheme="minorHAnsi" w:hAnsi="Verdana" w:cstheme="minorBidi"/>
                <w:sz w:val="14"/>
                <w:szCs w:val="14"/>
                <w:lang w:eastAsia="en-US"/>
              </w:rPr>
            </w:pPr>
            <w:r w:rsidRPr="00614AA3">
              <w:rPr>
                <w:rFonts w:ascii="Verdana" w:eastAsiaTheme="minorHAnsi" w:hAnsi="Verdana" w:cstheme="minorBidi"/>
                <w:sz w:val="14"/>
                <w:szCs w:val="14"/>
                <w:lang w:eastAsia="en-US"/>
              </w:rPr>
              <w:t>Deloitte Access Economics Pty Ltd </w:t>
            </w:r>
          </w:p>
          <w:p w14:paraId="36E9C2C3" w14:textId="77777777" w:rsidR="00AE59DC" w:rsidRPr="00614AA3" w:rsidRDefault="00AE59DC" w:rsidP="00AE59DC">
            <w:pPr>
              <w:pStyle w:val="paragraph"/>
              <w:shd w:val="clear" w:color="auto" w:fill="FFFFFF"/>
              <w:spacing w:before="0" w:beforeAutospacing="0" w:after="0" w:afterAutospacing="0"/>
              <w:textAlignment w:val="baseline"/>
              <w:rPr>
                <w:rFonts w:ascii="Verdana" w:eastAsiaTheme="minorHAnsi" w:hAnsi="Verdana" w:cstheme="minorBidi"/>
                <w:sz w:val="14"/>
                <w:szCs w:val="14"/>
                <w:lang w:eastAsia="en-US"/>
              </w:rPr>
            </w:pPr>
            <w:r w:rsidRPr="00614AA3">
              <w:rPr>
                <w:rFonts w:ascii="Verdana" w:eastAsiaTheme="minorHAnsi" w:hAnsi="Verdana" w:cstheme="minorBidi"/>
                <w:sz w:val="14"/>
                <w:szCs w:val="14"/>
                <w:lang w:eastAsia="en-US"/>
              </w:rPr>
              <w:t>477 Collins Street </w:t>
            </w:r>
          </w:p>
          <w:p w14:paraId="40E195F8" w14:textId="77777777" w:rsidR="00AE59DC" w:rsidRPr="00614AA3" w:rsidRDefault="00AE59DC" w:rsidP="00AE59DC">
            <w:pPr>
              <w:pStyle w:val="paragraph"/>
              <w:shd w:val="clear" w:color="auto" w:fill="FFFFFF"/>
              <w:spacing w:before="0" w:beforeAutospacing="0" w:after="0" w:afterAutospacing="0"/>
              <w:textAlignment w:val="baseline"/>
              <w:rPr>
                <w:rFonts w:ascii="Verdana" w:eastAsiaTheme="minorHAnsi" w:hAnsi="Verdana" w:cstheme="minorBidi"/>
                <w:sz w:val="14"/>
                <w:szCs w:val="14"/>
                <w:lang w:eastAsia="en-US"/>
              </w:rPr>
            </w:pPr>
            <w:r w:rsidRPr="00614AA3">
              <w:rPr>
                <w:rFonts w:ascii="Verdana" w:eastAsiaTheme="minorHAnsi" w:hAnsi="Verdana" w:cstheme="minorBidi"/>
                <w:sz w:val="14"/>
                <w:szCs w:val="14"/>
                <w:lang w:eastAsia="en-US"/>
              </w:rPr>
              <w:t>Melbourne, VIC, 3000 </w:t>
            </w:r>
          </w:p>
          <w:p w14:paraId="294330D9" w14:textId="77777777" w:rsidR="00AE59DC" w:rsidRPr="00614AA3" w:rsidRDefault="00AE59DC" w:rsidP="00AE59DC">
            <w:pPr>
              <w:pStyle w:val="paragraph"/>
              <w:shd w:val="clear" w:color="auto" w:fill="FFFFFF"/>
              <w:spacing w:before="0" w:beforeAutospacing="0" w:after="0" w:afterAutospacing="0"/>
              <w:textAlignment w:val="baseline"/>
              <w:rPr>
                <w:rFonts w:ascii="Verdana" w:eastAsiaTheme="minorHAnsi" w:hAnsi="Verdana" w:cstheme="minorBidi"/>
                <w:sz w:val="14"/>
                <w:szCs w:val="14"/>
                <w:lang w:eastAsia="en-US"/>
              </w:rPr>
            </w:pPr>
            <w:r w:rsidRPr="00614AA3">
              <w:rPr>
                <w:rFonts w:ascii="Verdana" w:eastAsiaTheme="minorHAnsi" w:hAnsi="Verdana" w:cstheme="minorBidi"/>
                <w:sz w:val="14"/>
                <w:szCs w:val="14"/>
                <w:lang w:eastAsia="en-US"/>
              </w:rPr>
              <w:t> </w:t>
            </w:r>
          </w:p>
          <w:p w14:paraId="11B5C1F0" w14:textId="77777777" w:rsidR="00AE59DC" w:rsidRPr="00614AA3" w:rsidRDefault="00AE59DC" w:rsidP="00AE59DC">
            <w:pPr>
              <w:pStyle w:val="paragraph"/>
              <w:shd w:val="clear" w:color="auto" w:fill="FFFFFF"/>
              <w:spacing w:before="0" w:beforeAutospacing="0" w:after="0" w:afterAutospacing="0"/>
              <w:textAlignment w:val="baseline"/>
              <w:rPr>
                <w:rFonts w:ascii="Verdana" w:eastAsiaTheme="minorHAnsi" w:hAnsi="Verdana" w:cstheme="minorBidi"/>
                <w:sz w:val="14"/>
                <w:szCs w:val="14"/>
                <w:lang w:eastAsia="en-US"/>
              </w:rPr>
            </w:pPr>
            <w:r w:rsidRPr="00614AA3">
              <w:rPr>
                <w:rFonts w:ascii="Verdana" w:eastAsiaTheme="minorHAnsi" w:hAnsi="Verdana" w:cstheme="minorBidi"/>
                <w:sz w:val="14"/>
                <w:szCs w:val="14"/>
                <w:lang w:eastAsia="en-US"/>
              </w:rPr>
              <w:t>Phone: 03 9671 7000 </w:t>
            </w:r>
          </w:p>
          <w:p w14:paraId="04DDC425" w14:textId="77777777" w:rsidR="00AE59DC" w:rsidRPr="00614AA3" w:rsidRDefault="00AE59DC" w:rsidP="00AE59DC">
            <w:pPr>
              <w:pStyle w:val="paragraph"/>
              <w:shd w:val="clear" w:color="auto" w:fill="FFFFFF"/>
              <w:spacing w:before="0" w:beforeAutospacing="0" w:after="0" w:afterAutospacing="0"/>
              <w:textAlignment w:val="baseline"/>
              <w:rPr>
                <w:rFonts w:ascii="Verdana" w:eastAsiaTheme="minorHAnsi" w:hAnsi="Verdana" w:cstheme="minorBidi"/>
                <w:sz w:val="14"/>
                <w:szCs w:val="14"/>
                <w:lang w:eastAsia="en-US"/>
              </w:rPr>
            </w:pPr>
            <w:r w:rsidRPr="00614AA3">
              <w:rPr>
                <w:rFonts w:ascii="Verdana" w:eastAsiaTheme="minorHAnsi" w:hAnsi="Verdana" w:cstheme="minorBidi"/>
                <w:sz w:val="14"/>
                <w:szCs w:val="14"/>
                <w:lang w:eastAsia="en-US"/>
              </w:rPr>
              <w:t>Fax: 03 9671 7001 </w:t>
            </w:r>
          </w:p>
          <w:p w14:paraId="00519161" w14:textId="77777777" w:rsidR="00206BB8" w:rsidRPr="0078098D" w:rsidRDefault="00206BB8" w:rsidP="00206BB8">
            <w:pPr>
              <w:pStyle w:val="Legaltext"/>
            </w:pPr>
          </w:p>
          <w:p w14:paraId="5442EBBC" w14:textId="77777777" w:rsidR="0013686B" w:rsidRDefault="0013686B" w:rsidP="0013686B">
            <w:pPr>
              <w:pStyle w:val="Legaltext"/>
            </w:pPr>
            <w:r>
              <w:t xml:space="preserve">Deloitte Access Economics is Australia’s pre-eminent economics advisory practice and a member of Deloitte's global economics group. For more information, please visit our website: </w:t>
            </w:r>
            <w:hyperlink r:id="rId35" w:history="1">
              <w:r w:rsidRPr="00E87E34">
                <w:rPr>
                  <w:rStyle w:val="Hyperlink"/>
                </w:rPr>
                <w:t>www.deloitte.com/au/deloitte-access-economics</w:t>
              </w:r>
            </w:hyperlink>
            <w:r>
              <w:t xml:space="preserve"> </w:t>
            </w:r>
          </w:p>
          <w:p w14:paraId="265A7FAA" w14:textId="77777777" w:rsidR="006C0A40" w:rsidRDefault="006C0A40" w:rsidP="0013686B">
            <w:pPr>
              <w:pStyle w:val="Legaltext"/>
            </w:pPr>
          </w:p>
          <w:p w14:paraId="7923E024" w14:textId="45EAE713" w:rsidR="00417D85" w:rsidRPr="00417D85" w:rsidRDefault="00000000" w:rsidP="0013686B">
            <w:pPr>
              <w:pStyle w:val="Legaltext"/>
              <w:spacing w:line="0" w:lineRule="atLeast"/>
              <w:rPr>
                <w:sz w:val="2"/>
                <w:szCs w:val="2"/>
              </w:rPr>
            </w:pPr>
            <w:sdt>
              <w:sdtPr>
                <w:alias w:val="{{Form.Disclaimer.Disclaimer}}"/>
                <w:tag w:val="{&quot;templafy&quot;:{&quot;id&quot;:&quot;c12f8de0-03b5-4cf1-86f7-ae309e07ff63&quot;}}"/>
                <w:id w:val="459532176"/>
                <w:placeholder>
                  <w:docPart w:val="F89F52EEF6524C959C80203D4C71A92C"/>
                </w:placeholder>
              </w:sdtPr>
              <w:sdtContent>
                <w:r w:rsidR="004F1A53">
                  <w:t>Deloitte refers to one or more of Deloitte Touche Tohmatsu Limited (“DTTL”), its global network of member firms, and their related entities (collectively, the “Deloitte organisation”). DTTL (also referred to as “Deloitte Global”) and each of its member firms and related entities are legally separate and independent entities, which cannot obligate or bind each other in respect of third parties. DTTL and each DTTL member firm and related entity is liable only for its own acts and omissions, and not those of each other. DTTL does not provide services to clients. Please see www.deloitte.com/about to learn more.</w:t>
                </w:r>
                <w:r w:rsidR="004F1A53">
                  <w:br/>
                </w:r>
                <w:r w:rsidR="004F1A53">
                  <w:br/>
                  <w:t>Deloitte is a leading global provider of audit and assurance, consulting, financial advisory, risk advisory, tax and related services. Our global network of member firms and related entities in more than 150 countries and territories (collectively, the “Deloitte organisation” serves four out of five Fortune Global 500® companies. Learn how Deloitte’s approximately 415,000 people make an impact that matters at www.deloitte.com.</w:t>
                </w:r>
                <w:r w:rsidR="004F1A53">
                  <w:br/>
                </w:r>
                <w:r w:rsidR="004F1A53">
                  <w:br/>
                  <w:t xml:space="preserve">Deloitte Asia Pacific </w:t>
                </w:r>
                <w:r w:rsidR="004F1A53">
                  <w:br/>
                  <w:t>Deloitte Asia Pacific Limited is a company limited by guarantee and a member firm of DTTL. Members of Deloitte Asia Pacific Limited and their related entities, each of which are separate and independent legal entities, provide services from more than 100 cities across the region, including Auckland, Bangkok, Beijing, Hanoi, Hong Kong, Jakarta, Kuala Lumpur, Manila, Melbourne, Mumbai, New Delhi, Osaka, Seoul, Shanghai, Singapore, Sydney, Taipei and Tokyo.</w:t>
                </w:r>
                <w:r w:rsidR="004F1A53">
                  <w:br/>
                </w:r>
                <w:r w:rsidR="004F1A53">
                  <w:br/>
                  <w:t>Deloitte Australia</w:t>
                </w:r>
                <w:r w:rsidR="004F1A53">
                  <w:br/>
                  <w:t xml:space="preserve">The Australian partnership of Deloitte Touche Tohmatsu is a member of Deloitte Asia Pacific Limited and the Deloitte organisation. As one of Australia’s leading professional services firms, Deloitte Touche Tohmatsu and its affiliates provide audit, tax, consulting, risk advisory, and financial advisory services through approximately 14,000 people across the country. Focused on the creation of value and </w:t>
                </w:r>
                <w:proofErr w:type="gramStart"/>
                <w:r w:rsidR="004F1A53">
                  <w:t>growth, and</w:t>
                </w:r>
                <w:proofErr w:type="gramEnd"/>
                <w:r w:rsidR="004F1A53">
                  <w:t xml:space="preserve"> known as an employer of choice for innovative human resources programs, we are dedicated to helping our clients and our people excel. For more information, please visit our web site at https://www2.deloitte.com/au/en.html.</w:t>
                </w:r>
                <w:r w:rsidR="004F1A53">
                  <w:br/>
                </w:r>
                <w:r w:rsidR="004F1A53">
                  <w:br/>
                  <w:t>Liability limited by a scheme approved under Professional Standards Legislation.</w:t>
                </w:r>
                <w:r w:rsidR="004F1A53">
                  <w:br/>
                  <w:t xml:space="preserve">Member of Deloitte Asia Pacific Limited and the Deloitte organisation. </w:t>
                </w:r>
                <w:r w:rsidR="004F1A53">
                  <w:br/>
                </w:r>
                <w:r w:rsidR="004F1A53">
                  <w:br/>
                  <w:t>This communication contains general information only, and none of Deloitte Touche Tohmatsu Limited (“DTTL”), its global network of member firms or their related entities (collectively, the “Deloitte organisation”) is, by means of this communication, rendering professional advice or services. Before making any decision or taking any action that may affect your finances or your business, you should consult a qualified professional adviser. No representations, warranties or undertakings (express or implied) are given as to the accuracy or completeness of the information in this communication, and none of DTTL, its member firms, related entities, employees or agents shall be liable or responsible for any loss or damage whatsoever arising directly or indirectly in connection with any person relying on this communication.</w:t>
                </w:r>
              </w:sdtContent>
            </w:sdt>
          </w:p>
        </w:tc>
      </w:tr>
    </w:tbl>
    <w:p w14:paraId="666BC02C" w14:textId="77777777" w:rsidR="00BF6F8B" w:rsidRPr="000F05E4" w:rsidRDefault="00680CEC" w:rsidP="009B139F">
      <w:r w:rsidRPr="000F05E4">
        <w:rPr>
          <w:noProof/>
          <w:lang w:eastAsia="en-AU"/>
        </w:rPr>
        <mc:AlternateContent>
          <mc:Choice Requires="wps">
            <w:drawing>
              <wp:anchor distT="0" distB="0" distL="114300" distR="114300" simplePos="0" relativeHeight="251658240" behindDoc="1" locked="1" layoutInCell="1" allowOverlap="1" wp14:anchorId="5BA86F9F" wp14:editId="67CF0625">
                <wp:simplePos x="0" y="0"/>
                <wp:positionH relativeFrom="page">
                  <wp:posOffset>0</wp:posOffset>
                </wp:positionH>
                <wp:positionV relativeFrom="page">
                  <wp:posOffset>0</wp:posOffset>
                </wp:positionV>
                <wp:extent cx="7563600" cy="10695600"/>
                <wp:effectExtent l="0" t="0" r="0" b="0"/>
                <wp:wrapNone/>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gray">
                        <a:xfrm>
                          <a:off x="0" y="0"/>
                          <a:ext cx="7563600" cy="10695600"/>
                        </a:xfrm>
                        <a:prstGeom prst="rect">
                          <a:avLst/>
                        </a:prstGeom>
                        <a:solidFill>
                          <a:srgbClr val="FFFFFF"/>
                        </a:solidFill>
                        <a:ln w="19050" algn="ctr">
                          <a:noFill/>
                          <a:miter lim="800000"/>
                          <a:headEnd/>
                          <a:tailEnd/>
                        </a:ln>
                      </wps:spPr>
                      <wps:txbx>
                        <w:txbxContent>
                          <w:p w14:paraId="1B93E08F" w14:textId="77777777" w:rsidR="00A573F3" w:rsidRDefault="00A573F3" w:rsidP="00A573F3">
                            <w:pPr>
                              <w:jc w:val="center"/>
                            </w:pPr>
                          </w:p>
                        </w:txbxContent>
                      </wps:txbx>
                      <wps:bodyPr rot="0" spcFirstLastPara="0" vertOverflow="overflow" horzOverflow="overflow" vert="horz" wrap="square" lIns="88900" tIns="88900" rIns="88900" bIns="889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86F9F" id="Rectangle 3" o:spid="_x0000_s1028" style="position:absolute;margin-left:0;margin-top:0;width:595.55pt;height:84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" stroked="f" strokeweight="1.5pt">
                <o:lock v:ext="edit" aspectratio="t"/>
                <v:textbox inset="7pt,7pt,7pt,7pt">
                  <w:txbxContent>
                    <w:p w14:paraId="1B93E08F" w14:textId="77777777" w:rsidR="00A573F3" w:rsidRDefault="00A573F3" w:rsidP="00A573F3">
                      <w:pPr>
                        <w:jc w:val="center"/>
                      </w:pPr>
                    </w:p>
                  </w:txbxContent>
                </v:textbox>
                <w10:wrap anchorx="page" anchory="page"/>
                <w10:anchorlock/>
              </v:rect>
            </w:pict>
          </mc:Fallback>
        </mc:AlternateContent>
      </w:r>
    </w:p>
    <w:p w14:paraId="4EB84D65" w14:textId="77777777" w:rsidR="007629C6" w:rsidRPr="000F05E4" w:rsidRDefault="007629C6" w:rsidP="009B139F"/>
    <w:sectPr w:rsidR="007629C6" w:rsidRPr="000F05E4" w:rsidSect="005F043A">
      <w:footerReference w:type="even" r:id="rId36"/>
      <w:footerReference w:type="default" r:id="rId37"/>
      <w:footerReference w:type="first" r:id="rId38"/>
      <w:pgSz w:w="11906" w:h="16838" w:code="9"/>
      <w:pgMar w:top="1440" w:right="1440" w:bottom="1440" w:left="1440" w:header="680" w:footer="425"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A746" w14:textId="77777777" w:rsidR="008119A1" w:rsidRDefault="008119A1" w:rsidP="00C702C7">
      <w:pPr>
        <w:spacing w:line="240" w:lineRule="auto"/>
      </w:pPr>
    </w:p>
  </w:endnote>
  <w:endnote w:type="continuationSeparator" w:id="0">
    <w:p w14:paraId="7B886C90" w14:textId="77777777" w:rsidR="008119A1" w:rsidRDefault="008119A1" w:rsidP="00C702C7">
      <w:pPr>
        <w:spacing w:line="240" w:lineRule="auto"/>
      </w:pPr>
      <w:r>
        <w:continuationSeparator/>
      </w:r>
    </w:p>
  </w:endnote>
  <w:endnote w:type="continuationNotice" w:id="1">
    <w:p w14:paraId="63671F5A" w14:textId="77777777" w:rsidR="008119A1" w:rsidRDefault="008119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otham Bold">
    <w:altName w:val="Calibri"/>
    <w:charset w:val="00"/>
    <w:family w:val="auto"/>
    <w:pitch w:val="variable"/>
    <w:sig w:usb0="A10000FF" w:usb1="4000005B" w:usb2="00000000" w:usb3="00000000" w:csb0="0000019B"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Sans-Bold">
    <w:altName w:val="Calibri"/>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roxima Nova Light">
    <w:altName w:val="Tahom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050E" w14:textId="34E3C51E" w:rsidR="00F52E08" w:rsidRDefault="00F52E08">
    <w:pPr>
      <w:pStyle w:val="Footer"/>
    </w:pPr>
    <w:r>
      <w:rPr>
        <w:noProof/>
      </w:rPr>
      <mc:AlternateContent>
        <mc:Choice Requires="wps">
          <w:drawing>
            <wp:anchor distT="0" distB="0" distL="0" distR="0" simplePos="0" relativeHeight="251658255" behindDoc="0" locked="0" layoutInCell="1" allowOverlap="1" wp14:anchorId="210DDF40" wp14:editId="04EF7D77">
              <wp:simplePos x="635" y="635"/>
              <wp:positionH relativeFrom="page">
                <wp:align>left</wp:align>
              </wp:positionH>
              <wp:positionV relativeFrom="page">
                <wp:align>bottom</wp:align>
              </wp:positionV>
              <wp:extent cx="1334135" cy="361315"/>
              <wp:effectExtent l="0" t="0" r="18415" b="0"/>
              <wp:wrapNone/>
              <wp:docPr id="1726963716" name="Text Box 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4135" cy="361315"/>
                      </a:xfrm>
                      <a:prstGeom prst="rect">
                        <a:avLst/>
                      </a:prstGeom>
                      <a:noFill/>
                      <a:ln>
                        <a:noFill/>
                      </a:ln>
                    </wps:spPr>
                    <wps:txbx>
                      <w:txbxContent>
                        <w:p w14:paraId="0F1997E8" w14:textId="63E56556" w:rsidR="00F52E08" w:rsidRPr="00F52E08" w:rsidRDefault="00F52E08" w:rsidP="00F52E08">
                          <w:pPr>
                            <w:spacing w:after="0"/>
                            <w:rPr>
                              <w:rFonts w:ascii="Calibri" w:eastAsia="Calibri" w:hAnsi="Calibri" w:cs="Calibri"/>
                              <w:noProof/>
                              <w:color w:val="000000"/>
                              <w:sz w:val="22"/>
                              <w:szCs w:val="22"/>
                            </w:rPr>
                          </w:pPr>
                          <w:r w:rsidRPr="00F52E08">
                            <w:rPr>
                              <w:rFonts w:ascii="Calibri" w:eastAsia="Calibri" w:hAnsi="Calibri" w:cs="Calibri"/>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0DDF40" id="_x0000_t202" coordsize="21600,21600" o:spt="202" path="m,l,21600r21600,l21600,xe">
              <v:stroke joinstyle="miter"/>
              <v:path gradientshapeok="t" o:connecttype="rect"/>
            </v:shapetype>
            <v:shape id="Text Box 2" o:spid="_x0000_s1029" type="#_x0000_t202" alt="OFFICIAL: Sensitive" style="position:absolute;margin-left:0;margin-top:0;width:105.05pt;height:28.45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" filled="f" stroked="f">
              <v:textbox style="mso-fit-shape-to-text:t" inset="20pt,0,0,15pt">
                <w:txbxContent>
                  <w:p w14:paraId="0F1997E8" w14:textId="63E56556" w:rsidR="00F52E08" w:rsidRPr="00F52E08" w:rsidRDefault="00F52E08" w:rsidP="00F52E08">
                    <w:pPr>
                      <w:spacing w:after="0"/>
                      <w:rPr>
                        <w:rFonts w:ascii="Calibri" w:eastAsia="Calibri" w:hAnsi="Calibri" w:cs="Calibri"/>
                        <w:noProof/>
                        <w:color w:val="000000"/>
                        <w:sz w:val="22"/>
                        <w:szCs w:val="22"/>
                      </w:rPr>
                    </w:pPr>
                    <w:r w:rsidRPr="00F52E08">
                      <w:rPr>
                        <w:rFonts w:ascii="Calibri" w:eastAsia="Calibri" w:hAnsi="Calibri" w:cs="Calibri"/>
                        <w:noProof/>
                        <w:color w:val="000000"/>
                        <w:sz w:val="22"/>
                        <w:szCs w:val="22"/>
                      </w:rPr>
                      <w:t>OFFICIAL: Sensitive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DA95" w14:textId="7E379DDB" w:rsidR="00F52E08" w:rsidRDefault="00F52E08">
    <w:pPr>
      <w:pStyle w:val="Footer"/>
    </w:pPr>
    <w:r>
      <w:rPr>
        <w:noProof/>
      </w:rPr>
      <mc:AlternateContent>
        <mc:Choice Requires="wps">
          <w:drawing>
            <wp:anchor distT="0" distB="0" distL="0" distR="0" simplePos="0" relativeHeight="251658263" behindDoc="0" locked="0" layoutInCell="1" allowOverlap="1" wp14:anchorId="36AFE3D4" wp14:editId="07782F90">
              <wp:simplePos x="635" y="635"/>
              <wp:positionH relativeFrom="page">
                <wp:align>left</wp:align>
              </wp:positionH>
              <wp:positionV relativeFrom="page">
                <wp:align>bottom</wp:align>
              </wp:positionV>
              <wp:extent cx="1334135" cy="361315"/>
              <wp:effectExtent l="0" t="0" r="18415" b="0"/>
              <wp:wrapNone/>
              <wp:docPr id="148592790" name="Text Box 1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4135" cy="361315"/>
                      </a:xfrm>
                      <a:prstGeom prst="rect">
                        <a:avLst/>
                      </a:prstGeom>
                      <a:noFill/>
                      <a:ln>
                        <a:noFill/>
                      </a:ln>
                    </wps:spPr>
                    <wps:txbx>
                      <w:txbxContent>
                        <w:p w14:paraId="4C4FC1F1" w14:textId="2AD0288C" w:rsidR="00F52E08" w:rsidRPr="00F52E08" w:rsidRDefault="00F52E08" w:rsidP="00F52E08">
                          <w:pPr>
                            <w:spacing w:after="0"/>
                            <w:rPr>
                              <w:rFonts w:ascii="Calibri" w:eastAsia="Calibri" w:hAnsi="Calibri" w:cs="Calibri"/>
                              <w:noProof/>
                              <w:color w:val="000000"/>
                              <w:sz w:val="22"/>
                              <w:szCs w:val="22"/>
                            </w:rPr>
                          </w:pPr>
                          <w:r w:rsidRPr="00F52E08">
                            <w:rPr>
                              <w:rFonts w:ascii="Calibri" w:eastAsia="Calibri" w:hAnsi="Calibri" w:cs="Calibri"/>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AFE3D4" id="_x0000_t202" coordsize="21600,21600" o:spt="202" path="m,l,21600r21600,l21600,xe">
              <v:stroke joinstyle="miter"/>
              <v:path gradientshapeok="t" o:connecttype="rect"/>
            </v:shapetype>
            <v:shape id="Text Box 14" o:spid="_x0000_s1035" type="#_x0000_t202" alt="OFFICIAL: Sensitive" style="position:absolute;margin-left:0;margin-top:0;width:105.05pt;height:28.45pt;z-index:25165826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" filled="f" stroked="f">
              <v:textbox style="mso-fit-shape-to-text:t" inset="20pt,0,0,15pt">
                <w:txbxContent>
                  <w:p w14:paraId="4C4FC1F1" w14:textId="2AD0288C" w:rsidR="00F52E08" w:rsidRPr="00F52E08" w:rsidRDefault="00F52E08" w:rsidP="00F52E08">
                    <w:pPr>
                      <w:spacing w:after="0"/>
                      <w:rPr>
                        <w:rFonts w:ascii="Calibri" w:eastAsia="Calibri" w:hAnsi="Calibri" w:cs="Calibri"/>
                        <w:noProof/>
                        <w:color w:val="000000"/>
                        <w:sz w:val="22"/>
                        <w:szCs w:val="22"/>
                      </w:rPr>
                    </w:pPr>
                    <w:r w:rsidRPr="00F52E08">
                      <w:rPr>
                        <w:rFonts w:ascii="Calibri" w:eastAsia="Calibri" w:hAnsi="Calibri" w:cs="Calibri"/>
                        <w:noProof/>
                        <w:color w:val="000000"/>
                        <w:sz w:val="22"/>
                        <w:szCs w:val="22"/>
                      </w:rPr>
                      <w:t>OFFICIAL: Sensitive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6656" w14:textId="1B771A6F" w:rsidR="007E7D93" w:rsidRPr="007E7D93" w:rsidRDefault="007E7D93" w:rsidP="007E7D93">
    <w:pPr>
      <w:pStyle w:val="Footer"/>
    </w:pPr>
    <w:r w:rsidRPr="006C4F67">
      <w:rPr>
        <w:rStyle w:val="PageNumber"/>
      </w:rPr>
      <w:fldChar w:fldCharType="begin"/>
    </w:r>
    <w:r w:rsidRPr="006C4F67">
      <w:rPr>
        <w:rStyle w:val="PageNumber"/>
      </w:rPr>
      <w:instrText xml:space="preserve"> PAGE</w:instrText>
    </w:r>
    <w:r>
      <w:rPr>
        <w:rStyle w:val="PageNumber"/>
      </w:rPr>
      <w:instrText xml:space="preserve"> </w:instrText>
    </w:r>
    <w:r w:rsidRPr="006C4F67">
      <w:rPr>
        <w:rStyle w:val="PageNumber"/>
      </w:rPr>
      <w:fldChar w:fldCharType="separate"/>
    </w:r>
    <w:r w:rsidR="0085005B">
      <w:rPr>
        <w:rStyle w:val="PageNumber"/>
        <w:noProof/>
      </w:rPr>
      <w:t>9</w:t>
    </w:r>
    <w:r w:rsidRPr="006C4F67">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3447" w14:textId="26CF164D" w:rsidR="00F52E08" w:rsidRDefault="00F52E08">
    <w:pPr>
      <w:pStyle w:val="Footer"/>
    </w:pPr>
    <w:r>
      <w:rPr>
        <w:noProof/>
      </w:rPr>
      <mc:AlternateContent>
        <mc:Choice Requires="wps">
          <w:drawing>
            <wp:anchor distT="0" distB="0" distL="0" distR="0" simplePos="0" relativeHeight="251658264" behindDoc="0" locked="0" layoutInCell="1" allowOverlap="1" wp14:anchorId="719753B9" wp14:editId="2CA41B5F">
              <wp:simplePos x="635" y="635"/>
              <wp:positionH relativeFrom="page">
                <wp:align>left</wp:align>
              </wp:positionH>
              <wp:positionV relativeFrom="page">
                <wp:align>bottom</wp:align>
              </wp:positionV>
              <wp:extent cx="1334135" cy="361315"/>
              <wp:effectExtent l="0" t="0" r="18415" b="0"/>
              <wp:wrapNone/>
              <wp:docPr id="2027737051" name="Text Box 13"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4135" cy="361315"/>
                      </a:xfrm>
                      <a:prstGeom prst="rect">
                        <a:avLst/>
                      </a:prstGeom>
                      <a:noFill/>
                      <a:ln>
                        <a:noFill/>
                      </a:ln>
                    </wps:spPr>
                    <wps:txbx>
                      <w:txbxContent>
                        <w:p w14:paraId="44F77E49" w14:textId="65B483EB" w:rsidR="00F52E08" w:rsidRPr="00F52E08" w:rsidRDefault="00F52E08" w:rsidP="00F52E08">
                          <w:pPr>
                            <w:spacing w:after="0"/>
                            <w:rPr>
                              <w:rFonts w:ascii="Calibri" w:eastAsia="Calibri" w:hAnsi="Calibri" w:cs="Calibri"/>
                              <w:noProof/>
                              <w:color w:val="000000"/>
                              <w:sz w:val="22"/>
                              <w:szCs w:val="22"/>
                            </w:rPr>
                          </w:pPr>
                          <w:r w:rsidRPr="00F52E08">
                            <w:rPr>
                              <w:rFonts w:ascii="Calibri" w:eastAsia="Calibri" w:hAnsi="Calibri" w:cs="Calibri"/>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9753B9" id="_x0000_t202" coordsize="21600,21600" o:spt="202" path="m,l,21600r21600,l21600,xe">
              <v:stroke joinstyle="miter"/>
              <v:path gradientshapeok="t" o:connecttype="rect"/>
            </v:shapetype>
            <v:shape id="Text Box 13" o:spid="_x0000_s1036" type="#_x0000_t202" alt="OFFICIAL: Sensitive" style="position:absolute;margin-left:0;margin-top:0;width:105.05pt;height:28.45pt;z-index:251658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" filled="f" stroked="f">
              <v:textbox style="mso-fit-shape-to-text:t" inset="20pt,0,0,15pt">
                <w:txbxContent>
                  <w:p w14:paraId="44F77E49" w14:textId="65B483EB" w:rsidR="00F52E08" w:rsidRPr="00F52E08" w:rsidRDefault="00F52E08" w:rsidP="00F52E08">
                    <w:pPr>
                      <w:spacing w:after="0"/>
                      <w:rPr>
                        <w:rFonts w:ascii="Calibri" w:eastAsia="Calibri" w:hAnsi="Calibri" w:cs="Calibri"/>
                        <w:noProof/>
                        <w:color w:val="000000"/>
                        <w:sz w:val="22"/>
                        <w:szCs w:val="22"/>
                      </w:rPr>
                    </w:pPr>
                    <w:r w:rsidRPr="00F52E08">
                      <w:rPr>
                        <w:rFonts w:ascii="Calibri" w:eastAsia="Calibri" w:hAnsi="Calibri" w:cs="Calibri"/>
                        <w:noProof/>
                        <w:color w:val="000000"/>
                        <w:sz w:val="22"/>
                        <w:szCs w:val="22"/>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4A0" w:firstRow="1" w:lastRow="0" w:firstColumn="1" w:lastColumn="0" w:noHBand="0" w:noVBand="1"/>
    </w:tblPr>
    <w:tblGrid>
      <w:gridCol w:w="3544"/>
      <w:gridCol w:w="7002"/>
    </w:tblGrid>
    <w:tr w:rsidR="00137F51" w14:paraId="78D082E8" w14:textId="77777777" w:rsidTr="00137F51">
      <w:trPr>
        <w:cnfStyle w:val="100000000000" w:firstRow="1" w:lastRow="0" w:firstColumn="0" w:lastColumn="0" w:oddVBand="0" w:evenVBand="0" w:oddHBand="0" w:evenHBand="0" w:firstRowFirstColumn="0" w:firstRowLastColumn="0" w:lastRowFirstColumn="0" w:lastRowLastColumn="0"/>
      </w:trPr>
      <w:tc>
        <w:tcPr>
          <w:tcW w:w="3544" w:type="dxa"/>
          <w:vAlign w:val="bottom"/>
        </w:tcPr>
        <w:p w14:paraId="6AC470D1" w14:textId="5FC9494E" w:rsidR="00137F51" w:rsidRDefault="00137F51" w:rsidP="00536AB8">
          <w:pPr>
            <w:pStyle w:val="Footer"/>
          </w:pPr>
        </w:p>
      </w:tc>
      <w:tc>
        <w:tcPr>
          <w:tcW w:w="7002" w:type="dxa"/>
          <w:vAlign w:val="bottom"/>
        </w:tcPr>
        <w:p w14:paraId="0D28FF22" w14:textId="77777777" w:rsidR="00137F51" w:rsidRPr="00904097" w:rsidRDefault="00137F51" w:rsidP="00536AB8">
          <w:pPr>
            <w:pStyle w:val="Footer"/>
            <w:spacing w:line="180" w:lineRule="atLeast"/>
            <w:rPr>
              <w:sz w:val="14"/>
              <w:szCs w:val="14"/>
            </w:rPr>
          </w:pPr>
        </w:p>
      </w:tc>
    </w:tr>
  </w:tbl>
  <w:p w14:paraId="723AEA07" w14:textId="77777777" w:rsidR="00137F51" w:rsidRDefault="00137F51" w:rsidP="00536AB8">
    <w:pPr>
      <w:pStyle w:val="Foote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B0F3" w14:textId="1A8A64B3" w:rsidR="00F52E08" w:rsidRDefault="00F52E08">
    <w:pPr>
      <w:pStyle w:val="Footer"/>
    </w:pPr>
    <w:r>
      <w:rPr>
        <w:noProof/>
      </w:rPr>
      <mc:AlternateContent>
        <mc:Choice Requires="wps">
          <w:drawing>
            <wp:anchor distT="0" distB="0" distL="0" distR="0" simplePos="0" relativeHeight="251658256" behindDoc="0" locked="0" layoutInCell="1" allowOverlap="1" wp14:anchorId="4A45D52F" wp14:editId="4C2C073B">
              <wp:simplePos x="635" y="635"/>
              <wp:positionH relativeFrom="page">
                <wp:align>left</wp:align>
              </wp:positionH>
              <wp:positionV relativeFrom="page">
                <wp:align>bottom</wp:align>
              </wp:positionV>
              <wp:extent cx="1334135" cy="361315"/>
              <wp:effectExtent l="0" t="0" r="18415" b="0"/>
              <wp:wrapNone/>
              <wp:docPr id="1631998585" name="Text Box 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4135" cy="361315"/>
                      </a:xfrm>
                      <a:prstGeom prst="rect">
                        <a:avLst/>
                      </a:prstGeom>
                      <a:noFill/>
                      <a:ln>
                        <a:noFill/>
                      </a:ln>
                    </wps:spPr>
                    <wps:txbx>
                      <w:txbxContent>
                        <w:p w14:paraId="166809E0" w14:textId="304F9D8F" w:rsidR="00F52E08" w:rsidRPr="00F52E08" w:rsidRDefault="00F52E08" w:rsidP="00F52E08">
                          <w:pPr>
                            <w:spacing w:after="0"/>
                            <w:rPr>
                              <w:rFonts w:ascii="Calibri" w:eastAsia="Calibri" w:hAnsi="Calibri" w:cs="Calibri"/>
                              <w:noProof/>
                              <w:color w:val="000000"/>
                              <w:sz w:val="22"/>
                              <w:szCs w:val="22"/>
                            </w:rPr>
                          </w:pPr>
                          <w:r w:rsidRPr="00F52E08">
                            <w:rPr>
                              <w:rFonts w:ascii="Calibri" w:eastAsia="Calibri" w:hAnsi="Calibri" w:cs="Calibri"/>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45D52F" id="_x0000_t202" coordsize="21600,21600" o:spt="202" path="m,l,21600r21600,l21600,xe">
              <v:stroke joinstyle="miter"/>
              <v:path gradientshapeok="t" o:connecttype="rect"/>
            </v:shapetype>
            <v:shape id="Text Box 1" o:spid="_x0000_s1030" type="#_x0000_t202" alt="OFFICIAL: Sensitive" style="position:absolute;margin-left:0;margin-top:0;width:105.05pt;height:28.45pt;z-index:2516582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" filled="f" stroked="f">
              <v:textbox style="mso-fit-shape-to-text:t" inset="20pt,0,0,15pt">
                <w:txbxContent>
                  <w:p w14:paraId="166809E0" w14:textId="304F9D8F" w:rsidR="00F52E08" w:rsidRPr="00F52E08" w:rsidRDefault="00F52E08" w:rsidP="00F52E08">
                    <w:pPr>
                      <w:spacing w:after="0"/>
                      <w:rPr>
                        <w:rFonts w:ascii="Calibri" w:eastAsia="Calibri" w:hAnsi="Calibri" w:cs="Calibri"/>
                        <w:noProof/>
                        <w:color w:val="000000"/>
                        <w:sz w:val="22"/>
                        <w:szCs w:val="22"/>
                      </w:rPr>
                    </w:pPr>
                    <w:r w:rsidRPr="00F52E08">
                      <w:rPr>
                        <w:rFonts w:ascii="Calibri" w:eastAsia="Calibri" w:hAnsi="Calibri" w:cs="Calibri"/>
                        <w:noProof/>
                        <w:color w:val="000000"/>
                        <w:sz w:val="22"/>
                        <w:szCs w:val="22"/>
                      </w:rPr>
                      <w:t>OFFICIAL: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DE43" w14:textId="25F4D57D" w:rsidR="00F52E08" w:rsidRDefault="00F52E08">
    <w:pPr>
      <w:pStyle w:val="Footer"/>
    </w:pPr>
    <w:r>
      <w:rPr>
        <w:noProof/>
      </w:rPr>
      <mc:AlternateContent>
        <mc:Choice Requires="wps">
          <w:drawing>
            <wp:anchor distT="0" distB="0" distL="0" distR="0" simplePos="0" relativeHeight="251658259" behindDoc="0" locked="0" layoutInCell="1" allowOverlap="1" wp14:anchorId="3CAED91A" wp14:editId="391ECBB3">
              <wp:simplePos x="635" y="635"/>
              <wp:positionH relativeFrom="page">
                <wp:align>left</wp:align>
              </wp:positionH>
              <wp:positionV relativeFrom="page">
                <wp:align>bottom</wp:align>
              </wp:positionV>
              <wp:extent cx="1334135" cy="361315"/>
              <wp:effectExtent l="0" t="0" r="18415" b="0"/>
              <wp:wrapNone/>
              <wp:docPr id="1053030359" name="Text Box 8"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4135" cy="361315"/>
                      </a:xfrm>
                      <a:prstGeom prst="rect">
                        <a:avLst/>
                      </a:prstGeom>
                      <a:noFill/>
                      <a:ln>
                        <a:noFill/>
                      </a:ln>
                    </wps:spPr>
                    <wps:txbx>
                      <w:txbxContent>
                        <w:p w14:paraId="29C42BFA" w14:textId="65D7D668" w:rsidR="00F52E08" w:rsidRPr="00F52E08" w:rsidRDefault="00F52E08" w:rsidP="00F52E08">
                          <w:pPr>
                            <w:spacing w:after="0"/>
                            <w:rPr>
                              <w:rFonts w:ascii="Calibri" w:eastAsia="Calibri" w:hAnsi="Calibri" w:cs="Calibri"/>
                              <w:noProof/>
                              <w:color w:val="000000"/>
                              <w:sz w:val="22"/>
                              <w:szCs w:val="22"/>
                            </w:rPr>
                          </w:pPr>
                          <w:r w:rsidRPr="00F52E08">
                            <w:rPr>
                              <w:rFonts w:ascii="Calibri" w:eastAsia="Calibri" w:hAnsi="Calibri" w:cs="Calibri"/>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AED91A" id="_x0000_t202" coordsize="21600,21600" o:spt="202" path="m,l,21600r21600,l21600,xe">
              <v:stroke joinstyle="miter"/>
              <v:path gradientshapeok="t" o:connecttype="rect"/>
            </v:shapetype>
            <v:shape id="Text Box 8" o:spid="_x0000_s1031" type="#_x0000_t202" alt="OFFICIAL: Sensitive" style="position:absolute;margin-left:0;margin-top:0;width:105.05pt;height:28.45pt;z-index:25165825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" filled="f" stroked="f">
              <v:textbox style="mso-fit-shape-to-text:t" inset="20pt,0,0,15pt">
                <w:txbxContent>
                  <w:p w14:paraId="29C42BFA" w14:textId="65D7D668" w:rsidR="00F52E08" w:rsidRPr="00F52E08" w:rsidRDefault="00F52E08" w:rsidP="00F52E08">
                    <w:pPr>
                      <w:spacing w:after="0"/>
                      <w:rPr>
                        <w:rFonts w:ascii="Calibri" w:eastAsia="Calibri" w:hAnsi="Calibri" w:cs="Calibri"/>
                        <w:noProof/>
                        <w:color w:val="000000"/>
                        <w:sz w:val="22"/>
                        <w:szCs w:val="22"/>
                      </w:rPr>
                    </w:pPr>
                    <w:r w:rsidRPr="00F52E08">
                      <w:rPr>
                        <w:rFonts w:ascii="Calibri" w:eastAsia="Calibri" w:hAnsi="Calibri" w:cs="Calibri"/>
                        <w:noProof/>
                        <w:color w:val="000000"/>
                        <w:sz w:val="22"/>
                        <w:szCs w:val="22"/>
                      </w:rPr>
                      <w:t>OFFICIAL: 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B4E0" w14:textId="4D93449E" w:rsidR="00137F51" w:rsidRPr="00672300" w:rsidRDefault="00137F51" w:rsidP="00672300">
    <w:pPr>
      <w:pStyle w:val="Footer"/>
    </w:pPr>
    <w:r w:rsidRPr="006C4F67">
      <w:rPr>
        <w:rStyle w:val="PageNumber"/>
      </w:rPr>
      <w:fldChar w:fldCharType="begin"/>
    </w:r>
    <w:r w:rsidRPr="006C4F67">
      <w:rPr>
        <w:rStyle w:val="PageNumber"/>
      </w:rPr>
      <w:instrText xml:space="preserve"> PAGE</w:instrText>
    </w:r>
    <w:r>
      <w:rPr>
        <w:rStyle w:val="PageNumber"/>
      </w:rPr>
      <w:instrText xml:space="preserve"> </w:instrText>
    </w:r>
    <w:r w:rsidRPr="006C4F67">
      <w:rPr>
        <w:rStyle w:val="PageNumber"/>
      </w:rPr>
      <w:fldChar w:fldCharType="separate"/>
    </w:r>
    <w:r w:rsidR="0013686B">
      <w:rPr>
        <w:rStyle w:val="PageNumber"/>
        <w:noProof/>
      </w:rPr>
      <w:t>i</w:t>
    </w:r>
    <w:r w:rsidRPr="006C4F6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E3AC" w14:textId="42F40DC4" w:rsidR="00F52E08" w:rsidRDefault="00F52E08">
    <w:pPr>
      <w:pStyle w:val="Footer"/>
    </w:pPr>
    <w:r>
      <w:rPr>
        <w:noProof/>
      </w:rPr>
      <mc:AlternateContent>
        <mc:Choice Requires="wps">
          <w:drawing>
            <wp:anchor distT="0" distB="0" distL="0" distR="0" simplePos="0" relativeHeight="251658260" behindDoc="0" locked="0" layoutInCell="1" allowOverlap="1" wp14:anchorId="27C0F471" wp14:editId="4A7A228B">
              <wp:simplePos x="635" y="635"/>
              <wp:positionH relativeFrom="page">
                <wp:align>left</wp:align>
              </wp:positionH>
              <wp:positionV relativeFrom="page">
                <wp:align>bottom</wp:align>
              </wp:positionV>
              <wp:extent cx="1334135" cy="361315"/>
              <wp:effectExtent l="0" t="0" r="18415" b="0"/>
              <wp:wrapNone/>
              <wp:docPr id="663100346" name="Text Box 7"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4135" cy="361315"/>
                      </a:xfrm>
                      <a:prstGeom prst="rect">
                        <a:avLst/>
                      </a:prstGeom>
                      <a:noFill/>
                      <a:ln>
                        <a:noFill/>
                      </a:ln>
                    </wps:spPr>
                    <wps:txbx>
                      <w:txbxContent>
                        <w:p w14:paraId="46A5944E" w14:textId="5937427C" w:rsidR="00F52E08" w:rsidRPr="00F52E08" w:rsidRDefault="00F52E08" w:rsidP="00F52E08">
                          <w:pPr>
                            <w:spacing w:after="0"/>
                            <w:rPr>
                              <w:rFonts w:ascii="Calibri" w:eastAsia="Calibri" w:hAnsi="Calibri" w:cs="Calibri"/>
                              <w:noProof/>
                              <w:color w:val="000000"/>
                              <w:sz w:val="22"/>
                              <w:szCs w:val="22"/>
                            </w:rPr>
                          </w:pPr>
                          <w:r w:rsidRPr="00F52E08">
                            <w:rPr>
                              <w:rFonts w:ascii="Calibri" w:eastAsia="Calibri" w:hAnsi="Calibri" w:cs="Calibri"/>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C0F471" id="_x0000_t202" coordsize="21600,21600" o:spt="202" path="m,l,21600r21600,l21600,xe">
              <v:stroke joinstyle="miter"/>
              <v:path gradientshapeok="t" o:connecttype="rect"/>
            </v:shapetype>
            <v:shape id="Text Box 7" o:spid="_x0000_s1032" type="#_x0000_t202" alt="OFFICIAL: Sensitive" style="position:absolute;margin-left:0;margin-top:0;width:105.05pt;height:28.45pt;z-index:2516582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" filled="f" stroked="f">
              <v:textbox style="mso-fit-shape-to-text:t" inset="20pt,0,0,15pt">
                <w:txbxContent>
                  <w:p w14:paraId="46A5944E" w14:textId="5937427C" w:rsidR="00F52E08" w:rsidRPr="00F52E08" w:rsidRDefault="00F52E08" w:rsidP="00F52E08">
                    <w:pPr>
                      <w:spacing w:after="0"/>
                      <w:rPr>
                        <w:rFonts w:ascii="Calibri" w:eastAsia="Calibri" w:hAnsi="Calibri" w:cs="Calibri"/>
                        <w:noProof/>
                        <w:color w:val="000000"/>
                        <w:sz w:val="22"/>
                        <w:szCs w:val="22"/>
                      </w:rPr>
                    </w:pPr>
                    <w:r w:rsidRPr="00F52E08">
                      <w:rPr>
                        <w:rFonts w:ascii="Calibri" w:eastAsia="Calibri" w:hAnsi="Calibri" w:cs="Calibri"/>
                        <w:noProof/>
                        <w:color w:val="000000"/>
                        <w:sz w:val="22"/>
                        <w:szCs w:val="22"/>
                      </w:rPr>
                      <w:t>OFFICIAL: Sensitive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6282" w14:textId="4AA6C506" w:rsidR="00F52E08" w:rsidRDefault="00F52E08">
    <w:pPr>
      <w:pStyle w:val="Footer"/>
    </w:pPr>
    <w:r>
      <w:rPr>
        <w:noProof/>
      </w:rPr>
      <mc:AlternateContent>
        <mc:Choice Requires="wps">
          <w:drawing>
            <wp:anchor distT="0" distB="0" distL="0" distR="0" simplePos="0" relativeHeight="251658261" behindDoc="0" locked="0" layoutInCell="1" allowOverlap="1" wp14:anchorId="7AE1476D" wp14:editId="67FA8FB2">
              <wp:simplePos x="635" y="635"/>
              <wp:positionH relativeFrom="page">
                <wp:align>left</wp:align>
              </wp:positionH>
              <wp:positionV relativeFrom="page">
                <wp:align>bottom</wp:align>
              </wp:positionV>
              <wp:extent cx="1334135" cy="361315"/>
              <wp:effectExtent l="0" t="0" r="18415" b="0"/>
              <wp:wrapNone/>
              <wp:docPr id="758751409" name="Text Box 1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4135" cy="361315"/>
                      </a:xfrm>
                      <a:prstGeom prst="rect">
                        <a:avLst/>
                      </a:prstGeom>
                      <a:noFill/>
                      <a:ln>
                        <a:noFill/>
                      </a:ln>
                    </wps:spPr>
                    <wps:txbx>
                      <w:txbxContent>
                        <w:p w14:paraId="20DC5E7D" w14:textId="41219B54" w:rsidR="00F52E08" w:rsidRPr="00F52E08" w:rsidRDefault="00F52E08" w:rsidP="00F52E08">
                          <w:pPr>
                            <w:spacing w:after="0"/>
                            <w:rPr>
                              <w:rFonts w:ascii="Calibri" w:eastAsia="Calibri" w:hAnsi="Calibri" w:cs="Calibri"/>
                              <w:noProof/>
                              <w:color w:val="000000"/>
                              <w:sz w:val="22"/>
                              <w:szCs w:val="22"/>
                            </w:rPr>
                          </w:pPr>
                          <w:r w:rsidRPr="00F52E08">
                            <w:rPr>
                              <w:rFonts w:ascii="Calibri" w:eastAsia="Calibri" w:hAnsi="Calibri" w:cs="Calibri"/>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E1476D" id="_x0000_t202" coordsize="21600,21600" o:spt="202" path="m,l,21600r21600,l21600,xe">
              <v:stroke joinstyle="miter"/>
              <v:path gradientshapeok="t" o:connecttype="rect"/>
            </v:shapetype>
            <v:shape id="Text Box 11" o:spid="_x0000_s1033" type="#_x0000_t202" alt="OFFICIAL: Sensitive" style="position:absolute;margin-left:0;margin-top:0;width:105.05pt;height:28.45pt;z-index:25165826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" filled="f" stroked="f">
              <v:textbox style="mso-fit-shape-to-text:t" inset="20pt,0,0,15pt">
                <w:txbxContent>
                  <w:p w14:paraId="20DC5E7D" w14:textId="41219B54" w:rsidR="00F52E08" w:rsidRPr="00F52E08" w:rsidRDefault="00F52E08" w:rsidP="00F52E08">
                    <w:pPr>
                      <w:spacing w:after="0"/>
                      <w:rPr>
                        <w:rFonts w:ascii="Calibri" w:eastAsia="Calibri" w:hAnsi="Calibri" w:cs="Calibri"/>
                        <w:noProof/>
                        <w:color w:val="000000"/>
                        <w:sz w:val="22"/>
                        <w:szCs w:val="22"/>
                      </w:rPr>
                    </w:pPr>
                    <w:r w:rsidRPr="00F52E08">
                      <w:rPr>
                        <w:rFonts w:ascii="Calibri" w:eastAsia="Calibri" w:hAnsi="Calibri" w:cs="Calibri"/>
                        <w:noProof/>
                        <w:color w:val="000000"/>
                        <w:sz w:val="22"/>
                        <w:szCs w:val="22"/>
                      </w:rPr>
                      <w:t>OFFICIAL: Sensitive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407B" w14:textId="02CA2278" w:rsidR="00137F51" w:rsidRPr="007E7D93" w:rsidRDefault="007E7D93" w:rsidP="007E7D93">
    <w:pPr>
      <w:pStyle w:val="Footer"/>
    </w:pPr>
    <w:r w:rsidRPr="006C4F67">
      <w:rPr>
        <w:rStyle w:val="PageNumber"/>
      </w:rPr>
      <w:fldChar w:fldCharType="begin"/>
    </w:r>
    <w:r w:rsidRPr="006C4F67">
      <w:rPr>
        <w:rStyle w:val="PageNumber"/>
      </w:rPr>
      <w:instrText xml:space="preserve"> PAGE</w:instrText>
    </w:r>
    <w:r>
      <w:rPr>
        <w:rStyle w:val="PageNumber"/>
      </w:rPr>
      <w:instrText xml:space="preserve"> </w:instrText>
    </w:r>
    <w:r w:rsidRPr="006C4F67">
      <w:rPr>
        <w:rStyle w:val="PageNumber"/>
      </w:rPr>
      <w:fldChar w:fldCharType="separate"/>
    </w:r>
    <w:r w:rsidR="0013686B">
      <w:rPr>
        <w:rStyle w:val="PageNumber"/>
        <w:noProof/>
      </w:rPr>
      <w:t>ii</w:t>
    </w:r>
    <w:r w:rsidRPr="006C4F67">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98C6" w14:textId="161A141B" w:rsidR="00F52E08" w:rsidRDefault="00F52E08">
    <w:pPr>
      <w:pStyle w:val="Footer"/>
    </w:pPr>
    <w:r>
      <w:rPr>
        <w:noProof/>
      </w:rPr>
      <mc:AlternateContent>
        <mc:Choice Requires="wps">
          <w:drawing>
            <wp:anchor distT="0" distB="0" distL="0" distR="0" simplePos="0" relativeHeight="251658262" behindDoc="0" locked="0" layoutInCell="1" allowOverlap="1" wp14:anchorId="018208E8" wp14:editId="1E6A36A6">
              <wp:simplePos x="635" y="635"/>
              <wp:positionH relativeFrom="page">
                <wp:align>left</wp:align>
              </wp:positionH>
              <wp:positionV relativeFrom="page">
                <wp:align>bottom</wp:align>
              </wp:positionV>
              <wp:extent cx="1334135" cy="361315"/>
              <wp:effectExtent l="0" t="0" r="18415" b="0"/>
              <wp:wrapNone/>
              <wp:docPr id="609440237" name="Text Box 1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4135" cy="361315"/>
                      </a:xfrm>
                      <a:prstGeom prst="rect">
                        <a:avLst/>
                      </a:prstGeom>
                      <a:noFill/>
                      <a:ln>
                        <a:noFill/>
                      </a:ln>
                    </wps:spPr>
                    <wps:txbx>
                      <w:txbxContent>
                        <w:p w14:paraId="08CEDEC7" w14:textId="0345210F" w:rsidR="00F52E08" w:rsidRPr="00F52E08" w:rsidRDefault="00F52E08" w:rsidP="00F52E08">
                          <w:pPr>
                            <w:spacing w:after="0"/>
                            <w:rPr>
                              <w:rFonts w:ascii="Calibri" w:eastAsia="Calibri" w:hAnsi="Calibri" w:cs="Calibri"/>
                              <w:noProof/>
                              <w:color w:val="000000"/>
                              <w:sz w:val="22"/>
                              <w:szCs w:val="22"/>
                            </w:rPr>
                          </w:pPr>
                          <w:r w:rsidRPr="00F52E08">
                            <w:rPr>
                              <w:rFonts w:ascii="Calibri" w:eastAsia="Calibri" w:hAnsi="Calibri" w:cs="Calibri"/>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8208E8" id="_x0000_t202" coordsize="21600,21600" o:spt="202" path="m,l,21600r21600,l21600,xe">
              <v:stroke joinstyle="miter"/>
              <v:path gradientshapeok="t" o:connecttype="rect"/>
            </v:shapetype>
            <v:shape id="Text Box 10" o:spid="_x0000_s1034" type="#_x0000_t202" alt="OFFICIAL: Sensitive" style="position:absolute;margin-left:0;margin-top:0;width:105.05pt;height:28.45pt;z-index:25165826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" filled="f" stroked="f">
              <v:textbox style="mso-fit-shape-to-text:t" inset="20pt,0,0,15pt">
                <w:txbxContent>
                  <w:p w14:paraId="08CEDEC7" w14:textId="0345210F" w:rsidR="00F52E08" w:rsidRPr="00F52E08" w:rsidRDefault="00F52E08" w:rsidP="00F52E08">
                    <w:pPr>
                      <w:spacing w:after="0"/>
                      <w:rPr>
                        <w:rFonts w:ascii="Calibri" w:eastAsia="Calibri" w:hAnsi="Calibri" w:cs="Calibri"/>
                        <w:noProof/>
                        <w:color w:val="000000"/>
                        <w:sz w:val="22"/>
                        <w:szCs w:val="22"/>
                      </w:rPr>
                    </w:pPr>
                    <w:r w:rsidRPr="00F52E08">
                      <w:rPr>
                        <w:rFonts w:ascii="Calibri" w:eastAsia="Calibri" w:hAnsi="Calibri" w:cs="Calibri"/>
                        <w:noProof/>
                        <w:color w:val="000000"/>
                        <w:sz w:val="22"/>
                        <w:szCs w:val="22"/>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525B" w14:textId="77777777" w:rsidR="008119A1" w:rsidRDefault="008119A1" w:rsidP="00C702C7">
      <w:pPr>
        <w:spacing w:line="240" w:lineRule="auto"/>
      </w:pPr>
      <w:r>
        <w:separator/>
      </w:r>
    </w:p>
  </w:footnote>
  <w:footnote w:type="continuationSeparator" w:id="0">
    <w:p w14:paraId="0574ABED" w14:textId="77777777" w:rsidR="008119A1" w:rsidRDefault="008119A1" w:rsidP="00C702C7">
      <w:pPr>
        <w:spacing w:line="240" w:lineRule="auto"/>
      </w:pPr>
      <w:r>
        <w:continuationSeparator/>
      </w:r>
    </w:p>
  </w:footnote>
  <w:footnote w:type="continuationNotice" w:id="1">
    <w:p w14:paraId="220C29B3" w14:textId="77777777" w:rsidR="008119A1" w:rsidRDefault="008119A1">
      <w:pPr>
        <w:spacing w:after="0" w:line="240" w:lineRule="auto"/>
      </w:pPr>
    </w:p>
  </w:footnote>
  <w:footnote w:id="2">
    <w:p w14:paraId="75F8DE4A" w14:textId="5FB4F778" w:rsidR="00C85200" w:rsidRPr="008763FA" w:rsidRDefault="00C85200">
      <w:pPr>
        <w:pStyle w:val="FootnoteText"/>
        <w:rPr>
          <w:lang w:val="en-US"/>
        </w:rPr>
      </w:pPr>
      <w:r>
        <w:rPr>
          <w:rStyle w:val="FootnoteReference"/>
        </w:rPr>
        <w:footnoteRef/>
      </w:r>
      <w:r>
        <w:t xml:space="preserve"> </w:t>
      </w:r>
      <w:r w:rsidR="008816AF">
        <w:rPr>
          <w:lang w:val="en-US"/>
        </w:rPr>
        <w:t xml:space="preserve">There is expected to be a smaller increase in ECEC enrolments compared to kindergarten equivalent program enrolments as some children are switching their enrolment from non-kindergarten programs to kindergarten programs. This </w:t>
      </w:r>
      <w:r w:rsidR="00743EE7">
        <w:rPr>
          <w:lang w:val="en-US"/>
        </w:rPr>
        <w:t>represents an increase in kindergarten program enrolments, but not an increase in ECEC enrolments.</w:t>
      </w:r>
    </w:p>
  </w:footnote>
  <w:footnote w:id="3">
    <w:p w14:paraId="61948DEE" w14:textId="0E7A9DDB" w:rsidR="00DC5F03" w:rsidRPr="002C0E1C" w:rsidRDefault="00DC5F03" w:rsidP="00DC5F03">
      <w:pPr>
        <w:pStyle w:val="FootnoteText"/>
        <w:rPr>
          <w:lang w:val="en-US"/>
        </w:rPr>
      </w:pPr>
      <w:r>
        <w:rPr>
          <w:rStyle w:val="FootnoteReference"/>
        </w:rPr>
        <w:footnoteRef/>
      </w:r>
      <w:r>
        <w:t xml:space="preserve"> </w:t>
      </w:r>
      <w:r>
        <w:rPr>
          <w:lang w:val="en-US"/>
        </w:rPr>
        <w:t>The avoided fiscal costs are a subcomponent of the avoided social costs associated with crime</w:t>
      </w:r>
      <w:r w:rsidR="00034765">
        <w:rPr>
          <w:lang w:val="en-US"/>
        </w:rPr>
        <w:t>, health, and welfare usage</w:t>
      </w:r>
      <w:r>
        <w:rPr>
          <w:lang w:val="en-US"/>
        </w:rPr>
        <w:t xml:space="preserve">. </w:t>
      </w:r>
    </w:p>
  </w:footnote>
  <w:footnote w:id="4">
    <w:p w14:paraId="0140E06A" w14:textId="289028B0" w:rsidR="001E1EA9" w:rsidRDefault="001E1EA9">
      <w:pPr>
        <w:pStyle w:val="FootnoteText"/>
      </w:pPr>
      <w:r>
        <w:rPr>
          <w:rStyle w:val="FootnoteReference"/>
        </w:rPr>
        <w:footnoteRef/>
      </w:r>
      <w:r>
        <w:t xml:space="preserve"> Other </w:t>
      </w:r>
      <w:r w:rsidR="000D3725">
        <w:t xml:space="preserve">known </w:t>
      </w:r>
      <w:r w:rsidR="000D3725" w:rsidRPr="000D3725">
        <w:t>implemented policies that affect child care usage (e.g. Australian Government C</w:t>
      </w:r>
      <w:r w:rsidR="00632D7E">
        <w:t xml:space="preserve">hild </w:t>
      </w:r>
      <w:r w:rsidR="000D3725" w:rsidRPr="000D3725">
        <w:t>C</w:t>
      </w:r>
      <w:r w:rsidR="00632D7E">
        <w:t xml:space="preserve">are </w:t>
      </w:r>
      <w:r w:rsidR="000D3725" w:rsidRPr="000D3725">
        <w:t>S</w:t>
      </w:r>
      <w:r w:rsidR="00632D7E">
        <w:t>ubsidy</w:t>
      </w:r>
      <w:r w:rsidR="000D3725" w:rsidRPr="000D3725">
        <w:t xml:space="preserve"> reforms</w:t>
      </w:r>
      <w:r w:rsidR="000D3725">
        <w:t xml:space="preserve"> in 2023</w:t>
      </w:r>
      <w:r w:rsidR="000D3725" w:rsidRPr="000D3725">
        <w:t xml:space="preserve">) </w:t>
      </w:r>
      <w:r w:rsidR="000D3725">
        <w:t xml:space="preserve">are assumed to </w:t>
      </w:r>
      <w:r w:rsidR="000D3725" w:rsidRPr="000D3725">
        <w:t>occur</w:t>
      </w:r>
      <w:r w:rsidR="000D3725">
        <w:t xml:space="preserve"> in both the base case and policy case</w:t>
      </w:r>
      <w:r w:rsidR="000D3725" w:rsidRPr="000D3725">
        <w:t>.</w:t>
      </w:r>
    </w:p>
  </w:footnote>
  <w:footnote w:id="5">
    <w:p w14:paraId="3E2CFF11" w14:textId="77777777" w:rsidR="00786593" w:rsidRPr="001E1EA9" w:rsidRDefault="00786593" w:rsidP="00786593">
      <w:pPr>
        <w:spacing w:after="0" w:line="240" w:lineRule="auto"/>
        <w:rPr>
          <w:sz w:val="16"/>
          <w:szCs w:val="20"/>
        </w:rPr>
      </w:pPr>
      <w:r w:rsidRPr="002C0E1C">
        <w:rPr>
          <w:rStyle w:val="FootnoteReference"/>
          <w:sz w:val="14"/>
          <w:szCs w:val="14"/>
        </w:rPr>
        <w:footnoteRef/>
      </w:r>
      <w:r w:rsidRPr="002C0E1C">
        <w:rPr>
          <w:sz w:val="14"/>
          <w:szCs w:val="14"/>
        </w:rPr>
        <w:t xml:space="preserve"> </w:t>
      </w:r>
      <w:r w:rsidRPr="002C0E1C">
        <w:rPr>
          <w:sz w:val="14"/>
        </w:rPr>
        <w:t>Kindergarten equivalent program refers to programs that are delivered by a degree qualified early childhood teacher, and meets National Quality Framework qualification requirements. The program is functionally equivalent to kindergarten, but may not be funded as a kindergarten.</w:t>
      </w:r>
    </w:p>
  </w:footnote>
  <w:footnote w:id="6">
    <w:p w14:paraId="4EEF1118" w14:textId="77777777" w:rsidR="008B5312" w:rsidRDefault="008B5312" w:rsidP="008B5312">
      <w:pPr>
        <w:pStyle w:val="FootnoteText"/>
      </w:pPr>
      <w:r>
        <w:rPr>
          <w:rStyle w:val="FootnoteReference"/>
        </w:rPr>
        <w:footnoteRef/>
      </w:r>
      <w:r>
        <w:t xml:space="preserve"> </w:t>
      </w:r>
      <w:r w:rsidRPr="00365AAB">
        <w:rPr>
          <w:iCs/>
          <w:sz w:val="14"/>
          <w:szCs w:val="14"/>
        </w:rPr>
        <w:t xml:space="preserve">Key data sources underpinning the modelling include (1) </w:t>
      </w:r>
      <w:r w:rsidRPr="00BF018B">
        <w:rPr>
          <w:iCs/>
          <w:sz w:val="14"/>
          <w:szCs w:val="14"/>
        </w:rPr>
        <w:t>Unpublished Victorian Government Population Projections 202</w:t>
      </w:r>
      <w:r>
        <w:rPr>
          <w:iCs/>
          <w:sz w:val="14"/>
          <w:szCs w:val="14"/>
        </w:rPr>
        <w:t>3</w:t>
      </w:r>
      <w:r w:rsidRPr="00BF018B">
        <w:rPr>
          <w:iCs/>
          <w:sz w:val="14"/>
          <w:szCs w:val="14"/>
        </w:rPr>
        <w:t xml:space="preserve"> (2) Australian Bureau of Statistics (ABS) </w:t>
      </w:r>
      <w:r w:rsidRPr="00BF018B">
        <w:rPr>
          <w:i/>
          <w:sz w:val="14"/>
          <w:szCs w:val="14"/>
        </w:rPr>
        <w:t>Kindergarten Education, Australia</w:t>
      </w:r>
      <w:r w:rsidRPr="00BF018B">
        <w:rPr>
          <w:iCs/>
          <w:sz w:val="14"/>
          <w:szCs w:val="14"/>
        </w:rPr>
        <w:t xml:space="preserve"> data on current kindergarten usage patterns, (3) ABS </w:t>
      </w:r>
      <w:r w:rsidRPr="00BF018B">
        <w:rPr>
          <w:i/>
          <w:sz w:val="14"/>
          <w:szCs w:val="14"/>
        </w:rPr>
        <w:t>Childhood Education and Care, Australia</w:t>
      </w:r>
      <w:r w:rsidRPr="00BF018B">
        <w:rPr>
          <w:iCs/>
          <w:sz w:val="14"/>
          <w:szCs w:val="14"/>
        </w:rPr>
        <w:t xml:space="preserve"> data on labour market participation rates by primary carers, and (4) ABS </w:t>
      </w:r>
      <w:r w:rsidRPr="00BF018B">
        <w:rPr>
          <w:i/>
          <w:sz w:val="14"/>
          <w:szCs w:val="14"/>
        </w:rPr>
        <w:t>Census of Population and Housing</w:t>
      </w:r>
      <w:r w:rsidRPr="00BF018B">
        <w:rPr>
          <w:iCs/>
          <w:sz w:val="14"/>
          <w:szCs w:val="14"/>
        </w:rPr>
        <w:t xml:space="preserve"> data on the employment profiles </w:t>
      </w:r>
      <w:r w:rsidRPr="00BF018B">
        <w:rPr>
          <w:sz w:val="14"/>
          <w:szCs w:val="14"/>
        </w:rPr>
        <w:t>of primary carers.</w:t>
      </w:r>
    </w:p>
  </w:footnote>
  <w:footnote w:id="7">
    <w:p w14:paraId="3BAB4792" w14:textId="77777777" w:rsidR="008B5312" w:rsidRPr="000238C2" w:rsidRDefault="008B5312" w:rsidP="008B5312">
      <w:pPr>
        <w:pStyle w:val="FootnoteText"/>
        <w:rPr>
          <w:iCs/>
          <w:sz w:val="14"/>
          <w:szCs w:val="14"/>
        </w:rPr>
      </w:pPr>
      <w:r>
        <w:rPr>
          <w:rStyle w:val="FootnoteReference"/>
        </w:rPr>
        <w:footnoteRef/>
      </w:r>
      <w:r>
        <w:t xml:space="preserve"> </w:t>
      </w:r>
      <w:r>
        <w:rPr>
          <w:iCs/>
          <w:sz w:val="14"/>
          <w:szCs w:val="14"/>
        </w:rPr>
        <w:t>F</w:t>
      </w:r>
      <w:r w:rsidRPr="000238C2">
        <w:rPr>
          <w:iCs/>
          <w:sz w:val="14"/>
          <w:szCs w:val="14"/>
        </w:rPr>
        <w:t>or the first child in child care</w:t>
      </w:r>
      <w:r>
        <w:rPr>
          <w:iCs/>
          <w:sz w:val="14"/>
          <w:szCs w:val="14"/>
        </w:rPr>
        <w:t xml:space="preserve">, </w:t>
      </w:r>
      <w:r w:rsidRPr="000238C2">
        <w:rPr>
          <w:iCs/>
          <w:sz w:val="14"/>
          <w:szCs w:val="14"/>
        </w:rPr>
        <w:t xml:space="preserve">the CCS </w:t>
      </w:r>
      <w:r>
        <w:rPr>
          <w:iCs/>
          <w:sz w:val="14"/>
          <w:szCs w:val="14"/>
        </w:rPr>
        <w:t xml:space="preserve">has been increased </w:t>
      </w:r>
      <w:r w:rsidRPr="000238C2">
        <w:rPr>
          <w:iCs/>
          <w:sz w:val="14"/>
          <w:szCs w:val="14"/>
        </w:rPr>
        <w:t>to 90 per cent for households with annual incomes up to $80,000</w:t>
      </w:r>
      <w:r>
        <w:rPr>
          <w:iCs/>
          <w:sz w:val="14"/>
          <w:szCs w:val="14"/>
        </w:rPr>
        <w:t xml:space="preserve">. For </w:t>
      </w:r>
      <w:r w:rsidRPr="000238C2">
        <w:rPr>
          <w:iCs/>
          <w:sz w:val="14"/>
          <w:szCs w:val="14"/>
        </w:rPr>
        <w:t xml:space="preserve">households with annual incomes above $80,000, </w:t>
      </w:r>
      <w:r>
        <w:rPr>
          <w:iCs/>
          <w:sz w:val="14"/>
          <w:szCs w:val="14"/>
        </w:rPr>
        <w:t xml:space="preserve">the CCS has been increased, </w:t>
      </w:r>
      <w:r w:rsidRPr="000238C2">
        <w:rPr>
          <w:iCs/>
          <w:sz w:val="14"/>
          <w:szCs w:val="14"/>
        </w:rPr>
        <w:t>with the specific rate tapering from 90 per cent to zero for households with annual incomes of $530,000.</w:t>
      </w:r>
    </w:p>
  </w:footnote>
  <w:footnote w:id="8">
    <w:p w14:paraId="63875396" w14:textId="6D986878" w:rsidR="00400316" w:rsidRPr="00912768" w:rsidRDefault="00400316">
      <w:pPr>
        <w:pStyle w:val="FootnoteText"/>
        <w:rPr>
          <w:sz w:val="14"/>
          <w:szCs w:val="14"/>
          <w:highlight w:val="yellow"/>
        </w:rPr>
      </w:pPr>
      <w:r w:rsidRPr="003E1974">
        <w:rPr>
          <w:rStyle w:val="FootnoteReference"/>
          <w:sz w:val="14"/>
          <w:szCs w:val="14"/>
        </w:rPr>
        <w:footnoteRef/>
      </w:r>
      <w:r w:rsidRPr="003E1974">
        <w:rPr>
          <w:sz w:val="14"/>
          <w:szCs w:val="14"/>
        </w:rPr>
        <w:t xml:space="preserve"> </w:t>
      </w:r>
      <w:r w:rsidR="00BF3D21" w:rsidRPr="00BF3D21">
        <w:rPr>
          <w:sz w:val="14"/>
          <w:szCs w:val="14"/>
        </w:rPr>
        <w:t>Deloitte Access Economics 2023, ‘Three-year-old Preschool Return on Investment Analysis’, Report for the Royal Commission into Early Childhood Education and Care, Attorney-General’s Department, &lt; https://www.royalcommissionecec.sa.gov.au/__data/assets/pdf_file/0008/937124/DAE-RC-Final-Return-on-Investment-Report.pdf&gt;.</w:t>
      </w:r>
    </w:p>
  </w:footnote>
  <w:footnote w:id="9">
    <w:p w14:paraId="158B509C" w14:textId="0AECA48E" w:rsidR="00400316" w:rsidRPr="00912768" w:rsidRDefault="00400316" w:rsidP="007D7385">
      <w:pPr>
        <w:pStyle w:val="FootnoteText"/>
        <w:tabs>
          <w:tab w:val="left" w:pos="1141"/>
        </w:tabs>
        <w:rPr>
          <w:sz w:val="14"/>
          <w:szCs w:val="14"/>
        </w:rPr>
      </w:pPr>
      <w:r w:rsidRPr="003E1974">
        <w:rPr>
          <w:rStyle w:val="FootnoteReference"/>
          <w:sz w:val="14"/>
          <w:szCs w:val="14"/>
        </w:rPr>
        <w:footnoteRef/>
      </w:r>
      <w:r w:rsidRPr="003E1974">
        <w:rPr>
          <w:sz w:val="14"/>
          <w:szCs w:val="14"/>
        </w:rPr>
        <w:t xml:space="preserve"> </w:t>
      </w:r>
      <w:r w:rsidR="007E682E" w:rsidRPr="007E682E">
        <w:rPr>
          <w:sz w:val="14"/>
          <w:szCs w:val="14"/>
        </w:rPr>
        <w:t>Taggart, B, K Sylva, E Melhuish, and P Sammons. 2015. “How Pre-School Influences Children and Young People’s Attainment and Developmental Outcomes over Time,” no. June: 1–50. &lt;https://assets.publishing.service.gov.uk/government/uploads/system/uploads/attachment_data/file/455670/RB455_Effective_pre-school_primary_and_secondary_education_project.pdf.pdf&gt;.</w:t>
      </w:r>
      <w:r w:rsidR="007D7385" w:rsidRPr="00912768">
        <w:rPr>
          <w:sz w:val="14"/>
          <w:szCs w:val="14"/>
        </w:rPr>
        <w:tab/>
      </w:r>
    </w:p>
  </w:footnote>
  <w:footnote w:id="10">
    <w:p w14:paraId="227B9C51" w14:textId="77777777" w:rsidR="00930187" w:rsidRDefault="00930187" w:rsidP="00930187">
      <w:pPr>
        <w:pStyle w:val="FootnoteText"/>
      </w:pPr>
      <w:r>
        <w:rPr>
          <w:rStyle w:val="FootnoteReference"/>
        </w:rPr>
        <w:footnoteRef/>
      </w:r>
      <w:r>
        <w:t xml:space="preserve"> </w:t>
      </w:r>
      <w:r w:rsidRPr="002C0E1C">
        <w:rPr>
          <w:sz w:val="14"/>
          <w:szCs w:val="14"/>
        </w:rPr>
        <w:t>See Blanden, Jo, Emilia Del Bono, Kirstine Hansen, and Birgitta Rabe., “Quantity and Quality of Childcare and Children’s Educational Outcomes.” Journal of Population Economics ( ): 8 – 828, referred to in Deloitte Access Economics (2023), ‘Return on investmen in thre year old preschool’.</w:t>
      </w:r>
      <w:r>
        <w:t xml:space="preserve"> </w:t>
      </w:r>
    </w:p>
  </w:footnote>
  <w:footnote w:id="11">
    <w:p w14:paraId="1C99CE29" w14:textId="235C6099" w:rsidR="007D7385" w:rsidRPr="00912768" w:rsidRDefault="007D7385">
      <w:pPr>
        <w:pStyle w:val="FootnoteText"/>
        <w:rPr>
          <w:sz w:val="14"/>
          <w:szCs w:val="14"/>
        </w:rPr>
      </w:pPr>
      <w:r w:rsidRPr="00912768">
        <w:rPr>
          <w:rStyle w:val="FootnoteReference"/>
          <w:sz w:val="14"/>
          <w:szCs w:val="14"/>
        </w:rPr>
        <w:footnoteRef/>
      </w:r>
      <w:r w:rsidRPr="00912768">
        <w:rPr>
          <w:sz w:val="14"/>
          <w:szCs w:val="14"/>
        </w:rPr>
        <w:t xml:space="preserve"> Ontario had a similar increase in hours, and had similar structure in terms of Early Childhood Teachers and Early Childhood Educators within rooms.</w:t>
      </w:r>
    </w:p>
  </w:footnote>
  <w:footnote w:id="12">
    <w:p w14:paraId="6369345A" w14:textId="337190DC" w:rsidR="007D7385" w:rsidRPr="00912768" w:rsidRDefault="007D7385">
      <w:pPr>
        <w:pStyle w:val="FootnoteText"/>
        <w:rPr>
          <w:sz w:val="14"/>
          <w:szCs w:val="14"/>
        </w:rPr>
      </w:pPr>
      <w:r w:rsidRPr="003E1974">
        <w:rPr>
          <w:rStyle w:val="FootnoteReference"/>
          <w:sz w:val="14"/>
          <w:szCs w:val="14"/>
        </w:rPr>
        <w:footnoteRef/>
      </w:r>
      <w:r w:rsidRPr="003E1974">
        <w:rPr>
          <w:sz w:val="14"/>
          <w:szCs w:val="14"/>
        </w:rPr>
        <w:t xml:space="preserve"> </w:t>
      </w:r>
      <w:r w:rsidR="007E682E" w:rsidRPr="007E682E">
        <w:rPr>
          <w:sz w:val="14"/>
          <w:szCs w:val="14"/>
        </w:rPr>
        <w:t xml:space="preserve">Pelletier, J. and Corter, J. 2018, ‘A longitudinal comparison of learning outcomes in full-day and half-day kindergarten’, The Journal of Educational Research. </w:t>
      </w:r>
    </w:p>
  </w:footnote>
  <w:footnote w:id="13">
    <w:p w14:paraId="6EEB9889" w14:textId="39797EDE" w:rsidR="00912768" w:rsidRPr="00912768" w:rsidRDefault="00912768">
      <w:pPr>
        <w:pStyle w:val="FootnoteText"/>
        <w:rPr>
          <w:sz w:val="14"/>
          <w:szCs w:val="14"/>
        </w:rPr>
      </w:pPr>
      <w:r w:rsidRPr="00912768">
        <w:rPr>
          <w:rStyle w:val="FootnoteReference"/>
          <w:sz w:val="14"/>
          <w:szCs w:val="14"/>
        </w:rPr>
        <w:footnoteRef/>
      </w:r>
      <w:r w:rsidRPr="00912768">
        <w:rPr>
          <w:sz w:val="14"/>
          <w:szCs w:val="14"/>
        </w:rPr>
        <w:t xml:space="preserve"> Breyon J. Williams, The spillover benefits of expanding access to preschool, Economics of Education Review, Volume 70, 2019, Pages 127-143.</w:t>
      </w:r>
    </w:p>
  </w:footnote>
  <w:footnote w:id="14">
    <w:p w14:paraId="28315BE9" w14:textId="5F69FC0F" w:rsidR="00912768" w:rsidRDefault="00912768">
      <w:pPr>
        <w:pStyle w:val="FootnoteText"/>
      </w:pPr>
      <w:r w:rsidRPr="00912768">
        <w:rPr>
          <w:rStyle w:val="FootnoteReference"/>
          <w:sz w:val="14"/>
          <w:szCs w:val="14"/>
        </w:rPr>
        <w:footnoteRef/>
      </w:r>
      <w:r w:rsidRPr="00912768">
        <w:rPr>
          <w:sz w:val="14"/>
          <w:szCs w:val="14"/>
        </w:rPr>
        <w:t xml:space="preserve"> Neidell, Matthew, and Jane Waldfogel. “C</w:t>
      </w:r>
      <w:r w:rsidR="001B7F7A">
        <w:rPr>
          <w:sz w:val="14"/>
          <w:szCs w:val="14"/>
        </w:rPr>
        <w:t>ognitive and noncognitive peer effects in early education</w:t>
      </w:r>
      <w:r w:rsidRPr="00912768">
        <w:rPr>
          <w:sz w:val="14"/>
          <w:szCs w:val="14"/>
        </w:rPr>
        <w:t>.” The Review of Economics and Statistics, vol. 92, no. 3, 2010, pp. 562–76.</w:t>
      </w:r>
    </w:p>
  </w:footnote>
  <w:footnote w:id="15">
    <w:p w14:paraId="11934584" w14:textId="0C32D953" w:rsidR="00903C9F" w:rsidRPr="008763FA" w:rsidRDefault="00903C9F" w:rsidP="00903C9F">
      <w:pPr>
        <w:pStyle w:val="FootnoteText"/>
        <w:rPr>
          <w:sz w:val="14"/>
          <w:szCs w:val="14"/>
        </w:rPr>
      </w:pPr>
      <w:r w:rsidRPr="008763FA">
        <w:rPr>
          <w:rStyle w:val="FootnoteReference"/>
          <w:sz w:val="14"/>
          <w:szCs w:val="14"/>
        </w:rPr>
        <w:footnoteRef/>
      </w:r>
      <w:r w:rsidRPr="008763FA">
        <w:rPr>
          <w:sz w:val="14"/>
          <w:szCs w:val="14"/>
        </w:rPr>
        <w:t xml:space="preserve"> Deloitte Access Economics modelling using the Longitudinal Study of Australian Children (LSAC) showed that each 0.12 standard deviation change in cognitive outcomes in associated with a 0.5</w:t>
      </w:r>
      <w:r w:rsidR="00E5261F" w:rsidRPr="008763FA">
        <w:rPr>
          <w:sz w:val="14"/>
          <w:szCs w:val="14"/>
        </w:rPr>
        <w:t xml:space="preserve"> per cent</w:t>
      </w:r>
      <w:r w:rsidRPr="008763FA">
        <w:rPr>
          <w:sz w:val="14"/>
          <w:szCs w:val="14"/>
        </w:rPr>
        <w:t xml:space="preserve"> increase in the likelihood of completing Year 12, and 3.1</w:t>
      </w:r>
      <w:r w:rsidR="00E5261F" w:rsidRPr="008763FA">
        <w:rPr>
          <w:sz w:val="14"/>
          <w:szCs w:val="14"/>
        </w:rPr>
        <w:t xml:space="preserve"> per cent</w:t>
      </w:r>
      <w:r w:rsidRPr="008763FA">
        <w:rPr>
          <w:sz w:val="14"/>
          <w:szCs w:val="14"/>
        </w:rPr>
        <w:t xml:space="preserve"> increase in the likelihood of attending university. </w:t>
      </w:r>
      <w:r w:rsidR="00E5261F" w:rsidRPr="008763FA">
        <w:rPr>
          <w:sz w:val="14"/>
          <w:szCs w:val="14"/>
        </w:rPr>
        <w:t>This effect is assumed to be linear across improvements in cognitive outcomes.</w:t>
      </w:r>
    </w:p>
  </w:footnote>
  <w:footnote w:id="16">
    <w:p w14:paraId="288B2FAD" w14:textId="26CF2762" w:rsidR="00095CF8" w:rsidRPr="008763FA" w:rsidRDefault="00095CF8">
      <w:pPr>
        <w:pStyle w:val="FootnoteText"/>
        <w:rPr>
          <w:sz w:val="14"/>
          <w:szCs w:val="14"/>
        </w:rPr>
      </w:pPr>
      <w:r w:rsidRPr="008763FA">
        <w:rPr>
          <w:rStyle w:val="FootnoteReference"/>
          <w:sz w:val="14"/>
          <w:szCs w:val="14"/>
        </w:rPr>
        <w:footnoteRef/>
      </w:r>
      <w:r w:rsidRPr="008763FA">
        <w:rPr>
          <w:sz w:val="14"/>
          <w:szCs w:val="14"/>
        </w:rPr>
        <w:t xml:space="preserve"> </w:t>
      </w:r>
      <w:r w:rsidR="007E682E" w:rsidRPr="008763FA">
        <w:rPr>
          <w:sz w:val="14"/>
          <w:szCs w:val="14"/>
        </w:rPr>
        <w:t>Deloitte Access Economics, The importance of universities to Australia’s prosperity (report commissioned by Universities Australia, April 2020), &lt;https://universitiesaustralia.edu.au/wp-content/uploads/2022/04/Report-The-importance-of-universities-to-Australias-prosperity.pdf&gt;</w:t>
      </w:r>
    </w:p>
  </w:footnote>
  <w:footnote w:id="17">
    <w:p w14:paraId="66FD1EA9" w14:textId="74269DCF" w:rsidR="00095CF8" w:rsidRDefault="00095CF8">
      <w:pPr>
        <w:pStyle w:val="FootnoteText"/>
      </w:pPr>
      <w:r w:rsidRPr="008763FA">
        <w:rPr>
          <w:rStyle w:val="FootnoteReference"/>
          <w:sz w:val="14"/>
          <w:szCs w:val="14"/>
        </w:rPr>
        <w:footnoteRef/>
      </w:r>
      <w:r w:rsidRPr="008763FA">
        <w:rPr>
          <w:sz w:val="14"/>
          <w:szCs w:val="14"/>
        </w:rPr>
        <w:t xml:space="preserve"> </w:t>
      </w:r>
      <w:r w:rsidR="007E682E" w:rsidRPr="008763FA">
        <w:rPr>
          <w:sz w:val="14"/>
          <w:szCs w:val="14"/>
        </w:rPr>
        <w:t>Wilkins, R and Lass, I, The Household, Income and Labour Dynamics in Australia Survey: Selected Findings from Waves 1 to 16 (Statistical Report, 2018), Melbourne Institute, University of Melbourne, &lt;https://melbourneinstitute.unimelb.edu.au/__data/assets/pdf_file/0009/2874177/HILDA-report_Low-Res_10.10.18.pdf&gt;</w:t>
      </w:r>
    </w:p>
  </w:footnote>
  <w:footnote w:id="18">
    <w:p w14:paraId="26093759" w14:textId="77777777" w:rsidR="00E12ACC" w:rsidRPr="00BF018B" w:rsidRDefault="00E12ACC" w:rsidP="00E12ACC">
      <w:pPr>
        <w:pStyle w:val="FootnoteText"/>
        <w:rPr>
          <w:sz w:val="14"/>
          <w:szCs w:val="14"/>
        </w:rPr>
      </w:pPr>
      <w:r w:rsidRPr="00790862">
        <w:rPr>
          <w:rStyle w:val="FootnoteReference"/>
          <w:iCs/>
          <w:sz w:val="14"/>
          <w:szCs w:val="14"/>
        </w:rPr>
        <w:footnoteRef/>
      </w:r>
      <w:r w:rsidRPr="00790862">
        <w:rPr>
          <w:iCs/>
          <w:sz w:val="14"/>
          <w:szCs w:val="14"/>
        </w:rPr>
        <w:t xml:space="preserve"> Deloitte Access Economics calculations based on elasticities from Gong,</w:t>
      </w:r>
      <w:r w:rsidRPr="00F06A14">
        <w:rPr>
          <w:iCs/>
          <w:sz w:val="14"/>
          <w:szCs w:val="14"/>
        </w:rPr>
        <w:t xml:space="preserve"> X., &amp; Breunig, R. (2012),</w:t>
      </w:r>
      <w:r w:rsidRPr="00365AAB">
        <w:rPr>
          <w:iCs/>
          <w:sz w:val="14"/>
          <w:szCs w:val="14"/>
        </w:rPr>
        <w:t xml:space="preserve"> </w:t>
      </w:r>
      <w:r w:rsidRPr="00365AAB">
        <w:rPr>
          <w:i/>
          <w:sz w:val="14"/>
          <w:szCs w:val="14"/>
        </w:rPr>
        <w:t>Estimating net child care price elasticities of partnered women with pre-school children using a discrete structural labour supply-child care model</w:t>
      </w:r>
      <w:r w:rsidRPr="00BF018B">
        <w:rPr>
          <w:sz w:val="14"/>
          <w:szCs w:val="14"/>
        </w:rPr>
        <w:t xml:space="preserve"> (No. 2012-01), Treasury Working Paper.</w:t>
      </w:r>
    </w:p>
  </w:footnote>
  <w:footnote w:id="19">
    <w:p w14:paraId="4A9D11FF" w14:textId="77777777" w:rsidR="00E12ACC" w:rsidRPr="002D7E60" w:rsidRDefault="00E12ACC" w:rsidP="00E12ACC">
      <w:pPr>
        <w:pStyle w:val="FootnoteText"/>
        <w:rPr>
          <w:sz w:val="14"/>
          <w:szCs w:val="14"/>
        </w:rPr>
      </w:pPr>
      <w:r w:rsidRPr="00365AAB">
        <w:rPr>
          <w:rStyle w:val="FootnoteReference"/>
          <w:iCs/>
          <w:sz w:val="14"/>
          <w:szCs w:val="14"/>
        </w:rPr>
        <w:footnoteRef/>
      </w:r>
      <w:r w:rsidRPr="00365AAB">
        <w:rPr>
          <w:iCs/>
          <w:sz w:val="14"/>
          <w:szCs w:val="14"/>
        </w:rPr>
        <w:t xml:space="preserve"> </w:t>
      </w:r>
      <w:r w:rsidRPr="00365AAB">
        <w:rPr>
          <w:sz w:val="14"/>
          <w:szCs w:val="14"/>
        </w:rPr>
        <w:t xml:space="preserve">Lefebvre, P., &amp; Merrigan, P. (2008), </w:t>
      </w:r>
      <w:r w:rsidRPr="00365AAB">
        <w:rPr>
          <w:i/>
          <w:sz w:val="14"/>
          <w:szCs w:val="14"/>
        </w:rPr>
        <w:t>Child-care policy and the labor supply of mothers with young children</w:t>
      </w:r>
      <w:r w:rsidRPr="00365AAB">
        <w:rPr>
          <w:sz w:val="14"/>
          <w:szCs w:val="14"/>
        </w:rPr>
        <w:t>: A natural experiment from Canada, Journal of Labor Economics, 26(3), 519-548;</w:t>
      </w:r>
      <w:r w:rsidRPr="00365AAB">
        <w:rPr>
          <w:sz w:val="14"/>
          <w:szCs w:val="14"/>
        </w:rPr>
        <w:br/>
        <w:t xml:space="preserve">Baker, M., Gruber, J., &amp; Milligan, K. (2008), </w:t>
      </w:r>
      <w:r w:rsidRPr="00365AAB">
        <w:rPr>
          <w:i/>
          <w:sz w:val="14"/>
          <w:szCs w:val="14"/>
        </w:rPr>
        <w:t>Universal child care, maternal labor supply, and family well-being</w:t>
      </w:r>
      <w:r w:rsidRPr="00365AAB">
        <w:rPr>
          <w:sz w:val="14"/>
          <w:szCs w:val="14"/>
        </w:rPr>
        <w:t>, Journal of Political Economy, 116(4), 709-745.</w:t>
      </w:r>
    </w:p>
  </w:footnote>
  <w:footnote w:id="20">
    <w:p w14:paraId="078E6763" w14:textId="77777777" w:rsidR="000B6C95" w:rsidRPr="002633B8" w:rsidRDefault="000B6C95" w:rsidP="000B6C95">
      <w:pPr>
        <w:pStyle w:val="FootnoteText"/>
        <w:rPr>
          <w:sz w:val="14"/>
          <w:szCs w:val="14"/>
        </w:rPr>
      </w:pPr>
      <w:r w:rsidRPr="002633B8">
        <w:rPr>
          <w:rStyle w:val="FootnoteReference"/>
          <w:sz w:val="14"/>
          <w:szCs w:val="14"/>
        </w:rPr>
        <w:footnoteRef/>
      </w:r>
      <w:r w:rsidRPr="002633B8">
        <w:rPr>
          <w:sz w:val="14"/>
          <w:szCs w:val="14"/>
        </w:rPr>
        <w:t xml:space="preserve"> Arun, S. V., Arun, T. G., &amp; Borooah, V. K. (2004), “The effect of career breaks on the working lives of women”, </w:t>
      </w:r>
      <w:r w:rsidRPr="002633B8">
        <w:rPr>
          <w:i/>
          <w:iCs/>
          <w:sz w:val="14"/>
          <w:szCs w:val="14"/>
        </w:rPr>
        <w:t>Feminist Economics</w:t>
      </w:r>
      <w:r w:rsidRPr="002633B8">
        <w:rPr>
          <w:sz w:val="14"/>
          <w:szCs w:val="14"/>
        </w:rPr>
        <w:t>, 10(1), 65-84.</w:t>
      </w:r>
    </w:p>
  </w:footnote>
  <w:footnote w:id="21">
    <w:p w14:paraId="7D210466" w14:textId="77777777" w:rsidR="000B6C95" w:rsidRPr="002633B8" w:rsidRDefault="000B6C95" w:rsidP="000B6C95">
      <w:pPr>
        <w:pStyle w:val="FootnoteText"/>
        <w:rPr>
          <w:sz w:val="14"/>
          <w:szCs w:val="14"/>
        </w:rPr>
      </w:pPr>
      <w:r w:rsidRPr="002633B8">
        <w:rPr>
          <w:rStyle w:val="FootnoteReference"/>
          <w:sz w:val="14"/>
          <w:szCs w:val="14"/>
        </w:rPr>
        <w:footnoteRef/>
      </w:r>
      <w:r w:rsidRPr="002633B8">
        <w:rPr>
          <w:sz w:val="14"/>
          <w:szCs w:val="14"/>
        </w:rPr>
        <w:t xml:space="preserve"> These benefits will apply to primary carers who enter the workforce due to the CCS reforms or the 50 new government-owned</w:t>
      </w:r>
      <w:r>
        <w:rPr>
          <w:sz w:val="14"/>
          <w:szCs w:val="14"/>
        </w:rPr>
        <w:t xml:space="preserve"> </w:t>
      </w:r>
      <w:r w:rsidRPr="002633B8">
        <w:rPr>
          <w:sz w:val="14"/>
          <w:szCs w:val="14"/>
        </w:rPr>
        <w:t>child care centres.</w:t>
      </w:r>
    </w:p>
  </w:footnote>
  <w:footnote w:id="22">
    <w:p w14:paraId="76B2A92C" w14:textId="77777777" w:rsidR="000B6C95" w:rsidRPr="002633B8" w:rsidRDefault="000B6C95" w:rsidP="000B6C95">
      <w:pPr>
        <w:pStyle w:val="FootnoteText"/>
        <w:rPr>
          <w:sz w:val="14"/>
          <w:szCs w:val="14"/>
        </w:rPr>
      </w:pPr>
      <w:r w:rsidRPr="002633B8">
        <w:rPr>
          <w:rStyle w:val="FootnoteReference"/>
          <w:sz w:val="14"/>
          <w:szCs w:val="14"/>
        </w:rPr>
        <w:footnoteRef/>
      </w:r>
      <w:r w:rsidRPr="002633B8">
        <w:rPr>
          <w:sz w:val="14"/>
          <w:szCs w:val="14"/>
        </w:rPr>
        <w:t xml:space="preserve"> Kahn, J.R., Garcia-Manglano, J., and Bianchi, S.Z. (2014), “The Motherhood Penalty at Midlife: Long-Term Effects of Children on Women’s Careers”, </w:t>
      </w:r>
      <w:r w:rsidRPr="002633B8">
        <w:rPr>
          <w:i/>
          <w:iCs/>
          <w:sz w:val="14"/>
          <w:szCs w:val="14"/>
        </w:rPr>
        <w:t xml:space="preserve">Journal of Marriage and Family </w:t>
      </w:r>
      <w:r w:rsidRPr="002633B8">
        <w:rPr>
          <w:sz w:val="14"/>
          <w:szCs w:val="14"/>
        </w:rPr>
        <w:t>76: 56-72.</w:t>
      </w:r>
    </w:p>
  </w:footnote>
  <w:footnote w:id="23">
    <w:p w14:paraId="3F110162" w14:textId="77777777" w:rsidR="000B6C95" w:rsidRPr="002633B8" w:rsidRDefault="000B6C95" w:rsidP="000B6C95">
      <w:pPr>
        <w:pStyle w:val="FootnoteText"/>
        <w:rPr>
          <w:sz w:val="14"/>
          <w:szCs w:val="14"/>
        </w:rPr>
      </w:pPr>
      <w:r w:rsidRPr="002633B8">
        <w:rPr>
          <w:rStyle w:val="FootnoteReference"/>
          <w:sz w:val="14"/>
          <w:szCs w:val="14"/>
        </w:rPr>
        <w:footnoteRef/>
      </w:r>
      <w:r w:rsidRPr="002633B8">
        <w:rPr>
          <w:sz w:val="14"/>
          <w:szCs w:val="14"/>
        </w:rPr>
        <w:t xml:space="preserve"> Beblo, M., Bender, S., and Wolf, E. (2009), “Establishment-level wage effects of entering motherhood”, </w:t>
      </w:r>
      <w:r w:rsidRPr="002633B8">
        <w:rPr>
          <w:i/>
          <w:iCs/>
          <w:sz w:val="14"/>
          <w:szCs w:val="14"/>
        </w:rPr>
        <w:t>Oxford Economic Papers</w:t>
      </w:r>
      <w:r w:rsidRPr="002633B8">
        <w:rPr>
          <w:sz w:val="14"/>
          <w:szCs w:val="14"/>
        </w:rPr>
        <w:t xml:space="preserve"> 61 (2009), i11–i34.</w:t>
      </w:r>
    </w:p>
  </w:footnote>
  <w:footnote w:id="24">
    <w:p w14:paraId="4C7C771D" w14:textId="4BEFF60F" w:rsidR="00774940" w:rsidRPr="008763FA" w:rsidRDefault="00774940">
      <w:pPr>
        <w:pStyle w:val="FootnoteText"/>
        <w:rPr>
          <w:lang w:val="en-US"/>
        </w:rPr>
      </w:pPr>
      <w:r>
        <w:rPr>
          <w:rStyle w:val="FootnoteReference"/>
        </w:rPr>
        <w:footnoteRef/>
      </w:r>
      <w:r>
        <w:t xml:space="preserve"> </w:t>
      </w:r>
      <w:r w:rsidRPr="00EB3261">
        <w:rPr>
          <w:szCs w:val="16"/>
        </w:rPr>
        <w:t>The model targets employment growth in the top three employing industries for primary carers, while ensuring flexibility for other sectors to respond to the increased labour supply.</w:t>
      </w:r>
    </w:p>
  </w:footnote>
  <w:footnote w:id="25">
    <w:p w14:paraId="452557C5" w14:textId="53A200CD" w:rsidR="00082AEA" w:rsidRPr="008763FA" w:rsidRDefault="00082AEA">
      <w:pPr>
        <w:pStyle w:val="FootnoteText"/>
        <w:rPr>
          <w:lang w:val="en-US"/>
        </w:rPr>
      </w:pPr>
      <w:r>
        <w:rPr>
          <w:rStyle w:val="FootnoteReference"/>
        </w:rPr>
        <w:footnoteRef/>
      </w:r>
      <w:r>
        <w:t xml:space="preserve"> </w:t>
      </w:r>
      <w:r w:rsidRPr="00082AEA">
        <w:t>There is expected to be a smaller increase in ECEC enrolments compared to kindergarten equivalent program enrolments as some children are enrolled in non-kindergarten programs in the base case. Under the policy, these children would represent an increase in kindergarten program enrolments, but not an increase in ECEC enrolments.</w:t>
      </w:r>
    </w:p>
  </w:footnote>
  <w:footnote w:id="26">
    <w:p w14:paraId="1C29659C" w14:textId="701FE361" w:rsidR="00F3510B" w:rsidRDefault="00F3510B">
      <w:pPr>
        <w:pStyle w:val="FootnoteText"/>
      </w:pPr>
      <w:r>
        <w:rPr>
          <w:rStyle w:val="FootnoteReference"/>
        </w:rPr>
        <w:footnoteRef/>
      </w:r>
      <w:r>
        <w:t xml:space="preserve"> </w:t>
      </w:r>
      <w:r w:rsidR="00BD055D" w:rsidRPr="00BD055D">
        <w:t>Lamb, Stephen and Huo, Shuyan (2017) Counting the costs of lost opportunity in Australian education. Discussion Paper. Mitchell Institute, Melbourne, Victoria.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91C9" w14:textId="5146DEAE" w:rsidR="00137F51" w:rsidRDefault="00000000" w:rsidP="00474643">
    <w:pPr>
      <w:pStyle w:val="Header"/>
    </w:pPr>
    <w:sdt>
      <w:sdtPr>
        <w:rPr>
          <w:lang w:val="en-US"/>
        </w:rPr>
        <w:alias w:val="Title"/>
        <w:id w:val="122897596"/>
        <w:placeholder>
          <w:docPart w:val="2BE3962D19E74E73BC2ADFF15168D39A"/>
        </w:placeholder>
        <w:dataBinding w:prefixMappings="xmlns:ns0='http://purl.org/dc/elements/1.1/' xmlns:ns1='http://schemas.openxmlformats.org/package/2006/metadata/core-properties' " w:xpath="/ns1:coreProperties[1]/ns0:title[1]" w:storeItemID="{6C3C8BC8-F283-45AE-878A-BAB7291924A1}"/>
        <w:text/>
      </w:sdtPr>
      <w:sdtContent>
        <w:r w:rsidR="00127D78">
          <w:rPr>
            <w:lang w:val="en-US"/>
          </w:rPr>
          <w:t>Summary report: The economics impact of the BSBL reforms</w:t>
        </w:r>
      </w:sdtContent>
    </w:sdt>
  </w:p>
  <w:p w14:paraId="3468C76D" w14:textId="77777777" w:rsidR="00137F51" w:rsidRPr="00474643" w:rsidRDefault="00137F51" w:rsidP="00474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8127" w14:textId="7B3C9171" w:rsidR="00E33B5F" w:rsidRPr="000116B0" w:rsidRDefault="00000000" w:rsidP="00E33B5F">
    <w:pPr>
      <w:pStyle w:val="Header"/>
    </w:pPr>
    <w:sdt>
      <w:sdtPr>
        <w:alias w:val="Title"/>
        <w:id w:val="-130020643"/>
        <w:dataBinding w:prefixMappings="xmlns:ns0='http://purl.org/dc/elements/1.1/' xmlns:ns1='http://schemas.openxmlformats.org/package/2006/metadata/core-properties' " w:xpath="/ns1:coreProperties[1]/ns0:title[1]" w:storeItemID="{6C3C8BC8-F283-45AE-878A-BAB7291924A1}"/>
        <w:text/>
      </w:sdtPr>
      <w:sdtContent>
        <w:r w:rsidR="00127D78">
          <w:t xml:space="preserve">Summary report: </w:t>
        </w:r>
        <w:r w:rsidR="004F4986">
          <w:t>The economics impact of the BSBL reforms</w:t>
        </w:r>
      </w:sdtContent>
    </w:sdt>
  </w:p>
  <w:p w14:paraId="47EEA6D6" w14:textId="745BE397" w:rsidR="00176898" w:rsidRDefault="00176898" w:rsidP="00176898">
    <w:pPr>
      <w:pStyle w:val="Header"/>
    </w:pPr>
  </w:p>
  <w:p w14:paraId="29832859" w14:textId="1EEF0479" w:rsidR="00E33B5F" w:rsidRDefault="00E33B5F" w:rsidP="00E33B5F">
    <w:pPr>
      <w:pStyle w:val="Header"/>
    </w:pPr>
  </w:p>
  <w:p w14:paraId="27AFB88C" w14:textId="77777777" w:rsidR="00137F51" w:rsidRPr="00E33B5F" w:rsidRDefault="00137F51" w:rsidP="00E33B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9378" w14:textId="073E051E" w:rsidR="00E33B5F" w:rsidRPr="000116B0" w:rsidRDefault="00000000" w:rsidP="00E33B5F">
    <w:pPr>
      <w:pStyle w:val="Header"/>
    </w:pPr>
    <w:sdt>
      <w:sdtPr>
        <w:alias w:val="Title"/>
        <w:id w:val="-1085762893"/>
        <w:dataBinding w:prefixMappings="xmlns:ns0='http://purl.org/dc/elements/1.1/' xmlns:ns1='http://schemas.openxmlformats.org/package/2006/metadata/core-properties' " w:xpath="/ns1:coreProperties[1]/ns0:title[1]" w:storeItemID="{6C3C8BC8-F283-45AE-878A-BAB7291924A1}"/>
        <w:text/>
      </w:sdtPr>
      <w:sdtContent>
        <w:r w:rsidR="00127D78">
          <w:t>Summary report: The economics impact of the BSBL reforms</w:t>
        </w:r>
      </w:sdtContent>
    </w:sdt>
  </w:p>
  <w:p w14:paraId="6A311445" w14:textId="743D8515" w:rsidR="00E33B5F" w:rsidRDefault="00E33B5F" w:rsidP="00E33B5F">
    <w:pPr>
      <w:pStyle w:val="Header"/>
    </w:pPr>
  </w:p>
  <w:p w14:paraId="77E38550" w14:textId="700BD487" w:rsidR="006C43DE" w:rsidRDefault="006C43DE" w:rsidP="006C43DE">
    <w:pPr>
      <w:pStyle w:val="Header"/>
    </w:pPr>
  </w:p>
  <w:p w14:paraId="6E7E3DA1" w14:textId="77777777" w:rsidR="00137F51" w:rsidRPr="00E33B5F" w:rsidRDefault="00137F51" w:rsidP="00E33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649B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CAA2C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3643CF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A6A322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2DB2827"/>
    <w:multiLevelType w:val="multilevel"/>
    <w:tmpl w:val="E0023528"/>
    <w:lvl w:ilvl="0">
      <w:start w:val="1"/>
      <w:numFmt w:val="upperLetter"/>
      <w:pStyle w:val="AlphabeticList"/>
      <w:lvlText w:val="%1"/>
      <w:lvlJc w:val="left"/>
      <w:pPr>
        <w:ind w:left="340" w:hanging="340"/>
      </w:pPr>
      <w:rPr>
        <w:rFonts w:hint="default"/>
      </w:rPr>
    </w:lvl>
    <w:lvl w:ilvl="1">
      <w:start w:val="1"/>
      <w:numFmt w:val="lowerLetter"/>
      <w:pStyle w:val="AlphabeticList2"/>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5" w15:restartNumberingAfterBreak="0">
    <w:nsid w:val="084F7094"/>
    <w:multiLevelType w:val="hybridMultilevel"/>
    <w:tmpl w:val="77E06C10"/>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 w15:restartNumberingAfterBreak="0">
    <w:nsid w:val="09FD734F"/>
    <w:multiLevelType w:val="hybridMultilevel"/>
    <w:tmpl w:val="DA2421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B4C1ED9"/>
    <w:multiLevelType w:val="hybridMultilevel"/>
    <w:tmpl w:val="17882E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BE805CD"/>
    <w:multiLevelType w:val="multilevel"/>
    <w:tmpl w:val="48DA5816"/>
    <w:lvl w:ilvl="0">
      <w:start w:val="1"/>
      <w:numFmt w:val="upperLetter"/>
      <w:pStyle w:val="Appendixhead1"/>
      <w:lvlText w:val="Appendix %1"/>
      <w:lvlJc w:val="left"/>
      <w:pPr>
        <w:ind w:left="3856" w:hanging="385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2"/>
      <w:lvlText w:val="%1.%2."/>
      <w:lvlJc w:val="left"/>
      <w:pPr>
        <w:ind w:left="792" w:hanging="792"/>
      </w:pPr>
      <w:rPr>
        <w:rFonts w:hint="default"/>
      </w:rPr>
    </w:lvl>
    <w:lvl w:ilvl="2">
      <w:start w:val="1"/>
      <w:numFmt w:val="decimal"/>
      <w:pStyle w:val="Appendixhead3"/>
      <w:lvlText w:val="%1.%2.%3."/>
      <w:lvlJc w:val="left"/>
      <w:pPr>
        <w:ind w:left="794" w:hanging="794"/>
      </w:pPr>
      <w:rPr>
        <w:rFonts w:hint="default"/>
      </w:rPr>
    </w:lvl>
    <w:lvl w:ilvl="3">
      <w:start w:val="1"/>
      <w:numFmt w:val="decimal"/>
      <w:pStyle w:val="Appendixhead4"/>
      <w:lvlText w:val="%1.%2.%3.%4."/>
      <w:lvlJc w:val="left"/>
      <w:pPr>
        <w:ind w:left="794" w:hanging="794"/>
      </w:pPr>
      <w:rPr>
        <w:rFonts w:hint="default"/>
      </w:rPr>
    </w:lvl>
    <w:lvl w:ilvl="4">
      <w:start w:val="1"/>
      <w:numFmt w:val="decimal"/>
      <w:lvlText w:val="%1.%2.%3.%4.%5."/>
      <w:lvlJc w:val="left"/>
      <w:pPr>
        <w:ind w:left="1134" w:hanging="1134"/>
      </w:pPr>
      <w:rPr>
        <w:rFonts w:hint="default"/>
        <w:color w:val="44546A" w:themeColor="text2"/>
        <w:sz w:val="22"/>
      </w:rPr>
    </w:lvl>
    <w:lvl w:ilvl="5">
      <w:start w:val="1"/>
      <w:numFmt w:val="decimal"/>
      <w:lvlText w:val="%1.%2.%3.%4.%5.%6."/>
      <w:lvlJc w:val="left"/>
      <w:pPr>
        <w:ind w:left="1701" w:hanging="1701"/>
      </w:pPr>
      <w:rPr>
        <w:rFonts w:hint="default"/>
      </w:rPr>
    </w:lvl>
    <w:lvl w:ilvl="6">
      <w:start w:val="1"/>
      <w:numFmt w:val="decimal"/>
      <w:lvlRestart w:val="1"/>
      <w:pStyle w:val="AppendixTableCaption"/>
      <w:suff w:val="nothing"/>
      <w:lvlText w:val="Table %1.%7"/>
      <w:lvlJc w:val="left"/>
      <w:pPr>
        <w:ind w:left="0" w:firstLine="0"/>
      </w:pPr>
      <w:rPr>
        <w:rFonts w:hint="default"/>
      </w:rPr>
    </w:lvl>
    <w:lvl w:ilvl="7">
      <w:start w:val="1"/>
      <w:numFmt w:val="decimal"/>
      <w:lvlRestart w:val="1"/>
      <w:pStyle w:val="AppendixChartCaption"/>
      <w:suff w:val="nothing"/>
      <w:lvlText w:val="Chart %1.%8"/>
      <w:lvlJc w:val="left"/>
      <w:pPr>
        <w:ind w:left="0" w:firstLine="0"/>
      </w:pPr>
      <w:rPr>
        <w:rFonts w:hint="default"/>
      </w:rPr>
    </w:lvl>
    <w:lvl w:ilvl="8">
      <w:start w:val="1"/>
      <w:numFmt w:val="decimal"/>
      <w:lvlRestart w:val="1"/>
      <w:pStyle w:val="AppendixFigureCaption"/>
      <w:suff w:val="nothing"/>
      <w:lvlText w:val="Figure %1.%9"/>
      <w:lvlJc w:val="left"/>
      <w:pPr>
        <w:ind w:left="0" w:firstLine="0"/>
      </w:pPr>
      <w:rPr>
        <w:rFonts w:hint="default"/>
      </w:rPr>
    </w:lvl>
  </w:abstractNum>
  <w:abstractNum w:abstractNumId="9" w15:restartNumberingAfterBreak="0">
    <w:nsid w:val="0BE91E91"/>
    <w:multiLevelType w:val="hybridMultilevel"/>
    <w:tmpl w:val="AB16F2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C4B4628"/>
    <w:multiLevelType w:val="multilevel"/>
    <w:tmpl w:val="88C0B5F2"/>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Verdana" w:hAnsi="Verdana" w:hint="default"/>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Verdana" w:hAnsi="Verdana"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Verdana" w:hAnsi="Verdana"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Verdana" w:hAnsi="Verdana" w:hint="default"/>
      </w:rPr>
    </w:lvl>
    <w:lvl w:ilvl="8">
      <w:start w:val="1"/>
      <w:numFmt w:val="bullet"/>
      <w:lvlText w:val=""/>
      <w:lvlJc w:val="left"/>
      <w:pPr>
        <w:ind w:left="3060" w:hanging="340"/>
      </w:pPr>
      <w:rPr>
        <w:rFonts w:ascii="Symbol" w:hAnsi="Symbol" w:hint="default"/>
      </w:rPr>
    </w:lvl>
  </w:abstractNum>
  <w:abstractNum w:abstractNumId="11" w15:restartNumberingAfterBreak="0">
    <w:nsid w:val="0C997982"/>
    <w:multiLevelType w:val="multilevel"/>
    <w:tmpl w:val="E6C80332"/>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Verdana" w:hAnsi="Verdana" w:hint="default"/>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Verdana" w:hAnsi="Verdana"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Verdana" w:hAnsi="Verdana"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Verdana" w:hAnsi="Verdana" w:hint="default"/>
      </w:rPr>
    </w:lvl>
    <w:lvl w:ilvl="8">
      <w:start w:val="1"/>
      <w:numFmt w:val="bullet"/>
      <w:lvlText w:val=""/>
      <w:lvlJc w:val="left"/>
      <w:pPr>
        <w:ind w:left="3060" w:hanging="340"/>
      </w:pPr>
      <w:rPr>
        <w:rFonts w:ascii="Symbol" w:hAnsi="Symbol" w:hint="default"/>
      </w:rPr>
    </w:lvl>
  </w:abstractNum>
  <w:abstractNum w:abstractNumId="12" w15:restartNumberingAfterBreak="0">
    <w:nsid w:val="10B23150"/>
    <w:multiLevelType w:val="hybridMultilevel"/>
    <w:tmpl w:val="23BAF5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39E3BE6"/>
    <w:multiLevelType w:val="multilevel"/>
    <w:tmpl w:val="E6C80332"/>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Verdana" w:hAnsi="Verdana" w:hint="default"/>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Verdana" w:hAnsi="Verdana"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Verdana" w:hAnsi="Verdana"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Verdana" w:hAnsi="Verdana" w:hint="default"/>
      </w:rPr>
    </w:lvl>
    <w:lvl w:ilvl="8">
      <w:start w:val="1"/>
      <w:numFmt w:val="bullet"/>
      <w:lvlText w:val=""/>
      <w:lvlJc w:val="left"/>
      <w:pPr>
        <w:ind w:left="3060" w:hanging="340"/>
      </w:pPr>
      <w:rPr>
        <w:rFonts w:ascii="Symbol" w:hAnsi="Symbol" w:hint="default"/>
      </w:rPr>
    </w:lvl>
  </w:abstractNum>
  <w:abstractNum w:abstractNumId="14" w15:restartNumberingAfterBreak="0">
    <w:nsid w:val="13DD4256"/>
    <w:multiLevelType w:val="hybridMultilevel"/>
    <w:tmpl w:val="1A8CB55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579747A"/>
    <w:multiLevelType w:val="multilevel"/>
    <w:tmpl w:val="471C82FA"/>
    <w:lvl w:ilvl="0">
      <w:start w:val="1"/>
      <w:numFmt w:val="none"/>
      <w:pStyle w:val="ExecutiveHeading"/>
      <w:suff w:val="nothing"/>
      <w:lvlText w:val=""/>
      <w:lvlJc w:val="left"/>
      <w:pPr>
        <w:ind w:left="0" w:firstLine="0"/>
      </w:pPr>
      <w:rPr>
        <w:rFonts w:hint="default"/>
      </w:rPr>
    </w:lvl>
    <w:lvl w:ilvl="1">
      <w:start w:val="1"/>
      <w:numFmt w:val="lowerRoman"/>
      <w:lvlRestart w:val="0"/>
      <w:pStyle w:val="ExecTableCaption"/>
      <w:suff w:val="nothing"/>
      <w:lvlText w:val="Table %2"/>
      <w:lvlJc w:val="left"/>
      <w:pPr>
        <w:ind w:left="0" w:firstLine="0"/>
      </w:pPr>
      <w:rPr>
        <w:rFonts w:hint="default"/>
      </w:rPr>
    </w:lvl>
    <w:lvl w:ilvl="2">
      <w:start w:val="1"/>
      <w:numFmt w:val="lowerRoman"/>
      <w:lvlRestart w:val="0"/>
      <w:pStyle w:val="ExecChartCaption"/>
      <w:suff w:val="nothing"/>
      <w:lvlText w:val="Chart %3"/>
      <w:lvlJc w:val="left"/>
      <w:pPr>
        <w:ind w:left="0" w:firstLine="0"/>
      </w:pPr>
      <w:rPr>
        <w:rFonts w:hint="default"/>
      </w:rPr>
    </w:lvl>
    <w:lvl w:ilvl="3">
      <w:start w:val="1"/>
      <w:numFmt w:val="lowerRoman"/>
      <w:lvlRestart w:val="0"/>
      <w:pStyle w:val="ExecFigureCaption"/>
      <w:suff w:val="nothing"/>
      <w:lvlText w:val="Figure %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6" w15:restartNumberingAfterBreak="0">
    <w:nsid w:val="17F55715"/>
    <w:multiLevelType w:val="multilevel"/>
    <w:tmpl w:val="1AB26C94"/>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Verdana" w:hAnsi="Verdana" w:hint="default"/>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Verdana" w:hAnsi="Verdana"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Verdana" w:hAnsi="Verdana"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Verdana" w:hAnsi="Verdana" w:hint="default"/>
      </w:rPr>
    </w:lvl>
    <w:lvl w:ilvl="8">
      <w:start w:val="1"/>
      <w:numFmt w:val="bullet"/>
      <w:lvlText w:val=""/>
      <w:lvlJc w:val="left"/>
      <w:pPr>
        <w:ind w:left="3060" w:hanging="340"/>
      </w:pPr>
      <w:rPr>
        <w:rFonts w:ascii="Symbol" w:hAnsi="Symbol" w:hint="default"/>
      </w:rPr>
    </w:lvl>
  </w:abstractNum>
  <w:abstractNum w:abstractNumId="17" w15:restartNumberingAfterBreak="0">
    <w:nsid w:val="18E0104F"/>
    <w:multiLevelType w:val="multilevel"/>
    <w:tmpl w:val="57629E32"/>
    <w:lvl w:ilvl="0">
      <w:start w:val="1"/>
      <w:numFmt w:val="bullet"/>
      <w:pStyle w:val="ListBullet3"/>
      <w:lvlText w:val=""/>
      <w:lvlJc w:val="left"/>
      <w:pPr>
        <w:ind w:left="1021" w:hanging="341"/>
      </w:pPr>
      <w:rPr>
        <w:rFonts w:ascii="Symbol" w:hAnsi="Symbol" w:hint="default"/>
      </w:rPr>
    </w:lvl>
    <w:lvl w:ilvl="1">
      <w:start w:val="1"/>
      <w:numFmt w:val="bullet"/>
      <w:lvlText w:val="–"/>
      <w:lvlJc w:val="left"/>
      <w:pPr>
        <w:ind w:left="1361" w:hanging="341"/>
      </w:pPr>
      <w:rPr>
        <w:rFonts w:ascii="Verdana" w:hAnsi="Verdana" w:hint="default"/>
      </w:rPr>
    </w:lvl>
    <w:lvl w:ilvl="2">
      <w:start w:val="1"/>
      <w:numFmt w:val="bullet"/>
      <w:lvlText w:val=""/>
      <w:lvlJc w:val="left"/>
      <w:pPr>
        <w:ind w:left="1701" w:hanging="341"/>
      </w:pPr>
      <w:rPr>
        <w:rFonts w:ascii="Symbol" w:hAnsi="Symbol" w:hint="default"/>
      </w:rPr>
    </w:lvl>
    <w:lvl w:ilvl="3">
      <w:start w:val="1"/>
      <w:numFmt w:val="bullet"/>
      <w:lvlText w:val="–"/>
      <w:lvlJc w:val="left"/>
      <w:pPr>
        <w:ind w:left="2041" w:hanging="341"/>
      </w:pPr>
      <w:rPr>
        <w:rFonts w:ascii="Verdana" w:hAnsi="Verdana" w:hint="default"/>
      </w:rPr>
    </w:lvl>
    <w:lvl w:ilvl="4">
      <w:start w:val="1"/>
      <w:numFmt w:val="bullet"/>
      <w:lvlText w:val=""/>
      <w:lvlJc w:val="left"/>
      <w:pPr>
        <w:ind w:left="2381" w:hanging="341"/>
      </w:pPr>
      <w:rPr>
        <w:rFonts w:ascii="Symbol" w:hAnsi="Symbol" w:hint="default"/>
      </w:rPr>
    </w:lvl>
    <w:lvl w:ilvl="5">
      <w:start w:val="1"/>
      <w:numFmt w:val="bullet"/>
      <w:lvlText w:val="–"/>
      <w:lvlJc w:val="left"/>
      <w:pPr>
        <w:ind w:left="2721" w:hanging="341"/>
      </w:pPr>
      <w:rPr>
        <w:rFonts w:ascii="Verdana" w:hAnsi="Verdana" w:hint="default"/>
      </w:rPr>
    </w:lvl>
    <w:lvl w:ilvl="6">
      <w:start w:val="1"/>
      <w:numFmt w:val="bullet"/>
      <w:lvlText w:val=""/>
      <w:lvlJc w:val="left"/>
      <w:pPr>
        <w:ind w:left="3061" w:hanging="341"/>
      </w:pPr>
      <w:rPr>
        <w:rFonts w:ascii="Symbol" w:hAnsi="Symbol" w:hint="default"/>
      </w:rPr>
    </w:lvl>
    <w:lvl w:ilvl="7">
      <w:start w:val="1"/>
      <w:numFmt w:val="bullet"/>
      <w:lvlText w:val="–"/>
      <w:lvlJc w:val="left"/>
      <w:pPr>
        <w:ind w:left="3401" w:hanging="341"/>
      </w:pPr>
      <w:rPr>
        <w:rFonts w:ascii="Verdana" w:hAnsi="Verdana" w:hint="default"/>
      </w:rPr>
    </w:lvl>
    <w:lvl w:ilvl="8">
      <w:start w:val="1"/>
      <w:numFmt w:val="bullet"/>
      <w:lvlText w:val=""/>
      <w:lvlJc w:val="left"/>
      <w:pPr>
        <w:ind w:left="3741" w:hanging="341"/>
      </w:pPr>
      <w:rPr>
        <w:rFonts w:ascii="Symbol" w:hAnsi="Symbol" w:hint="default"/>
      </w:rPr>
    </w:lvl>
  </w:abstractNum>
  <w:abstractNum w:abstractNumId="18" w15:restartNumberingAfterBreak="0">
    <w:nsid w:val="1A2C2F50"/>
    <w:multiLevelType w:val="hybridMultilevel"/>
    <w:tmpl w:val="A2AAE3F8"/>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9" w15:restartNumberingAfterBreak="0">
    <w:nsid w:val="1CE2451B"/>
    <w:multiLevelType w:val="hybridMultilevel"/>
    <w:tmpl w:val="C45EE5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7121BCF"/>
    <w:multiLevelType w:val="hybridMultilevel"/>
    <w:tmpl w:val="FE8E3B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8075FD7"/>
    <w:multiLevelType w:val="hybridMultilevel"/>
    <w:tmpl w:val="1A8CB55C"/>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2" w15:restartNumberingAfterBreak="0">
    <w:nsid w:val="287F4089"/>
    <w:multiLevelType w:val="hybridMultilevel"/>
    <w:tmpl w:val="15CEC8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9862935"/>
    <w:multiLevelType w:val="hybridMultilevel"/>
    <w:tmpl w:val="FE525B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B9F302D"/>
    <w:multiLevelType w:val="multilevel"/>
    <w:tmpl w:val="58063B50"/>
    <w:lvl w:ilvl="0">
      <w:start w:val="1"/>
      <w:numFmt w:val="bullet"/>
      <w:pStyle w:val="BulletedText1"/>
      <w:lvlText w:val=""/>
      <w:lvlJc w:val="left"/>
      <w:pPr>
        <w:ind w:left="227" w:hanging="227"/>
      </w:pPr>
      <w:rPr>
        <w:rFonts w:ascii="Wingdings" w:hAnsi="Wingdings" w:hint="default"/>
        <w:color w:val="44546A" w:themeColor="text2"/>
        <w:sz w:val="18"/>
      </w:rPr>
    </w:lvl>
    <w:lvl w:ilvl="1">
      <w:start w:val="1"/>
      <w:numFmt w:val="bullet"/>
      <w:pStyle w:val="BulletedText2"/>
      <w:lvlText w:val="–"/>
      <w:lvlJc w:val="left"/>
      <w:pPr>
        <w:ind w:left="454" w:hanging="227"/>
      </w:pPr>
      <w:rPr>
        <w:rFonts w:ascii="Verdana" w:hAnsi="Verdana" w:hint="default"/>
      </w:rPr>
    </w:lvl>
    <w:lvl w:ilvl="2">
      <w:start w:val="1"/>
      <w:numFmt w:val="bullet"/>
      <w:lvlText w:val=""/>
      <w:lvlJc w:val="left"/>
      <w:pPr>
        <w:ind w:left="681" w:hanging="227"/>
      </w:pPr>
      <w:rPr>
        <w:rFonts w:ascii="Wingdings" w:hAnsi="Wingdings" w:hint="default"/>
        <w:color w:val="44546A" w:themeColor="text2"/>
      </w:rPr>
    </w:lvl>
    <w:lvl w:ilvl="3">
      <w:start w:val="1"/>
      <w:numFmt w:val="bullet"/>
      <w:lvlText w:val="–"/>
      <w:lvlJc w:val="left"/>
      <w:pPr>
        <w:ind w:left="908" w:hanging="227"/>
      </w:pPr>
      <w:rPr>
        <w:rFonts w:ascii="Gotham Bold" w:hAnsi="Gotham Bold" w:hint="default"/>
        <w:color w:val="64645A"/>
      </w:rPr>
    </w:lvl>
    <w:lvl w:ilvl="4">
      <w:start w:val="1"/>
      <w:numFmt w:val="bullet"/>
      <w:lvlText w:val=""/>
      <w:lvlJc w:val="left"/>
      <w:pPr>
        <w:ind w:left="1135" w:hanging="227"/>
      </w:pPr>
      <w:rPr>
        <w:rFonts w:ascii="Wingdings" w:hAnsi="Wingdings" w:hint="default"/>
        <w:color w:val="44546A" w:themeColor="text2"/>
      </w:rPr>
    </w:lvl>
    <w:lvl w:ilvl="5">
      <w:start w:val="1"/>
      <w:numFmt w:val="bullet"/>
      <w:lvlText w:val="–"/>
      <w:lvlJc w:val="left"/>
      <w:pPr>
        <w:ind w:left="1362" w:hanging="227"/>
      </w:pPr>
      <w:rPr>
        <w:rFonts w:ascii="Gotham Bold" w:hAnsi="Gotham Bold" w:hint="default"/>
        <w:color w:val="64645A"/>
      </w:rPr>
    </w:lvl>
    <w:lvl w:ilvl="6">
      <w:start w:val="1"/>
      <w:numFmt w:val="bullet"/>
      <w:lvlText w:val=""/>
      <w:lvlJc w:val="left"/>
      <w:pPr>
        <w:ind w:left="1589" w:hanging="227"/>
      </w:pPr>
      <w:rPr>
        <w:rFonts w:ascii="Wingdings" w:hAnsi="Wingdings" w:hint="default"/>
        <w:color w:val="44546A" w:themeColor="text2"/>
      </w:rPr>
    </w:lvl>
    <w:lvl w:ilvl="7">
      <w:start w:val="1"/>
      <w:numFmt w:val="bullet"/>
      <w:lvlText w:val="–"/>
      <w:lvlJc w:val="left"/>
      <w:pPr>
        <w:ind w:left="1816" w:hanging="227"/>
      </w:pPr>
      <w:rPr>
        <w:rFonts w:ascii="Gotham Bold" w:hAnsi="Gotham Bold" w:hint="default"/>
        <w:color w:val="64645A"/>
      </w:rPr>
    </w:lvl>
    <w:lvl w:ilvl="8">
      <w:start w:val="1"/>
      <w:numFmt w:val="bullet"/>
      <w:lvlText w:val=""/>
      <w:lvlJc w:val="left"/>
      <w:pPr>
        <w:ind w:left="2043" w:hanging="227"/>
      </w:pPr>
      <w:rPr>
        <w:rFonts w:ascii="Wingdings" w:hAnsi="Wingdings" w:hint="default"/>
        <w:color w:val="44546A" w:themeColor="text2"/>
      </w:rPr>
    </w:lvl>
  </w:abstractNum>
  <w:abstractNum w:abstractNumId="25" w15:restartNumberingAfterBreak="0">
    <w:nsid w:val="2C33502D"/>
    <w:multiLevelType w:val="hybridMultilevel"/>
    <w:tmpl w:val="642436E0"/>
    <w:lvl w:ilvl="0" w:tplc="0C09000F">
      <w:start w:val="1"/>
      <w:numFmt w:val="decimal"/>
      <w:lvlText w:val="%1."/>
      <w:lvlJc w:val="left"/>
      <w:pPr>
        <w:ind w:left="360" w:hanging="360"/>
      </w:pPr>
      <w:rPr>
        <w:rFonts w:hint="default"/>
      </w:rPr>
    </w:lvl>
    <w:lvl w:ilvl="1" w:tplc="62CA72E0">
      <w:start w:val="1"/>
      <w:numFmt w:val="bullet"/>
      <w:lvlText w:val="–"/>
      <w:lvlJc w:val="left"/>
      <w:pPr>
        <w:ind w:left="1080" w:hanging="360"/>
      </w:pPr>
      <w:rPr>
        <w:rFonts w:ascii="Verdana" w:hAnsi="Verdana"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2E1058EE"/>
    <w:multiLevelType w:val="hybridMultilevel"/>
    <w:tmpl w:val="DD4AD8E2"/>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7" w15:restartNumberingAfterBreak="0">
    <w:nsid w:val="31972FC7"/>
    <w:multiLevelType w:val="hybridMultilevel"/>
    <w:tmpl w:val="2C262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2C0295B"/>
    <w:multiLevelType w:val="hybridMultilevel"/>
    <w:tmpl w:val="9530C9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3212C77"/>
    <w:multiLevelType w:val="hybridMultilevel"/>
    <w:tmpl w:val="F9F01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3370379"/>
    <w:multiLevelType w:val="hybridMultilevel"/>
    <w:tmpl w:val="C1267F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5165014"/>
    <w:multiLevelType w:val="hybridMultilevel"/>
    <w:tmpl w:val="B4BC11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5D034A1"/>
    <w:multiLevelType w:val="hybridMultilevel"/>
    <w:tmpl w:val="A98014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89739E8"/>
    <w:multiLevelType w:val="hybridMultilevel"/>
    <w:tmpl w:val="917A5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91B71D9"/>
    <w:multiLevelType w:val="multilevel"/>
    <w:tmpl w:val="7D023C6E"/>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Verdana" w:hAnsi="Verdana" w:hint="default"/>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Verdana" w:hAnsi="Verdana"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Verdana" w:hAnsi="Verdana"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Verdana" w:hAnsi="Verdana" w:hint="default"/>
      </w:rPr>
    </w:lvl>
    <w:lvl w:ilvl="8">
      <w:start w:val="1"/>
      <w:numFmt w:val="bullet"/>
      <w:lvlText w:val=""/>
      <w:lvlJc w:val="left"/>
      <w:pPr>
        <w:ind w:left="3060" w:hanging="340"/>
      </w:pPr>
      <w:rPr>
        <w:rFonts w:ascii="Symbol" w:hAnsi="Symbol" w:hint="default"/>
      </w:rPr>
    </w:lvl>
  </w:abstractNum>
  <w:abstractNum w:abstractNumId="35" w15:restartNumberingAfterBreak="0">
    <w:nsid w:val="3B0A2E31"/>
    <w:multiLevelType w:val="hybridMultilevel"/>
    <w:tmpl w:val="72EE8144"/>
    <w:lvl w:ilvl="0" w:tplc="62CA72E0">
      <w:start w:val="1"/>
      <w:numFmt w:val="bullet"/>
      <w:lvlText w:val="–"/>
      <w:lvlJc w:val="left"/>
      <w:pPr>
        <w:ind w:left="720" w:hanging="360"/>
      </w:pPr>
      <w:rPr>
        <w:rFonts w:ascii="Verdana" w:hAnsi="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D8B3767"/>
    <w:multiLevelType w:val="hybridMultilevel"/>
    <w:tmpl w:val="55B443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ED36CE8"/>
    <w:multiLevelType w:val="multilevel"/>
    <w:tmpl w:val="0440555E"/>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Verdana" w:hAnsi="Verdana" w:hint="default"/>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Verdana" w:hAnsi="Verdana"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Verdana" w:hAnsi="Verdana"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Verdana" w:hAnsi="Verdana" w:hint="default"/>
      </w:rPr>
    </w:lvl>
    <w:lvl w:ilvl="8">
      <w:start w:val="1"/>
      <w:numFmt w:val="bullet"/>
      <w:lvlText w:val=""/>
      <w:lvlJc w:val="left"/>
      <w:pPr>
        <w:ind w:left="3060" w:hanging="340"/>
      </w:pPr>
      <w:rPr>
        <w:rFonts w:ascii="Symbol" w:hAnsi="Symbol" w:hint="default"/>
      </w:rPr>
    </w:lvl>
  </w:abstractNum>
  <w:abstractNum w:abstractNumId="38" w15:restartNumberingAfterBreak="0">
    <w:nsid w:val="3FAD01D2"/>
    <w:multiLevelType w:val="multilevel"/>
    <w:tmpl w:val="E098CFE0"/>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077" w:hanging="1077"/>
      </w:pPr>
      <w:rPr>
        <w:rFonts w:hint="default"/>
      </w:rPr>
    </w:lvl>
    <w:lvl w:ilvl="5">
      <w:start w:val="1"/>
      <w:numFmt w:val="decimal"/>
      <w:pStyle w:val="Heading6"/>
      <w:lvlText w:val="%1.%2.%3.%4.%5.%6"/>
      <w:lvlJc w:val="left"/>
      <w:pPr>
        <w:ind w:left="1247" w:hanging="1247"/>
      </w:pPr>
      <w:rPr>
        <w:rFonts w:hint="default"/>
      </w:rPr>
    </w:lvl>
    <w:lvl w:ilvl="6">
      <w:start w:val="1"/>
      <w:numFmt w:val="decimal"/>
      <w:lvlRestart w:val="1"/>
      <w:pStyle w:val="CaptionTable"/>
      <w:suff w:val="nothing"/>
      <w:lvlText w:val="Table %1.%7"/>
      <w:lvlJc w:val="left"/>
      <w:pPr>
        <w:ind w:left="0" w:firstLine="0"/>
      </w:pPr>
      <w:rPr>
        <w:rFonts w:hint="default"/>
      </w:rPr>
    </w:lvl>
    <w:lvl w:ilvl="7">
      <w:start w:val="1"/>
      <w:numFmt w:val="decimal"/>
      <w:lvlRestart w:val="1"/>
      <w:pStyle w:val="CaptionChart"/>
      <w:suff w:val="nothing"/>
      <w:lvlText w:val="Chart %1.%8"/>
      <w:lvlJc w:val="left"/>
      <w:pPr>
        <w:ind w:left="0" w:firstLine="0"/>
      </w:pPr>
      <w:rPr>
        <w:rFonts w:hint="default"/>
      </w:rPr>
    </w:lvl>
    <w:lvl w:ilvl="8">
      <w:start w:val="1"/>
      <w:numFmt w:val="decimal"/>
      <w:lvlRestart w:val="1"/>
      <w:pStyle w:val="CaptionFigure"/>
      <w:suff w:val="nothing"/>
      <w:lvlText w:val="Figure %1.%9"/>
      <w:lvlJc w:val="left"/>
      <w:pPr>
        <w:ind w:left="0" w:firstLine="0"/>
      </w:pPr>
      <w:rPr>
        <w:rFonts w:hint="default"/>
      </w:rPr>
    </w:lvl>
  </w:abstractNum>
  <w:abstractNum w:abstractNumId="39" w15:restartNumberingAfterBreak="0">
    <w:nsid w:val="40467432"/>
    <w:multiLevelType w:val="hybridMultilevel"/>
    <w:tmpl w:val="02A252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405F4842"/>
    <w:multiLevelType w:val="multilevel"/>
    <w:tmpl w:val="4E0EEDCA"/>
    <w:lvl w:ilvl="0">
      <w:start w:val="1"/>
      <w:numFmt w:val="decimal"/>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41" w15:restartNumberingAfterBreak="0">
    <w:nsid w:val="435A0906"/>
    <w:multiLevelType w:val="multilevel"/>
    <w:tmpl w:val="1C5C3566"/>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Verdana" w:hAnsi="Verdana" w:hint="default"/>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Verdana" w:hAnsi="Verdana"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Verdana" w:hAnsi="Verdana"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Verdana" w:hAnsi="Verdana" w:hint="default"/>
      </w:rPr>
    </w:lvl>
    <w:lvl w:ilvl="8">
      <w:start w:val="1"/>
      <w:numFmt w:val="bullet"/>
      <w:lvlText w:val=""/>
      <w:lvlJc w:val="left"/>
      <w:pPr>
        <w:ind w:left="3060" w:hanging="340"/>
      </w:pPr>
      <w:rPr>
        <w:rFonts w:ascii="Symbol" w:hAnsi="Symbol" w:hint="default"/>
      </w:rPr>
    </w:lvl>
  </w:abstractNum>
  <w:abstractNum w:abstractNumId="42" w15:restartNumberingAfterBreak="0">
    <w:nsid w:val="451578A7"/>
    <w:multiLevelType w:val="multilevel"/>
    <w:tmpl w:val="8C9A7ABE"/>
    <w:lvl w:ilvl="0">
      <w:start w:val="1"/>
      <w:numFmt w:val="bullet"/>
      <w:pStyle w:val="ListBullet"/>
      <w:lvlText w:val="–"/>
      <w:lvlJc w:val="left"/>
      <w:pPr>
        <w:ind w:left="680" w:hanging="340"/>
      </w:pPr>
      <w:rPr>
        <w:rFonts w:ascii="Verdana" w:hAnsi="Verdana" w:hint="default"/>
        <w:color w:val="auto"/>
      </w:rPr>
    </w:lvl>
    <w:lvl w:ilvl="1">
      <w:start w:val="1"/>
      <w:numFmt w:val="bullet"/>
      <w:lvlText w:val="–"/>
      <w:lvlJc w:val="left"/>
      <w:pPr>
        <w:ind w:left="1020" w:hanging="340"/>
      </w:pPr>
      <w:rPr>
        <w:rFonts w:ascii="Verdana" w:hAnsi="Verdana" w:hint="default"/>
      </w:rPr>
    </w:lvl>
    <w:lvl w:ilvl="2">
      <w:start w:val="1"/>
      <w:numFmt w:val="bullet"/>
      <w:lvlText w:val=""/>
      <w:lvlJc w:val="left"/>
      <w:pPr>
        <w:ind w:left="1360" w:hanging="340"/>
      </w:pPr>
      <w:rPr>
        <w:rFonts w:ascii="Symbol" w:hAnsi="Symbol" w:hint="default"/>
        <w:color w:val="auto"/>
      </w:rPr>
    </w:lvl>
    <w:lvl w:ilvl="3">
      <w:start w:val="1"/>
      <w:numFmt w:val="bullet"/>
      <w:lvlText w:val="–"/>
      <w:lvlJc w:val="left"/>
      <w:pPr>
        <w:ind w:left="1700" w:hanging="340"/>
      </w:pPr>
      <w:rPr>
        <w:rFonts w:ascii="Verdana" w:hAnsi="Verdana" w:hint="default"/>
      </w:rPr>
    </w:lvl>
    <w:lvl w:ilvl="4">
      <w:start w:val="1"/>
      <w:numFmt w:val="bullet"/>
      <w:lvlText w:val=""/>
      <w:lvlJc w:val="left"/>
      <w:pPr>
        <w:ind w:left="2040" w:hanging="340"/>
      </w:pPr>
      <w:rPr>
        <w:rFonts w:ascii="Symbol" w:hAnsi="Symbol" w:hint="default"/>
      </w:rPr>
    </w:lvl>
    <w:lvl w:ilvl="5">
      <w:start w:val="1"/>
      <w:numFmt w:val="bullet"/>
      <w:lvlText w:val="–"/>
      <w:lvlJc w:val="left"/>
      <w:pPr>
        <w:ind w:left="2380" w:hanging="340"/>
      </w:pPr>
      <w:rPr>
        <w:rFonts w:ascii="Verdana" w:hAnsi="Verdana" w:hint="default"/>
      </w:rPr>
    </w:lvl>
    <w:lvl w:ilvl="6">
      <w:start w:val="1"/>
      <w:numFmt w:val="bullet"/>
      <w:lvlText w:val=""/>
      <w:lvlJc w:val="left"/>
      <w:pPr>
        <w:ind w:left="2720" w:hanging="340"/>
      </w:pPr>
      <w:rPr>
        <w:rFonts w:ascii="Symbol" w:hAnsi="Symbol" w:hint="default"/>
      </w:rPr>
    </w:lvl>
    <w:lvl w:ilvl="7">
      <w:start w:val="1"/>
      <w:numFmt w:val="bullet"/>
      <w:lvlText w:val="–"/>
      <w:lvlJc w:val="left"/>
      <w:pPr>
        <w:ind w:left="3060" w:hanging="340"/>
      </w:pPr>
      <w:rPr>
        <w:rFonts w:ascii="Verdana" w:hAnsi="Verdana" w:hint="default"/>
      </w:rPr>
    </w:lvl>
    <w:lvl w:ilvl="8">
      <w:start w:val="1"/>
      <w:numFmt w:val="bullet"/>
      <w:lvlText w:val=""/>
      <w:lvlJc w:val="left"/>
      <w:pPr>
        <w:ind w:left="3400" w:hanging="340"/>
      </w:pPr>
      <w:rPr>
        <w:rFonts w:ascii="Symbol" w:hAnsi="Symbol" w:hint="default"/>
      </w:rPr>
    </w:lvl>
  </w:abstractNum>
  <w:abstractNum w:abstractNumId="43" w15:restartNumberingAfterBreak="0">
    <w:nsid w:val="4559347B"/>
    <w:multiLevelType w:val="hybridMultilevel"/>
    <w:tmpl w:val="20525D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5646044"/>
    <w:multiLevelType w:val="multilevel"/>
    <w:tmpl w:val="EC0626B8"/>
    <w:lvl w:ilvl="0">
      <w:start w:val="1"/>
      <w:numFmt w:val="decimal"/>
      <w:lvlText w:val="%1."/>
      <w:lvlJc w:val="left"/>
      <w:pPr>
        <w:ind w:left="340" w:hanging="340"/>
      </w:pPr>
      <w:rPr>
        <w:rFonts w:hint="default"/>
        <w:color w:val="auto"/>
      </w:rPr>
    </w:lvl>
    <w:lvl w:ilvl="1">
      <w:start w:val="1"/>
      <w:numFmt w:val="bullet"/>
      <w:lvlText w:val="–"/>
      <w:lvlJc w:val="left"/>
      <w:pPr>
        <w:ind w:left="680" w:hanging="340"/>
      </w:pPr>
      <w:rPr>
        <w:rFonts w:ascii="Verdana" w:hAnsi="Verdana" w:hint="default"/>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Verdana" w:hAnsi="Verdana"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Verdana" w:hAnsi="Verdana"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Verdana" w:hAnsi="Verdana" w:hint="default"/>
      </w:rPr>
    </w:lvl>
    <w:lvl w:ilvl="8">
      <w:start w:val="1"/>
      <w:numFmt w:val="bullet"/>
      <w:lvlText w:val=""/>
      <w:lvlJc w:val="left"/>
      <w:pPr>
        <w:ind w:left="3060" w:hanging="340"/>
      </w:pPr>
      <w:rPr>
        <w:rFonts w:ascii="Symbol" w:hAnsi="Symbol" w:hint="default"/>
      </w:rPr>
    </w:lvl>
  </w:abstractNum>
  <w:abstractNum w:abstractNumId="45" w15:restartNumberingAfterBreak="0">
    <w:nsid w:val="457C67BE"/>
    <w:multiLevelType w:val="hybridMultilevel"/>
    <w:tmpl w:val="9A7E6C42"/>
    <w:lvl w:ilvl="0" w:tplc="2E444D5E">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77E6EBC"/>
    <w:multiLevelType w:val="multilevel"/>
    <w:tmpl w:val="7B98EE74"/>
    <w:lvl w:ilvl="0">
      <w:start w:val="1"/>
      <w:numFmt w:val="decimal"/>
      <w:pStyle w:val="Numberslevel1"/>
      <w:lvlText w:val="%1."/>
      <w:lvlJc w:val="left"/>
      <w:pPr>
        <w:ind w:left="360" w:hanging="360"/>
      </w:pPr>
      <w:rPr>
        <w:rFonts w:hint="default"/>
      </w:rPr>
    </w:lvl>
    <w:lvl w:ilvl="1">
      <w:start w:val="1"/>
      <w:numFmt w:val="lowerLetter"/>
      <w:pStyle w:val="Numberslevel2"/>
      <w:lvlText w:val="%2)"/>
      <w:lvlJc w:val="left"/>
      <w:pPr>
        <w:ind w:left="720" w:hanging="360"/>
      </w:pPr>
      <w:rPr>
        <w:rFonts w:hint="default"/>
      </w:rPr>
    </w:lvl>
    <w:lvl w:ilvl="2">
      <w:start w:val="1"/>
      <w:numFmt w:val="lowerRoman"/>
      <w:pStyle w:val="Numbers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7B415FD"/>
    <w:multiLevelType w:val="hybridMultilevel"/>
    <w:tmpl w:val="68ACEE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4B955051"/>
    <w:multiLevelType w:val="hybridMultilevel"/>
    <w:tmpl w:val="EA8A34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4C517C46"/>
    <w:multiLevelType w:val="hybridMultilevel"/>
    <w:tmpl w:val="B7BE84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D55089C"/>
    <w:multiLevelType w:val="hybridMultilevel"/>
    <w:tmpl w:val="CD98F2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4DC9633B"/>
    <w:multiLevelType w:val="multilevel"/>
    <w:tmpl w:val="D8921608"/>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Verdana" w:hAnsi="Verdana" w:hint="default"/>
      </w:rPr>
    </w:lvl>
    <w:lvl w:ilvl="2">
      <w:start w:val="1"/>
      <w:numFmt w:val="bullet"/>
      <w:lvlText w:val="–"/>
      <w:lvlJc w:val="left"/>
      <w:pPr>
        <w:ind w:left="1040" w:hanging="360"/>
      </w:pPr>
      <w:rPr>
        <w:rFonts w:ascii="Verdana" w:hAnsi="Verdana" w:hint="default"/>
      </w:rPr>
    </w:lvl>
    <w:lvl w:ilvl="3">
      <w:start w:val="1"/>
      <w:numFmt w:val="bullet"/>
      <w:lvlText w:val="–"/>
      <w:lvlJc w:val="left"/>
      <w:pPr>
        <w:ind w:left="1360" w:hanging="340"/>
      </w:pPr>
      <w:rPr>
        <w:rFonts w:ascii="Verdana" w:hAnsi="Verdana"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Verdana" w:hAnsi="Verdana"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Verdana" w:hAnsi="Verdana" w:hint="default"/>
      </w:rPr>
    </w:lvl>
    <w:lvl w:ilvl="8">
      <w:start w:val="1"/>
      <w:numFmt w:val="bullet"/>
      <w:lvlText w:val=""/>
      <w:lvlJc w:val="left"/>
      <w:pPr>
        <w:ind w:left="3060" w:hanging="340"/>
      </w:pPr>
      <w:rPr>
        <w:rFonts w:ascii="Symbol" w:hAnsi="Symbol" w:hint="default"/>
      </w:rPr>
    </w:lvl>
  </w:abstractNum>
  <w:abstractNum w:abstractNumId="52" w15:restartNumberingAfterBreak="0">
    <w:nsid w:val="4DCE2E8E"/>
    <w:multiLevelType w:val="multilevel"/>
    <w:tmpl w:val="3D485516"/>
    <w:name w:val="BulletList"/>
    <w:lvl w:ilvl="0">
      <w:numFmt w:val="none"/>
      <w:lvlText w:val=""/>
      <w:lvlJc w:val="left"/>
      <w:pPr>
        <w:tabs>
          <w:tab w:val="num" w:pos="360"/>
        </w:tabs>
      </w:pPr>
    </w:lvl>
    <w:lvl w:ilvl="1">
      <w:start w:val="1"/>
      <w:numFmt w:val="bullet"/>
      <w:lvlRestart w:val="0"/>
      <w:lvlText w:val=""/>
      <w:lvlJc w:val="left"/>
      <w:pPr>
        <w:tabs>
          <w:tab w:val="num" w:pos="1134"/>
        </w:tabs>
        <w:ind w:left="1134" w:hanging="567"/>
      </w:pPr>
      <w:rPr>
        <w:rFonts w:ascii="Wingdings 3" w:hAnsi="Wingdings 3" w:hint="default"/>
        <w:b/>
        <w:i w:val="0"/>
        <w:color w:val="931638"/>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E5E23DC"/>
    <w:multiLevelType w:val="multilevel"/>
    <w:tmpl w:val="88C0B5F2"/>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Verdana" w:hAnsi="Verdana" w:hint="default"/>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Verdana" w:hAnsi="Verdana"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Verdana" w:hAnsi="Verdana"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Verdana" w:hAnsi="Verdana" w:hint="default"/>
      </w:rPr>
    </w:lvl>
    <w:lvl w:ilvl="8">
      <w:start w:val="1"/>
      <w:numFmt w:val="bullet"/>
      <w:lvlText w:val=""/>
      <w:lvlJc w:val="left"/>
      <w:pPr>
        <w:ind w:left="3060" w:hanging="340"/>
      </w:pPr>
      <w:rPr>
        <w:rFonts w:ascii="Symbol" w:hAnsi="Symbol" w:hint="default"/>
      </w:rPr>
    </w:lvl>
  </w:abstractNum>
  <w:abstractNum w:abstractNumId="54" w15:restartNumberingAfterBreak="0">
    <w:nsid w:val="4F301B89"/>
    <w:multiLevelType w:val="hybridMultilevel"/>
    <w:tmpl w:val="2B247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0394E52"/>
    <w:multiLevelType w:val="hybridMultilevel"/>
    <w:tmpl w:val="AF8E8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0CB382E"/>
    <w:multiLevelType w:val="multilevel"/>
    <w:tmpl w:val="469099B8"/>
    <w:lvl w:ilvl="0">
      <w:start w:val="1"/>
      <w:numFmt w:val="bullet"/>
      <w:lvlText w:val=""/>
      <w:lvlJc w:val="left"/>
      <w:pPr>
        <w:ind w:left="680" w:hanging="340"/>
      </w:pPr>
      <w:rPr>
        <w:rFonts w:ascii="Symbol" w:hAnsi="Symbol" w:hint="default"/>
        <w:color w:val="auto"/>
      </w:rPr>
    </w:lvl>
    <w:lvl w:ilvl="1">
      <w:start w:val="1"/>
      <w:numFmt w:val="bullet"/>
      <w:lvlText w:val="–"/>
      <w:lvlJc w:val="left"/>
      <w:pPr>
        <w:ind w:left="1020" w:hanging="340"/>
      </w:pPr>
      <w:rPr>
        <w:rFonts w:ascii="Verdana" w:hAnsi="Verdana" w:hint="default"/>
      </w:rPr>
    </w:lvl>
    <w:lvl w:ilvl="2">
      <w:start w:val="1"/>
      <w:numFmt w:val="bullet"/>
      <w:lvlText w:val=""/>
      <w:lvlJc w:val="left"/>
      <w:pPr>
        <w:ind w:left="1360" w:hanging="340"/>
      </w:pPr>
      <w:rPr>
        <w:rFonts w:ascii="Symbol" w:hAnsi="Symbol" w:hint="default"/>
        <w:color w:val="auto"/>
      </w:rPr>
    </w:lvl>
    <w:lvl w:ilvl="3">
      <w:start w:val="1"/>
      <w:numFmt w:val="bullet"/>
      <w:lvlText w:val="–"/>
      <w:lvlJc w:val="left"/>
      <w:pPr>
        <w:ind w:left="1700" w:hanging="340"/>
      </w:pPr>
      <w:rPr>
        <w:rFonts w:ascii="Verdana" w:hAnsi="Verdana" w:hint="default"/>
      </w:rPr>
    </w:lvl>
    <w:lvl w:ilvl="4">
      <w:start w:val="1"/>
      <w:numFmt w:val="bullet"/>
      <w:lvlText w:val=""/>
      <w:lvlJc w:val="left"/>
      <w:pPr>
        <w:ind w:left="2040" w:hanging="340"/>
      </w:pPr>
      <w:rPr>
        <w:rFonts w:ascii="Symbol" w:hAnsi="Symbol" w:hint="default"/>
      </w:rPr>
    </w:lvl>
    <w:lvl w:ilvl="5">
      <w:start w:val="1"/>
      <w:numFmt w:val="bullet"/>
      <w:lvlText w:val="–"/>
      <w:lvlJc w:val="left"/>
      <w:pPr>
        <w:ind w:left="2380" w:hanging="340"/>
      </w:pPr>
      <w:rPr>
        <w:rFonts w:ascii="Verdana" w:hAnsi="Verdana" w:hint="default"/>
      </w:rPr>
    </w:lvl>
    <w:lvl w:ilvl="6">
      <w:start w:val="1"/>
      <w:numFmt w:val="bullet"/>
      <w:lvlText w:val=""/>
      <w:lvlJc w:val="left"/>
      <w:pPr>
        <w:ind w:left="2720" w:hanging="340"/>
      </w:pPr>
      <w:rPr>
        <w:rFonts w:ascii="Symbol" w:hAnsi="Symbol" w:hint="default"/>
      </w:rPr>
    </w:lvl>
    <w:lvl w:ilvl="7">
      <w:start w:val="1"/>
      <w:numFmt w:val="bullet"/>
      <w:lvlText w:val="–"/>
      <w:lvlJc w:val="left"/>
      <w:pPr>
        <w:ind w:left="3060" w:hanging="340"/>
      </w:pPr>
      <w:rPr>
        <w:rFonts w:ascii="Verdana" w:hAnsi="Verdana" w:hint="default"/>
      </w:rPr>
    </w:lvl>
    <w:lvl w:ilvl="8">
      <w:start w:val="1"/>
      <w:numFmt w:val="bullet"/>
      <w:lvlText w:val=""/>
      <w:lvlJc w:val="left"/>
      <w:pPr>
        <w:ind w:left="3400" w:hanging="340"/>
      </w:pPr>
      <w:rPr>
        <w:rFonts w:ascii="Symbol" w:hAnsi="Symbol" w:hint="default"/>
      </w:rPr>
    </w:lvl>
  </w:abstractNum>
  <w:abstractNum w:abstractNumId="57" w15:restartNumberingAfterBreak="0">
    <w:nsid w:val="52072D8C"/>
    <w:multiLevelType w:val="hybridMultilevel"/>
    <w:tmpl w:val="439ADA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52500516"/>
    <w:multiLevelType w:val="hybridMultilevel"/>
    <w:tmpl w:val="9F8C3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2F557DF"/>
    <w:multiLevelType w:val="hybridMultilevel"/>
    <w:tmpl w:val="B100CC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563D1A43"/>
    <w:multiLevelType w:val="multilevel"/>
    <w:tmpl w:val="387C753E"/>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Verdana" w:hAnsi="Verdana" w:hint="default"/>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Verdana" w:hAnsi="Verdana"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Verdana" w:hAnsi="Verdana"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Verdana" w:hAnsi="Verdana" w:hint="default"/>
      </w:rPr>
    </w:lvl>
    <w:lvl w:ilvl="8">
      <w:start w:val="1"/>
      <w:numFmt w:val="bullet"/>
      <w:lvlText w:val=""/>
      <w:lvlJc w:val="left"/>
      <w:pPr>
        <w:ind w:left="3060" w:hanging="340"/>
      </w:pPr>
      <w:rPr>
        <w:rFonts w:ascii="Symbol" w:hAnsi="Symbol" w:hint="default"/>
      </w:rPr>
    </w:lvl>
  </w:abstractNum>
  <w:abstractNum w:abstractNumId="61" w15:restartNumberingAfterBreak="0">
    <w:nsid w:val="573F5E59"/>
    <w:multiLevelType w:val="hybridMultilevel"/>
    <w:tmpl w:val="80E68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586C69A6"/>
    <w:multiLevelType w:val="hybridMultilevel"/>
    <w:tmpl w:val="9DCAB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5B2033CE"/>
    <w:multiLevelType w:val="hybridMultilevel"/>
    <w:tmpl w:val="61FA22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5D857C68"/>
    <w:multiLevelType w:val="hybridMultilevel"/>
    <w:tmpl w:val="DA822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5DA6067C"/>
    <w:multiLevelType w:val="multilevel"/>
    <w:tmpl w:val="3AB6AFBA"/>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Verdana" w:hAnsi="Verdana" w:hint="default"/>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Verdana" w:hAnsi="Verdana"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Verdana" w:hAnsi="Verdana"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Verdana" w:hAnsi="Verdana" w:hint="default"/>
      </w:rPr>
    </w:lvl>
    <w:lvl w:ilvl="8">
      <w:start w:val="1"/>
      <w:numFmt w:val="bullet"/>
      <w:lvlText w:val=""/>
      <w:lvlJc w:val="left"/>
      <w:pPr>
        <w:ind w:left="3060" w:hanging="340"/>
      </w:pPr>
      <w:rPr>
        <w:rFonts w:ascii="Symbol" w:hAnsi="Symbol" w:hint="default"/>
      </w:rPr>
    </w:lvl>
  </w:abstractNum>
  <w:abstractNum w:abstractNumId="66" w15:restartNumberingAfterBreak="0">
    <w:nsid w:val="609152D5"/>
    <w:multiLevelType w:val="hybridMultilevel"/>
    <w:tmpl w:val="95E85276"/>
    <w:lvl w:ilvl="0" w:tplc="0D3636FA">
      <w:start w:val="1"/>
      <w:numFmt w:val="decimal"/>
      <w:pStyle w:val="Tablenumbered"/>
      <w:lvlText w:val="%1."/>
      <w:lvlJc w:val="left"/>
      <w:pPr>
        <w:ind w:left="720" w:hanging="360"/>
      </w:pPr>
    </w:lvl>
    <w:lvl w:ilvl="1" w:tplc="7996F936" w:tentative="1">
      <w:start w:val="1"/>
      <w:numFmt w:val="lowerLetter"/>
      <w:lvlText w:val="%2."/>
      <w:lvlJc w:val="left"/>
      <w:pPr>
        <w:ind w:left="1440" w:hanging="360"/>
      </w:pPr>
    </w:lvl>
    <w:lvl w:ilvl="2" w:tplc="0E6C94CC" w:tentative="1">
      <w:start w:val="1"/>
      <w:numFmt w:val="lowerRoman"/>
      <w:lvlText w:val="%3."/>
      <w:lvlJc w:val="right"/>
      <w:pPr>
        <w:ind w:left="2160" w:hanging="180"/>
      </w:pPr>
    </w:lvl>
    <w:lvl w:ilvl="3" w:tplc="00DA055E" w:tentative="1">
      <w:start w:val="1"/>
      <w:numFmt w:val="decimal"/>
      <w:lvlText w:val="%4."/>
      <w:lvlJc w:val="left"/>
      <w:pPr>
        <w:ind w:left="2880" w:hanging="360"/>
      </w:pPr>
    </w:lvl>
    <w:lvl w:ilvl="4" w:tplc="5BE0FF6A" w:tentative="1">
      <w:start w:val="1"/>
      <w:numFmt w:val="lowerLetter"/>
      <w:lvlText w:val="%5."/>
      <w:lvlJc w:val="left"/>
      <w:pPr>
        <w:ind w:left="3600" w:hanging="360"/>
      </w:pPr>
    </w:lvl>
    <w:lvl w:ilvl="5" w:tplc="0AE2F662" w:tentative="1">
      <w:start w:val="1"/>
      <w:numFmt w:val="lowerRoman"/>
      <w:lvlText w:val="%6."/>
      <w:lvlJc w:val="right"/>
      <w:pPr>
        <w:ind w:left="4320" w:hanging="180"/>
      </w:pPr>
    </w:lvl>
    <w:lvl w:ilvl="6" w:tplc="BB2E865E" w:tentative="1">
      <w:start w:val="1"/>
      <w:numFmt w:val="decimal"/>
      <w:lvlText w:val="%7."/>
      <w:lvlJc w:val="left"/>
      <w:pPr>
        <w:ind w:left="5040" w:hanging="360"/>
      </w:pPr>
    </w:lvl>
    <w:lvl w:ilvl="7" w:tplc="23A4B1A6" w:tentative="1">
      <w:start w:val="1"/>
      <w:numFmt w:val="lowerLetter"/>
      <w:lvlText w:val="%8."/>
      <w:lvlJc w:val="left"/>
      <w:pPr>
        <w:ind w:left="5760" w:hanging="360"/>
      </w:pPr>
    </w:lvl>
    <w:lvl w:ilvl="8" w:tplc="C82247A4" w:tentative="1">
      <w:start w:val="1"/>
      <w:numFmt w:val="lowerRoman"/>
      <w:lvlText w:val="%9."/>
      <w:lvlJc w:val="right"/>
      <w:pPr>
        <w:ind w:left="6480" w:hanging="180"/>
      </w:pPr>
    </w:lvl>
  </w:abstractNum>
  <w:abstractNum w:abstractNumId="67" w15:restartNumberingAfterBreak="0">
    <w:nsid w:val="62F46508"/>
    <w:multiLevelType w:val="multilevel"/>
    <w:tmpl w:val="ABF0BB72"/>
    <w:lvl w:ilvl="0">
      <w:start w:val="1"/>
      <w:numFmt w:val="bullet"/>
      <w:pStyle w:val="ListBullet2"/>
      <w:lvlText w:val="–"/>
      <w:lvlJc w:val="left"/>
      <w:pPr>
        <w:ind w:left="680" w:hanging="340"/>
      </w:pPr>
      <w:rPr>
        <w:rFonts w:ascii="Verdana" w:hAnsi="Verdana"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Verdana" w:hAnsi="Verdana" w:hint="default"/>
      </w:rPr>
    </w:lvl>
    <w:lvl w:ilvl="3">
      <w:start w:val="1"/>
      <w:numFmt w:val="bullet"/>
      <w:lvlText w:val=""/>
      <w:lvlJc w:val="left"/>
      <w:pPr>
        <w:ind w:left="1700" w:hanging="340"/>
      </w:pPr>
      <w:rPr>
        <w:rFonts w:ascii="Symbol" w:hAnsi="Symbol" w:hint="default"/>
        <w:color w:val="auto"/>
      </w:rPr>
    </w:lvl>
    <w:lvl w:ilvl="4">
      <w:start w:val="1"/>
      <w:numFmt w:val="bullet"/>
      <w:lvlText w:val="–"/>
      <w:lvlJc w:val="left"/>
      <w:pPr>
        <w:ind w:left="2040" w:hanging="340"/>
      </w:pPr>
      <w:rPr>
        <w:rFonts w:ascii="Verdana" w:hAnsi="Verdana" w:hint="default"/>
      </w:rPr>
    </w:lvl>
    <w:lvl w:ilvl="5">
      <w:start w:val="1"/>
      <w:numFmt w:val="bullet"/>
      <w:lvlText w:val=""/>
      <w:lvlJc w:val="left"/>
      <w:pPr>
        <w:ind w:left="2380" w:hanging="340"/>
      </w:pPr>
      <w:rPr>
        <w:rFonts w:ascii="Symbol" w:hAnsi="Symbol" w:hint="default"/>
      </w:rPr>
    </w:lvl>
    <w:lvl w:ilvl="6">
      <w:start w:val="1"/>
      <w:numFmt w:val="bullet"/>
      <w:lvlText w:val="–"/>
      <w:lvlJc w:val="left"/>
      <w:pPr>
        <w:ind w:left="2720" w:hanging="340"/>
      </w:pPr>
      <w:rPr>
        <w:rFonts w:ascii="Verdana" w:hAnsi="Verdana" w:hint="default"/>
      </w:rPr>
    </w:lvl>
    <w:lvl w:ilvl="7">
      <w:start w:val="1"/>
      <w:numFmt w:val="bullet"/>
      <w:lvlText w:val=""/>
      <w:lvlJc w:val="left"/>
      <w:pPr>
        <w:ind w:left="3060" w:hanging="340"/>
      </w:pPr>
      <w:rPr>
        <w:rFonts w:ascii="Symbol" w:hAnsi="Symbol" w:hint="default"/>
      </w:rPr>
    </w:lvl>
    <w:lvl w:ilvl="8">
      <w:start w:val="1"/>
      <w:numFmt w:val="bullet"/>
      <w:lvlText w:val="–"/>
      <w:lvlJc w:val="left"/>
      <w:pPr>
        <w:ind w:left="3400" w:hanging="340"/>
      </w:pPr>
      <w:rPr>
        <w:rFonts w:ascii="Verdana" w:hAnsi="Verdana" w:hint="default"/>
      </w:rPr>
    </w:lvl>
  </w:abstractNum>
  <w:abstractNum w:abstractNumId="68" w15:restartNumberingAfterBreak="0">
    <w:nsid w:val="65676B8F"/>
    <w:multiLevelType w:val="hybridMultilevel"/>
    <w:tmpl w:val="58E270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6698214B"/>
    <w:multiLevelType w:val="hybridMultilevel"/>
    <w:tmpl w:val="383A5828"/>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0" w15:restartNumberingAfterBreak="0">
    <w:nsid w:val="6BAD1BB1"/>
    <w:multiLevelType w:val="hybridMultilevel"/>
    <w:tmpl w:val="73EA32BA"/>
    <w:lvl w:ilvl="0" w:tplc="5D9EFE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6C303659"/>
    <w:multiLevelType w:val="hybridMultilevel"/>
    <w:tmpl w:val="21D8BB6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6E6C6C75"/>
    <w:multiLevelType w:val="hybridMultilevel"/>
    <w:tmpl w:val="3C5E5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6F846860"/>
    <w:multiLevelType w:val="hybridMultilevel"/>
    <w:tmpl w:val="94A644AC"/>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Verdana" w:hAnsi="Verdana"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7227130F"/>
    <w:multiLevelType w:val="hybridMultilevel"/>
    <w:tmpl w:val="CBD2C9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72EA5DE6"/>
    <w:multiLevelType w:val="hybridMultilevel"/>
    <w:tmpl w:val="2BC0D1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768D6077"/>
    <w:multiLevelType w:val="hybridMultilevel"/>
    <w:tmpl w:val="20B2CB58"/>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77" w15:restartNumberingAfterBreak="0">
    <w:nsid w:val="77F012B6"/>
    <w:multiLevelType w:val="hybridMultilevel"/>
    <w:tmpl w:val="B052C154"/>
    <w:lvl w:ilvl="0" w:tplc="0C09000F">
      <w:start w:val="1"/>
      <w:numFmt w:val="decimal"/>
      <w:lvlText w:val="%1."/>
      <w:lvlJc w:val="left"/>
      <w:pPr>
        <w:ind w:left="360" w:hanging="360"/>
      </w:pPr>
    </w:lvl>
    <w:lvl w:ilvl="1" w:tplc="62CA72E0">
      <w:start w:val="1"/>
      <w:numFmt w:val="bullet"/>
      <w:lvlText w:val="–"/>
      <w:lvlJc w:val="left"/>
      <w:pPr>
        <w:ind w:left="1080" w:hanging="360"/>
      </w:pPr>
      <w:rPr>
        <w:rFonts w:ascii="Verdana" w:hAnsi="Verdana"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78CB5EB4"/>
    <w:multiLevelType w:val="hybridMultilevel"/>
    <w:tmpl w:val="1928819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79C260B7"/>
    <w:multiLevelType w:val="hybridMultilevel"/>
    <w:tmpl w:val="216EF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7B665BEF"/>
    <w:multiLevelType w:val="hybridMultilevel"/>
    <w:tmpl w:val="B01EDACE"/>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81" w15:restartNumberingAfterBreak="0">
    <w:nsid w:val="7BAB1640"/>
    <w:multiLevelType w:val="hybridMultilevel"/>
    <w:tmpl w:val="4A109C3E"/>
    <w:lvl w:ilvl="0" w:tplc="6FCE8ECC">
      <w:start w:val="1"/>
      <w:numFmt w:val="decimal"/>
      <w:lvlText w:val="%1."/>
      <w:lvlJc w:val="left"/>
      <w:pPr>
        <w:ind w:left="360" w:hanging="360"/>
      </w:pPr>
      <w:rPr>
        <w:rFonts w:hint="default"/>
        <w:b w:val="0"/>
        <w:bCs w:val="0"/>
      </w:rPr>
    </w:lvl>
    <w:lvl w:ilvl="1" w:tplc="67EE8650">
      <w:start w:val="12"/>
      <w:numFmt w:val="bullet"/>
      <w:lvlText w:val="-"/>
      <w:lvlJc w:val="left"/>
      <w:pPr>
        <w:ind w:left="1080" w:hanging="360"/>
      </w:pPr>
      <w:rPr>
        <w:rFonts w:ascii="Verdana" w:eastAsiaTheme="minorHAnsi" w:hAnsi="Verdana" w:cstheme="minorBidi"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7C077B19"/>
    <w:multiLevelType w:val="hybridMultilevel"/>
    <w:tmpl w:val="9DB84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7C9A74EC"/>
    <w:multiLevelType w:val="hybridMultilevel"/>
    <w:tmpl w:val="B9A22AA0"/>
    <w:lvl w:ilvl="0" w:tplc="B5FC235C">
      <w:numFmt w:val="decimal"/>
      <w:lvlText w:val=""/>
      <w:lvlJc w:val="left"/>
    </w:lvl>
    <w:lvl w:ilvl="1" w:tplc="CF72E13C">
      <w:numFmt w:val="decimal"/>
      <w:lvlText w:val=""/>
      <w:lvlJc w:val="left"/>
    </w:lvl>
    <w:lvl w:ilvl="2" w:tplc="7E342772">
      <w:numFmt w:val="decimal"/>
      <w:lvlText w:val=""/>
      <w:lvlJc w:val="left"/>
    </w:lvl>
    <w:lvl w:ilvl="3" w:tplc="9C3629CC">
      <w:numFmt w:val="decimal"/>
      <w:lvlText w:val=""/>
      <w:lvlJc w:val="left"/>
    </w:lvl>
    <w:lvl w:ilvl="4" w:tplc="BEC4F6CC">
      <w:numFmt w:val="decimal"/>
      <w:lvlText w:val=""/>
      <w:lvlJc w:val="left"/>
    </w:lvl>
    <w:lvl w:ilvl="5" w:tplc="A2589B4C">
      <w:numFmt w:val="decimal"/>
      <w:lvlText w:val=""/>
      <w:lvlJc w:val="left"/>
    </w:lvl>
    <w:lvl w:ilvl="6" w:tplc="5004201E">
      <w:numFmt w:val="decimal"/>
      <w:lvlText w:val=""/>
      <w:lvlJc w:val="left"/>
    </w:lvl>
    <w:lvl w:ilvl="7" w:tplc="9DD45872">
      <w:numFmt w:val="decimal"/>
      <w:lvlText w:val=""/>
      <w:lvlJc w:val="left"/>
    </w:lvl>
    <w:lvl w:ilvl="8" w:tplc="5F5256CE">
      <w:numFmt w:val="decimal"/>
      <w:lvlText w:val=""/>
      <w:lvlJc w:val="left"/>
    </w:lvl>
  </w:abstractNum>
  <w:num w:numId="1" w16cid:durableId="3617068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3817927">
    <w:abstractNumId w:val="24"/>
  </w:num>
  <w:num w:numId="3" w16cid:durableId="1016928623">
    <w:abstractNumId w:val="3"/>
  </w:num>
  <w:num w:numId="4" w16cid:durableId="82924059">
    <w:abstractNumId w:val="2"/>
  </w:num>
  <w:num w:numId="5" w16cid:durableId="710032175">
    <w:abstractNumId w:val="1"/>
  </w:num>
  <w:num w:numId="6" w16cid:durableId="1692802673">
    <w:abstractNumId w:val="0"/>
  </w:num>
  <w:num w:numId="7" w16cid:durableId="963926393">
    <w:abstractNumId w:val="46"/>
  </w:num>
  <w:num w:numId="8" w16cid:durableId="1590650495">
    <w:abstractNumId w:val="45"/>
  </w:num>
  <w:num w:numId="9" w16cid:durableId="1644651836">
    <w:abstractNumId w:val="66"/>
  </w:num>
  <w:num w:numId="10" w16cid:durableId="1397819403">
    <w:abstractNumId w:val="15"/>
  </w:num>
  <w:num w:numId="11" w16cid:durableId="2126849777">
    <w:abstractNumId w:val="8"/>
  </w:num>
  <w:num w:numId="12" w16cid:durableId="293095816">
    <w:abstractNumId w:val="4"/>
  </w:num>
  <w:num w:numId="13" w16cid:durableId="1356810672">
    <w:abstractNumId w:val="42"/>
  </w:num>
  <w:num w:numId="14" w16cid:durableId="715206066">
    <w:abstractNumId w:val="40"/>
  </w:num>
  <w:num w:numId="15" w16cid:durableId="498814732">
    <w:abstractNumId w:val="67"/>
  </w:num>
  <w:num w:numId="16" w16cid:durableId="941032490">
    <w:abstractNumId w:val="17"/>
  </w:num>
  <w:num w:numId="17" w16cid:durableId="1331375738">
    <w:abstractNumId w:val="40"/>
  </w:num>
  <w:num w:numId="18" w16cid:durableId="591207901">
    <w:abstractNumId w:val="69"/>
  </w:num>
  <w:num w:numId="19" w16cid:durableId="2085641658">
    <w:abstractNumId w:val="80"/>
  </w:num>
  <w:num w:numId="20" w16cid:durableId="1244025458">
    <w:abstractNumId w:val="18"/>
  </w:num>
  <w:num w:numId="21" w16cid:durableId="1714578838">
    <w:abstractNumId w:val="82"/>
  </w:num>
  <w:num w:numId="22" w16cid:durableId="1333681833">
    <w:abstractNumId w:val="27"/>
  </w:num>
  <w:num w:numId="23" w16cid:durableId="468018861">
    <w:abstractNumId w:val="83"/>
  </w:num>
  <w:num w:numId="24" w16cid:durableId="1912109328">
    <w:abstractNumId w:val="62"/>
  </w:num>
  <w:num w:numId="25" w16cid:durableId="1209952050">
    <w:abstractNumId w:val="29"/>
  </w:num>
  <w:num w:numId="26" w16cid:durableId="1572427502">
    <w:abstractNumId w:val="20"/>
  </w:num>
  <w:num w:numId="27" w16cid:durableId="1141187926">
    <w:abstractNumId w:val="5"/>
  </w:num>
  <w:num w:numId="28" w16cid:durableId="247690804">
    <w:abstractNumId w:val="77"/>
  </w:num>
  <w:num w:numId="29" w16cid:durableId="557668259">
    <w:abstractNumId w:val="32"/>
  </w:num>
  <w:num w:numId="30" w16cid:durableId="1407800923">
    <w:abstractNumId w:val="76"/>
  </w:num>
  <w:num w:numId="31" w16cid:durableId="526024123">
    <w:abstractNumId w:val="21"/>
  </w:num>
  <w:num w:numId="32" w16cid:durableId="1363894952">
    <w:abstractNumId w:val="26"/>
  </w:num>
  <w:num w:numId="33" w16cid:durableId="622735852">
    <w:abstractNumId w:val="14"/>
  </w:num>
  <w:num w:numId="34" w16cid:durableId="227962117">
    <w:abstractNumId w:val="72"/>
  </w:num>
  <w:num w:numId="35" w16cid:durableId="703092215">
    <w:abstractNumId w:val="70"/>
  </w:num>
  <w:num w:numId="36" w16cid:durableId="858858116">
    <w:abstractNumId w:val="48"/>
  </w:num>
  <w:num w:numId="37" w16cid:durableId="467628463">
    <w:abstractNumId w:val="22"/>
  </w:num>
  <w:num w:numId="38" w16cid:durableId="656037484">
    <w:abstractNumId w:val="47"/>
  </w:num>
  <w:num w:numId="39" w16cid:durableId="1639609026">
    <w:abstractNumId w:val="38"/>
  </w:num>
  <w:num w:numId="40" w16cid:durableId="873539529">
    <w:abstractNumId w:val="59"/>
  </w:num>
  <w:num w:numId="41" w16cid:durableId="2138374647">
    <w:abstractNumId w:val="16"/>
  </w:num>
  <w:num w:numId="42" w16cid:durableId="470757783">
    <w:abstractNumId w:val="12"/>
  </w:num>
  <w:num w:numId="43" w16cid:durableId="969825252">
    <w:abstractNumId w:val="79"/>
  </w:num>
  <w:num w:numId="44" w16cid:durableId="212010817">
    <w:abstractNumId w:val="74"/>
  </w:num>
  <w:num w:numId="45" w16cid:durableId="43676121">
    <w:abstractNumId w:val="31"/>
  </w:num>
  <w:num w:numId="46" w16cid:durableId="1851288003">
    <w:abstractNumId w:val="68"/>
  </w:num>
  <w:num w:numId="47" w16cid:durableId="1350058508">
    <w:abstractNumId w:val="19"/>
  </w:num>
  <w:num w:numId="48" w16cid:durableId="437528335">
    <w:abstractNumId w:val="56"/>
  </w:num>
  <w:num w:numId="49" w16cid:durableId="1294825197">
    <w:abstractNumId w:val="54"/>
  </w:num>
  <w:num w:numId="50" w16cid:durableId="1571815457">
    <w:abstractNumId w:val="41"/>
  </w:num>
  <w:num w:numId="51" w16cid:durableId="484316262">
    <w:abstractNumId w:val="34"/>
  </w:num>
  <w:num w:numId="52" w16cid:durableId="1727097914">
    <w:abstractNumId w:val="75"/>
  </w:num>
  <w:num w:numId="53" w16cid:durableId="1521236895">
    <w:abstractNumId w:val="33"/>
  </w:num>
  <w:num w:numId="54" w16cid:durableId="322008419">
    <w:abstractNumId w:val="55"/>
  </w:num>
  <w:num w:numId="55" w16cid:durableId="263921465">
    <w:abstractNumId w:val="53"/>
  </w:num>
  <w:num w:numId="56" w16cid:durableId="367991783">
    <w:abstractNumId w:val="10"/>
  </w:num>
  <w:num w:numId="57" w16cid:durableId="88309172">
    <w:abstractNumId w:val="37"/>
  </w:num>
  <w:num w:numId="58" w16cid:durableId="811678450">
    <w:abstractNumId w:val="60"/>
  </w:num>
  <w:num w:numId="59" w16cid:durableId="564873798">
    <w:abstractNumId w:val="39"/>
  </w:num>
  <w:num w:numId="60" w16cid:durableId="1042486210">
    <w:abstractNumId w:val="81"/>
  </w:num>
  <w:num w:numId="61" w16cid:durableId="703336032">
    <w:abstractNumId w:val="35"/>
  </w:num>
  <w:num w:numId="62" w16cid:durableId="474446936">
    <w:abstractNumId w:val="50"/>
  </w:num>
  <w:num w:numId="63" w16cid:durableId="2779176">
    <w:abstractNumId w:val="30"/>
  </w:num>
  <w:num w:numId="64" w16cid:durableId="594093480">
    <w:abstractNumId w:val="11"/>
  </w:num>
  <w:num w:numId="65" w16cid:durableId="1668171706">
    <w:abstractNumId w:val="13"/>
  </w:num>
  <w:num w:numId="66" w16cid:durableId="1651253782">
    <w:abstractNumId w:val="7"/>
  </w:num>
  <w:num w:numId="67" w16cid:durableId="1779061556">
    <w:abstractNumId w:val="73"/>
  </w:num>
  <w:num w:numId="68" w16cid:durableId="1239680391">
    <w:abstractNumId w:val="61"/>
  </w:num>
  <w:num w:numId="69" w16cid:durableId="1150906147">
    <w:abstractNumId w:val="57"/>
  </w:num>
  <w:num w:numId="70" w16cid:durableId="1489784797">
    <w:abstractNumId w:val="63"/>
  </w:num>
  <w:num w:numId="71" w16cid:durableId="489097497">
    <w:abstractNumId w:val="49"/>
  </w:num>
  <w:num w:numId="72" w16cid:durableId="644546909">
    <w:abstractNumId w:val="44"/>
  </w:num>
  <w:num w:numId="73" w16cid:durableId="1947039723">
    <w:abstractNumId w:val="25"/>
  </w:num>
  <w:num w:numId="74" w16cid:durableId="881358471">
    <w:abstractNumId w:val="51"/>
  </w:num>
  <w:num w:numId="75" w16cid:durableId="1110510192">
    <w:abstractNumId w:val="28"/>
  </w:num>
  <w:num w:numId="76" w16cid:durableId="1095050055">
    <w:abstractNumId w:val="58"/>
  </w:num>
  <w:num w:numId="77" w16cid:durableId="196045901">
    <w:abstractNumId w:val="78"/>
  </w:num>
  <w:num w:numId="78" w16cid:durableId="1504971158">
    <w:abstractNumId w:val="3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79" w16cid:durableId="1929651438">
    <w:abstractNumId w:val="3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80" w16cid:durableId="1319386872">
    <w:abstractNumId w:val="65"/>
  </w:num>
  <w:num w:numId="81" w16cid:durableId="63124907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34267630">
    <w:abstractNumId w:val="36"/>
  </w:num>
  <w:num w:numId="83" w16cid:durableId="7273844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5391047">
    <w:abstractNumId w:val="23"/>
  </w:num>
  <w:num w:numId="85" w16cid:durableId="1016544610">
    <w:abstractNumId w:val="71"/>
  </w:num>
  <w:num w:numId="86" w16cid:durableId="1918174730">
    <w:abstractNumId w:val="64"/>
  </w:num>
  <w:num w:numId="87" w16cid:durableId="93210893">
    <w:abstractNumId w:val="43"/>
  </w:num>
  <w:num w:numId="88" w16cid:durableId="787161209">
    <w:abstractNumId w:val="9"/>
  </w:num>
  <w:num w:numId="89" w16cid:durableId="644548448">
    <w:abstractNumId w:val="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0"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4E"/>
    <w:rsid w:val="000005F4"/>
    <w:rsid w:val="000005FE"/>
    <w:rsid w:val="00000710"/>
    <w:rsid w:val="000008A2"/>
    <w:rsid w:val="00000AC8"/>
    <w:rsid w:val="00000ECF"/>
    <w:rsid w:val="00001111"/>
    <w:rsid w:val="00001522"/>
    <w:rsid w:val="00001CFF"/>
    <w:rsid w:val="00001F84"/>
    <w:rsid w:val="000020FB"/>
    <w:rsid w:val="000028E6"/>
    <w:rsid w:val="00002967"/>
    <w:rsid w:val="00002A37"/>
    <w:rsid w:val="00002B4C"/>
    <w:rsid w:val="00002F69"/>
    <w:rsid w:val="00003154"/>
    <w:rsid w:val="000032DB"/>
    <w:rsid w:val="0000333F"/>
    <w:rsid w:val="000033AA"/>
    <w:rsid w:val="000033B7"/>
    <w:rsid w:val="00003815"/>
    <w:rsid w:val="0000394C"/>
    <w:rsid w:val="00003B47"/>
    <w:rsid w:val="00003D59"/>
    <w:rsid w:val="00003D76"/>
    <w:rsid w:val="00003E4E"/>
    <w:rsid w:val="00003EA4"/>
    <w:rsid w:val="00003F64"/>
    <w:rsid w:val="000040A8"/>
    <w:rsid w:val="00004532"/>
    <w:rsid w:val="000046FB"/>
    <w:rsid w:val="00004A14"/>
    <w:rsid w:val="00004B73"/>
    <w:rsid w:val="00004BAA"/>
    <w:rsid w:val="00004BDE"/>
    <w:rsid w:val="00004C7B"/>
    <w:rsid w:val="00004D0C"/>
    <w:rsid w:val="00004FC4"/>
    <w:rsid w:val="00005044"/>
    <w:rsid w:val="000052CA"/>
    <w:rsid w:val="00005582"/>
    <w:rsid w:val="000063C9"/>
    <w:rsid w:val="00006455"/>
    <w:rsid w:val="000066E4"/>
    <w:rsid w:val="00006CB3"/>
    <w:rsid w:val="0000746E"/>
    <w:rsid w:val="000075D5"/>
    <w:rsid w:val="00007664"/>
    <w:rsid w:val="00007A1A"/>
    <w:rsid w:val="00010485"/>
    <w:rsid w:val="0001087D"/>
    <w:rsid w:val="000108A5"/>
    <w:rsid w:val="000112DB"/>
    <w:rsid w:val="000115C6"/>
    <w:rsid w:val="00011697"/>
    <w:rsid w:val="000116B0"/>
    <w:rsid w:val="000119F7"/>
    <w:rsid w:val="00011A24"/>
    <w:rsid w:val="00012069"/>
    <w:rsid w:val="0001223B"/>
    <w:rsid w:val="000124AB"/>
    <w:rsid w:val="00012ABE"/>
    <w:rsid w:val="00012FD9"/>
    <w:rsid w:val="00013020"/>
    <w:rsid w:val="000131A3"/>
    <w:rsid w:val="000133C5"/>
    <w:rsid w:val="0001378D"/>
    <w:rsid w:val="00013BC8"/>
    <w:rsid w:val="00013CA8"/>
    <w:rsid w:val="00013E33"/>
    <w:rsid w:val="00014445"/>
    <w:rsid w:val="000146CB"/>
    <w:rsid w:val="00014B89"/>
    <w:rsid w:val="00014CDE"/>
    <w:rsid w:val="00015273"/>
    <w:rsid w:val="0001545B"/>
    <w:rsid w:val="00015A6A"/>
    <w:rsid w:val="00015AE2"/>
    <w:rsid w:val="00015B12"/>
    <w:rsid w:val="00015FA3"/>
    <w:rsid w:val="000164CD"/>
    <w:rsid w:val="00016642"/>
    <w:rsid w:val="000168B0"/>
    <w:rsid w:val="00016AE6"/>
    <w:rsid w:val="00016D32"/>
    <w:rsid w:val="00016DB9"/>
    <w:rsid w:val="00016F68"/>
    <w:rsid w:val="00016FC3"/>
    <w:rsid w:val="00017107"/>
    <w:rsid w:val="0001710B"/>
    <w:rsid w:val="0001712A"/>
    <w:rsid w:val="000172F1"/>
    <w:rsid w:val="000173B3"/>
    <w:rsid w:val="00017A4A"/>
    <w:rsid w:val="00017B97"/>
    <w:rsid w:val="00017B98"/>
    <w:rsid w:val="00020009"/>
    <w:rsid w:val="00020089"/>
    <w:rsid w:val="00020297"/>
    <w:rsid w:val="0002082F"/>
    <w:rsid w:val="00020A3F"/>
    <w:rsid w:val="00020AAF"/>
    <w:rsid w:val="00020D2C"/>
    <w:rsid w:val="00020D44"/>
    <w:rsid w:val="00020E78"/>
    <w:rsid w:val="00020ECB"/>
    <w:rsid w:val="00020F59"/>
    <w:rsid w:val="00020F85"/>
    <w:rsid w:val="00021115"/>
    <w:rsid w:val="000211D0"/>
    <w:rsid w:val="0002153A"/>
    <w:rsid w:val="00021789"/>
    <w:rsid w:val="00021A0A"/>
    <w:rsid w:val="00021A39"/>
    <w:rsid w:val="00021F57"/>
    <w:rsid w:val="00021FFC"/>
    <w:rsid w:val="0002254A"/>
    <w:rsid w:val="000226B8"/>
    <w:rsid w:val="00022A66"/>
    <w:rsid w:val="00022D8A"/>
    <w:rsid w:val="00023268"/>
    <w:rsid w:val="00023477"/>
    <w:rsid w:val="000234DC"/>
    <w:rsid w:val="00023773"/>
    <w:rsid w:val="0002378D"/>
    <w:rsid w:val="000238C2"/>
    <w:rsid w:val="000239FC"/>
    <w:rsid w:val="00023C53"/>
    <w:rsid w:val="00024235"/>
    <w:rsid w:val="000242CF"/>
    <w:rsid w:val="000245B6"/>
    <w:rsid w:val="00024CAA"/>
    <w:rsid w:val="00024D92"/>
    <w:rsid w:val="00024EA6"/>
    <w:rsid w:val="00024F0C"/>
    <w:rsid w:val="000255BE"/>
    <w:rsid w:val="00025710"/>
    <w:rsid w:val="00025C4B"/>
    <w:rsid w:val="00025E7D"/>
    <w:rsid w:val="000260E3"/>
    <w:rsid w:val="0002628D"/>
    <w:rsid w:val="0002677F"/>
    <w:rsid w:val="00026AC5"/>
    <w:rsid w:val="00027216"/>
    <w:rsid w:val="0002721E"/>
    <w:rsid w:val="00027987"/>
    <w:rsid w:val="00027D0C"/>
    <w:rsid w:val="00027FF6"/>
    <w:rsid w:val="00030078"/>
    <w:rsid w:val="0003014E"/>
    <w:rsid w:val="000305EA"/>
    <w:rsid w:val="00030875"/>
    <w:rsid w:val="00030C1E"/>
    <w:rsid w:val="00031008"/>
    <w:rsid w:val="00031020"/>
    <w:rsid w:val="0003120C"/>
    <w:rsid w:val="000312EC"/>
    <w:rsid w:val="00031617"/>
    <w:rsid w:val="00031F08"/>
    <w:rsid w:val="0003220F"/>
    <w:rsid w:val="00032506"/>
    <w:rsid w:val="000327CB"/>
    <w:rsid w:val="0003291B"/>
    <w:rsid w:val="00032AF7"/>
    <w:rsid w:val="000331DB"/>
    <w:rsid w:val="000332D4"/>
    <w:rsid w:val="00033833"/>
    <w:rsid w:val="000338E2"/>
    <w:rsid w:val="00033BB4"/>
    <w:rsid w:val="00033C13"/>
    <w:rsid w:val="00033CE1"/>
    <w:rsid w:val="00033DB9"/>
    <w:rsid w:val="00033DBB"/>
    <w:rsid w:val="00033EAC"/>
    <w:rsid w:val="00034765"/>
    <w:rsid w:val="0003491C"/>
    <w:rsid w:val="00035157"/>
    <w:rsid w:val="0003530D"/>
    <w:rsid w:val="000353F7"/>
    <w:rsid w:val="00035610"/>
    <w:rsid w:val="00035A58"/>
    <w:rsid w:val="00035B0C"/>
    <w:rsid w:val="00035B47"/>
    <w:rsid w:val="00035B9B"/>
    <w:rsid w:val="00035BAC"/>
    <w:rsid w:val="00035C2F"/>
    <w:rsid w:val="00035DBA"/>
    <w:rsid w:val="000360DD"/>
    <w:rsid w:val="00036705"/>
    <w:rsid w:val="00036903"/>
    <w:rsid w:val="0003691C"/>
    <w:rsid w:val="00036990"/>
    <w:rsid w:val="00036B5B"/>
    <w:rsid w:val="00036BBC"/>
    <w:rsid w:val="00036C2D"/>
    <w:rsid w:val="000370A3"/>
    <w:rsid w:val="00037169"/>
    <w:rsid w:val="00037249"/>
    <w:rsid w:val="00037275"/>
    <w:rsid w:val="0003727E"/>
    <w:rsid w:val="000375C7"/>
    <w:rsid w:val="000377A3"/>
    <w:rsid w:val="00037815"/>
    <w:rsid w:val="00037C17"/>
    <w:rsid w:val="00037ED9"/>
    <w:rsid w:val="00037F32"/>
    <w:rsid w:val="000401A1"/>
    <w:rsid w:val="000405F9"/>
    <w:rsid w:val="000406E7"/>
    <w:rsid w:val="000408A3"/>
    <w:rsid w:val="0004099F"/>
    <w:rsid w:val="00040E50"/>
    <w:rsid w:val="00040E62"/>
    <w:rsid w:val="00040F3C"/>
    <w:rsid w:val="00040F58"/>
    <w:rsid w:val="00041174"/>
    <w:rsid w:val="00041225"/>
    <w:rsid w:val="0004123E"/>
    <w:rsid w:val="00041481"/>
    <w:rsid w:val="00041627"/>
    <w:rsid w:val="00041A13"/>
    <w:rsid w:val="00041DB4"/>
    <w:rsid w:val="00041F9A"/>
    <w:rsid w:val="000420F0"/>
    <w:rsid w:val="00042160"/>
    <w:rsid w:val="0004229D"/>
    <w:rsid w:val="0004294D"/>
    <w:rsid w:val="000429AC"/>
    <w:rsid w:val="000429FF"/>
    <w:rsid w:val="00042B6A"/>
    <w:rsid w:val="00042B99"/>
    <w:rsid w:val="00042BA4"/>
    <w:rsid w:val="00043000"/>
    <w:rsid w:val="00043130"/>
    <w:rsid w:val="00043403"/>
    <w:rsid w:val="00043412"/>
    <w:rsid w:val="000434DE"/>
    <w:rsid w:val="00043518"/>
    <w:rsid w:val="00043635"/>
    <w:rsid w:val="0004375C"/>
    <w:rsid w:val="00043C1D"/>
    <w:rsid w:val="00043EAF"/>
    <w:rsid w:val="00043F2B"/>
    <w:rsid w:val="00043F82"/>
    <w:rsid w:val="00044177"/>
    <w:rsid w:val="0004449A"/>
    <w:rsid w:val="0004451B"/>
    <w:rsid w:val="0004483C"/>
    <w:rsid w:val="00044882"/>
    <w:rsid w:val="00044978"/>
    <w:rsid w:val="00044BB2"/>
    <w:rsid w:val="00044FF5"/>
    <w:rsid w:val="00045214"/>
    <w:rsid w:val="00045359"/>
    <w:rsid w:val="000454D3"/>
    <w:rsid w:val="00045543"/>
    <w:rsid w:val="00045830"/>
    <w:rsid w:val="000458C5"/>
    <w:rsid w:val="00045ECD"/>
    <w:rsid w:val="00046666"/>
    <w:rsid w:val="00046BA0"/>
    <w:rsid w:val="00046D1C"/>
    <w:rsid w:val="00046D9B"/>
    <w:rsid w:val="00046FB7"/>
    <w:rsid w:val="00047182"/>
    <w:rsid w:val="000472B1"/>
    <w:rsid w:val="00047621"/>
    <w:rsid w:val="0004775C"/>
    <w:rsid w:val="00047BAC"/>
    <w:rsid w:val="000501C2"/>
    <w:rsid w:val="000505A2"/>
    <w:rsid w:val="000505C7"/>
    <w:rsid w:val="000506E6"/>
    <w:rsid w:val="00050809"/>
    <w:rsid w:val="00050859"/>
    <w:rsid w:val="000508AD"/>
    <w:rsid w:val="0005144A"/>
    <w:rsid w:val="00051548"/>
    <w:rsid w:val="000516AE"/>
    <w:rsid w:val="000516C4"/>
    <w:rsid w:val="000517C0"/>
    <w:rsid w:val="000517C2"/>
    <w:rsid w:val="000519E5"/>
    <w:rsid w:val="00051BEE"/>
    <w:rsid w:val="00052359"/>
    <w:rsid w:val="0005243B"/>
    <w:rsid w:val="00052524"/>
    <w:rsid w:val="000525C1"/>
    <w:rsid w:val="00052844"/>
    <w:rsid w:val="000528A2"/>
    <w:rsid w:val="00052B12"/>
    <w:rsid w:val="00052C42"/>
    <w:rsid w:val="0005308E"/>
    <w:rsid w:val="000531F1"/>
    <w:rsid w:val="00053365"/>
    <w:rsid w:val="00053A0B"/>
    <w:rsid w:val="00053C79"/>
    <w:rsid w:val="00053CFD"/>
    <w:rsid w:val="00053D7B"/>
    <w:rsid w:val="00054EE3"/>
    <w:rsid w:val="00054EE8"/>
    <w:rsid w:val="00054FE1"/>
    <w:rsid w:val="000550DC"/>
    <w:rsid w:val="00055241"/>
    <w:rsid w:val="0005544E"/>
    <w:rsid w:val="0005547A"/>
    <w:rsid w:val="00055602"/>
    <w:rsid w:val="00055899"/>
    <w:rsid w:val="00055F94"/>
    <w:rsid w:val="00056170"/>
    <w:rsid w:val="00056797"/>
    <w:rsid w:val="00056A0A"/>
    <w:rsid w:val="00056D52"/>
    <w:rsid w:val="00056E0D"/>
    <w:rsid w:val="0005708F"/>
    <w:rsid w:val="0005745E"/>
    <w:rsid w:val="000574CA"/>
    <w:rsid w:val="00057C98"/>
    <w:rsid w:val="000600E1"/>
    <w:rsid w:val="00060211"/>
    <w:rsid w:val="0006023C"/>
    <w:rsid w:val="000602C1"/>
    <w:rsid w:val="00060734"/>
    <w:rsid w:val="00060856"/>
    <w:rsid w:val="000609CB"/>
    <w:rsid w:val="00060A19"/>
    <w:rsid w:val="00060D2E"/>
    <w:rsid w:val="00060DB5"/>
    <w:rsid w:val="00060F62"/>
    <w:rsid w:val="0006130E"/>
    <w:rsid w:val="000613C5"/>
    <w:rsid w:val="000615E7"/>
    <w:rsid w:val="00061612"/>
    <w:rsid w:val="000618E4"/>
    <w:rsid w:val="00061A84"/>
    <w:rsid w:val="00061E1A"/>
    <w:rsid w:val="00062101"/>
    <w:rsid w:val="00062121"/>
    <w:rsid w:val="0006214F"/>
    <w:rsid w:val="00062350"/>
    <w:rsid w:val="00062885"/>
    <w:rsid w:val="000628A9"/>
    <w:rsid w:val="00062A27"/>
    <w:rsid w:val="00063184"/>
    <w:rsid w:val="000631EE"/>
    <w:rsid w:val="0006325D"/>
    <w:rsid w:val="0006351A"/>
    <w:rsid w:val="000637A6"/>
    <w:rsid w:val="00063D85"/>
    <w:rsid w:val="00063D86"/>
    <w:rsid w:val="000641EC"/>
    <w:rsid w:val="000643EB"/>
    <w:rsid w:val="0006482E"/>
    <w:rsid w:val="000648B2"/>
    <w:rsid w:val="0006494C"/>
    <w:rsid w:val="00064A71"/>
    <w:rsid w:val="0006537F"/>
    <w:rsid w:val="00065A41"/>
    <w:rsid w:val="00065A78"/>
    <w:rsid w:val="00065AF6"/>
    <w:rsid w:val="00065BC4"/>
    <w:rsid w:val="00065D26"/>
    <w:rsid w:val="00065D5D"/>
    <w:rsid w:val="00065F2A"/>
    <w:rsid w:val="0006607F"/>
    <w:rsid w:val="0006618A"/>
    <w:rsid w:val="00066589"/>
    <w:rsid w:val="000666BD"/>
    <w:rsid w:val="00066975"/>
    <w:rsid w:val="00066BBA"/>
    <w:rsid w:val="00066FAC"/>
    <w:rsid w:val="00067C75"/>
    <w:rsid w:val="00067D4D"/>
    <w:rsid w:val="00067D57"/>
    <w:rsid w:val="00067DB5"/>
    <w:rsid w:val="000703C0"/>
    <w:rsid w:val="00070502"/>
    <w:rsid w:val="00070656"/>
    <w:rsid w:val="00070D2F"/>
    <w:rsid w:val="00070DC5"/>
    <w:rsid w:val="00070DFE"/>
    <w:rsid w:val="00071509"/>
    <w:rsid w:val="000715BC"/>
    <w:rsid w:val="0007180A"/>
    <w:rsid w:val="00072002"/>
    <w:rsid w:val="00072262"/>
    <w:rsid w:val="00072849"/>
    <w:rsid w:val="000729EE"/>
    <w:rsid w:val="000735BF"/>
    <w:rsid w:val="0007398D"/>
    <w:rsid w:val="00073DEE"/>
    <w:rsid w:val="00073EEF"/>
    <w:rsid w:val="00073F3C"/>
    <w:rsid w:val="00073FAB"/>
    <w:rsid w:val="000740B9"/>
    <w:rsid w:val="000741AA"/>
    <w:rsid w:val="000741CF"/>
    <w:rsid w:val="0007462E"/>
    <w:rsid w:val="00074646"/>
    <w:rsid w:val="00074E90"/>
    <w:rsid w:val="0007572F"/>
    <w:rsid w:val="00075967"/>
    <w:rsid w:val="00075B7D"/>
    <w:rsid w:val="00076045"/>
    <w:rsid w:val="00076199"/>
    <w:rsid w:val="0007620F"/>
    <w:rsid w:val="00076294"/>
    <w:rsid w:val="000762C1"/>
    <w:rsid w:val="000767F4"/>
    <w:rsid w:val="00076827"/>
    <w:rsid w:val="00076CCD"/>
    <w:rsid w:val="00076D29"/>
    <w:rsid w:val="00077110"/>
    <w:rsid w:val="000771B8"/>
    <w:rsid w:val="000773F5"/>
    <w:rsid w:val="0007783D"/>
    <w:rsid w:val="000779A6"/>
    <w:rsid w:val="00077BEB"/>
    <w:rsid w:val="00077F43"/>
    <w:rsid w:val="0008002D"/>
    <w:rsid w:val="0008021C"/>
    <w:rsid w:val="0008046F"/>
    <w:rsid w:val="000804C9"/>
    <w:rsid w:val="000805B5"/>
    <w:rsid w:val="0008077A"/>
    <w:rsid w:val="000807E0"/>
    <w:rsid w:val="00080C88"/>
    <w:rsid w:val="00080E64"/>
    <w:rsid w:val="00080F7F"/>
    <w:rsid w:val="00081318"/>
    <w:rsid w:val="000813BB"/>
    <w:rsid w:val="000813C7"/>
    <w:rsid w:val="000814C1"/>
    <w:rsid w:val="00081631"/>
    <w:rsid w:val="00081A69"/>
    <w:rsid w:val="00081C2C"/>
    <w:rsid w:val="00081D29"/>
    <w:rsid w:val="0008208D"/>
    <w:rsid w:val="0008287E"/>
    <w:rsid w:val="00082A1C"/>
    <w:rsid w:val="00082AEA"/>
    <w:rsid w:val="00082D77"/>
    <w:rsid w:val="00082D7B"/>
    <w:rsid w:val="00082D91"/>
    <w:rsid w:val="000831AC"/>
    <w:rsid w:val="00083275"/>
    <w:rsid w:val="00083BD9"/>
    <w:rsid w:val="00083C3D"/>
    <w:rsid w:val="00083DD5"/>
    <w:rsid w:val="00084039"/>
    <w:rsid w:val="0008410C"/>
    <w:rsid w:val="00084384"/>
    <w:rsid w:val="000845D6"/>
    <w:rsid w:val="0008462D"/>
    <w:rsid w:val="00084ADA"/>
    <w:rsid w:val="00084DAE"/>
    <w:rsid w:val="0008522C"/>
    <w:rsid w:val="000855FC"/>
    <w:rsid w:val="00085C40"/>
    <w:rsid w:val="00085DD8"/>
    <w:rsid w:val="00085E00"/>
    <w:rsid w:val="00086055"/>
    <w:rsid w:val="00086A21"/>
    <w:rsid w:val="00087136"/>
    <w:rsid w:val="000871CF"/>
    <w:rsid w:val="00087213"/>
    <w:rsid w:val="0008793B"/>
    <w:rsid w:val="00087F60"/>
    <w:rsid w:val="00090306"/>
    <w:rsid w:val="00090567"/>
    <w:rsid w:val="00090C63"/>
    <w:rsid w:val="00090EA0"/>
    <w:rsid w:val="00091188"/>
    <w:rsid w:val="00091874"/>
    <w:rsid w:val="00091AB9"/>
    <w:rsid w:val="00091E6D"/>
    <w:rsid w:val="000920AE"/>
    <w:rsid w:val="00092341"/>
    <w:rsid w:val="0009247C"/>
    <w:rsid w:val="00092523"/>
    <w:rsid w:val="00092708"/>
    <w:rsid w:val="00092811"/>
    <w:rsid w:val="00092C4E"/>
    <w:rsid w:val="00092F87"/>
    <w:rsid w:val="000931E2"/>
    <w:rsid w:val="00093294"/>
    <w:rsid w:val="00093335"/>
    <w:rsid w:val="000934D9"/>
    <w:rsid w:val="0009352B"/>
    <w:rsid w:val="0009352D"/>
    <w:rsid w:val="000935A3"/>
    <w:rsid w:val="0009388C"/>
    <w:rsid w:val="00093A56"/>
    <w:rsid w:val="00093C4E"/>
    <w:rsid w:val="00093D63"/>
    <w:rsid w:val="00094533"/>
    <w:rsid w:val="00094633"/>
    <w:rsid w:val="00094875"/>
    <w:rsid w:val="00094900"/>
    <w:rsid w:val="00094BEE"/>
    <w:rsid w:val="0009571D"/>
    <w:rsid w:val="00095B5E"/>
    <w:rsid w:val="00095CF8"/>
    <w:rsid w:val="000961D8"/>
    <w:rsid w:val="000966A7"/>
    <w:rsid w:val="00096843"/>
    <w:rsid w:val="00096AB8"/>
    <w:rsid w:val="00096CCE"/>
    <w:rsid w:val="00096D6D"/>
    <w:rsid w:val="0009733E"/>
    <w:rsid w:val="0009768A"/>
    <w:rsid w:val="00097882"/>
    <w:rsid w:val="000978C4"/>
    <w:rsid w:val="000A021A"/>
    <w:rsid w:val="000A0317"/>
    <w:rsid w:val="000A03A9"/>
    <w:rsid w:val="000A0852"/>
    <w:rsid w:val="000A095F"/>
    <w:rsid w:val="000A0FC5"/>
    <w:rsid w:val="000A108D"/>
    <w:rsid w:val="000A10BE"/>
    <w:rsid w:val="000A1970"/>
    <w:rsid w:val="000A1B7B"/>
    <w:rsid w:val="000A1D12"/>
    <w:rsid w:val="000A1DF0"/>
    <w:rsid w:val="000A1DF5"/>
    <w:rsid w:val="000A1E32"/>
    <w:rsid w:val="000A1FAE"/>
    <w:rsid w:val="000A23B9"/>
    <w:rsid w:val="000A24AB"/>
    <w:rsid w:val="000A2644"/>
    <w:rsid w:val="000A2A5B"/>
    <w:rsid w:val="000A2D58"/>
    <w:rsid w:val="000A2DE0"/>
    <w:rsid w:val="000A2DF9"/>
    <w:rsid w:val="000A31A8"/>
    <w:rsid w:val="000A320E"/>
    <w:rsid w:val="000A32A8"/>
    <w:rsid w:val="000A32EF"/>
    <w:rsid w:val="000A36B1"/>
    <w:rsid w:val="000A380D"/>
    <w:rsid w:val="000A4281"/>
    <w:rsid w:val="000A4351"/>
    <w:rsid w:val="000A44BE"/>
    <w:rsid w:val="000A4C60"/>
    <w:rsid w:val="000A52AF"/>
    <w:rsid w:val="000A540F"/>
    <w:rsid w:val="000A5506"/>
    <w:rsid w:val="000A5784"/>
    <w:rsid w:val="000A5F6D"/>
    <w:rsid w:val="000A6743"/>
    <w:rsid w:val="000A68E9"/>
    <w:rsid w:val="000A6907"/>
    <w:rsid w:val="000A6911"/>
    <w:rsid w:val="000A6B14"/>
    <w:rsid w:val="000A7036"/>
    <w:rsid w:val="000A73CA"/>
    <w:rsid w:val="000A75ED"/>
    <w:rsid w:val="000A7617"/>
    <w:rsid w:val="000A78E6"/>
    <w:rsid w:val="000A7D9F"/>
    <w:rsid w:val="000A7F05"/>
    <w:rsid w:val="000A7F46"/>
    <w:rsid w:val="000B04A7"/>
    <w:rsid w:val="000B05C4"/>
    <w:rsid w:val="000B0CC5"/>
    <w:rsid w:val="000B0EBB"/>
    <w:rsid w:val="000B0ED6"/>
    <w:rsid w:val="000B0EEF"/>
    <w:rsid w:val="000B0F76"/>
    <w:rsid w:val="000B1049"/>
    <w:rsid w:val="000B1137"/>
    <w:rsid w:val="000B1359"/>
    <w:rsid w:val="000B136C"/>
    <w:rsid w:val="000B142C"/>
    <w:rsid w:val="000B14F6"/>
    <w:rsid w:val="000B16D7"/>
    <w:rsid w:val="000B1A1C"/>
    <w:rsid w:val="000B1B6F"/>
    <w:rsid w:val="000B1C78"/>
    <w:rsid w:val="000B281B"/>
    <w:rsid w:val="000B2851"/>
    <w:rsid w:val="000B29BD"/>
    <w:rsid w:val="000B29C4"/>
    <w:rsid w:val="000B29DA"/>
    <w:rsid w:val="000B2AA1"/>
    <w:rsid w:val="000B2E3C"/>
    <w:rsid w:val="000B30C3"/>
    <w:rsid w:val="000B34DC"/>
    <w:rsid w:val="000B34F1"/>
    <w:rsid w:val="000B3513"/>
    <w:rsid w:val="000B37C1"/>
    <w:rsid w:val="000B383E"/>
    <w:rsid w:val="000B3928"/>
    <w:rsid w:val="000B3E8D"/>
    <w:rsid w:val="000B41A4"/>
    <w:rsid w:val="000B424F"/>
    <w:rsid w:val="000B4309"/>
    <w:rsid w:val="000B4410"/>
    <w:rsid w:val="000B4A12"/>
    <w:rsid w:val="000B52B3"/>
    <w:rsid w:val="000B5381"/>
    <w:rsid w:val="000B5856"/>
    <w:rsid w:val="000B59C8"/>
    <w:rsid w:val="000B5D23"/>
    <w:rsid w:val="000B5D3C"/>
    <w:rsid w:val="000B6528"/>
    <w:rsid w:val="000B6706"/>
    <w:rsid w:val="000B6ABF"/>
    <w:rsid w:val="000B6C05"/>
    <w:rsid w:val="000B6C95"/>
    <w:rsid w:val="000B6FC8"/>
    <w:rsid w:val="000B76F3"/>
    <w:rsid w:val="000B794E"/>
    <w:rsid w:val="000B7C0A"/>
    <w:rsid w:val="000B7C0F"/>
    <w:rsid w:val="000B7F0C"/>
    <w:rsid w:val="000C0206"/>
    <w:rsid w:val="000C0392"/>
    <w:rsid w:val="000C04BF"/>
    <w:rsid w:val="000C0668"/>
    <w:rsid w:val="000C081F"/>
    <w:rsid w:val="000C0DC6"/>
    <w:rsid w:val="000C0ECE"/>
    <w:rsid w:val="000C0EE7"/>
    <w:rsid w:val="000C10A6"/>
    <w:rsid w:val="000C13A7"/>
    <w:rsid w:val="000C16DD"/>
    <w:rsid w:val="000C1885"/>
    <w:rsid w:val="000C2012"/>
    <w:rsid w:val="000C20BD"/>
    <w:rsid w:val="000C232C"/>
    <w:rsid w:val="000C245F"/>
    <w:rsid w:val="000C2885"/>
    <w:rsid w:val="000C2894"/>
    <w:rsid w:val="000C2B24"/>
    <w:rsid w:val="000C2F59"/>
    <w:rsid w:val="000C3158"/>
    <w:rsid w:val="000C32E9"/>
    <w:rsid w:val="000C36BD"/>
    <w:rsid w:val="000C375A"/>
    <w:rsid w:val="000C3898"/>
    <w:rsid w:val="000C3937"/>
    <w:rsid w:val="000C3B30"/>
    <w:rsid w:val="000C3C4A"/>
    <w:rsid w:val="000C3D33"/>
    <w:rsid w:val="000C408B"/>
    <w:rsid w:val="000C4561"/>
    <w:rsid w:val="000C4655"/>
    <w:rsid w:val="000C468C"/>
    <w:rsid w:val="000C478A"/>
    <w:rsid w:val="000C4B7C"/>
    <w:rsid w:val="000C4E47"/>
    <w:rsid w:val="000C52DC"/>
    <w:rsid w:val="000C598B"/>
    <w:rsid w:val="000C5BF6"/>
    <w:rsid w:val="000C5CD1"/>
    <w:rsid w:val="000C5E70"/>
    <w:rsid w:val="000C5EA5"/>
    <w:rsid w:val="000C5F85"/>
    <w:rsid w:val="000C6316"/>
    <w:rsid w:val="000C663A"/>
    <w:rsid w:val="000C69C2"/>
    <w:rsid w:val="000C6C6D"/>
    <w:rsid w:val="000C7066"/>
    <w:rsid w:val="000C7454"/>
    <w:rsid w:val="000C7587"/>
    <w:rsid w:val="000C76A7"/>
    <w:rsid w:val="000C7ABE"/>
    <w:rsid w:val="000C7FF5"/>
    <w:rsid w:val="000D0745"/>
    <w:rsid w:val="000D0916"/>
    <w:rsid w:val="000D0B37"/>
    <w:rsid w:val="000D1265"/>
    <w:rsid w:val="000D15E6"/>
    <w:rsid w:val="000D17FB"/>
    <w:rsid w:val="000D19B9"/>
    <w:rsid w:val="000D1C17"/>
    <w:rsid w:val="000D1CCB"/>
    <w:rsid w:val="000D1E0D"/>
    <w:rsid w:val="000D2260"/>
    <w:rsid w:val="000D26F6"/>
    <w:rsid w:val="000D2912"/>
    <w:rsid w:val="000D2C3E"/>
    <w:rsid w:val="000D2DE0"/>
    <w:rsid w:val="000D3561"/>
    <w:rsid w:val="000D3725"/>
    <w:rsid w:val="000D394D"/>
    <w:rsid w:val="000D3C29"/>
    <w:rsid w:val="000D4213"/>
    <w:rsid w:val="000D4390"/>
    <w:rsid w:val="000D444C"/>
    <w:rsid w:val="000D4BE1"/>
    <w:rsid w:val="000D4DA3"/>
    <w:rsid w:val="000D4FA8"/>
    <w:rsid w:val="000D5409"/>
    <w:rsid w:val="000D5929"/>
    <w:rsid w:val="000D5A80"/>
    <w:rsid w:val="000D5C5A"/>
    <w:rsid w:val="000D5E0C"/>
    <w:rsid w:val="000D6363"/>
    <w:rsid w:val="000D654E"/>
    <w:rsid w:val="000D6591"/>
    <w:rsid w:val="000D6BDE"/>
    <w:rsid w:val="000D6EB5"/>
    <w:rsid w:val="000D7206"/>
    <w:rsid w:val="000D75E7"/>
    <w:rsid w:val="000D77A8"/>
    <w:rsid w:val="000D7AE6"/>
    <w:rsid w:val="000E0250"/>
    <w:rsid w:val="000E03A2"/>
    <w:rsid w:val="000E03D5"/>
    <w:rsid w:val="000E041F"/>
    <w:rsid w:val="000E053C"/>
    <w:rsid w:val="000E071B"/>
    <w:rsid w:val="000E0935"/>
    <w:rsid w:val="000E0ABC"/>
    <w:rsid w:val="000E0BCF"/>
    <w:rsid w:val="000E0DE5"/>
    <w:rsid w:val="000E1171"/>
    <w:rsid w:val="000E1882"/>
    <w:rsid w:val="000E1FDF"/>
    <w:rsid w:val="000E2933"/>
    <w:rsid w:val="000E2B16"/>
    <w:rsid w:val="000E2C94"/>
    <w:rsid w:val="000E2D7B"/>
    <w:rsid w:val="000E2F78"/>
    <w:rsid w:val="000E34E2"/>
    <w:rsid w:val="000E376C"/>
    <w:rsid w:val="000E3902"/>
    <w:rsid w:val="000E3D15"/>
    <w:rsid w:val="000E4048"/>
    <w:rsid w:val="000E45E9"/>
    <w:rsid w:val="000E4AA4"/>
    <w:rsid w:val="000E4B2B"/>
    <w:rsid w:val="000E4B9D"/>
    <w:rsid w:val="000E4CBE"/>
    <w:rsid w:val="000E4F9D"/>
    <w:rsid w:val="000E542F"/>
    <w:rsid w:val="000E549E"/>
    <w:rsid w:val="000E5613"/>
    <w:rsid w:val="000E5812"/>
    <w:rsid w:val="000E5AA4"/>
    <w:rsid w:val="000E5DA6"/>
    <w:rsid w:val="000E5DD8"/>
    <w:rsid w:val="000E5F0C"/>
    <w:rsid w:val="000E5F0D"/>
    <w:rsid w:val="000E6018"/>
    <w:rsid w:val="000E6060"/>
    <w:rsid w:val="000E6A1F"/>
    <w:rsid w:val="000E6DEE"/>
    <w:rsid w:val="000E6EF0"/>
    <w:rsid w:val="000E78BB"/>
    <w:rsid w:val="000E7B1C"/>
    <w:rsid w:val="000F0276"/>
    <w:rsid w:val="000F056D"/>
    <w:rsid w:val="000F05E4"/>
    <w:rsid w:val="000F0620"/>
    <w:rsid w:val="000F085D"/>
    <w:rsid w:val="000F109B"/>
    <w:rsid w:val="000F10C8"/>
    <w:rsid w:val="000F115B"/>
    <w:rsid w:val="000F14A2"/>
    <w:rsid w:val="000F14CE"/>
    <w:rsid w:val="000F1516"/>
    <w:rsid w:val="000F1603"/>
    <w:rsid w:val="000F165A"/>
    <w:rsid w:val="000F1705"/>
    <w:rsid w:val="000F185C"/>
    <w:rsid w:val="000F18AC"/>
    <w:rsid w:val="000F1ED4"/>
    <w:rsid w:val="000F1F65"/>
    <w:rsid w:val="000F21E6"/>
    <w:rsid w:val="000F2244"/>
    <w:rsid w:val="000F2717"/>
    <w:rsid w:val="000F2C3E"/>
    <w:rsid w:val="000F3183"/>
    <w:rsid w:val="000F31CD"/>
    <w:rsid w:val="000F3532"/>
    <w:rsid w:val="000F38B2"/>
    <w:rsid w:val="000F3941"/>
    <w:rsid w:val="000F3AF2"/>
    <w:rsid w:val="000F3B50"/>
    <w:rsid w:val="000F3C7C"/>
    <w:rsid w:val="000F3D32"/>
    <w:rsid w:val="000F4199"/>
    <w:rsid w:val="000F44F4"/>
    <w:rsid w:val="000F486E"/>
    <w:rsid w:val="000F4931"/>
    <w:rsid w:val="000F49D7"/>
    <w:rsid w:val="000F4AEC"/>
    <w:rsid w:val="000F548A"/>
    <w:rsid w:val="000F5542"/>
    <w:rsid w:val="000F55C0"/>
    <w:rsid w:val="000F57D4"/>
    <w:rsid w:val="000F5BE6"/>
    <w:rsid w:val="000F5C22"/>
    <w:rsid w:val="000F5E27"/>
    <w:rsid w:val="000F610C"/>
    <w:rsid w:val="000F6637"/>
    <w:rsid w:val="000F6DDA"/>
    <w:rsid w:val="000F7117"/>
    <w:rsid w:val="000F71CC"/>
    <w:rsid w:val="000F7401"/>
    <w:rsid w:val="000F7870"/>
    <w:rsid w:val="000F7884"/>
    <w:rsid w:val="000F7B57"/>
    <w:rsid w:val="000F7B9D"/>
    <w:rsid w:val="000F7C25"/>
    <w:rsid w:val="000F7C9B"/>
    <w:rsid w:val="000F7E7F"/>
    <w:rsid w:val="000F7E9B"/>
    <w:rsid w:val="000F7EFF"/>
    <w:rsid w:val="0010039D"/>
    <w:rsid w:val="00100518"/>
    <w:rsid w:val="0010081F"/>
    <w:rsid w:val="00100B9C"/>
    <w:rsid w:val="00100C39"/>
    <w:rsid w:val="00100EEF"/>
    <w:rsid w:val="00100F10"/>
    <w:rsid w:val="00100F23"/>
    <w:rsid w:val="0010113D"/>
    <w:rsid w:val="0010133E"/>
    <w:rsid w:val="0010138E"/>
    <w:rsid w:val="00101540"/>
    <w:rsid w:val="0010154F"/>
    <w:rsid w:val="001018AB"/>
    <w:rsid w:val="00102149"/>
    <w:rsid w:val="00102196"/>
    <w:rsid w:val="001021E1"/>
    <w:rsid w:val="00102480"/>
    <w:rsid w:val="001026D7"/>
    <w:rsid w:val="0010272B"/>
    <w:rsid w:val="00102774"/>
    <w:rsid w:val="001028C9"/>
    <w:rsid w:val="00102C50"/>
    <w:rsid w:val="00102D2A"/>
    <w:rsid w:val="00103256"/>
    <w:rsid w:val="001032E5"/>
    <w:rsid w:val="0010335B"/>
    <w:rsid w:val="00103929"/>
    <w:rsid w:val="00103B73"/>
    <w:rsid w:val="00103CD8"/>
    <w:rsid w:val="001041CA"/>
    <w:rsid w:val="0010462B"/>
    <w:rsid w:val="0010484D"/>
    <w:rsid w:val="00104DCC"/>
    <w:rsid w:val="00104F29"/>
    <w:rsid w:val="001050F9"/>
    <w:rsid w:val="00105163"/>
    <w:rsid w:val="001053B0"/>
    <w:rsid w:val="0010552F"/>
    <w:rsid w:val="00105575"/>
    <w:rsid w:val="0010561A"/>
    <w:rsid w:val="00105AA0"/>
    <w:rsid w:val="00105DD5"/>
    <w:rsid w:val="001065E8"/>
    <w:rsid w:val="00106990"/>
    <w:rsid w:val="00106D96"/>
    <w:rsid w:val="00106EFB"/>
    <w:rsid w:val="001071B4"/>
    <w:rsid w:val="00107526"/>
    <w:rsid w:val="0010767D"/>
    <w:rsid w:val="00107785"/>
    <w:rsid w:val="00107A48"/>
    <w:rsid w:val="00107FC1"/>
    <w:rsid w:val="00107FC8"/>
    <w:rsid w:val="00110510"/>
    <w:rsid w:val="0011059C"/>
    <w:rsid w:val="001106EA"/>
    <w:rsid w:val="00110C92"/>
    <w:rsid w:val="001110B3"/>
    <w:rsid w:val="00111186"/>
    <w:rsid w:val="001115C2"/>
    <w:rsid w:val="001116A9"/>
    <w:rsid w:val="001119CD"/>
    <w:rsid w:val="00111CEC"/>
    <w:rsid w:val="001120C6"/>
    <w:rsid w:val="00112599"/>
    <w:rsid w:val="00112A07"/>
    <w:rsid w:val="00112BB5"/>
    <w:rsid w:val="00112BB6"/>
    <w:rsid w:val="00112D74"/>
    <w:rsid w:val="00112E52"/>
    <w:rsid w:val="00112EEA"/>
    <w:rsid w:val="00113313"/>
    <w:rsid w:val="00113436"/>
    <w:rsid w:val="00113B50"/>
    <w:rsid w:val="00113BBE"/>
    <w:rsid w:val="00113D7F"/>
    <w:rsid w:val="00113DB1"/>
    <w:rsid w:val="0011439F"/>
    <w:rsid w:val="0011486F"/>
    <w:rsid w:val="001149CD"/>
    <w:rsid w:val="00114A80"/>
    <w:rsid w:val="001151FC"/>
    <w:rsid w:val="00115F28"/>
    <w:rsid w:val="00116011"/>
    <w:rsid w:val="001160AD"/>
    <w:rsid w:val="001162BF"/>
    <w:rsid w:val="001162CD"/>
    <w:rsid w:val="001167C4"/>
    <w:rsid w:val="00116934"/>
    <w:rsid w:val="00117547"/>
    <w:rsid w:val="001175D8"/>
    <w:rsid w:val="001175EB"/>
    <w:rsid w:val="0011761B"/>
    <w:rsid w:val="0011769C"/>
    <w:rsid w:val="00117B33"/>
    <w:rsid w:val="00117B5E"/>
    <w:rsid w:val="00117D9E"/>
    <w:rsid w:val="00117EB2"/>
    <w:rsid w:val="001200AA"/>
    <w:rsid w:val="001201BB"/>
    <w:rsid w:val="001203D3"/>
    <w:rsid w:val="00120639"/>
    <w:rsid w:val="001208D8"/>
    <w:rsid w:val="00120961"/>
    <w:rsid w:val="00120A12"/>
    <w:rsid w:val="0012108C"/>
    <w:rsid w:val="0012113B"/>
    <w:rsid w:val="0012167F"/>
    <w:rsid w:val="00121AA5"/>
    <w:rsid w:val="00121ABE"/>
    <w:rsid w:val="00121F37"/>
    <w:rsid w:val="00122067"/>
    <w:rsid w:val="00122840"/>
    <w:rsid w:val="001228A0"/>
    <w:rsid w:val="00122CB5"/>
    <w:rsid w:val="00122D80"/>
    <w:rsid w:val="001232D8"/>
    <w:rsid w:val="00123674"/>
    <w:rsid w:val="001236D6"/>
    <w:rsid w:val="00123AD3"/>
    <w:rsid w:val="00123C41"/>
    <w:rsid w:val="00123EF9"/>
    <w:rsid w:val="00124056"/>
    <w:rsid w:val="001240AD"/>
    <w:rsid w:val="00124284"/>
    <w:rsid w:val="0012483F"/>
    <w:rsid w:val="0012499D"/>
    <w:rsid w:val="00124A0D"/>
    <w:rsid w:val="00124B34"/>
    <w:rsid w:val="0012510B"/>
    <w:rsid w:val="001253AF"/>
    <w:rsid w:val="001253D0"/>
    <w:rsid w:val="00125D77"/>
    <w:rsid w:val="00125E7C"/>
    <w:rsid w:val="00125FB6"/>
    <w:rsid w:val="001261CC"/>
    <w:rsid w:val="00126378"/>
    <w:rsid w:val="001263ED"/>
    <w:rsid w:val="001265CF"/>
    <w:rsid w:val="001268F9"/>
    <w:rsid w:val="00126DBA"/>
    <w:rsid w:val="00126E60"/>
    <w:rsid w:val="00127184"/>
    <w:rsid w:val="001271F8"/>
    <w:rsid w:val="001276C4"/>
    <w:rsid w:val="0012771B"/>
    <w:rsid w:val="00127884"/>
    <w:rsid w:val="00127C37"/>
    <w:rsid w:val="00127D16"/>
    <w:rsid w:val="00127D78"/>
    <w:rsid w:val="00130191"/>
    <w:rsid w:val="001305CD"/>
    <w:rsid w:val="0013066C"/>
    <w:rsid w:val="00130D5B"/>
    <w:rsid w:val="00130EB5"/>
    <w:rsid w:val="00131049"/>
    <w:rsid w:val="0013158F"/>
    <w:rsid w:val="00131A27"/>
    <w:rsid w:val="00131D0B"/>
    <w:rsid w:val="00132257"/>
    <w:rsid w:val="001322F4"/>
    <w:rsid w:val="00132464"/>
    <w:rsid w:val="0013250A"/>
    <w:rsid w:val="00132585"/>
    <w:rsid w:val="001325BE"/>
    <w:rsid w:val="00132ED6"/>
    <w:rsid w:val="001332CD"/>
    <w:rsid w:val="0013339E"/>
    <w:rsid w:val="00133613"/>
    <w:rsid w:val="00133709"/>
    <w:rsid w:val="00133880"/>
    <w:rsid w:val="00133BF4"/>
    <w:rsid w:val="00133E73"/>
    <w:rsid w:val="00133E90"/>
    <w:rsid w:val="0013418D"/>
    <w:rsid w:val="0013423C"/>
    <w:rsid w:val="00134336"/>
    <w:rsid w:val="00134553"/>
    <w:rsid w:val="00134C9F"/>
    <w:rsid w:val="00134D63"/>
    <w:rsid w:val="00134D66"/>
    <w:rsid w:val="00134DE9"/>
    <w:rsid w:val="00134EAD"/>
    <w:rsid w:val="00134EF2"/>
    <w:rsid w:val="00135764"/>
    <w:rsid w:val="0013581E"/>
    <w:rsid w:val="00135C7C"/>
    <w:rsid w:val="00135CB6"/>
    <w:rsid w:val="00135E27"/>
    <w:rsid w:val="00136294"/>
    <w:rsid w:val="001363FD"/>
    <w:rsid w:val="0013680A"/>
    <w:rsid w:val="0013686B"/>
    <w:rsid w:val="00136A61"/>
    <w:rsid w:val="00136FD2"/>
    <w:rsid w:val="00137453"/>
    <w:rsid w:val="00137C65"/>
    <w:rsid w:val="00137F51"/>
    <w:rsid w:val="00140108"/>
    <w:rsid w:val="001404EF"/>
    <w:rsid w:val="001405BA"/>
    <w:rsid w:val="00140E73"/>
    <w:rsid w:val="001417EE"/>
    <w:rsid w:val="00141FD2"/>
    <w:rsid w:val="001420AC"/>
    <w:rsid w:val="0014233A"/>
    <w:rsid w:val="001429EB"/>
    <w:rsid w:val="001429F7"/>
    <w:rsid w:val="00143295"/>
    <w:rsid w:val="00143415"/>
    <w:rsid w:val="0014354A"/>
    <w:rsid w:val="001436C8"/>
    <w:rsid w:val="00143841"/>
    <w:rsid w:val="00143A40"/>
    <w:rsid w:val="00143A74"/>
    <w:rsid w:val="00143E23"/>
    <w:rsid w:val="00143F78"/>
    <w:rsid w:val="00144459"/>
    <w:rsid w:val="001446F1"/>
    <w:rsid w:val="001448CB"/>
    <w:rsid w:val="00144B26"/>
    <w:rsid w:val="00144BBB"/>
    <w:rsid w:val="00144CCF"/>
    <w:rsid w:val="00145375"/>
    <w:rsid w:val="0014551E"/>
    <w:rsid w:val="0014562D"/>
    <w:rsid w:val="001456AE"/>
    <w:rsid w:val="001456FA"/>
    <w:rsid w:val="0014570D"/>
    <w:rsid w:val="001457BC"/>
    <w:rsid w:val="001458CF"/>
    <w:rsid w:val="00145986"/>
    <w:rsid w:val="00145989"/>
    <w:rsid w:val="00145D51"/>
    <w:rsid w:val="00145E56"/>
    <w:rsid w:val="001460B2"/>
    <w:rsid w:val="00146313"/>
    <w:rsid w:val="00146585"/>
    <w:rsid w:val="00146754"/>
    <w:rsid w:val="001469D0"/>
    <w:rsid w:val="00146AA6"/>
    <w:rsid w:val="00146B0D"/>
    <w:rsid w:val="001471F5"/>
    <w:rsid w:val="001473DD"/>
    <w:rsid w:val="00147913"/>
    <w:rsid w:val="00147981"/>
    <w:rsid w:val="00147988"/>
    <w:rsid w:val="00147F6C"/>
    <w:rsid w:val="0015018E"/>
    <w:rsid w:val="001501E3"/>
    <w:rsid w:val="001502AF"/>
    <w:rsid w:val="0015078F"/>
    <w:rsid w:val="00150859"/>
    <w:rsid w:val="00150885"/>
    <w:rsid w:val="001509A3"/>
    <w:rsid w:val="00150ADD"/>
    <w:rsid w:val="001514DB"/>
    <w:rsid w:val="001518C1"/>
    <w:rsid w:val="00151971"/>
    <w:rsid w:val="00151ADD"/>
    <w:rsid w:val="00151E13"/>
    <w:rsid w:val="001521C4"/>
    <w:rsid w:val="001524F3"/>
    <w:rsid w:val="001525FA"/>
    <w:rsid w:val="001528AB"/>
    <w:rsid w:val="0015297B"/>
    <w:rsid w:val="00152C91"/>
    <w:rsid w:val="00152CB5"/>
    <w:rsid w:val="00152D30"/>
    <w:rsid w:val="00153046"/>
    <w:rsid w:val="001535EF"/>
    <w:rsid w:val="00153833"/>
    <w:rsid w:val="00153B5E"/>
    <w:rsid w:val="00154423"/>
    <w:rsid w:val="00154657"/>
    <w:rsid w:val="0015475D"/>
    <w:rsid w:val="001547D6"/>
    <w:rsid w:val="00154889"/>
    <w:rsid w:val="00154F4A"/>
    <w:rsid w:val="0015557D"/>
    <w:rsid w:val="00155D7C"/>
    <w:rsid w:val="0015606F"/>
    <w:rsid w:val="00156313"/>
    <w:rsid w:val="00156728"/>
    <w:rsid w:val="00156844"/>
    <w:rsid w:val="00156A0F"/>
    <w:rsid w:val="00156A99"/>
    <w:rsid w:val="00156CEF"/>
    <w:rsid w:val="00156FC4"/>
    <w:rsid w:val="00157388"/>
    <w:rsid w:val="00157A52"/>
    <w:rsid w:val="00157B5A"/>
    <w:rsid w:val="00157BD7"/>
    <w:rsid w:val="00157DA9"/>
    <w:rsid w:val="00157DBD"/>
    <w:rsid w:val="00160018"/>
    <w:rsid w:val="0016006C"/>
    <w:rsid w:val="00160255"/>
    <w:rsid w:val="00160333"/>
    <w:rsid w:val="00160839"/>
    <w:rsid w:val="001609E1"/>
    <w:rsid w:val="0016109D"/>
    <w:rsid w:val="00161814"/>
    <w:rsid w:val="001618B0"/>
    <w:rsid w:val="001619F5"/>
    <w:rsid w:val="00161E0A"/>
    <w:rsid w:val="00162091"/>
    <w:rsid w:val="00162390"/>
    <w:rsid w:val="001623DE"/>
    <w:rsid w:val="0016285F"/>
    <w:rsid w:val="00162DB4"/>
    <w:rsid w:val="00162EF9"/>
    <w:rsid w:val="00162EFF"/>
    <w:rsid w:val="0016308E"/>
    <w:rsid w:val="00163093"/>
    <w:rsid w:val="001630DB"/>
    <w:rsid w:val="0016311F"/>
    <w:rsid w:val="0016325A"/>
    <w:rsid w:val="001632AD"/>
    <w:rsid w:val="0016354A"/>
    <w:rsid w:val="00163762"/>
    <w:rsid w:val="00163881"/>
    <w:rsid w:val="001638FF"/>
    <w:rsid w:val="00163B9C"/>
    <w:rsid w:val="00163D3B"/>
    <w:rsid w:val="00163DD1"/>
    <w:rsid w:val="00163EF5"/>
    <w:rsid w:val="00163FAA"/>
    <w:rsid w:val="00164238"/>
    <w:rsid w:val="001643EF"/>
    <w:rsid w:val="00164573"/>
    <w:rsid w:val="00164584"/>
    <w:rsid w:val="00165546"/>
    <w:rsid w:val="001655FA"/>
    <w:rsid w:val="001659BE"/>
    <w:rsid w:val="001659E4"/>
    <w:rsid w:val="00165DF6"/>
    <w:rsid w:val="00165FB6"/>
    <w:rsid w:val="001666AB"/>
    <w:rsid w:val="00166AC6"/>
    <w:rsid w:val="0016709F"/>
    <w:rsid w:val="00167144"/>
    <w:rsid w:val="00167BA9"/>
    <w:rsid w:val="00170618"/>
    <w:rsid w:val="00170880"/>
    <w:rsid w:val="001708B4"/>
    <w:rsid w:val="001708B9"/>
    <w:rsid w:val="001709EF"/>
    <w:rsid w:val="00170A48"/>
    <w:rsid w:val="00170AA0"/>
    <w:rsid w:val="00170AF8"/>
    <w:rsid w:val="0017126C"/>
    <w:rsid w:val="00171378"/>
    <w:rsid w:val="001716DF"/>
    <w:rsid w:val="001717B8"/>
    <w:rsid w:val="00171995"/>
    <w:rsid w:val="001719B3"/>
    <w:rsid w:val="0017201E"/>
    <w:rsid w:val="00172118"/>
    <w:rsid w:val="00172359"/>
    <w:rsid w:val="00172378"/>
    <w:rsid w:val="001724CA"/>
    <w:rsid w:val="0017280D"/>
    <w:rsid w:val="00172AB8"/>
    <w:rsid w:val="00172B8D"/>
    <w:rsid w:val="00172C98"/>
    <w:rsid w:val="00172DA5"/>
    <w:rsid w:val="0017334E"/>
    <w:rsid w:val="0017389C"/>
    <w:rsid w:val="001738B4"/>
    <w:rsid w:val="00173E4B"/>
    <w:rsid w:val="00173E94"/>
    <w:rsid w:val="00174131"/>
    <w:rsid w:val="001741A9"/>
    <w:rsid w:val="00174273"/>
    <w:rsid w:val="00174C68"/>
    <w:rsid w:val="00174D60"/>
    <w:rsid w:val="00174EDA"/>
    <w:rsid w:val="0017518A"/>
    <w:rsid w:val="00175277"/>
    <w:rsid w:val="001753C6"/>
    <w:rsid w:val="001757CE"/>
    <w:rsid w:val="00175846"/>
    <w:rsid w:val="00175887"/>
    <w:rsid w:val="00175955"/>
    <w:rsid w:val="0017597B"/>
    <w:rsid w:val="001759A2"/>
    <w:rsid w:val="00175B8E"/>
    <w:rsid w:val="001760C9"/>
    <w:rsid w:val="00176214"/>
    <w:rsid w:val="00176282"/>
    <w:rsid w:val="0017677F"/>
    <w:rsid w:val="00176898"/>
    <w:rsid w:val="00176BA6"/>
    <w:rsid w:val="00176BE3"/>
    <w:rsid w:val="00176F16"/>
    <w:rsid w:val="00176FC5"/>
    <w:rsid w:val="0017707E"/>
    <w:rsid w:val="001771CA"/>
    <w:rsid w:val="001771F6"/>
    <w:rsid w:val="00177409"/>
    <w:rsid w:val="0017751F"/>
    <w:rsid w:val="0017773E"/>
    <w:rsid w:val="0017776C"/>
    <w:rsid w:val="001779D7"/>
    <w:rsid w:val="00177A48"/>
    <w:rsid w:val="00177CFD"/>
    <w:rsid w:val="00177DE7"/>
    <w:rsid w:val="00177F83"/>
    <w:rsid w:val="001800FD"/>
    <w:rsid w:val="00180620"/>
    <w:rsid w:val="001807F8"/>
    <w:rsid w:val="00180BDA"/>
    <w:rsid w:val="0018108F"/>
    <w:rsid w:val="0018109B"/>
    <w:rsid w:val="00181153"/>
    <w:rsid w:val="001813C7"/>
    <w:rsid w:val="0018178F"/>
    <w:rsid w:val="0018185B"/>
    <w:rsid w:val="00181927"/>
    <w:rsid w:val="00181973"/>
    <w:rsid w:val="00181A7C"/>
    <w:rsid w:val="00181B6A"/>
    <w:rsid w:val="00181CCB"/>
    <w:rsid w:val="00181F5E"/>
    <w:rsid w:val="00182162"/>
    <w:rsid w:val="001821FC"/>
    <w:rsid w:val="00182323"/>
    <w:rsid w:val="001826DC"/>
    <w:rsid w:val="00182DF0"/>
    <w:rsid w:val="00182F14"/>
    <w:rsid w:val="00183533"/>
    <w:rsid w:val="00183560"/>
    <w:rsid w:val="001836F3"/>
    <w:rsid w:val="00183749"/>
    <w:rsid w:val="00183BCC"/>
    <w:rsid w:val="00183C40"/>
    <w:rsid w:val="00183F2A"/>
    <w:rsid w:val="001841EB"/>
    <w:rsid w:val="0018429A"/>
    <w:rsid w:val="001842E2"/>
    <w:rsid w:val="0018442B"/>
    <w:rsid w:val="00184480"/>
    <w:rsid w:val="0018454A"/>
    <w:rsid w:val="0018461F"/>
    <w:rsid w:val="00184AEA"/>
    <w:rsid w:val="00184B26"/>
    <w:rsid w:val="00184E77"/>
    <w:rsid w:val="00184EFD"/>
    <w:rsid w:val="0018500C"/>
    <w:rsid w:val="00185346"/>
    <w:rsid w:val="00185425"/>
    <w:rsid w:val="00185559"/>
    <w:rsid w:val="00185C5C"/>
    <w:rsid w:val="00185E52"/>
    <w:rsid w:val="00185FAB"/>
    <w:rsid w:val="00185FED"/>
    <w:rsid w:val="00186062"/>
    <w:rsid w:val="00186296"/>
    <w:rsid w:val="00186603"/>
    <w:rsid w:val="0018684D"/>
    <w:rsid w:val="00186989"/>
    <w:rsid w:val="00186A9F"/>
    <w:rsid w:val="00186F4B"/>
    <w:rsid w:val="00186FC8"/>
    <w:rsid w:val="00187394"/>
    <w:rsid w:val="0018765D"/>
    <w:rsid w:val="00187CC4"/>
    <w:rsid w:val="00187D1F"/>
    <w:rsid w:val="00190022"/>
    <w:rsid w:val="001900D4"/>
    <w:rsid w:val="00190274"/>
    <w:rsid w:val="001906B4"/>
    <w:rsid w:val="0019070B"/>
    <w:rsid w:val="00190871"/>
    <w:rsid w:val="00190DD2"/>
    <w:rsid w:val="00191472"/>
    <w:rsid w:val="00191480"/>
    <w:rsid w:val="0019167C"/>
    <w:rsid w:val="0019179A"/>
    <w:rsid w:val="001919A8"/>
    <w:rsid w:val="00192194"/>
    <w:rsid w:val="00192BF4"/>
    <w:rsid w:val="00192CF0"/>
    <w:rsid w:val="001930D4"/>
    <w:rsid w:val="001933F4"/>
    <w:rsid w:val="001938C5"/>
    <w:rsid w:val="00193EB2"/>
    <w:rsid w:val="00193F9F"/>
    <w:rsid w:val="0019423F"/>
    <w:rsid w:val="0019425C"/>
    <w:rsid w:val="001942A1"/>
    <w:rsid w:val="00194468"/>
    <w:rsid w:val="0019452F"/>
    <w:rsid w:val="00194971"/>
    <w:rsid w:val="00194DA0"/>
    <w:rsid w:val="00195FB3"/>
    <w:rsid w:val="00196003"/>
    <w:rsid w:val="001960DD"/>
    <w:rsid w:val="001962A8"/>
    <w:rsid w:val="00196A2D"/>
    <w:rsid w:val="00196A68"/>
    <w:rsid w:val="00196AC3"/>
    <w:rsid w:val="00196B3E"/>
    <w:rsid w:val="00196B4D"/>
    <w:rsid w:val="00196E11"/>
    <w:rsid w:val="00196F9A"/>
    <w:rsid w:val="001975EF"/>
    <w:rsid w:val="0019765A"/>
    <w:rsid w:val="00197B07"/>
    <w:rsid w:val="00197BD7"/>
    <w:rsid w:val="00197EAC"/>
    <w:rsid w:val="001A0002"/>
    <w:rsid w:val="001A0671"/>
    <w:rsid w:val="001A0758"/>
    <w:rsid w:val="001A1163"/>
    <w:rsid w:val="001A1666"/>
    <w:rsid w:val="001A17B3"/>
    <w:rsid w:val="001A1EBD"/>
    <w:rsid w:val="001A1F26"/>
    <w:rsid w:val="001A2597"/>
    <w:rsid w:val="001A27F8"/>
    <w:rsid w:val="001A27FF"/>
    <w:rsid w:val="001A28FC"/>
    <w:rsid w:val="001A2FD7"/>
    <w:rsid w:val="001A3231"/>
    <w:rsid w:val="001A33F4"/>
    <w:rsid w:val="001A3950"/>
    <w:rsid w:val="001A3B1F"/>
    <w:rsid w:val="001A3B26"/>
    <w:rsid w:val="001A3CB5"/>
    <w:rsid w:val="001A3E10"/>
    <w:rsid w:val="001A3FF3"/>
    <w:rsid w:val="001A4449"/>
    <w:rsid w:val="001A45CF"/>
    <w:rsid w:val="001A4DB7"/>
    <w:rsid w:val="001A4EEF"/>
    <w:rsid w:val="001A565F"/>
    <w:rsid w:val="001A5697"/>
    <w:rsid w:val="001A57E2"/>
    <w:rsid w:val="001A5DA8"/>
    <w:rsid w:val="001A5FAD"/>
    <w:rsid w:val="001A6A43"/>
    <w:rsid w:val="001A6F9A"/>
    <w:rsid w:val="001A74CC"/>
    <w:rsid w:val="001A7618"/>
    <w:rsid w:val="001A761C"/>
    <w:rsid w:val="001A7751"/>
    <w:rsid w:val="001A79A0"/>
    <w:rsid w:val="001A79AD"/>
    <w:rsid w:val="001A7B3A"/>
    <w:rsid w:val="001A7CF9"/>
    <w:rsid w:val="001B0216"/>
    <w:rsid w:val="001B02E6"/>
    <w:rsid w:val="001B0724"/>
    <w:rsid w:val="001B0768"/>
    <w:rsid w:val="001B0B68"/>
    <w:rsid w:val="001B0BA4"/>
    <w:rsid w:val="001B0D94"/>
    <w:rsid w:val="001B0F94"/>
    <w:rsid w:val="001B10F0"/>
    <w:rsid w:val="001B10FC"/>
    <w:rsid w:val="001B1141"/>
    <w:rsid w:val="001B11B9"/>
    <w:rsid w:val="001B15BB"/>
    <w:rsid w:val="001B2200"/>
    <w:rsid w:val="001B2590"/>
    <w:rsid w:val="001B268C"/>
    <w:rsid w:val="001B297C"/>
    <w:rsid w:val="001B2A17"/>
    <w:rsid w:val="001B2DAC"/>
    <w:rsid w:val="001B2DEA"/>
    <w:rsid w:val="001B2F0D"/>
    <w:rsid w:val="001B30C8"/>
    <w:rsid w:val="001B365C"/>
    <w:rsid w:val="001B402D"/>
    <w:rsid w:val="001B4079"/>
    <w:rsid w:val="001B4342"/>
    <w:rsid w:val="001B4429"/>
    <w:rsid w:val="001B4781"/>
    <w:rsid w:val="001B48D9"/>
    <w:rsid w:val="001B48DC"/>
    <w:rsid w:val="001B4960"/>
    <w:rsid w:val="001B4AE8"/>
    <w:rsid w:val="001B4DC8"/>
    <w:rsid w:val="001B5234"/>
    <w:rsid w:val="001B5278"/>
    <w:rsid w:val="001B533E"/>
    <w:rsid w:val="001B557D"/>
    <w:rsid w:val="001B5618"/>
    <w:rsid w:val="001B575E"/>
    <w:rsid w:val="001B59CF"/>
    <w:rsid w:val="001B5C19"/>
    <w:rsid w:val="001B5D06"/>
    <w:rsid w:val="001B5DF1"/>
    <w:rsid w:val="001B5EE2"/>
    <w:rsid w:val="001B625C"/>
    <w:rsid w:val="001B656B"/>
    <w:rsid w:val="001B6A0C"/>
    <w:rsid w:val="001B6BD2"/>
    <w:rsid w:val="001B723A"/>
    <w:rsid w:val="001B7347"/>
    <w:rsid w:val="001B76BB"/>
    <w:rsid w:val="001B7F5A"/>
    <w:rsid w:val="001B7F7A"/>
    <w:rsid w:val="001C0671"/>
    <w:rsid w:val="001C07DD"/>
    <w:rsid w:val="001C094F"/>
    <w:rsid w:val="001C0D2E"/>
    <w:rsid w:val="001C1454"/>
    <w:rsid w:val="001C14E9"/>
    <w:rsid w:val="001C172C"/>
    <w:rsid w:val="001C18CE"/>
    <w:rsid w:val="001C1CF7"/>
    <w:rsid w:val="001C203A"/>
    <w:rsid w:val="001C2347"/>
    <w:rsid w:val="001C2898"/>
    <w:rsid w:val="001C2D60"/>
    <w:rsid w:val="001C2EC6"/>
    <w:rsid w:val="001C2EE7"/>
    <w:rsid w:val="001C318C"/>
    <w:rsid w:val="001C33E7"/>
    <w:rsid w:val="001C3697"/>
    <w:rsid w:val="001C3ACC"/>
    <w:rsid w:val="001C3DAF"/>
    <w:rsid w:val="001C426C"/>
    <w:rsid w:val="001C428B"/>
    <w:rsid w:val="001C4DE3"/>
    <w:rsid w:val="001C53A3"/>
    <w:rsid w:val="001C53C6"/>
    <w:rsid w:val="001C5619"/>
    <w:rsid w:val="001C57DC"/>
    <w:rsid w:val="001C5833"/>
    <w:rsid w:val="001C5FA2"/>
    <w:rsid w:val="001C614B"/>
    <w:rsid w:val="001C63DA"/>
    <w:rsid w:val="001C69CE"/>
    <w:rsid w:val="001C6DC6"/>
    <w:rsid w:val="001C7368"/>
    <w:rsid w:val="001C73C9"/>
    <w:rsid w:val="001C763A"/>
    <w:rsid w:val="001C7CB4"/>
    <w:rsid w:val="001C7EBE"/>
    <w:rsid w:val="001D00F6"/>
    <w:rsid w:val="001D03A7"/>
    <w:rsid w:val="001D0445"/>
    <w:rsid w:val="001D04E3"/>
    <w:rsid w:val="001D0622"/>
    <w:rsid w:val="001D0641"/>
    <w:rsid w:val="001D0772"/>
    <w:rsid w:val="001D0A32"/>
    <w:rsid w:val="001D13BD"/>
    <w:rsid w:val="001D14E0"/>
    <w:rsid w:val="001D158E"/>
    <w:rsid w:val="001D1611"/>
    <w:rsid w:val="001D1645"/>
    <w:rsid w:val="001D16BC"/>
    <w:rsid w:val="001D199D"/>
    <w:rsid w:val="001D1EF9"/>
    <w:rsid w:val="001D1FBD"/>
    <w:rsid w:val="001D206E"/>
    <w:rsid w:val="001D222E"/>
    <w:rsid w:val="001D2239"/>
    <w:rsid w:val="001D22C1"/>
    <w:rsid w:val="001D2601"/>
    <w:rsid w:val="001D2632"/>
    <w:rsid w:val="001D295B"/>
    <w:rsid w:val="001D2DC5"/>
    <w:rsid w:val="001D2FD7"/>
    <w:rsid w:val="001D321A"/>
    <w:rsid w:val="001D333E"/>
    <w:rsid w:val="001D3564"/>
    <w:rsid w:val="001D37D2"/>
    <w:rsid w:val="001D39C0"/>
    <w:rsid w:val="001D3B36"/>
    <w:rsid w:val="001D3FA4"/>
    <w:rsid w:val="001D3FD6"/>
    <w:rsid w:val="001D4000"/>
    <w:rsid w:val="001D402A"/>
    <w:rsid w:val="001D419E"/>
    <w:rsid w:val="001D421D"/>
    <w:rsid w:val="001D4428"/>
    <w:rsid w:val="001D4954"/>
    <w:rsid w:val="001D4AEC"/>
    <w:rsid w:val="001D4C2E"/>
    <w:rsid w:val="001D5331"/>
    <w:rsid w:val="001D53D7"/>
    <w:rsid w:val="001D545A"/>
    <w:rsid w:val="001D5A02"/>
    <w:rsid w:val="001D6026"/>
    <w:rsid w:val="001D644B"/>
    <w:rsid w:val="001D660A"/>
    <w:rsid w:val="001D67DF"/>
    <w:rsid w:val="001D69F2"/>
    <w:rsid w:val="001D6E13"/>
    <w:rsid w:val="001D6FCC"/>
    <w:rsid w:val="001D70DA"/>
    <w:rsid w:val="001D715B"/>
    <w:rsid w:val="001D78CA"/>
    <w:rsid w:val="001D7921"/>
    <w:rsid w:val="001D7988"/>
    <w:rsid w:val="001D7DF0"/>
    <w:rsid w:val="001D7F3B"/>
    <w:rsid w:val="001D7F8A"/>
    <w:rsid w:val="001E016B"/>
    <w:rsid w:val="001E04D8"/>
    <w:rsid w:val="001E061F"/>
    <w:rsid w:val="001E0958"/>
    <w:rsid w:val="001E0C40"/>
    <w:rsid w:val="001E0F53"/>
    <w:rsid w:val="001E1113"/>
    <w:rsid w:val="001E1198"/>
    <w:rsid w:val="001E14D4"/>
    <w:rsid w:val="001E159B"/>
    <w:rsid w:val="001E1CF5"/>
    <w:rsid w:val="001E1E0F"/>
    <w:rsid w:val="001E1EA9"/>
    <w:rsid w:val="001E1EF3"/>
    <w:rsid w:val="001E20B9"/>
    <w:rsid w:val="001E21E5"/>
    <w:rsid w:val="001E2294"/>
    <w:rsid w:val="001E2AF6"/>
    <w:rsid w:val="001E2E28"/>
    <w:rsid w:val="001E2ED0"/>
    <w:rsid w:val="001E3291"/>
    <w:rsid w:val="001E349B"/>
    <w:rsid w:val="001E38F1"/>
    <w:rsid w:val="001E3BFF"/>
    <w:rsid w:val="001E3D55"/>
    <w:rsid w:val="001E3DA3"/>
    <w:rsid w:val="001E44A8"/>
    <w:rsid w:val="001E44D3"/>
    <w:rsid w:val="001E47B7"/>
    <w:rsid w:val="001E4C46"/>
    <w:rsid w:val="001E5A6A"/>
    <w:rsid w:val="001E60BD"/>
    <w:rsid w:val="001E642E"/>
    <w:rsid w:val="001E66BF"/>
    <w:rsid w:val="001E6C04"/>
    <w:rsid w:val="001E6C29"/>
    <w:rsid w:val="001E70F6"/>
    <w:rsid w:val="001E71FC"/>
    <w:rsid w:val="001E7332"/>
    <w:rsid w:val="001E7793"/>
    <w:rsid w:val="001E7ADB"/>
    <w:rsid w:val="001E7BB0"/>
    <w:rsid w:val="001E7D3E"/>
    <w:rsid w:val="001F03CA"/>
    <w:rsid w:val="001F040C"/>
    <w:rsid w:val="001F0604"/>
    <w:rsid w:val="001F06EC"/>
    <w:rsid w:val="001F0793"/>
    <w:rsid w:val="001F0899"/>
    <w:rsid w:val="001F0DB8"/>
    <w:rsid w:val="001F137D"/>
    <w:rsid w:val="001F17D1"/>
    <w:rsid w:val="001F19B2"/>
    <w:rsid w:val="001F2162"/>
    <w:rsid w:val="001F21A9"/>
    <w:rsid w:val="001F21F9"/>
    <w:rsid w:val="001F2662"/>
    <w:rsid w:val="001F3179"/>
    <w:rsid w:val="001F3235"/>
    <w:rsid w:val="001F35DA"/>
    <w:rsid w:val="001F3879"/>
    <w:rsid w:val="001F38BE"/>
    <w:rsid w:val="001F3902"/>
    <w:rsid w:val="001F398B"/>
    <w:rsid w:val="001F39F2"/>
    <w:rsid w:val="001F3D3F"/>
    <w:rsid w:val="001F4171"/>
    <w:rsid w:val="001F421C"/>
    <w:rsid w:val="001F4342"/>
    <w:rsid w:val="001F43CF"/>
    <w:rsid w:val="001F46D8"/>
    <w:rsid w:val="001F47CA"/>
    <w:rsid w:val="001F4B59"/>
    <w:rsid w:val="001F4BB4"/>
    <w:rsid w:val="001F4EC7"/>
    <w:rsid w:val="001F512E"/>
    <w:rsid w:val="001F5590"/>
    <w:rsid w:val="001F576B"/>
    <w:rsid w:val="001F5B24"/>
    <w:rsid w:val="001F5B75"/>
    <w:rsid w:val="001F60E7"/>
    <w:rsid w:val="001F61B8"/>
    <w:rsid w:val="001F64FD"/>
    <w:rsid w:val="001F6553"/>
    <w:rsid w:val="001F65F6"/>
    <w:rsid w:val="001F6839"/>
    <w:rsid w:val="001F69EB"/>
    <w:rsid w:val="001F6C70"/>
    <w:rsid w:val="001F715B"/>
    <w:rsid w:val="001F73E2"/>
    <w:rsid w:val="001F74E0"/>
    <w:rsid w:val="001F7637"/>
    <w:rsid w:val="001F7877"/>
    <w:rsid w:val="001F7B5D"/>
    <w:rsid w:val="001F7E3B"/>
    <w:rsid w:val="001F7EC6"/>
    <w:rsid w:val="001F7F10"/>
    <w:rsid w:val="001F7F70"/>
    <w:rsid w:val="00200022"/>
    <w:rsid w:val="0020129C"/>
    <w:rsid w:val="00201517"/>
    <w:rsid w:val="00201930"/>
    <w:rsid w:val="002020BE"/>
    <w:rsid w:val="00202184"/>
    <w:rsid w:val="00202B20"/>
    <w:rsid w:val="00202BB5"/>
    <w:rsid w:val="00202CB4"/>
    <w:rsid w:val="0020333E"/>
    <w:rsid w:val="0020352A"/>
    <w:rsid w:val="002039C4"/>
    <w:rsid w:val="00203A11"/>
    <w:rsid w:val="00203A5A"/>
    <w:rsid w:val="00203BE4"/>
    <w:rsid w:val="00203C29"/>
    <w:rsid w:val="00203DE1"/>
    <w:rsid w:val="00203F3D"/>
    <w:rsid w:val="0020402B"/>
    <w:rsid w:val="002044D9"/>
    <w:rsid w:val="00204584"/>
    <w:rsid w:val="002049C2"/>
    <w:rsid w:val="00204CBA"/>
    <w:rsid w:val="00204EF0"/>
    <w:rsid w:val="00205339"/>
    <w:rsid w:val="00205930"/>
    <w:rsid w:val="00205951"/>
    <w:rsid w:val="00205974"/>
    <w:rsid w:val="00205A70"/>
    <w:rsid w:val="00205D61"/>
    <w:rsid w:val="00205FDA"/>
    <w:rsid w:val="002063D0"/>
    <w:rsid w:val="00206891"/>
    <w:rsid w:val="00206BB8"/>
    <w:rsid w:val="002070BE"/>
    <w:rsid w:val="0020767D"/>
    <w:rsid w:val="0020774D"/>
    <w:rsid w:val="002079F1"/>
    <w:rsid w:val="00207AEF"/>
    <w:rsid w:val="00210552"/>
    <w:rsid w:val="00210981"/>
    <w:rsid w:val="00210994"/>
    <w:rsid w:val="00210AC8"/>
    <w:rsid w:val="00210D9D"/>
    <w:rsid w:val="00210E19"/>
    <w:rsid w:val="00210E1A"/>
    <w:rsid w:val="00210FB1"/>
    <w:rsid w:val="00211032"/>
    <w:rsid w:val="0021112D"/>
    <w:rsid w:val="00211718"/>
    <w:rsid w:val="00211B5B"/>
    <w:rsid w:val="0021233D"/>
    <w:rsid w:val="0021271A"/>
    <w:rsid w:val="0021271C"/>
    <w:rsid w:val="00212852"/>
    <w:rsid w:val="00212B53"/>
    <w:rsid w:val="00212FDA"/>
    <w:rsid w:val="00213299"/>
    <w:rsid w:val="0021396F"/>
    <w:rsid w:val="00213A0D"/>
    <w:rsid w:val="00213A41"/>
    <w:rsid w:val="00213C19"/>
    <w:rsid w:val="00213C7E"/>
    <w:rsid w:val="00213CC2"/>
    <w:rsid w:val="0021461C"/>
    <w:rsid w:val="002146F6"/>
    <w:rsid w:val="002148D5"/>
    <w:rsid w:val="00214EF4"/>
    <w:rsid w:val="00215050"/>
    <w:rsid w:val="00215970"/>
    <w:rsid w:val="00215C20"/>
    <w:rsid w:val="002163CB"/>
    <w:rsid w:val="00216CF6"/>
    <w:rsid w:val="00216F28"/>
    <w:rsid w:val="002172AD"/>
    <w:rsid w:val="002172BE"/>
    <w:rsid w:val="002173E4"/>
    <w:rsid w:val="00217CFA"/>
    <w:rsid w:val="0022022B"/>
    <w:rsid w:val="00220320"/>
    <w:rsid w:val="002206A6"/>
    <w:rsid w:val="00220CCF"/>
    <w:rsid w:val="00221048"/>
    <w:rsid w:val="002212D1"/>
    <w:rsid w:val="00221508"/>
    <w:rsid w:val="00221553"/>
    <w:rsid w:val="002215B4"/>
    <w:rsid w:val="00221876"/>
    <w:rsid w:val="00221917"/>
    <w:rsid w:val="00221B5F"/>
    <w:rsid w:val="00221D91"/>
    <w:rsid w:val="002227EF"/>
    <w:rsid w:val="00222E44"/>
    <w:rsid w:val="002237BD"/>
    <w:rsid w:val="00223C10"/>
    <w:rsid w:val="0022418F"/>
    <w:rsid w:val="002244DA"/>
    <w:rsid w:val="002249BA"/>
    <w:rsid w:val="00224CE5"/>
    <w:rsid w:val="002253E5"/>
    <w:rsid w:val="00225718"/>
    <w:rsid w:val="00225798"/>
    <w:rsid w:val="00225863"/>
    <w:rsid w:val="00225FC8"/>
    <w:rsid w:val="002262CC"/>
    <w:rsid w:val="0022630E"/>
    <w:rsid w:val="0022681C"/>
    <w:rsid w:val="002268CC"/>
    <w:rsid w:val="0022693B"/>
    <w:rsid w:val="00226F7E"/>
    <w:rsid w:val="00226FBC"/>
    <w:rsid w:val="002271FB"/>
    <w:rsid w:val="0022724B"/>
    <w:rsid w:val="00227478"/>
    <w:rsid w:val="00227848"/>
    <w:rsid w:val="0022790E"/>
    <w:rsid w:val="00227A2A"/>
    <w:rsid w:val="00227F1F"/>
    <w:rsid w:val="00230003"/>
    <w:rsid w:val="002307F2"/>
    <w:rsid w:val="00230A1F"/>
    <w:rsid w:val="00230AF0"/>
    <w:rsid w:val="002310B0"/>
    <w:rsid w:val="00231623"/>
    <w:rsid w:val="002317B6"/>
    <w:rsid w:val="00231B44"/>
    <w:rsid w:val="00231B49"/>
    <w:rsid w:val="00231BB1"/>
    <w:rsid w:val="00231C03"/>
    <w:rsid w:val="00231D4F"/>
    <w:rsid w:val="00232866"/>
    <w:rsid w:val="00232A0C"/>
    <w:rsid w:val="00232DCD"/>
    <w:rsid w:val="00233328"/>
    <w:rsid w:val="0023379D"/>
    <w:rsid w:val="002338D9"/>
    <w:rsid w:val="00234019"/>
    <w:rsid w:val="002340B6"/>
    <w:rsid w:val="002343F4"/>
    <w:rsid w:val="00234798"/>
    <w:rsid w:val="00234853"/>
    <w:rsid w:val="00234915"/>
    <w:rsid w:val="00234BA2"/>
    <w:rsid w:val="00234D04"/>
    <w:rsid w:val="002351E1"/>
    <w:rsid w:val="0023522D"/>
    <w:rsid w:val="002353EE"/>
    <w:rsid w:val="00235582"/>
    <w:rsid w:val="002356BF"/>
    <w:rsid w:val="002359DD"/>
    <w:rsid w:val="002359F8"/>
    <w:rsid w:val="00235C65"/>
    <w:rsid w:val="00236104"/>
    <w:rsid w:val="00236612"/>
    <w:rsid w:val="00236795"/>
    <w:rsid w:val="00236823"/>
    <w:rsid w:val="00236BB4"/>
    <w:rsid w:val="00236D3B"/>
    <w:rsid w:val="002370AB"/>
    <w:rsid w:val="002373D3"/>
    <w:rsid w:val="002374D9"/>
    <w:rsid w:val="002375EF"/>
    <w:rsid w:val="00237798"/>
    <w:rsid w:val="002377AF"/>
    <w:rsid w:val="00237872"/>
    <w:rsid w:val="0023799D"/>
    <w:rsid w:val="00237BBA"/>
    <w:rsid w:val="00237ED8"/>
    <w:rsid w:val="00240071"/>
    <w:rsid w:val="002400EA"/>
    <w:rsid w:val="002400EB"/>
    <w:rsid w:val="00240177"/>
    <w:rsid w:val="00240409"/>
    <w:rsid w:val="0024073E"/>
    <w:rsid w:val="00240AD7"/>
    <w:rsid w:val="0024108E"/>
    <w:rsid w:val="0024183D"/>
    <w:rsid w:val="00241908"/>
    <w:rsid w:val="00241D1A"/>
    <w:rsid w:val="00241F9D"/>
    <w:rsid w:val="002421AE"/>
    <w:rsid w:val="002422ED"/>
    <w:rsid w:val="002425C7"/>
    <w:rsid w:val="0024276E"/>
    <w:rsid w:val="00242779"/>
    <w:rsid w:val="002427E5"/>
    <w:rsid w:val="002428B4"/>
    <w:rsid w:val="00242B7C"/>
    <w:rsid w:val="00242CA6"/>
    <w:rsid w:val="00242EB1"/>
    <w:rsid w:val="00242F00"/>
    <w:rsid w:val="00243376"/>
    <w:rsid w:val="002435E2"/>
    <w:rsid w:val="00243688"/>
    <w:rsid w:val="00243AB9"/>
    <w:rsid w:val="00243DDA"/>
    <w:rsid w:val="00243E47"/>
    <w:rsid w:val="00244010"/>
    <w:rsid w:val="0024426B"/>
    <w:rsid w:val="002444B6"/>
    <w:rsid w:val="00244A2B"/>
    <w:rsid w:val="00244B5E"/>
    <w:rsid w:val="00245129"/>
    <w:rsid w:val="00245212"/>
    <w:rsid w:val="002453D3"/>
    <w:rsid w:val="00245488"/>
    <w:rsid w:val="00245821"/>
    <w:rsid w:val="00245B01"/>
    <w:rsid w:val="002467DF"/>
    <w:rsid w:val="002469A5"/>
    <w:rsid w:val="002470C8"/>
    <w:rsid w:val="00247160"/>
    <w:rsid w:val="002473B5"/>
    <w:rsid w:val="00247941"/>
    <w:rsid w:val="00247CE8"/>
    <w:rsid w:val="00247E0A"/>
    <w:rsid w:val="0025012E"/>
    <w:rsid w:val="002504C2"/>
    <w:rsid w:val="002506DA"/>
    <w:rsid w:val="00250811"/>
    <w:rsid w:val="00250846"/>
    <w:rsid w:val="0025084F"/>
    <w:rsid w:val="00250F39"/>
    <w:rsid w:val="002510DB"/>
    <w:rsid w:val="002510DD"/>
    <w:rsid w:val="00251568"/>
    <w:rsid w:val="00251613"/>
    <w:rsid w:val="002516A6"/>
    <w:rsid w:val="002518B2"/>
    <w:rsid w:val="00251AD7"/>
    <w:rsid w:val="00251CDC"/>
    <w:rsid w:val="00251D7A"/>
    <w:rsid w:val="00251D7C"/>
    <w:rsid w:val="002524D9"/>
    <w:rsid w:val="00252730"/>
    <w:rsid w:val="0025297D"/>
    <w:rsid w:val="0025299A"/>
    <w:rsid w:val="00252B8A"/>
    <w:rsid w:val="00252BBF"/>
    <w:rsid w:val="00252CAD"/>
    <w:rsid w:val="00252E7D"/>
    <w:rsid w:val="00252F27"/>
    <w:rsid w:val="0025365F"/>
    <w:rsid w:val="002539A1"/>
    <w:rsid w:val="00253B6E"/>
    <w:rsid w:val="00253C7A"/>
    <w:rsid w:val="00253C8F"/>
    <w:rsid w:val="00253D2A"/>
    <w:rsid w:val="00253E4A"/>
    <w:rsid w:val="0025414A"/>
    <w:rsid w:val="0025418A"/>
    <w:rsid w:val="0025440E"/>
    <w:rsid w:val="002545A6"/>
    <w:rsid w:val="002546B7"/>
    <w:rsid w:val="002549C2"/>
    <w:rsid w:val="002549EB"/>
    <w:rsid w:val="002549FE"/>
    <w:rsid w:val="00254FC9"/>
    <w:rsid w:val="002550CC"/>
    <w:rsid w:val="002552D9"/>
    <w:rsid w:val="002557AC"/>
    <w:rsid w:val="0025590D"/>
    <w:rsid w:val="00255947"/>
    <w:rsid w:val="00255C08"/>
    <w:rsid w:val="00255D53"/>
    <w:rsid w:val="00255EB0"/>
    <w:rsid w:val="002560A8"/>
    <w:rsid w:val="00256183"/>
    <w:rsid w:val="00256874"/>
    <w:rsid w:val="00256A4F"/>
    <w:rsid w:val="00256C6F"/>
    <w:rsid w:val="00256F7F"/>
    <w:rsid w:val="00257146"/>
    <w:rsid w:val="00257DE8"/>
    <w:rsid w:val="0026003E"/>
    <w:rsid w:val="00260284"/>
    <w:rsid w:val="002603A4"/>
    <w:rsid w:val="002605BF"/>
    <w:rsid w:val="00260CD9"/>
    <w:rsid w:val="00260CDE"/>
    <w:rsid w:val="0026105F"/>
    <w:rsid w:val="00261505"/>
    <w:rsid w:val="00261740"/>
    <w:rsid w:val="002618C4"/>
    <w:rsid w:val="002618E8"/>
    <w:rsid w:val="0026195E"/>
    <w:rsid w:val="00261D8E"/>
    <w:rsid w:val="00261D97"/>
    <w:rsid w:val="0026202E"/>
    <w:rsid w:val="002622F4"/>
    <w:rsid w:val="002624B3"/>
    <w:rsid w:val="00262726"/>
    <w:rsid w:val="00262A10"/>
    <w:rsid w:val="00262B0C"/>
    <w:rsid w:val="00262D66"/>
    <w:rsid w:val="00263037"/>
    <w:rsid w:val="002634C1"/>
    <w:rsid w:val="00263505"/>
    <w:rsid w:val="002636DA"/>
    <w:rsid w:val="00263C82"/>
    <w:rsid w:val="002640B7"/>
    <w:rsid w:val="002644F5"/>
    <w:rsid w:val="0026487D"/>
    <w:rsid w:val="00264934"/>
    <w:rsid w:val="00265266"/>
    <w:rsid w:val="002655C1"/>
    <w:rsid w:val="0026588E"/>
    <w:rsid w:val="002658D2"/>
    <w:rsid w:val="002659FE"/>
    <w:rsid w:val="00265B15"/>
    <w:rsid w:val="00265C8E"/>
    <w:rsid w:val="00266172"/>
    <w:rsid w:val="002661EE"/>
    <w:rsid w:val="002662E5"/>
    <w:rsid w:val="00266546"/>
    <w:rsid w:val="00266977"/>
    <w:rsid w:val="00266BBD"/>
    <w:rsid w:val="00266EAC"/>
    <w:rsid w:val="00266ECB"/>
    <w:rsid w:val="00267016"/>
    <w:rsid w:val="002679A9"/>
    <w:rsid w:val="00267AE5"/>
    <w:rsid w:val="00267AEB"/>
    <w:rsid w:val="00270074"/>
    <w:rsid w:val="002701DB"/>
    <w:rsid w:val="00270BCD"/>
    <w:rsid w:val="00270CA7"/>
    <w:rsid w:val="00270ED9"/>
    <w:rsid w:val="00270F2F"/>
    <w:rsid w:val="00270F4E"/>
    <w:rsid w:val="00270F50"/>
    <w:rsid w:val="00271014"/>
    <w:rsid w:val="00271924"/>
    <w:rsid w:val="00271C96"/>
    <w:rsid w:val="00271D10"/>
    <w:rsid w:val="00272202"/>
    <w:rsid w:val="002724A2"/>
    <w:rsid w:val="00272EA1"/>
    <w:rsid w:val="00273844"/>
    <w:rsid w:val="00273A05"/>
    <w:rsid w:val="00273CA1"/>
    <w:rsid w:val="00273D5C"/>
    <w:rsid w:val="00273DAD"/>
    <w:rsid w:val="00274360"/>
    <w:rsid w:val="002746BA"/>
    <w:rsid w:val="002746D6"/>
    <w:rsid w:val="0027499D"/>
    <w:rsid w:val="002749E7"/>
    <w:rsid w:val="002749F6"/>
    <w:rsid w:val="00274DD9"/>
    <w:rsid w:val="00274EB5"/>
    <w:rsid w:val="002755F3"/>
    <w:rsid w:val="0027581D"/>
    <w:rsid w:val="00275D3E"/>
    <w:rsid w:val="00275E05"/>
    <w:rsid w:val="0027611B"/>
    <w:rsid w:val="00276536"/>
    <w:rsid w:val="002768E8"/>
    <w:rsid w:val="0027695F"/>
    <w:rsid w:val="0027698B"/>
    <w:rsid w:val="00276A0D"/>
    <w:rsid w:val="00276B80"/>
    <w:rsid w:val="00276E92"/>
    <w:rsid w:val="00276F4E"/>
    <w:rsid w:val="0027701B"/>
    <w:rsid w:val="00277625"/>
    <w:rsid w:val="0027786D"/>
    <w:rsid w:val="0027787B"/>
    <w:rsid w:val="00277B2C"/>
    <w:rsid w:val="00277C14"/>
    <w:rsid w:val="00277C66"/>
    <w:rsid w:val="00277E9E"/>
    <w:rsid w:val="00277F75"/>
    <w:rsid w:val="00280245"/>
    <w:rsid w:val="0028026D"/>
    <w:rsid w:val="00280C6E"/>
    <w:rsid w:val="00280CBB"/>
    <w:rsid w:val="00280DE8"/>
    <w:rsid w:val="00280E40"/>
    <w:rsid w:val="00280F62"/>
    <w:rsid w:val="0028106B"/>
    <w:rsid w:val="00281132"/>
    <w:rsid w:val="0028195D"/>
    <w:rsid w:val="00281A78"/>
    <w:rsid w:val="00281BD6"/>
    <w:rsid w:val="00281C0F"/>
    <w:rsid w:val="002822AE"/>
    <w:rsid w:val="002822BF"/>
    <w:rsid w:val="002826B7"/>
    <w:rsid w:val="002828D7"/>
    <w:rsid w:val="00282B96"/>
    <w:rsid w:val="00282BD5"/>
    <w:rsid w:val="00282C2C"/>
    <w:rsid w:val="00282E30"/>
    <w:rsid w:val="002830DF"/>
    <w:rsid w:val="0028315F"/>
    <w:rsid w:val="0028334C"/>
    <w:rsid w:val="002835E3"/>
    <w:rsid w:val="0028374A"/>
    <w:rsid w:val="00283D48"/>
    <w:rsid w:val="0028406C"/>
    <w:rsid w:val="00284551"/>
    <w:rsid w:val="00284DF9"/>
    <w:rsid w:val="00284E81"/>
    <w:rsid w:val="00285522"/>
    <w:rsid w:val="002855AB"/>
    <w:rsid w:val="0028585E"/>
    <w:rsid w:val="00285924"/>
    <w:rsid w:val="00285D95"/>
    <w:rsid w:val="00286130"/>
    <w:rsid w:val="0028692D"/>
    <w:rsid w:val="00286AE9"/>
    <w:rsid w:val="00286B29"/>
    <w:rsid w:val="00286DA8"/>
    <w:rsid w:val="00287723"/>
    <w:rsid w:val="00287D3B"/>
    <w:rsid w:val="00287E0D"/>
    <w:rsid w:val="00287E3F"/>
    <w:rsid w:val="00290476"/>
    <w:rsid w:val="0029055E"/>
    <w:rsid w:val="002906E7"/>
    <w:rsid w:val="0029081D"/>
    <w:rsid w:val="00290D18"/>
    <w:rsid w:val="00290E73"/>
    <w:rsid w:val="00290E7D"/>
    <w:rsid w:val="00290F00"/>
    <w:rsid w:val="002914EC"/>
    <w:rsid w:val="002917EB"/>
    <w:rsid w:val="00292567"/>
    <w:rsid w:val="00292686"/>
    <w:rsid w:val="0029280F"/>
    <w:rsid w:val="00292B0D"/>
    <w:rsid w:val="00292CC3"/>
    <w:rsid w:val="002930B2"/>
    <w:rsid w:val="002931C4"/>
    <w:rsid w:val="00293320"/>
    <w:rsid w:val="00293445"/>
    <w:rsid w:val="00293728"/>
    <w:rsid w:val="00293775"/>
    <w:rsid w:val="00293B88"/>
    <w:rsid w:val="0029406A"/>
    <w:rsid w:val="002941F2"/>
    <w:rsid w:val="00294BBA"/>
    <w:rsid w:val="00294BC2"/>
    <w:rsid w:val="00294D8B"/>
    <w:rsid w:val="00294D90"/>
    <w:rsid w:val="00295033"/>
    <w:rsid w:val="00295416"/>
    <w:rsid w:val="00295A6E"/>
    <w:rsid w:val="00295D72"/>
    <w:rsid w:val="002960F1"/>
    <w:rsid w:val="00296126"/>
    <w:rsid w:val="00296170"/>
    <w:rsid w:val="002967BF"/>
    <w:rsid w:val="00296B7E"/>
    <w:rsid w:val="00296EFC"/>
    <w:rsid w:val="00296F29"/>
    <w:rsid w:val="00296FEE"/>
    <w:rsid w:val="00297214"/>
    <w:rsid w:val="00297340"/>
    <w:rsid w:val="0029748E"/>
    <w:rsid w:val="002978AC"/>
    <w:rsid w:val="00297962"/>
    <w:rsid w:val="00297A67"/>
    <w:rsid w:val="00297C17"/>
    <w:rsid w:val="00297CAB"/>
    <w:rsid w:val="00297CF6"/>
    <w:rsid w:val="00297E33"/>
    <w:rsid w:val="00297E95"/>
    <w:rsid w:val="002A012C"/>
    <w:rsid w:val="002A04EE"/>
    <w:rsid w:val="002A06E4"/>
    <w:rsid w:val="002A0D61"/>
    <w:rsid w:val="002A15E4"/>
    <w:rsid w:val="002A19CD"/>
    <w:rsid w:val="002A1EFE"/>
    <w:rsid w:val="002A20C0"/>
    <w:rsid w:val="002A2230"/>
    <w:rsid w:val="002A233E"/>
    <w:rsid w:val="002A2342"/>
    <w:rsid w:val="002A23D1"/>
    <w:rsid w:val="002A273A"/>
    <w:rsid w:val="002A2BF1"/>
    <w:rsid w:val="002A2F2F"/>
    <w:rsid w:val="002A2F8D"/>
    <w:rsid w:val="002A2FB8"/>
    <w:rsid w:val="002A32B3"/>
    <w:rsid w:val="002A3575"/>
    <w:rsid w:val="002A3610"/>
    <w:rsid w:val="002A3AF3"/>
    <w:rsid w:val="002A3BAF"/>
    <w:rsid w:val="002A3D42"/>
    <w:rsid w:val="002A3D4B"/>
    <w:rsid w:val="002A3E66"/>
    <w:rsid w:val="002A47C0"/>
    <w:rsid w:val="002A492B"/>
    <w:rsid w:val="002A4E93"/>
    <w:rsid w:val="002A4F18"/>
    <w:rsid w:val="002A5004"/>
    <w:rsid w:val="002A5194"/>
    <w:rsid w:val="002A51DB"/>
    <w:rsid w:val="002A5454"/>
    <w:rsid w:val="002A57CD"/>
    <w:rsid w:val="002A5891"/>
    <w:rsid w:val="002A58C5"/>
    <w:rsid w:val="002A58C7"/>
    <w:rsid w:val="002A5C6A"/>
    <w:rsid w:val="002A5F8A"/>
    <w:rsid w:val="002A6041"/>
    <w:rsid w:val="002A6109"/>
    <w:rsid w:val="002A61B7"/>
    <w:rsid w:val="002A622A"/>
    <w:rsid w:val="002A6339"/>
    <w:rsid w:val="002A6467"/>
    <w:rsid w:val="002A6B93"/>
    <w:rsid w:val="002A6F0A"/>
    <w:rsid w:val="002A702F"/>
    <w:rsid w:val="002A7887"/>
    <w:rsid w:val="002A78FE"/>
    <w:rsid w:val="002A7B10"/>
    <w:rsid w:val="002A7DEC"/>
    <w:rsid w:val="002A7F65"/>
    <w:rsid w:val="002B01B9"/>
    <w:rsid w:val="002B0CFB"/>
    <w:rsid w:val="002B1119"/>
    <w:rsid w:val="002B14A5"/>
    <w:rsid w:val="002B19EF"/>
    <w:rsid w:val="002B1CA7"/>
    <w:rsid w:val="002B1CC4"/>
    <w:rsid w:val="002B2285"/>
    <w:rsid w:val="002B2376"/>
    <w:rsid w:val="002B24AA"/>
    <w:rsid w:val="002B2AD0"/>
    <w:rsid w:val="002B2D8D"/>
    <w:rsid w:val="002B2E97"/>
    <w:rsid w:val="002B3678"/>
    <w:rsid w:val="002B37E9"/>
    <w:rsid w:val="002B3DCB"/>
    <w:rsid w:val="002B3F18"/>
    <w:rsid w:val="002B4054"/>
    <w:rsid w:val="002B4162"/>
    <w:rsid w:val="002B4164"/>
    <w:rsid w:val="002B4173"/>
    <w:rsid w:val="002B42A7"/>
    <w:rsid w:val="002B4734"/>
    <w:rsid w:val="002B47FC"/>
    <w:rsid w:val="002B4D02"/>
    <w:rsid w:val="002B4EEE"/>
    <w:rsid w:val="002B5606"/>
    <w:rsid w:val="002B64D7"/>
    <w:rsid w:val="002B6510"/>
    <w:rsid w:val="002B6AAE"/>
    <w:rsid w:val="002B6C0F"/>
    <w:rsid w:val="002B6D2E"/>
    <w:rsid w:val="002B6D3E"/>
    <w:rsid w:val="002B7557"/>
    <w:rsid w:val="002B77F7"/>
    <w:rsid w:val="002B79A3"/>
    <w:rsid w:val="002B7D19"/>
    <w:rsid w:val="002B7DFA"/>
    <w:rsid w:val="002B7DFE"/>
    <w:rsid w:val="002B7EFD"/>
    <w:rsid w:val="002C01A9"/>
    <w:rsid w:val="002C0E62"/>
    <w:rsid w:val="002C0EBA"/>
    <w:rsid w:val="002C1140"/>
    <w:rsid w:val="002C1216"/>
    <w:rsid w:val="002C24E4"/>
    <w:rsid w:val="002C2A25"/>
    <w:rsid w:val="002C2AD2"/>
    <w:rsid w:val="002C2C9D"/>
    <w:rsid w:val="002C2E54"/>
    <w:rsid w:val="002C2F9C"/>
    <w:rsid w:val="002C331E"/>
    <w:rsid w:val="002C3422"/>
    <w:rsid w:val="002C34B4"/>
    <w:rsid w:val="002C3633"/>
    <w:rsid w:val="002C374B"/>
    <w:rsid w:val="002C383E"/>
    <w:rsid w:val="002C3EA7"/>
    <w:rsid w:val="002C3F30"/>
    <w:rsid w:val="002C4174"/>
    <w:rsid w:val="002C42DF"/>
    <w:rsid w:val="002C436F"/>
    <w:rsid w:val="002C47E0"/>
    <w:rsid w:val="002C49A8"/>
    <w:rsid w:val="002C4F20"/>
    <w:rsid w:val="002C509E"/>
    <w:rsid w:val="002C519F"/>
    <w:rsid w:val="002C53DB"/>
    <w:rsid w:val="002C563C"/>
    <w:rsid w:val="002C57DB"/>
    <w:rsid w:val="002C5EFA"/>
    <w:rsid w:val="002C5F0C"/>
    <w:rsid w:val="002C5FEA"/>
    <w:rsid w:val="002C606B"/>
    <w:rsid w:val="002C6645"/>
    <w:rsid w:val="002C690A"/>
    <w:rsid w:val="002C6A62"/>
    <w:rsid w:val="002C6F50"/>
    <w:rsid w:val="002C6F77"/>
    <w:rsid w:val="002C7311"/>
    <w:rsid w:val="002C75AE"/>
    <w:rsid w:val="002C7669"/>
    <w:rsid w:val="002C7748"/>
    <w:rsid w:val="002C7758"/>
    <w:rsid w:val="002C7801"/>
    <w:rsid w:val="002C7ADD"/>
    <w:rsid w:val="002C7C5F"/>
    <w:rsid w:val="002C7E6E"/>
    <w:rsid w:val="002C7FAC"/>
    <w:rsid w:val="002C7FD4"/>
    <w:rsid w:val="002D00EC"/>
    <w:rsid w:val="002D01EE"/>
    <w:rsid w:val="002D02C7"/>
    <w:rsid w:val="002D038C"/>
    <w:rsid w:val="002D043C"/>
    <w:rsid w:val="002D0642"/>
    <w:rsid w:val="002D0983"/>
    <w:rsid w:val="002D0F94"/>
    <w:rsid w:val="002D104A"/>
    <w:rsid w:val="002D10E9"/>
    <w:rsid w:val="002D1817"/>
    <w:rsid w:val="002D1F56"/>
    <w:rsid w:val="002D1FC5"/>
    <w:rsid w:val="002D230C"/>
    <w:rsid w:val="002D244B"/>
    <w:rsid w:val="002D259B"/>
    <w:rsid w:val="002D2CCA"/>
    <w:rsid w:val="002D2DEB"/>
    <w:rsid w:val="002D34D1"/>
    <w:rsid w:val="002D34EC"/>
    <w:rsid w:val="002D3512"/>
    <w:rsid w:val="002D3676"/>
    <w:rsid w:val="002D3A0F"/>
    <w:rsid w:val="002D3EAE"/>
    <w:rsid w:val="002D4076"/>
    <w:rsid w:val="002D40E9"/>
    <w:rsid w:val="002D41F7"/>
    <w:rsid w:val="002D457A"/>
    <w:rsid w:val="002D4A96"/>
    <w:rsid w:val="002D4CB9"/>
    <w:rsid w:val="002D4D38"/>
    <w:rsid w:val="002D5006"/>
    <w:rsid w:val="002D50D3"/>
    <w:rsid w:val="002D522A"/>
    <w:rsid w:val="002D5330"/>
    <w:rsid w:val="002D5FFE"/>
    <w:rsid w:val="002D610C"/>
    <w:rsid w:val="002D6378"/>
    <w:rsid w:val="002D63FC"/>
    <w:rsid w:val="002D65A9"/>
    <w:rsid w:val="002D6669"/>
    <w:rsid w:val="002D6836"/>
    <w:rsid w:val="002D6AC9"/>
    <w:rsid w:val="002D773F"/>
    <w:rsid w:val="002D780F"/>
    <w:rsid w:val="002D787D"/>
    <w:rsid w:val="002D7ACC"/>
    <w:rsid w:val="002E0148"/>
    <w:rsid w:val="002E022C"/>
    <w:rsid w:val="002E0327"/>
    <w:rsid w:val="002E032D"/>
    <w:rsid w:val="002E03E6"/>
    <w:rsid w:val="002E0910"/>
    <w:rsid w:val="002E0954"/>
    <w:rsid w:val="002E0D54"/>
    <w:rsid w:val="002E0DAE"/>
    <w:rsid w:val="002E0E98"/>
    <w:rsid w:val="002E108B"/>
    <w:rsid w:val="002E1528"/>
    <w:rsid w:val="002E159A"/>
    <w:rsid w:val="002E193C"/>
    <w:rsid w:val="002E1C00"/>
    <w:rsid w:val="002E1C39"/>
    <w:rsid w:val="002E1C9F"/>
    <w:rsid w:val="002E2088"/>
    <w:rsid w:val="002E22E6"/>
    <w:rsid w:val="002E25FF"/>
    <w:rsid w:val="002E2602"/>
    <w:rsid w:val="002E26F9"/>
    <w:rsid w:val="002E2826"/>
    <w:rsid w:val="002E29C2"/>
    <w:rsid w:val="002E2A58"/>
    <w:rsid w:val="002E347B"/>
    <w:rsid w:val="002E35A6"/>
    <w:rsid w:val="002E3828"/>
    <w:rsid w:val="002E3A83"/>
    <w:rsid w:val="002E3A8E"/>
    <w:rsid w:val="002E3BAA"/>
    <w:rsid w:val="002E3C65"/>
    <w:rsid w:val="002E3C6F"/>
    <w:rsid w:val="002E3CD5"/>
    <w:rsid w:val="002E4085"/>
    <w:rsid w:val="002E413A"/>
    <w:rsid w:val="002E459D"/>
    <w:rsid w:val="002E4E5C"/>
    <w:rsid w:val="002E4FA2"/>
    <w:rsid w:val="002E5069"/>
    <w:rsid w:val="002E5473"/>
    <w:rsid w:val="002E5575"/>
    <w:rsid w:val="002E56A2"/>
    <w:rsid w:val="002E5CDA"/>
    <w:rsid w:val="002E5EBB"/>
    <w:rsid w:val="002E60D9"/>
    <w:rsid w:val="002E6104"/>
    <w:rsid w:val="002E6227"/>
    <w:rsid w:val="002E6551"/>
    <w:rsid w:val="002E67BC"/>
    <w:rsid w:val="002E6BEE"/>
    <w:rsid w:val="002E6D3F"/>
    <w:rsid w:val="002E6EAF"/>
    <w:rsid w:val="002E7099"/>
    <w:rsid w:val="002E72A4"/>
    <w:rsid w:val="002E73AF"/>
    <w:rsid w:val="002E7848"/>
    <w:rsid w:val="002E79D7"/>
    <w:rsid w:val="002E7CE7"/>
    <w:rsid w:val="002E7DE8"/>
    <w:rsid w:val="002F029F"/>
    <w:rsid w:val="002F0AAC"/>
    <w:rsid w:val="002F0C36"/>
    <w:rsid w:val="002F0CE7"/>
    <w:rsid w:val="002F0DCD"/>
    <w:rsid w:val="002F0FD9"/>
    <w:rsid w:val="002F12A7"/>
    <w:rsid w:val="002F154C"/>
    <w:rsid w:val="002F168F"/>
    <w:rsid w:val="002F173C"/>
    <w:rsid w:val="002F1A6A"/>
    <w:rsid w:val="002F1CE5"/>
    <w:rsid w:val="002F20E1"/>
    <w:rsid w:val="002F233A"/>
    <w:rsid w:val="002F2771"/>
    <w:rsid w:val="002F2B5A"/>
    <w:rsid w:val="002F32A8"/>
    <w:rsid w:val="002F3409"/>
    <w:rsid w:val="002F368B"/>
    <w:rsid w:val="002F3900"/>
    <w:rsid w:val="002F3907"/>
    <w:rsid w:val="002F3DA2"/>
    <w:rsid w:val="002F3DED"/>
    <w:rsid w:val="002F3E39"/>
    <w:rsid w:val="002F49BE"/>
    <w:rsid w:val="002F4B5A"/>
    <w:rsid w:val="002F4BE1"/>
    <w:rsid w:val="002F5462"/>
    <w:rsid w:val="002F57A0"/>
    <w:rsid w:val="002F58B4"/>
    <w:rsid w:val="002F5BA2"/>
    <w:rsid w:val="002F5EBD"/>
    <w:rsid w:val="002F5F95"/>
    <w:rsid w:val="002F616F"/>
    <w:rsid w:val="002F6197"/>
    <w:rsid w:val="002F6286"/>
    <w:rsid w:val="002F63FD"/>
    <w:rsid w:val="002F64C8"/>
    <w:rsid w:val="002F65C2"/>
    <w:rsid w:val="002F68D6"/>
    <w:rsid w:val="002F69D5"/>
    <w:rsid w:val="002F6A6E"/>
    <w:rsid w:val="002F6BAA"/>
    <w:rsid w:val="002F6F2A"/>
    <w:rsid w:val="002F736E"/>
    <w:rsid w:val="002F7406"/>
    <w:rsid w:val="002F746D"/>
    <w:rsid w:val="002F7557"/>
    <w:rsid w:val="002F760B"/>
    <w:rsid w:val="002F7A6D"/>
    <w:rsid w:val="00300060"/>
    <w:rsid w:val="003001B5"/>
    <w:rsid w:val="003002EF"/>
    <w:rsid w:val="00300451"/>
    <w:rsid w:val="003004C3"/>
    <w:rsid w:val="003005D5"/>
    <w:rsid w:val="00300873"/>
    <w:rsid w:val="003008F8"/>
    <w:rsid w:val="00300AC6"/>
    <w:rsid w:val="00300DAF"/>
    <w:rsid w:val="00300E73"/>
    <w:rsid w:val="00300F16"/>
    <w:rsid w:val="00301444"/>
    <w:rsid w:val="003016CF"/>
    <w:rsid w:val="00301A85"/>
    <w:rsid w:val="0030208E"/>
    <w:rsid w:val="0030220E"/>
    <w:rsid w:val="00302260"/>
    <w:rsid w:val="003023D3"/>
    <w:rsid w:val="003028CF"/>
    <w:rsid w:val="0030290C"/>
    <w:rsid w:val="003029FA"/>
    <w:rsid w:val="00302D1D"/>
    <w:rsid w:val="00302DF3"/>
    <w:rsid w:val="00303034"/>
    <w:rsid w:val="00303044"/>
    <w:rsid w:val="00303190"/>
    <w:rsid w:val="00303470"/>
    <w:rsid w:val="00303B04"/>
    <w:rsid w:val="0030442C"/>
    <w:rsid w:val="00304467"/>
    <w:rsid w:val="003044A6"/>
    <w:rsid w:val="003048A2"/>
    <w:rsid w:val="00304FFD"/>
    <w:rsid w:val="00305237"/>
    <w:rsid w:val="00305240"/>
    <w:rsid w:val="003058B2"/>
    <w:rsid w:val="00305B4C"/>
    <w:rsid w:val="00305BDD"/>
    <w:rsid w:val="00305EAF"/>
    <w:rsid w:val="0030610B"/>
    <w:rsid w:val="0030649C"/>
    <w:rsid w:val="00306D77"/>
    <w:rsid w:val="003073A6"/>
    <w:rsid w:val="003077F3"/>
    <w:rsid w:val="00307ADB"/>
    <w:rsid w:val="00307B90"/>
    <w:rsid w:val="00307ECF"/>
    <w:rsid w:val="00310152"/>
    <w:rsid w:val="00310239"/>
    <w:rsid w:val="00310264"/>
    <w:rsid w:val="00310868"/>
    <w:rsid w:val="00310A9F"/>
    <w:rsid w:val="00310C21"/>
    <w:rsid w:val="00310D60"/>
    <w:rsid w:val="00311168"/>
    <w:rsid w:val="00311483"/>
    <w:rsid w:val="00311629"/>
    <w:rsid w:val="00311669"/>
    <w:rsid w:val="00311B7C"/>
    <w:rsid w:val="00311BA5"/>
    <w:rsid w:val="003121C1"/>
    <w:rsid w:val="00312219"/>
    <w:rsid w:val="00312B57"/>
    <w:rsid w:val="00312D97"/>
    <w:rsid w:val="0031316C"/>
    <w:rsid w:val="003135DC"/>
    <w:rsid w:val="00313BBB"/>
    <w:rsid w:val="00313CAC"/>
    <w:rsid w:val="00313CDA"/>
    <w:rsid w:val="00313D1C"/>
    <w:rsid w:val="00313EE6"/>
    <w:rsid w:val="003141B3"/>
    <w:rsid w:val="00314336"/>
    <w:rsid w:val="0031457C"/>
    <w:rsid w:val="00314689"/>
    <w:rsid w:val="003147E3"/>
    <w:rsid w:val="00314ACD"/>
    <w:rsid w:val="00315476"/>
    <w:rsid w:val="0031590C"/>
    <w:rsid w:val="00315979"/>
    <w:rsid w:val="00315B18"/>
    <w:rsid w:val="00315C15"/>
    <w:rsid w:val="00315C25"/>
    <w:rsid w:val="00315EFC"/>
    <w:rsid w:val="00316543"/>
    <w:rsid w:val="003165F2"/>
    <w:rsid w:val="00316708"/>
    <w:rsid w:val="003168D2"/>
    <w:rsid w:val="00316967"/>
    <w:rsid w:val="0031699E"/>
    <w:rsid w:val="00316CFF"/>
    <w:rsid w:val="00316EC6"/>
    <w:rsid w:val="00317385"/>
    <w:rsid w:val="0031758C"/>
    <w:rsid w:val="0031782E"/>
    <w:rsid w:val="00317BAA"/>
    <w:rsid w:val="00317E65"/>
    <w:rsid w:val="003205E0"/>
    <w:rsid w:val="00320B6C"/>
    <w:rsid w:val="00320CF3"/>
    <w:rsid w:val="0032119F"/>
    <w:rsid w:val="003212BC"/>
    <w:rsid w:val="003212CC"/>
    <w:rsid w:val="00321365"/>
    <w:rsid w:val="00321716"/>
    <w:rsid w:val="003220CB"/>
    <w:rsid w:val="003220D5"/>
    <w:rsid w:val="00322143"/>
    <w:rsid w:val="003222F6"/>
    <w:rsid w:val="003226AC"/>
    <w:rsid w:val="00322700"/>
    <w:rsid w:val="003229D8"/>
    <w:rsid w:val="003229F7"/>
    <w:rsid w:val="00322CED"/>
    <w:rsid w:val="00322F9C"/>
    <w:rsid w:val="00322FAA"/>
    <w:rsid w:val="003232C5"/>
    <w:rsid w:val="00323515"/>
    <w:rsid w:val="00323616"/>
    <w:rsid w:val="00323723"/>
    <w:rsid w:val="0032373B"/>
    <w:rsid w:val="00323A12"/>
    <w:rsid w:val="00324521"/>
    <w:rsid w:val="003246BD"/>
    <w:rsid w:val="003246F9"/>
    <w:rsid w:val="0032500C"/>
    <w:rsid w:val="00325259"/>
    <w:rsid w:val="00325517"/>
    <w:rsid w:val="0032566D"/>
    <w:rsid w:val="0032587C"/>
    <w:rsid w:val="003261E6"/>
    <w:rsid w:val="0032620E"/>
    <w:rsid w:val="00326526"/>
    <w:rsid w:val="003266EB"/>
    <w:rsid w:val="0032687E"/>
    <w:rsid w:val="00326D1F"/>
    <w:rsid w:val="00326E9D"/>
    <w:rsid w:val="00327083"/>
    <w:rsid w:val="003273EC"/>
    <w:rsid w:val="003278F7"/>
    <w:rsid w:val="00327DA6"/>
    <w:rsid w:val="00330041"/>
    <w:rsid w:val="00330044"/>
    <w:rsid w:val="003300C6"/>
    <w:rsid w:val="003301A7"/>
    <w:rsid w:val="003301CC"/>
    <w:rsid w:val="00330A32"/>
    <w:rsid w:val="00330A5B"/>
    <w:rsid w:val="00330A66"/>
    <w:rsid w:val="00330AC9"/>
    <w:rsid w:val="00330B61"/>
    <w:rsid w:val="00330C6B"/>
    <w:rsid w:val="003313AE"/>
    <w:rsid w:val="00331684"/>
    <w:rsid w:val="00331CE7"/>
    <w:rsid w:val="00331D1F"/>
    <w:rsid w:val="00331E7F"/>
    <w:rsid w:val="0033257E"/>
    <w:rsid w:val="00332FF3"/>
    <w:rsid w:val="00333176"/>
    <w:rsid w:val="003331EF"/>
    <w:rsid w:val="0033338F"/>
    <w:rsid w:val="0033346C"/>
    <w:rsid w:val="0033356A"/>
    <w:rsid w:val="0033377D"/>
    <w:rsid w:val="00333804"/>
    <w:rsid w:val="00333AB9"/>
    <w:rsid w:val="00333B15"/>
    <w:rsid w:val="00333C1E"/>
    <w:rsid w:val="0033432A"/>
    <w:rsid w:val="0033446C"/>
    <w:rsid w:val="003348EA"/>
    <w:rsid w:val="0033499C"/>
    <w:rsid w:val="00334A33"/>
    <w:rsid w:val="00334B83"/>
    <w:rsid w:val="00334C69"/>
    <w:rsid w:val="00334E60"/>
    <w:rsid w:val="00334FD5"/>
    <w:rsid w:val="00335058"/>
    <w:rsid w:val="003350C7"/>
    <w:rsid w:val="00335460"/>
    <w:rsid w:val="00335597"/>
    <w:rsid w:val="00335821"/>
    <w:rsid w:val="00335A89"/>
    <w:rsid w:val="00335B89"/>
    <w:rsid w:val="00335D14"/>
    <w:rsid w:val="003360AE"/>
    <w:rsid w:val="0033616C"/>
    <w:rsid w:val="003361B3"/>
    <w:rsid w:val="00336261"/>
    <w:rsid w:val="003362F3"/>
    <w:rsid w:val="0033693C"/>
    <w:rsid w:val="00336C1C"/>
    <w:rsid w:val="00336EAC"/>
    <w:rsid w:val="00337680"/>
    <w:rsid w:val="003379A3"/>
    <w:rsid w:val="00337A46"/>
    <w:rsid w:val="00337AD1"/>
    <w:rsid w:val="00337BF0"/>
    <w:rsid w:val="00337DD1"/>
    <w:rsid w:val="003400F0"/>
    <w:rsid w:val="003403C4"/>
    <w:rsid w:val="003404ED"/>
    <w:rsid w:val="003405CD"/>
    <w:rsid w:val="003406C7"/>
    <w:rsid w:val="00340B31"/>
    <w:rsid w:val="00340C68"/>
    <w:rsid w:val="00340EAC"/>
    <w:rsid w:val="00340FEC"/>
    <w:rsid w:val="00341355"/>
    <w:rsid w:val="003415BF"/>
    <w:rsid w:val="0034176F"/>
    <w:rsid w:val="003417E0"/>
    <w:rsid w:val="00341F8B"/>
    <w:rsid w:val="00341FC5"/>
    <w:rsid w:val="0034209D"/>
    <w:rsid w:val="00342107"/>
    <w:rsid w:val="00342A2E"/>
    <w:rsid w:val="00342A4A"/>
    <w:rsid w:val="00342A63"/>
    <w:rsid w:val="00342BAF"/>
    <w:rsid w:val="00342C6C"/>
    <w:rsid w:val="00342EEE"/>
    <w:rsid w:val="003433C3"/>
    <w:rsid w:val="0034365A"/>
    <w:rsid w:val="003438F4"/>
    <w:rsid w:val="00343924"/>
    <w:rsid w:val="00343F35"/>
    <w:rsid w:val="0034400E"/>
    <w:rsid w:val="003441A7"/>
    <w:rsid w:val="0034423F"/>
    <w:rsid w:val="003442A4"/>
    <w:rsid w:val="00344893"/>
    <w:rsid w:val="00344AA0"/>
    <w:rsid w:val="00345121"/>
    <w:rsid w:val="00345308"/>
    <w:rsid w:val="0034566C"/>
    <w:rsid w:val="0034585F"/>
    <w:rsid w:val="00345B5C"/>
    <w:rsid w:val="00345CEE"/>
    <w:rsid w:val="00346159"/>
    <w:rsid w:val="00346455"/>
    <w:rsid w:val="00346B38"/>
    <w:rsid w:val="0034749F"/>
    <w:rsid w:val="003474A9"/>
    <w:rsid w:val="00347637"/>
    <w:rsid w:val="00347DC7"/>
    <w:rsid w:val="00347E2E"/>
    <w:rsid w:val="0035039A"/>
    <w:rsid w:val="00350614"/>
    <w:rsid w:val="00350D94"/>
    <w:rsid w:val="0035105A"/>
    <w:rsid w:val="00351A49"/>
    <w:rsid w:val="00351BAE"/>
    <w:rsid w:val="003521B8"/>
    <w:rsid w:val="003521FD"/>
    <w:rsid w:val="003523C7"/>
    <w:rsid w:val="003526CA"/>
    <w:rsid w:val="00352801"/>
    <w:rsid w:val="00352DB2"/>
    <w:rsid w:val="00352E7C"/>
    <w:rsid w:val="003531AD"/>
    <w:rsid w:val="00353ECB"/>
    <w:rsid w:val="00353F61"/>
    <w:rsid w:val="003542C8"/>
    <w:rsid w:val="003545CA"/>
    <w:rsid w:val="00354A8C"/>
    <w:rsid w:val="00354C44"/>
    <w:rsid w:val="0035561A"/>
    <w:rsid w:val="00355636"/>
    <w:rsid w:val="00355BDB"/>
    <w:rsid w:val="00355D0E"/>
    <w:rsid w:val="003562FD"/>
    <w:rsid w:val="00356787"/>
    <w:rsid w:val="00356AC4"/>
    <w:rsid w:val="00356D38"/>
    <w:rsid w:val="00356D99"/>
    <w:rsid w:val="00356DB9"/>
    <w:rsid w:val="00356EBD"/>
    <w:rsid w:val="003573F8"/>
    <w:rsid w:val="003574FA"/>
    <w:rsid w:val="0035797F"/>
    <w:rsid w:val="00357A42"/>
    <w:rsid w:val="00357AC8"/>
    <w:rsid w:val="00357D36"/>
    <w:rsid w:val="00357E4C"/>
    <w:rsid w:val="00357E4F"/>
    <w:rsid w:val="00357F5A"/>
    <w:rsid w:val="00357F7A"/>
    <w:rsid w:val="00360486"/>
    <w:rsid w:val="00360524"/>
    <w:rsid w:val="00360F63"/>
    <w:rsid w:val="0036114A"/>
    <w:rsid w:val="0036159E"/>
    <w:rsid w:val="00361B35"/>
    <w:rsid w:val="00361C77"/>
    <w:rsid w:val="00362182"/>
    <w:rsid w:val="003623B1"/>
    <w:rsid w:val="003625A8"/>
    <w:rsid w:val="003626D7"/>
    <w:rsid w:val="00362A8A"/>
    <w:rsid w:val="0036319F"/>
    <w:rsid w:val="0036327C"/>
    <w:rsid w:val="00363421"/>
    <w:rsid w:val="00363681"/>
    <w:rsid w:val="003638F3"/>
    <w:rsid w:val="00363ABD"/>
    <w:rsid w:val="00363B0B"/>
    <w:rsid w:val="00363D25"/>
    <w:rsid w:val="00363F3F"/>
    <w:rsid w:val="00363FC1"/>
    <w:rsid w:val="003641B6"/>
    <w:rsid w:val="00365091"/>
    <w:rsid w:val="0036528E"/>
    <w:rsid w:val="003654AE"/>
    <w:rsid w:val="003655CC"/>
    <w:rsid w:val="00365643"/>
    <w:rsid w:val="00365645"/>
    <w:rsid w:val="0036572F"/>
    <w:rsid w:val="003658B3"/>
    <w:rsid w:val="0036597A"/>
    <w:rsid w:val="00365A82"/>
    <w:rsid w:val="00365D16"/>
    <w:rsid w:val="00365E9D"/>
    <w:rsid w:val="00365F71"/>
    <w:rsid w:val="003663DA"/>
    <w:rsid w:val="0036666E"/>
    <w:rsid w:val="00366A0F"/>
    <w:rsid w:val="00366B13"/>
    <w:rsid w:val="00366E22"/>
    <w:rsid w:val="00366E9C"/>
    <w:rsid w:val="00367734"/>
    <w:rsid w:val="00367804"/>
    <w:rsid w:val="0036788C"/>
    <w:rsid w:val="00370229"/>
    <w:rsid w:val="00370306"/>
    <w:rsid w:val="00370318"/>
    <w:rsid w:val="00370485"/>
    <w:rsid w:val="003704C4"/>
    <w:rsid w:val="00370DE1"/>
    <w:rsid w:val="00370DED"/>
    <w:rsid w:val="003712A2"/>
    <w:rsid w:val="003712C0"/>
    <w:rsid w:val="003713F1"/>
    <w:rsid w:val="003716A5"/>
    <w:rsid w:val="0037174C"/>
    <w:rsid w:val="0037183E"/>
    <w:rsid w:val="00371904"/>
    <w:rsid w:val="00371BDD"/>
    <w:rsid w:val="00372238"/>
    <w:rsid w:val="00372587"/>
    <w:rsid w:val="00372771"/>
    <w:rsid w:val="003727AA"/>
    <w:rsid w:val="00372931"/>
    <w:rsid w:val="003732DA"/>
    <w:rsid w:val="003735CD"/>
    <w:rsid w:val="003735DE"/>
    <w:rsid w:val="0037396D"/>
    <w:rsid w:val="00373B84"/>
    <w:rsid w:val="00373C36"/>
    <w:rsid w:val="00373C49"/>
    <w:rsid w:val="00373F97"/>
    <w:rsid w:val="00373FDF"/>
    <w:rsid w:val="0037474C"/>
    <w:rsid w:val="00374A34"/>
    <w:rsid w:val="00374C66"/>
    <w:rsid w:val="00374E9C"/>
    <w:rsid w:val="0037500D"/>
    <w:rsid w:val="003752D3"/>
    <w:rsid w:val="00375548"/>
    <w:rsid w:val="0037569C"/>
    <w:rsid w:val="00375766"/>
    <w:rsid w:val="00375ACB"/>
    <w:rsid w:val="00375AED"/>
    <w:rsid w:val="00375EB8"/>
    <w:rsid w:val="00375F4B"/>
    <w:rsid w:val="00376317"/>
    <w:rsid w:val="00376995"/>
    <w:rsid w:val="003769A5"/>
    <w:rsid w:val="00376A9F"/>
    <w:rsid w:val="00376C70"/>
    <w:rsid w:val="00376D15"/>
    <w:rsid w:val="0037727D"/>
    <w:rsid w:val="00377659"/>
    <w:rsid w:val="003778F0"/>
    <w:rsid w:val="00377989"/>
    <w:rsid w:val="00377AE4"/>
    <w:rsid w:val="00377DC8"/>
    <w:rsid w:val="00377FBF"/>
    <w:rsid w:val="00380020"/>
    <w:rsid w:val="0038007F"/>
    <w:rsid w:val="003807EB"/>
    <w:rsid w:val="00380972"/>
    <w:rsid w:val="0038103F"/>
    <w:rsid w:val="003811EF"/>
    <w:rsid w:val="00381209"/>
    <w:rsid w:val="003812C4"/>
    <w:rsid w:val="003812DB"/>
    <w:rsid w:val="0038147A"/>
    <w:rsid w:val="003817F4"/>
    <w:rsid w:val="0038193D"/>
    <w:rsid w:val="00381B99"/>
    <w:rsid w:val="003823F4"/>
    <w:rsid w:val="003826F4"/>
    <w:rsid w:val="00382C85"/>
    <w:rsid w:val="00382CF5"/>
    <w:rsid w:val="00382DC2"/>
    <w:rsid w:val="00382E2A"/>
    <w:rsid w:val="0038313D"/>
    <w:rsid w:val="003838C0"/>
    <w:rsid w:val="00383AAA"/>
    <w:rsid w:val="00383AB5"/>
    <w:rsid w:val="00383CD6"/>
    <w:rsid w:val="00383D16"/>
    <w:rsid w:val="00383F8B"/>
    <w:rsid w:val="00384353"/>
    <w:rsid w:val="003843EE"/>
    <w:rsid w:val="00384513"/>
    <w:rsid w:val="00384B49"/>
    <w:rsid w:val="00384C9F"/>
    <w:rsid w:val="00385244"/>
    <w:rsid w:val="003854E9"/>
    <w:rsid w:val="0038552A"/>
    <w:rsid w:val="00385741"/>
    <w:rsid w:val="00385D48"/>
    <w:rsid w:val="00385E65"/>
    <w:rsid w:val="003863C7"/>
    <w:rsid w:val="00386943"/>
    <w:rsid w:val="00386CE5"/>
    <w:rsid w:val="00386FED"/>
    <w:rsid w:val="0038707B"/>
    <w:rsid w:val="00387118"/>
    <w:rsid w:val="00387248"/>
    <w:rsid w:val="0038774D"/>
    <w:rsid w:val="00387D79"/>
    <w:rsid w:val="00387E10"/>
    <w:rsid w:val="003901BE"/>
    <w:rsid w:val="00390238"/>
    <w:rsid w:val="00390A6A"/>
    <w:rsid w:val="003910A5"/>
    <w:rsid w:val="00391155"/>
    <w:rsid w:val="0039181B"/>
    <w:rsid w:val="003918C5"/>
    <w:rsid w:val="003919A6"/>
    <w:rsid w:val="00391C70"/>
    <w:rsid w:val="00391C83"/>
    <w:rsid w:val="00391F0F"/>
    <w:rsid w:val="00391F11"/>
    <w:rsid w:val="00392135"/>
    <w:rsid w:val="0039229B"/>
    <w:rsid w:val="003923FD"/>
    <w:rsid w:val="003924FD"/>
    <w:rsid w:val="00392614"/>
    <w:rsid w:val="0039272E"/>
    <w:rsid w:val="00392A82"/>
    <w:rsid w:val="00392C07"/>
    <w:rsid w:val="00392D40"/>
    <w:rsid w:val="00392F8D"/>
    <w:rsid w:val="0039306E"/>
    <w:rsid w:val="0039310E"/>
    <w:rsid w:val="00393772"/>
    <w:rsid w:val="00393A35"/>
    <w:rsid w:val="00393B56"/>
    <w:rsid w:val="00393CB9"/>
    <w:rsid w:val="00393D3A"/>
    <w:rsid w:val="00393F12"/>
    <w:rsid w:val="00394673"/>
    <w:rsid w:val="00394996"/>
    <w:rsid w:val="00394DE7"/>
    <w:rsid w:val="00394EAF"/>
    <w:rsid w:val="003952CD"/>
    <w:rsid w:val="00395360"/>
    <w:rsid w:val="003956B3"/>
    <w:rsid w:val="00395714"/>
    <w:rsid w:val="00395AD8"/>
    <w:rsid w:val="00395B78"/>
    <w:rsid w:val="00395CE9"/>
    <w:rsid w:val="00395E2A"/>
    <w:rsid w:val="0039669E"/>
    <w:rsid w:val="003967B9"/>
    <w:rsid w:val="003970D5"/>
    <w:rsid w:val="00397129"/>
    <w:rsid w:val="0039718A"/>
    <w:rsid w:val="0039722E"/>
    <w:rsid w:val="003972FA"/>
    <w:rsid w:val="0039761A"/>
    <w:rsid w:val="0039764B"/>
    <w:rsid w:val="0039771D"/>
    <w:rsid w:val="00397772"/>
    <w:rsid w:val="00397A4A"/>
    <w:rsid w:val="00397B48"/>
    <w:rsid w:val="003A01F7"/>
    <w:rsid w:val="003A08B4"/>
    <w:rsid w:val="003A0BC9"/>
    <w:rsid w:val="003A0C48"/>
    <w:rsid w:val="003A0CAB"/>
    <w:rsid w:val="003A0ED8"/>
    <w:rsid w:val="003A0EEE"/>
    <w:rsid w:val="003A100C"/>
    <w:rsid w:val="003A10A9"/>
    <w:rsid w:val="003A10CD"/>
    <w:rsid w:val="003A11EE"/>
    <w:rsid w:val="003A12FB"/>
    <w:rsid w:val="003A14D5"/>
    <w:rsid w:val="003A16CE"/>
    <w:rsid w:val="003A18B8"/>
    <w:rsid w:val="003A1D1C"/>
    <w:rsid w:val="003A1D99"/>
    <w:rsid w:val="003A1EA2"/>
    <w:rsid w:val="003A20F2"/>
    <w:rsid w:val="003A21E3"/>
    <w:rsid w:val="003A274F"/>
    <w:rsid w:val="003A2931"/>
    <w:rsid w:val="003A2D5B"/>
    <w:rsid w:val="003A30F2"/>
    <w:rsid w:val="003A3420"/>
    <w:rsid w:val="003A3708"/>
    <w:rsid w:val="003A3751"/>
    <w:rsid w:val="003A3948"/>
    <w:rsid w:val="003A3C74"/>
    <w:rsid w:val="003A3CD6"/>
    <w:rsid w:val="003A3D1D"/>
    <w:rsid w:val="003A3F74"/>
    <w:rsid w:val="003A40B6"/>
    <w:rsid w:val="003A40C0"/>
    <w:rsid w:val="003A4871"/>
    <w:rsid w:val="003A48C6"/>
    <w:rsid w:val="003A494E"/>
    <w:rsid w:val="003A4957"/>
    <w:rsid w:val="003A49D8"/>
    <w:rsid w:val="003A4A8D"/>
    <w:rsid w:val="003A4C4A"/>
    <w:rsid w:val="003A4D33"/>
    <w:rsid w:val="003A4EBE"/>
    <w:rsid w:val="003A5075"/>
    <w:rsid w:val="003A5095"/>
    <w:rsid w:val="003A52C0"/>
    <w:rsid w:val="003A53F6"/>
    <w:rsid w:val="003A5A54"/>
    <w:rsid w:val="003A5D21"/>
    <w:rsid w:val="003A5E6C"/>
    <w:rsid w:val="003A6086"/>
    <w:rsid w:val="003A614C"/>
    <w:rsid w:val="003A6A0B"/>
    <w:rsid w:val="003A6D37"/>
    <w:rsid w:val="003A7051"/>
    <w:rsid w:val="003A70C1"/>
    <w:rsid w:val="003A724D"/>
    <w:rsid w:val="003A741F"/>
    <w:rsid w:val="003A774F"/>
    <w:rsid w:val="003A7998"/>
    <w:rsid w:val="003A7A6A"/>
    <w:rsid w:val="003A7E9B"/>
    <w:rsid w:val="003A7FD3"/>
    <w:rsid w:val="003B0034"/>
    <w:rsid w:val="003B025D"/>
    <w:rsid w:val="003B030A"/>
    <w:rsid w:val="003B0322"/>
    <w:rsid w:val="003B032F"/>
    <w:rsid w:val="003B0517"/>
    <w:rsid w:val="003B0A68"/>
    <w:rsid w:val="003B10B2"/>
    <w:rsid w:val="003B1477"/>
    <w:rsid w:val="003B156F"/>
    <w:rsid w:val="003B1B46"/>
    <w:rsid w:val="003B1CBD"/>
    <w:rsid w:val="003B1DE9"/>
    <w:rsid w:val="003B2103"/>
    <w:rsid w:val="003B215E"/>
    <w:rsid w:val="003B23B4"/>
    <w:rsid w:val="003B25E4"/>
    <w:rsid w:val="003B2744"/>
    <w:rsid w:val="003B2798"/>
    <w:rsid w:val="003B2839"/>
    <w:rsid w:val="003B2B18"/>
    <w:rsid w:val="003B2B3F"/>
    <w:rsid w:val="003B2C34"/>
    <w:rsid w:val="003B30E7"/>
    <w:rsid w:val="003B31CD"/>
    <w:rsid w:val="003B3245"/>
    <w:rsid w:val="003B3379"/>
    <w:rsid w:val="003B347B"/>
    <w:rsid w:val="003B39CE"/>
    <w:rsid w:val="003B3C2F"/>
    <w:rsid w:val="003B3C47"/>
    <w:rsid w:val="003B3F96"/>
    <w:rsid w:val="003B404C"/>
    <w:rsid w:val="003B413B"/>
    <w:rsid w:val="003B48B3"/>
    <w:rsid w:val="003B4907"/>
    <w:rsid w:val="003B4A69"/>
    <w:rsid w:val="003B4BB4"/>
    <w:rsid w:val="003B52A4"/>
    <w:rsid w:val="003B57CE"/>
    <w:rsid w:val="003B58F7"/>
    <w:rsid w:val="003B6265"/>
    <w:rsid w:val="003B657F"/>
    <w:rsid w:val="003B6E06"/>
    <w:rsid w:val="003B71BA"/>
    <w:rsid w:val="003B738C"/>
    <w:rsid w:val="003B747F"/>
    <w:rsid w:val="003B7900"/>
    <w:rsid w:val="003B7DF6"/>
    <w:rsid w:val="003B7E00"/>
    <w:rsid w:val="003B7E3C"/>
    <w:rsid w:val="003B7EE5"/>
    <w:rsid w:val="003C035A"/>
    <w:rsid w:val="003C049B"/>
    <w:rsid w:val="003C08A9"/>
    <w:rsid w:val="003C08E6"/>
    <w:rsid w:val="003C09B3"/>
    <w:rsid w:val="003C0A32"/>
    <w:rsid w:val="003C0AD1"/>
    <w:rsid w:val="003C0B14"/>
    <w:rsid w:val="003C0B26"/>
    <w:rsid w:val="003C0E82"/>
    <w:rsid w:val="003C1123"/>
    <w:rsid w:val="003C12AF"/>
    <w:rsid w:val="003C12FB"/>
    <w:rsid w:val="003C1664"/>
    <w:rsid w:val="003C16D7"/>
    <w:rsid w:val="003C192B"/>
    <w:rsid w:val="003C19C0"/>
    <w:rsid w:val="003C1AA1"/>
    <w:rsid w:val="003C1C24"/>
    <w:rsid w:val="003C22C0"/>
    <w:rsid w:val="003C253A"/>
    <w:rsid w:val="003C264E"/>
    <w:rsid w:val="003C2DAD"/>
    <w:rsid w:val="003C304C"/>
    <w:rsid w:val="003C318B"/>
    <w:rsid w:val="003C3604"/>
    <w:rsid w:val="003C47E3"/>
    <w:rsid w:val="003C4BE4"/>
    <w:rsid w:val="003C4DE4"/>
    <w:rsid w:val="003C5089"/>
    <w:rsid w:val="003C51C6"/>
    <w:rsid w:val="003C51FF"/>
    <w:rsid w:val="003C5699"/>
    <w:rsid w:val="003C57EF"/>
    <w:rsid w:val="003C5947"/>
    <w:rsid w:val="003C59B2"/>
    <w:rsid w:val="003C5A43"/>
    <w:rsid w:val="003C5CA1"/>
    <w:rsid w:val="003C64AF"/>
    <w:rsid w:val="003C663B"/>
    <w:rsid w:val="003C6687"/>
    <w:rsid w:val="003C67C3"/>
    <w:rsid w:val="003C682C"/>
    <w:rsid w:val="003C6EA5"/>
    <w:rsid w:val="003C6F7B"/>
    <w:rsid w:val="003C6FC4"/>
    <w:rsid w:val="003C7080"/>
    <w:rsid w:val="003C70F5"/>
    <w:rsid w:val="003C7380"/>
    <w:rsid w:val="003C7520"/>
    <w:rsid w:val="003C7528"/>
    <w:rsid w:val="003C7542"/>
    <w:rsid w:val="003C789A"/>
    <w:rsid w:val="003C78C1"/>
    <w:rsid w:val="003C7998"/>
    <w:rsid w:val="003C7A5D"/>
    <w:rsid w:val="003D043D"/>
    <w:rsid w:val="003D09E6"/>
    <w:rsid w:val="003D1366"/>
    <w:rsid w:val="003D1394"/>
    <w:rsid w:val="003D172D"/>
    <w:rsid w:val="003D177E"/>
    <w:rsid w:val="003D1A80"/>
    <w:rsid w:val="003D1ADF"/>
    <w:rsid w:val="003D21DC"/>
    <w:rsid w:val="003D2835"/>
    <w:rsid w:val="003D2C36"/>
    <w:rsid w:val="003D2E31"/>
    <w:rsid w:val="003D339F"/>
    <w:rsid w:val="003D353E"/>
    <w:rsid w:val="003D368F"/>
    <w:rsid w:val="003D3C59"/>
    <w:rsid w:val="003D3CA8"/>
    <w:rsid w:val="003D3D0D"/>
    <w:rsid w:val="003D41E5"/>
    <w:rsid w:val="003D434C"/>
    <w:rsid w:val="003D4A2C"/>
    <w:rsid w:val="003D4AE9"/>
    <w:rsid w:val="003D4C84"/>
    <w:rsid w:val="003D4CF7"/>
    <w:rsid w:val="003D5351"/>
    <w:rsid w:val="003D5AA3"/>
    <w:rsid w:val="003D5C4D"/>
    <w:rsid w:val="003D5DBC"/>
    <w:rsid w:val="003D5F89"/>
    <w:rsid w:val="003D5F8F"/>
    <w:rsid w:val="003D66F6"/>
    <w:rsid w:val="003D67DE"/>
    <w:rsid w:val="003D6AD6"/>
    <w:rsid w:val="003D6F77"/>
    <w:rsid w:val="003D7102"/>
    <w:rsid w:val="003D75C0"/>
    <w:rsid w:val="003D7844"/>
    <w:rsid w:val="003D7A6F"/>
    <w:rsid w:val="003E014C"/>
    <w:rsid w:val="003E0247"/>
    <w:rsid w:val="003E053E"/>
    <w:rsid w:val="003E0795"/>
    <w:rsid w:val="003E0A57"/>
    <w:rsid w:val="003E0C23"/>
    <w:rsid w:val="003E0CE5"/>
    <w:rsid w:val="003E0D1E"/>
    <w:rsid w:val="003E132B"/>
    <w:rsid w:val="003E138D"/>
    <w:rsid w:val="003E156D"/>
    <w:rsid w:val="003E1581"/>
    <w:rsid w:val="003E1802"/>
    <w:rsid w:val="003E1820"/>
    <w:rsid w:val="003E1974"/>
    <w:rsid w:val="003E1A66"/>
    <w:rsid w:val="003E1A87"/>
    <w:rsid w:val="003E1BD1"/>
    <w:rsid w:val="003E1C00"/>
    <w:rsid w:val="003E1C5B"/>
    <w:rsid w:val="003E2023"/>
    <w:rsid w:val="003E20F1"/>
    <w:rsid w:val="003E23AE"/>
    <w:rsid w:val="003E246E"/>
    <w:rsid w:val="003E2501"/>
    <w:rsid w:val="003E2A11"/>
    <w:rsid w:val="003E2A22"/>
    <w:rsid w:val="003E2D03"/>
    <w:rsid w:val="003E3E25"/>
    <w:rsid w:val="003E4103"/>
    <w:rsid w:val="003E43DE"/>
    <w:rsid w:val="003E446F"/>
    <w:rsid w:val="003E44AA"/>
    <w:rsid w:val="003E4977"/>
    <w:rsid w:val="003E49BA"/>
    <w:rsid w:val="003E4B50"/>
    <w:rsid w:val="003E4BD4"/>
    <w:rsid w:val="003E4E8F"/>
    <w:rsid w:val="003E4E9B"/>
    <w:rsid w:val="003E4FCC"/>
    <w:rsid w:val="003E576D"/>
    <w:rsid w:val="003E5E32"/>
    <w:rsid w:val="003E6371"/>
    <w:rsid w:val="003E6482"/>
    <w:rsid w:val="003E6BB9"/>
    <w:rsid w:val="003E7262"/>
    <w:rsid w:val="003E73C7"/>
    <w:rsid w:val="003E7490"/>
    <w:rsid w:val="003E74ED"/>
    <w:rsid w:val="003E753C"/>
    <w:rsid w:val="003E76DE"/>
    <w:rsid w:val="003E7B41"/>
    <w:rsid w:val="003E7E65"/>
    <w:rsid w:val="003E7EBA"/>
    <w:rsid w:val="003F0464"/>
    <w:rsid w:val="003F0620"/>
    <w:rsid w:val="003F06B9"/>
    <w:rsid w:val="003F08B6"/>
    <w:rsid w:val="003F0A6B"/>
    <w:rsid w:val="003F0ADC"/>
    <w:rsid w:val="003F0BAC"/>
    <w:rsid w:val="003F0C65"/>
    <w:rsid w:val="003F0C86"/>
    <w:rsid w:val="003F1278"/>
    <w:rsid w:val="003F155E"/>
    <w:rsid w:val="003F1689"/>
    <w:rsid w:val="003F1723"/>
    <w:rsid w:val="003F18C2"/>
    <w:rsid w:val="003F19FB"/>
    <w:rsid w:val="003F1B00"/>
    <w:rsid w:val="003F1C1A"/>
    <w:rsid w:val="003F1CE5"/>
    <w:rsid w:val="003F1DFE"/>
    <w:rsid w:val="003F20CE"/>
    <w:rsid w:val="003F2224"/>
    <w:rsid w:val="003F24DC"/>
    <w:rsid w:val="003F2F7D"/>
    <w:rsid w:val="003F3172"/>
    <w:rsid w:val="003F3369"/>
    <w:rsid w:val="003F3B01"/>
    <w:rsid w:val="003F3DDE"/>
    <w:rsid w:val="003F40C4"/>
    <w:rsid w:val="003F4F8A"/>
    <w:rsid w:val="003F5266"/>
    <w:rsid w:val="003F52E2"/>
    <w:rsid w:val="003F5837"/>
    <w:rsid w:val="003F587C"/>
    <w:rsid w:val="003F5A46"/>
    <w:rsid w:val="003F5D99"/>
    <w:rsid w:val="003F601A"/>
    <w:rsid w:val="003F6791"/>
    <w:rsid w:val="003F67BA"/>
    <w:rsid w:val="003F6CE1"/>
    <w:rsid w:val="003F6D05"/>
    <w:rsid w:val="003F6FF0"/>
    <w:rsid w:val="003F6FFD"/>
    <w:rsid w:val="003F7332"/>
    <w:rsid w:val="003F73EA"/>
    <w:rsid w:val="003F741B"/>
    <w:rsid w:val="003F74D2"/>
    <w:rsid w:val="003F77BE"/>
    <w:rsid w:val="003F7899"/>
    <w:rsid w:val="003F78A9"/>
    <w:rsid w:val="00400316"/>
    <w:rsid w:val="004004EC"/>
    <w:rsid w:val="004004F2"/>
    <w:rsid w:val="00400643"/>
    <w:rsid w:val="00400C40"/>
    <w:rsid w:val="00400CD2"/>
    <w:rsid w:val="0040181B"/>
    <w:rsid w:val="00401AD8"/>
    <w:rsid w:val="00401BE8"/>
    <w:rsid w:val="00401EA9"/>
    <w:rsid w:val="00401F98"/>
    <w:rsid w:val="004021E9"/>
    <w:rsid w:val="00402491"/>
    <w:rsid w:val="004028F5"/>
    <w:rsid w:val="00402A35"/>
    <w:rsid w:val="00403239"/>
    <w:rsid w:val="004034FD"/>
    <w:rsid w:val="00403BBC"/>
    <w:rsid w:val="00403CD1"/>
    <w:rsid w:val="00403D32"/>
    <w:rsid w:val="00403EBE"/>
    <w:rsid w:val="00403F7B"/>
    <w:rsid w:val="0040409E"/>
    <w:rsid w:val="004040D3"/>
    <w:rsid w:val="0040421F"/>
    <w:rsid w:val="00404297"/>
    <w:rsid w:val="00404EFF"/>
    <w:rsid w:val="00404F2B"/>
    <w:rsid w:val="0040519D"/>
    <w:rsid w:val="004051B8"/>
    <w:rsid w:val="004052BC"/>
    <w:rsid w:val="00405758"/>
    <w:rsid w:val="004058D0"/>
    <w:rsid w:val="004062BF"/>
    <w:rsid w:val="004066C3"/>
    <w:rsid w:val="00406DF9"/>
    <w:rsid w:val="00407208"/>
    <w:rsid w:val="00407A10"/>
    <w:rsid w:val="00407BAB"/>
    <w:rsid w:val="00407D80"/>
    <w:rsid w:val="004104DB"/>
    <w:rsid w:val="0041071C"/>
    <w:rsid w:val="0041081E"/>
    <w:rsid w:val="004109E5"/>
    <w:rsid w:val="00410D77"/>
    <w:rsid w:val="00410FF3"/>
    <w:rsid w:val="00411342"/>
    <w:rsid w:val="004118E2"/>
    <w:rsid w:val="00411A72"/>
    <w:rsid w:val="00411A7B"/>
    <w:rsid w:val="00411CBD"/>
    <w:rsid w:val="00411F07"/>
    <w:rsid w:val="00412003"/>
    <w:rsid w:val="0041248A"/>
    <w:rsid w:val="0041287F"/>
    <w:rsid w:val="00412B84"/>
    <w:rsid w:val="00412BA2"/>
    <w:rsid w:val="00412EA0"/>
    <w:rsid w:val="00412EA7"/>
    <w:rsid w:val="00413085"/>
    <w:rsid w:val="004133F5"/>
    <w:rsid w:val="00413759"/>
    <w:rsid w:val="004138CE"/>
    <w:rsid w:val="00413921"/>
    <w:rsid w:val="004139B0"/>
    <w:rsid w:val="00413CAC"/>
    <w:rsid w:val="00413CEB"/>
    <w:rsid w:val="00413F73"/>
    <w:rsid w:val="00414542"/>
    <w:rsid w:val="00414666"/>
    <w:rsid w:val="00414787"/>
    <w:rsid w:val="00414795"/>
    <w:rsid w:val="00414884"/>
    <w:rsid w:val="00414998"/>
    <w:rsid w:val="00414B1C"/>
    <w:rsid w:val="00414DA9"/>
    <w:rsid w:val="004153FC"/>
    <w:rsid w:val="004155F9"/>
    <w:rsid w:val="004158F6"/>
    <w:rsid w:val="00415C77"/>
    <w:rsid w:val="00416031"/>
    <w:rsid w:val="00416038"/>
    <w:rsid w:val="00416084"/>
    <w:rsid w:val="004166B2"/>
    <w:rsid w:val="00416E31"/>
    <w:rsid w:val="00416E79"/>
    <w:rsid w:val="00417373"/>
    <w:rsid w:val="00417821"/>
    <w:rsid w:val="004179EA"/>
    <w:rsid w:val="00417D85"/>
    <w:rsid w:val="00417DE3"/>
    <w:rsid w:val="00417DE5"/>
    <w:rsid w:val="00420086"/>
    <w:rsid w:val="00420203"/>
    <w:rsid w:val="0042023F"/>
    <w:rsid w:val="00420260"/>
    <w:rsid w:val="0042036E"/>
    <w:rsid w:val="004203C4"/>
    <w:rsid w:val="0042041D"/>
    <w:rsid w:val="00420C87"/>
    <w:rsid w:val="00420D00"/>
    <w:rsid w:val="00420F75"/>
    <w:rsid w:val="00420FF2"/>
    <w:rsid w:val="004213EA"/>
    <w:rsid w:val="004218F6"/>
    <w:rsid w:val="00421DF9"/>
    <w:rsid w:val="00422170"/>
    <w:rsid w:val="00422341"/>
    <w:rsid w:val="004226B2"/>
    <w:rsid w:val="004229AE"/>
    <w:rsid w:val="00422BDB"/>
    <w:rsid w:val="00422D54"/>
    <w:rsid w:val="004231A5"/>
    <w:rsid w:val="004231D3"/>
    <w:rsid w:val="00423A66"/>
    <w:rsid w:val="00423EAE"/>
    <w:rsid w:val="00424475"/>
    <w:rsid w:val="004244F7"/>
    <w:rsid w:val="00424B06"/>
    <w:rsid w:val="00424B65"/>
    <w:rsid w:val="00424CEA"/>
    <w:rsid w:val="00424DED"/>
    <w:rsid w:val="00424F6A"/>
    <w:rsid w:val="004255BB"/>
    <w:rsid w:val="0042566B"/>
    <w:rsid w:val="00425811"/>
    <w:rsid w:val="00425949"/>
    <w:rsid w:val="00425E98"/>
    <w:rsid w:val="00425F86"/>
    <w:rsid w:val="004266C5"/>
    <w:rsid w:val="00426791"/>
    <w:rsid w:val="00427379"/>
    <w:rsid w:val="004276DF"/>
    <w:rsid w:val="0042773F"/>
    <w:rsid w:val="00427A59"/>
    <w:rsid w:val="00427AA4"/>
    <w:rsid w:val="004302FE"/>
    <w:rsid w:val="0043049B"/>
    <w:rsid w:val="00430C5A"/>
    <w:rsid w:val="00430D2A"/>
    <w:rsid w:val="00430EC9"/>
    <w:rsid w:val="0043122D"/>
    <w:rsid w:val="0043128C"/>
    <w:rsid w:val="004312BB"/>
    <w:rsid w:val="004314E1"/>
    <w:rsid w:val="0043159A"/>
    <w:rsid w:val="00431624"/>
    <w:rsid w:val="004318F5"/>
    <w:rsid w:val="00432002"/>
    <w:rsid w:val="00432351"/>
    <w:rsid w:val="00432395"/>
    <w:rsid w:val="00432B79"/>
    <w:rsid w:val="00433180"/>
    <w:rsid w:val="00433286"/>
    <w:rsid w:val="004339EE"/>
    <w:rsid w:val="00433AE1"/>
    <w:rsid w:val="004343E3"/>
    <w:rsid w:val="00434688"/>
    <w:rsid w:val="00434A0E"/>
    <w:rsid w:val="00434E68"/>
    <w:rsid w:val="00434EC8"/>
    <w:rsid w:val="00434FC8"/>
    <w:rsid w:val="00435034"/>
    <w:rsid w:val="00435890"/>
    <w:rsid w:val="00435988"/>
    <w:rsid w:val="00435CD8"/>
    <w:rsid w:val="0043687C"/>
    <w:rsid w:val="00436946"/>
    <w:rsid w:val="0043698B"/>
    <w:rsid w:val="00436DB7"/>
    <w:rsid w:val="00436DDF"/>
    <w:rsid w:val="00436E4A"/>
    <w:rsid w:val="004370AB"/>
    <w:rsid w:val="00437189"/>
    <w:rsid w:val="0043728F"/>
    <w:rsid w:val="0043738A"/>
    <w:rsid w:val="004374A3"/>
    <w:rsid w:val="00437E44"/>
    <w:rsid w:val="0044010A"/>
    <w:rsid w:val="00440582"/>
    <w:rsid w:val="004405C6"/>
    <w:rsid w:val="00440840"/>
    <w:rsid w:val="004409BB"/>
    <w:rsid w:val="0044117C"/>
    <w:rsid w:val="00441B40"/>
    <w:rsid w:val="00441C9C"/>
    <w:rsid w:val="00441EF4"/>
    <w:rsid w:val="004422A3"/>
    <w:rsid w:val="00442347"/>
    <w:rsid w:val="0044259A"/>
    <w:rsid w:val="004427DE"/>
    <w:rsid w:val="00442BD3"/>
    <w:rsid w:val="00442D80"/>
    <w:rsid w:val="004430B1"/>
    <w:rsid w:val="00443449"/>
    <w:rsid w:val="00443559"/>
    <w:rsid w:val="004435AA"/>
    <w:rsid w:val="004435ED"/>
    <w:rsid w:val="004437E9"/>
    <w:rsid w:val="004438B7"/>
    <w:rsid w:val="004439D3"/>
    <w:rsid w:val="00443B0F"/>
    <w:rsid w:val="00443CB0"/>
    <w:rsid w:val="00443D01"/>
    <w:rsid w:val="00443D70"/>
    <w:rsid w:val="00443D82"/>
    <w:rsid w:val="0044415F"/>
    <w:rsid w:val="0044490C"/>
    <w:rsid w:val="004449C2"/>
    <w:rsid w:val="00444B3E"/>
    <w:rsid w:val="00444D1A"/>
    <w:rsid w:val="00444FD7"/>
    <w:rsid w:val="0044508A"/>
    <w:rsid w:val="00445173"/>
    <w:rsid w:val="00445229"/>
    <w:rsid w:val="00445298"/>
    <w:rsid w:val="004454A7"/>
    <w:rsid w:val="00445515"/>
    <w:rsid w:val="0044558B"/>
    <w:rsid w:val="004458EE"/>
    <w:rsid w:val="0044595E"/>
    <w:rsid w:val="00445B0E"/>
    <w:rsid w:val="00445CF8"/>
    <w:rsid w:val="00445D15"/>
    <w:rsid w:val="0044635E"/>
    <w:rsid w:val="0044686C"/>
    <w:rsid w:val="00446D16"/>
    <w:rsid w:val="00447137"/>
    <w:rsid w:val="0044730D"/>
    <w:rsid w:val="0044739B"/>
    <w:rsid w:val="00447543"/>
    <w:rsid w:val="004477E8"/>
    <w:rsid w:val="004478B5"/>
    <w:rsid w:val="0045049C"/>
    <w:rsid w:val="0045056E"/>
    <w:rsid w:val="004505FA"/>
    <w:rsid w:val="0045083C"/>
    <w:rsid w:val="004509E3"/>
    <w:rsid w:val="00450C42"/>
    <w:rsid w:val="00450EB6"/>
    <w:rsid w:val="00450EBE"/>
    <w:rsid w:val="00451142"/>
    <w:rsid w:val="00451595"/>
    <w:rsid w:val="00451989"/>
    <w:rsid w:val="00451AD9"/>
    <w:rsid w:val="00451D35"/>
    <w:rsid w:val="004524AB"/>
    <w:rsid w:val="00452711"/>
    <w:rsid w:val="00452BA1"/>
    <w:rsid w:val="00452BD2"/>
    <w:rsid w:val="00452D07"/>
    <w:rsid w:val="00452F12"/>
    <w:rsid w:val="004530FB"/>
    <w:rsid w:val="00453130"/>
    <w:rsid w:val="0045343F"/>
    <w:rsid w:val="00453752"/>
    <w:rsid w:val="0045375A"/>
    <w:rsid w:val="004538A8"/>
    <w:rsid w:val="00453AB5"/>
    <w:rsid w:val="00453C0B"/>
    <w:rsid w:val="00453D63"/>
    <w:rsid w:val="00453E28"/>
    <w:rsid w:val="00453F82"/>
    <w:rsid w:val="00454062"/>
    <w:rsid w:val="0045426C"/>
    <w:rsid w:val="004543DF"/>
    <w:rsid w:val="0045463D"/>
    <w:rsid w:val="00454644"/>
    <w:rsid w:val="00454748"/>
    <w:rsid w:val="004548BE"/>
    <w:rsid w:val="004549C6"/>
    <w:rsid w:val="00454A31"/>
    <w:rsid w:val="00454D17"/>
    <w:rsid w:val="00454FBF"/>
    <w:rsid w:val="00455028"/>
    <w:rsid w:val="00455172"/>
    <w:rsid w:val="0045531F"/>
    <w:rsid w:val="004557AD"/>
    <w:rsid w:val="00455F09"/>
    <w:rsid w:val="004565B5"/>
    <w:rsid w:val="00456ADE"/>
    <w:rsid w:val="00456DB9"/>
    <w:rsid w:val="00457383"/>
    <w:rsid w:val="0045741A"/>
    <w:rsid w:val="00457466"/>
    <w:rsid w:val="00457897"/>
    <w:rsid w:val="00457938"/>
    <w:rsid w:val="0045797D"/>
    <w:rsid w:val="004579A3"/>
    <w:rsid w:val="00457A69"/>
    <w:rsid w:val="00457B1C"/>
    <w:rsid w:val="00457BDC"/>
    <w:rsid w:val="00457CB6"/>
    <w:rsid w:val="00457DB0"/>
    <w:rsid w:val="00457E1B"/>
    <w:rsid w:val="004601AD"/>
    <w:rsid w:val="004601CB"/>
    <w:rsid w:val="004607B5"/>
    <w:rsid w:val="00460A27"/>
    <w:rsid w:val="00460CDA"/>
    <w:rsid w:val="00460DFF"/>
    <w:rsid w:val="00460F0D"/>
    <w:rsid w:val="0046103D"/>
    <w:rsid w:val="00461105"/>
    <w:rsid w:val="004611B5"/>
    <w:rsid w:val="00461322"/>
    <w:rsid w:val="004615C1"/>
    <w:rsid w:val="004617C0"/>
    <w:rsid w:val="00461D57"/>
    <w:rsid w:val="00461DDD"/>
    <w:rsid w:val="00461E2A"/>
    <w:rsid w:val="004624EC"/>
    <w:rsid w:val="00462B7B"/>
    <w:rsid w:val="004631F5"/>
    <w:rsid w:val="00463342"/>
    <w:rsid w:val="00463727"/>
    <w:rsid w:val="004638E1"/>
    <w:rsid w:val="00463A7A"/>
    <w:rsid w:val="00463D9A"/>
    <w:rsid w:val="00463DE4"/>
    <w:rsid w:val="004643A8"/>
    <w:rsid w:val="00464701"/>
    <w:rsid w:val="00464777"/>
    <w:rsid w:val="00464FD2"/>
    <w:rsid w:val="004650F5"/>
    <w:rsid w:val="004651D0"/>
    <w:rsid w:val="00465312"/>
    <w:rsid w:val="00465530"/>
    <w:rsid w:val="00465FC5"/>
    <w:rsid w:val="00466084"/>
    <w:rsid w:val="004664FF"/>
    <w:rsid w:val="00466663"/>
    <w:rsid w:val="00466DBA"/>
    <w:rsid w:val="00466DCC"/>
    <w:rsid w:val="00466FE6"/>
    <w:rsid w:val="0046746F"/>
    <w:rsid w:val="00467502"/>
    <w:rsid w:val="00467817"/>
    <w:rsid w:val="00467A8B"/>
    <w:rsid w:val="00467B9F"/>
    <w:rsid w:val="00467C43"/>
    <w:rsid w:val="00470048"/>
    <w:rsid w:val="00470D23"/>
    <w:rsid w:val="004711AF"/>
    <w:rsid w:val="00471212"/>
    <w:rsid w:val="0047152B"/>
    <w:rsid w:val="0047156C"/>
    <w:rsid w:val="004718B9"/>
    <w:rsid w:val="00471B06"/>
    <w:rsid w:val="00471DFA"/>
    <w:rsid w:val="00472170"/>
    <w:rsid w:val="004723BC"/>
    <w:rsid w:val="00472E54"/>
    <w:rsid w:val="00473456"/>
    <w:rsid w:val="00473614"/>
    <w:rsid w:val="0047361E"/>
    <w:rsid w:val="00473783"/>
    <w:rsid w:val="00473C01"/>
    <w:rsid w:val="00473EDF"/>
    <w:rsid w:val="0047426F"/>
    <w:rsid w:val="00474643"/>
    <w:rsid w:val="0047477B"/>
    <w:rsid w:val="00474A09"/>
    <w:rsid w:val="00474CAC"/>
    <w:rsid w:val="00474CF5"/>
    <w:rsid w:val="00475326"/>
    <w:rsid w:val="00475394"/>
    <w:rsid w:val="00475A05"/>
    <w:rsid w:val="00475AA5"/>
    <w:rsid w:val="00475CC8"/>
    <w:rsid w:val="0047648D"/>
    <w:rsid w:val="0047656F"/>
    <w:rsid w:val="00476DF6"/>
    <w:rsid w:val="00476E2F"/>
    <w:rsid w:val="00476F66"/>
    <w:rsid w:val="00476FEB"/>
    <w:rsid w:val="00477145"/>
    <w:rsid w:val="00477169"/>
    <w:rsid w:val="004773B5"/>
    <w:rsid w:val="00477F1D"/>
    <w:rsid w:val="00477F91"/>
    <w:rsid w:val="00480421"/>
    <w:rsid w:val="00480B5A"/>
    <w:rsid w:val="00480CD9"/>
    <w:rsid w:val="00480D38"/>
    <w:rsid w:val="00480DBC"/>
    <w:rsid w:val="0048128D"/>
    <w:rsid w:val="0048136C"/>
    <w:rsid w:val="00482102"/>
    <w:rsid w:val="0048234A"/>
    <w:rsid w:val="004825A5"/>
    <w:rsid w:val="004829DA"/>
    <w:rsid w:val="00482C6D"/>
    <w:rsid w:val="00482F3F"/>
    <w:rsid w:val="00482FB7"/>
    <w:rsid w:val="00483637"/>
    <w:rsid w:val="00483717"/>
    <w:rsid w:val="004837D1"/>
    <w:rsid w:val="004838B9"/>
    <w:rsid w:val="00483913"/>
    <w:rsid w:val="00483C79"/>
    <w:rsid w:val="00483D02"/>
    <w:rsid w:val="00483D69"/>
    <w:rsid w:val="00483EEB"/>
    <w:rsid w:val="00483F74"/>
    <w:rsid w:val="00484181"/>
    <w:rsid w:val="004843D6"/>
    <w:rsid w:val="004845E6"/>
    <w:rsid w:val="004846F1"/>
    <w:rsid w:val="004848EF"/>
    <w:rsid w:val="0048494B"/>
    <w:rsid w:val="00484F0D"/>
    <w:rsid w:val="004850AB"/>
    <w:rsid w:val="0048520D"/>
    <w:rsid w:val="00485242"/>
    <w:rsid w:val="00485A22"/>
    <w:rsid w:val="00485B99"/>
    <w:rsid w:val="00485C27"/>
    <w:rsid w:val="004860A3"/>
    <w:rsid w:val="00486736"/>
    <w:rsid w:val="00486DE4"/>
    <w:rsid w:val="00486E9D"/>
    <w:rsid w:val="00487422"/>
    <w:rsid w:val="0048799E"/>
    <w:rsid w:val="00487A9A"/>
    <w:rsid w:val="00487AE0"/>
    <w:rsid w:val="00487EFE"/>
    <w:rsid w:val="00490447"/>
    <w:rsid w:val="004905FC"/>
    <w:rsid w:val="00490A8E"/>
    <w:rsid w:val="00490AE6"/>
    <w:rsid w:val="00490BCE"/>
    <w:rsid w:val="00490BFA"/>
    <w:rsid w:val="00490FD8"/>
    <w:rsid w:val="0049137B"/>
    <w:rsid w:val="00491872"/>
    <w:rsid w:val="00491D32"/>
    <w:rsid w:val="00492028"/>
    <w:rsid w:val="00492072"/>
    <w:rsid w:val="00492368"/>
    <w:rsid w:val="004923AF"/>
    <w:rsid w:val="00492842"/>
    <w:rsid w:val="004928D7"/>
    <w:rsid w:val="004929C9"/>
    <w:rsid w:val="00492B1F"/>
    <w:rsid w:val="0049301B"/>
    <w:rsid w:val="0049388D"/>
    <w:rsid w:val="00493AF9"/>
    <w:rsid w:val="004940BE"/>
    <w:rsid w:val="004942FA"/>
    <w:rsid w:val="00494776"/>
    <w:rsid w:val="004948D7"/>
    <w:rsid w:val="00494C21"/>
    <w:rsid w:val="00494D2A"/>
    <w:rsid w:val="00494D82"/>
    <w:rsid w:val="00494EB5"/>
    <w:rsid w:val="00494EC9"/>
    <w:rsid w:val="00494FAD"/>
    <w:rsid w:val="004951AF"/>
    <w:rsid w:val="004953BA"/>
    <w:rsid w:val="00495586"/>
    <w:rsid w:val="00495AEA"/>
    <w:rsid w:val="00495B30"/>
    <w:rsid w:val="004962A8"/>
    <w:rsid w:val="004962EB"/>
    <w:rsid w:val="004965A0"/>
    <w:rsid w:val="0049662D"/>
    <w:rsid w:val="004966FC"/>
    <w:rsid w:val="00496929"/>
    <w:rsid w:val="00496C87"/>
    <w:rsid w:val="00496FA6"/>
    <w:rsid w:val="00497384"/>
    <w:rsid w:val="0049762E"/>
    <w:rsid w:val="00497744"/>
    <w:rsid w:val="00497814"/>
    <w:rsid w:val="0049781A"/>
    <w:rsid w:val="00497E7C"/>
    <w:rsid w:val="00497E7F"/>
    <w:rsid w:val="004A0470"/>
    <w:rsid w:val="004A04C7"/>
    <w:rsid w:val="004A0742"/>
    <w:rsid w:val="004A097A"/>
    <w:rsid w:val="004A0DCC"/>
    <w:rsid w:val="004A0F71"/>
    <w:rsid w:val="004A0F77"/>
    <w:rsid w:val="004A184B"/>
    <w:rsid w:val="004A1887"/>
    <w:rsid w:val="004A1A6C"/>
    <w:rsid w:val="004A1B1F"/>
    <w:rsid w:val="004A20E9"/>
    <w:rsid w:val="004A23DE"/>
    <w:rsid w:val="004A25E4"/>
    <w:rsid w:val="004A27C6"/>
    <w:rsid w:val="004A2F88"/>
    <w:rsid w:val="004A3137"/>
    <w:rsid w:val="004A3203"/>
    <w:rsid w:val="004A34E5"/>
    <w:rsid w:val="004A3BD9"/>
    <w:rsid w:val="004A3D97"/>
    <w:rsid w:val="004A4360"/>
    <w:rsid w:val="004A4434"/>
    <w:rsid w:val="004A4474"/>
    <w:rsid w:val="004A44CF"/>
    <w:rsid w:val="004A4690"/>
    <w:rsid w:val="004A4856"/>
    <w:rsid w:val="004A4C0B"/>
    <w:rsid w:val="004A4E70"/>
    <w:rsid w:val="004A51F3"/>
    <w:rsid w:val="004A52BE"/>
    <w:rsid w:val="004A5914"/>
    <w:rsid w:val="004A59AD"/>
    <w:rsid w:val="004A5BED"/>
    <w:rsid w:val="004A6606"/>
    <w:rsid w:val="004A6A34"/>
    <w:rsid w:val="004A6A5B"/>
    <w:rsid w:val="004A6B53"/>
    <w:rsid w:val="004A6F21"/>
    <w:rsid w:val="004A6FA0"/>
    <w:rsid w:val="004A7233"/>
    <w:rsid w:val="004A7262"/>
    <w:rsid w:val="004A7579"/>
    <w:rsid w:val="004A7DBD"/>
    <w:rsid w:val="004B06E1"/>
    <w:rsid w:val="004B077E"/>
    <w:rsid w:val="004B07B6"/>
    <w:rsid w:val="004B08D6"/>
    <w:rsid w:val="004B0A8B"/>
    <w:rsid w:val="004B0B0F"/>
    <w:rsid w:val="004B0B32"/>
    <w:rsid w:val="004B0B4A"/>
    <w:rsid w:val="004B0C74"/>
    <w:rsid w:val="004B0D95"/>
    <w:rsid w:val="004B15EF"/>
    <w:rsid w:val="004B1A87"/>
    <w:rsid w:val="004B1B33"/>
    <w:rsid w:val="004B20A7"/>
    <w:rsid w:val="004B20E2"/>
    <w:rsid w:val="004B2360"/>
    <w:rsid w:val="004B2417"/>
    <w:rsid w:val="004B2431"/>
    <w:rsid w:val="004B2608"/>
    <w:rsid w:val="004B2E43"/>
    <w:rsid w:val="004B3203"/>
    <w:rsid w:val="004B3243"/>
    <w:rsid w:val="004B357F"/>
    <w:rsid w:val="004B3589"/>
    <w:rsid w:val="004B368F"/>
    <w:rsid w:val="004B37ED"/>
    <w:rsid w:val="004B3933"/>
    <w:rsid w:val="004B3DEC"/>
    <w:rsid w:val="004B4039"/>
    <w:rsid w:val="004B4215"/>
    <w:rsid w:val="004B45A0"/>
    <w:rsid w:val="004B4727"/>
    <w:rsid w:val="004B47FD"/>
    <w:rsid w:val="004B4D01"/>
    <w:rsid w:val="004B4D97"/>
    <w:rsid w:val="004B523E"/>
    <w:rsid w:val="004B53EE"/>
    <w:rsid w:val="004B549C"/>
    <w:rsid w:val="004B59B6"/>
    <w:rsid w:val="004B5D95"/>
    <w:rsid w:val="004B5DA2"/>
    <w:rsid w:val="004B5EA5"/>
    <w:rsid w:val="004B6083"/>
    <w:rsid w:val="004B60A0"/>
    <w:rsid w:val="004B6109"/>
    <w:rsid w:val="004B6258"/>
    <w:rsid w:val="004B6278"/>
    <w:rsid w:val="004B62F1"/>
    <w:rsid w:val="004B64CE"/>
    <w:rsid w:val="004B69C2"/>
    <w:rsid w:val="004B6DF3"/>
    <w:rsid w:val="004B6EC6"/>
    <w:rsid w:val="004B6FB2"/>
    <w:rsid w:val="004B729D"/>
    <w:rsid w:val="004B72B2"/>
    <w:rsid w:val="004B72C6"/>
    <w:rsid w:val="004B7392"/>
    <w:rsid w:val="004B7602"/>
    <w:rsid w:val="004B7F33"/>
    <w:rsid w:val="004B7FED"/>
    <w:rsid w:val="004C01C4"/>
    <w:rsid w:val="004C06DC"/>
    <w:rsid w:val="004C06EB"/>
    <w:rsid w:val="004C0A9D"/>
    <w:rsid w:val="004C0F44"/>
    <w:rsid w:val="004C11D7"/>
    <w:rsid w:val="004C1203"/>
    <w:rsid w:val="004C1520"/>
    <w:rsid w:val="004C1544"/>
    <w:rsid w:val="004C1590"/>
    <w:rsid w:val="004C16CE"/>
    <w:rsid w:val="004C1790"/>
    <w:rsid w:val="004C19E8"/>
    <w:rsid w:val="004C1A87"/>
    <w:rsid w:val="004C1C99"/>
    <w:rsid w:val="004C2242"/>
    <w:rsid w:val="004C2527"/>
    <w:rsid w:val="004C2616"/>
    <w:rsid w:val="004C26A7"/>
    <w:rsid w:val="004C296B"/>
    <w:rsid w:val="004C2AC4"/>
    <w:rsid w:val="004C2AF4"/>
    <w:rsid w:val="004C2BDF"/>
    <w:rsid w:val="004C3430"/>
    <w:rsid w:val="004C36B0"/>
    <w:rsid w:val="004C3771"/>
    <w:rsid w:val="004C3EFB"/>
    <w:rsid w:val="004C449F"/>
    <w:rsid w:val="004C4725"/>
    <w:rsid w:val="004C485E"/>
    <w:rsid w:val="004C4F77"/>
    <w:rsid w:val="004C4F92"/>
    <w:rsid w:val="004C4FCD"/>
    <w:rsid w:val="004C53DC"/>
    <w:rsid w:val="004C53FD"/>
    <w:rsid w:val="004C540E"/>
    <w:rsid w:val="004C592B"/>
    <w:rsid w:val="004C5A48"/>
    <w:rsid w:val="004C5EE2"/>
    <w:rsid w:val="004C6001"/>
    <w:rsid w:val="004C6134"/>
    <w:rsid w:val="004C617C"/>
    <w:rsid w:val="004C6420"/>
    <w:rsid w:val="004C6533"/>
    <w:rsid w:val="004C680A"/>
    <w:rsid w:val="004C6906"/>
    <w:rsid w:val="004C6EA7"/>
    <w:rsid w:val="004C7082"/>
    <w:rsid w:val="004C7165"/>
    <w:rsid w:val="004C720F"/>
    <w:rsid w:val="004C75A4"/>
    <w:rsid w:val="004C7602"/>
    <w:rsid w:val="004C79A2"/>
    <w:rsid w:val="004C7D33"/>
    <w:rsid w:val="004C7DDB"/>
    <w:rsid w:val="004D0399"/>
    <w:rsid w:val="004D0518"/>
    <w:rsid w:val="004D0736"/>
    <w:rsid w:val="004D0781"/>
    <w:rsid w:val="004D0EFC"/>
    <w:rsid w:val="004D1416"/>
    <w:rsid w:val="004D1569"/>
    <w:rsid w:val="004D159E"/>
    <w:rsid w:val="004D19CA"/>
    <w:rsid w:val="004D19D6"/>
    <w:rsid w:val="004D1B46"/>
    <w:rsid w:val="004D1CA4"/>
    <w:rsid w:val="004D1D73"/>
    <w:rsid w:val="004D1E79"/>
    <w:rsid w:val="004D1F57"/>
    <w:rsid w:val="004D2092"/>
    <w:rsid w:val="004D21A5"/>
    <w:rsid w:val="004D21C7"/>
    <w:rsid w:val="004D21D3"/>
    <w:rsid w:val="004D254A"/>
    <w:rsid w:val="004D27AD"/>
    <w:rsid w:val="004D2996"/>
    <w:rsid w:val="004D2ABA"/>
    <w:rsid w:val="004D2DDB"/>
    <w:rsid w:val="004D3167"/>
    <w:rsid w:val="004D3415"/>
    <w:rsid w:val="004D39E0"/>
    <w:rsid w:val="004D39E4"/>
    <w:rsid w:val="004D3AA7"/>
    <w:rsid w:val="004D3B66"/>
    <w:rsid w:val="004D3EDF"/>
    <w:rsid w:val="004D4182"/>
    <w:rsid w:val="004D4385"/>
    <w:rsid w:val="004D43D8"/>
    <w:rsid w:val="004D45F8"/>
    <w:rsid w:val="004D477D"/>
    <w:rsid w:val="004D48EC"/>
    <w:rsid w:val="004D49FC"/>
    <w:rsid w:val="004D4A37"/>
    <w:rsid w:val="004D4D78"/>
    <w:rsid w:val="004D4E7F"/>
    <w:rsid w:val="004D5411"/>
    <w:rsid w:val="004D5A07"/>
    <w:rsid w:val="004D5BAF"/>
    <w:rsid w:val="004D5EB7"/>
    <w:rsid w:val="004D617C"/>
    <w:rsid w:val="004D61BA"/>
    <w:rsid w:val="004D63B5"/>
    <w:rsid w:val="004D646A"/>
    <w:rsid w:val="004D683F"/>
    <w:rsid w:val="004D68CF"/>
    <w:rsid w:val="004D6A14"/>
    <w:rsid w:val="004D6A30"/>
    <w:rsid w:val="004D6A55"/>
    <w:rsid w:val="004D6C1C"/>
    <w:rsid w:val="004D6E06"/>
    <w:rsid w:val="004D6F05"/>
    <w:rsid w:val="004D6F8F"/>
    <w:rsid w:val="004D70BA"/>
    <w:rsid w:val="004D7402"/>
    <w:rsid w:val="004D796F"/>
    <w:rsid w:val="004E060C"/>
    <w:rsid w:val="004E0943"/>
    <w:rsid w:val="004E0BD1"/>
    <w:rsid w:val="004E11B6"/>
    <w:rsid w:val="004E141B"/>
    <w:rsid w:val="004E148D"/>
    <w:rsid w:val="004E1DB6"/>
    <w:rsid w:val="004E1E41"/>
    <w:rsid w:val="004E1EF7"/>
    <w:rsid w:val="004E1FE7"/>
    <w:rsid w:val="004E20F7"/>
    <w:rsid w:val="004E2131"/>
    <w:rsid w:val="004E27F9"/>
    <w:rsid w:val="004E2957"/>
    <w:rsid w:val="004E3736"/>
    <w:rsid w:val="004E3865"/>
    <w:rsid w:val="004E3C2B"/>
    <w:rsid w:val="004E462C"/>
    <w:rsid w:val="004E5364"/>
    <w:rsid w:val="004E540F"/>
    <w:rsid w:val="004E570B"/>
    <w:rsid w:val="004E5748"/>
    <w:rsid w:val="004E576A"/>
    <w:rsid w:val="004E5B39"/>
    <w:rsid w:val="004E5DAF"/>
    <w:rsid w:val="004E605F"/>
    <w:rsid w:val="004E611E"/>
    <w:rsid w:val="004E6309"/>
    <w:rsid w:val="004E637E"/>
    <w:rsid w:val="004E6474"/>
    <w:rsid w:val="004E6673"/>
    <w:rsid w:val="004E66E7"/>
    <w:rsid w:val="004E6866"/>
    <w:rsid w:val="004E6DCB"/>
    <w:rsid w:val="004E71BD"/>
    <w:rsid w:val="004E73A3"/>
    <w:rsid w:val="004E7552"/>
    <w:rsid w:val="004E7729"/>
    <w:rsid w:val="004E7753"/>
    <w:rsid w:val="004E776A"/>
    <w:rsid w:val="004E7A81"/>
    <w:rsid w:val="004E7B0E"/>
    <w:rsid w:val="004E7CFF"/>
    <w:rsid w:val="004E7F8D"/>
    <w:rsid w:val="004F02D4"/>
    <w:rsid w:val="004F0388"/>
    <w:rsid w:val="004F0831"/>
    <w:rsid w:val="004F0920"/>
    <w:rsid w:val="004F0AC1"/>
    <w:rsid w:val="004F15FF"/>
    <w:rsid w:val="004F16F8"/>
    <w:rsid w:val="004F1910"/>
    <w:rsid w:val="004F1A53"/>
    <w:rsid w:val="004F1BDF"/>
    <w:rsid w:val="004F1D78"/>
    <w:rsid w:val="004F1DA6"/>
    <w:rsid w:val="004F2170"/>
    <w:rsid w:val="004F2B95"/>
    <w:rsid w:val="004F2D44"/>
    <w:rsid w:val="004F2D61"/>
    <w:rsid w:val="004F36D2"/>
    <w:rsid w:val="004F3A63"/>
    <w:rsid w:val="004F3CFA"/>
    <w:rsid w:val="004F4250"/>
    <w:rsid w:val="004F43BF"/>
    <w:rsid w:val="004F44F3"/>
    <w:rsid w:val="004F4570"/>
    <w:rsid w:val="004F47B4"/>
    <w:rsid w:val="004F4906"/>
    <w:rsid w:val="004F4986"/>
    <w:rsid w:val="004F4A4B"/>
    <w:rsid w:val="004F4D4F"/>
    <w:rsid w:val="004F4F9F"/>
    <w:rsid w:val="004F509D"/>
    <w:rsid w:val="004F52E9"/>
    <w:rsid w:val="004F52F5"/>
    <w:rsid w:val="004F530D"/>
    <w:rsid w:val="004F5330"/>
    <w:rsid w:val="004F586A"/>
    <w:rsid w:val="004F5958"/>
    <w:rsid w:val="004F5B0D"/>
    <w:rsid w:val="004F604C"/>
    <w:rsid w:val="004F6197"/>
    <w:rsid w:val="004F6648"/>
    <w:rsid w:val="004F6748"/>
    <w:rsid w:val="004F6A9C"/>
    <w:rsid w:val="004F6AB5"/>
    <w:rsid w:val="004F6AEA"/>
    <w:rsid w:val="004F6C09"/>
    <w:rsid w:val="004F6E23"/>
    <w:rsid w:val="004F6FFE"/>
    <w:rsid w:val="004F705B"/>
    <w:rsid w:val="004F7330"/>
    <w:rsid w:val="004F7720"/>
    <w:rsid w:val="004F7BEE"/>
    <w:rsid w:val="004F7EB0"/>
    <w:rsid w:val="005000B0"/>
    <w:rsid w:val="005000B7"/>
    <w:rsid w:val="0050043B"/>
    <w:rsid w:val="00500462"/>
    <w:rsid w:val="005004C0"/>
    <w:rsid w:val="005006F5"/>
    <w:rsid w:val="0050077C"/>
    <w:rsid w:val="0050080F"/>
    <w:rsid w:val="005008C1"/>
    <w:rsid w:val="005009BF"/>
    <w:rsid w:val="00500F4D"/>
    <w:rsid w:val="005010A4"/>
    <w:rsid w:val="00501260"/>
    <w:rsid w:val="0050160E"/>
    <w:rsid w:val="00501683"/>
    <w:rsid w:val="00501824"/>
    <w:rsid w:val="00501871"/>
    <w:rsid w:val="0050199E"/>
    <w:rsid w:val="005019B5"/>
    <w:rsid w:val="00501C05"/>
    <w:rsid w:val="00501D2B"/>
    <w:rsid w:val="00501DC4"/>
    <w:rsid w:val="00501EFF"/>
    <w:rsid w:val="00501FB8"/>
    <w:rsid w:val="00502457"/>
    <w:rsid w:val="0050283F"/>
    <w:rsid w:val="00503792"/>
    <w:rsid w:val="005042B6"/>
    <w:rsid w:val="0050447A"/>
    <w:rsid w:val="0050458C"/>
    <w:rsid w:val="005045BE"/>
    <w:rsid w:val="005047B7"/>
    <w:rsid w:val="00504BF2"/>
    <w:rsid w:val="005055F3"/>
    <w:rsid w:val="00505715"/>
    <w:rsid w:val="00505805"/>
    <w:rsid w:val="00505E55"/>
    <w:rsid w:val="00505F26"/>
    <w:rsid w:val="00506253"/>
    <w:rsid w:val="00506300"/>
    <w:rsid w:val="005067FC"/>
    <w:rsid w:val="0050685A"/>
    <w:rsid w:val="00506BC9"/>
    <w:rsid w:val="00506EF8"/>
    <w:rsid w:val="00506F60"/>
    <w:rsid w:val="005074C2"/>
    <w:rsid w:val="0051001E"/>
    <w:rsid w:val="005100C1"/>
    <w:rsid w:val="00510405"/>
    <w:rsid w:val="005105CA"/>
    <w:rsid w:val="005106AA"/>
    <w:rsid w:val="00510779"/>
    <w:rsid w:val="00510B2C"/>
    <w:rsid w:val="005115EA"/>
    <w:rsid w:val="00511C83"/>
    <w:rsid w:val="00511CA1"/>
    <w:rsid w:val="00511E46"/>
    <w:rsid w:val="00511ED7"/>
    <w:rsid w:val="00511F09"/>
    <w:rsid w:val="00511F4E"/>
    <w:rsid w:val="00511F59"/>
    <w:rsid w:val="00512146"/>
    <w:rsid w:val="0051233D"/>
    <w:rsid w:val="0051246A"/>
    <w:rsid w:val="005125B8"/>
    <w:rsid w:val="00512793"/>
    <w:rsid w:val="00512808"/>
    <w:rsid w:val="005128B7"/>
    <w:rsid w:val="005129C2"/>
    <w:rsid w:val="005129FF"/>
    <w:rsid w:val="0051304E"/>
    <w:rsid w:val="005130A9"/>
    <w:rsid w:val="00513465"/>
    <w:rsid w:val="005134EC"/>
    <w:rsid w:val="005136EB"/>
    <w:rsid w:val="00513D8C"/>
    <w:rsid w:val="00513DDE"/>
    <w:rsid w:val="00513E81"/>
    <w:rsid w:val="00514098"/>
    <w:rsid w:val="005146F6"/>
    <w:rsid w:val="00514B6C"/>
    <w:rsid w:val="00514EB7"/>
    <w:rsid w:val="00514F7F"/>
    <w:rsid w:val="00515155"/>
    <w:rsid w:val="0051579E"/>
    <w:rsid w:val="005158F4"/>
    <w:rsid w:val="00515B5E"/>
    <w:rsid w:val="0051609A"/>
    <w:rsid w:val="0051662B"/>
    <w:rsid w:val="00516D0B"/>
    <w:rsid w:val="00516F48"/>
    <w:rsid w:val="00516FF0"/>
    <w:rsid w:val="0051763D"/>
    <w:rsid w:val="00517E88"/>
    <w:rsid w:val="00517ED3"/>
    <w:rsid w:val="005200AD"/>
    <w:rsid w:val="005204CA"/>
    <w:rsid w:val="005210A3"/>
    <w:rsid w:val="005212FD"/>
    <w:rsid w:val="005214DE"/>
    <w:rsid w:val="00521547"/>
    <w:rsid w:val="00521D4F"/>
    <w:rsid w:val="00521DF5"/>
    <w:rsid w:val="005221BB"/>
    <w:rsid w:val="00522583"/>
    <w:rsid w:val="00522E06"/>
    <w:rsid w:val="00522EEE"/>
    <w:rsid w:val="005234B6"/>
    <w:rsid w:val="00523B28"/>
    <w:rsid w:val="00523B8F"/>
    <w:rsid w:val="00523CC8"/>
    <w:rsid w:val="00524668"/>
    <w:rsid w:val="005248B7"/>
    <w:rsid w:val="00524CB3"/>
    <w:rsid w:val="00525491"/>
    <w:rsid w:val="0052570F"/>
    <w:rsid w:val="005257FC"/>
    <w:rsid w:val="00525A06"/>
    <w:rsid w:val="00525CAE"/>
    <w:rsid w:val="00525D4C"/>
    <w:rsid w:val="0052636B"/>
    <w:rsid w:val="0052668B"/>
    <w:rsid w:val="00526785"/>
    <w:rsid w:val="00526863"/>
    <w:rsid w:val="005268D7"/>
    <w:rsid w:val="00526971"/>
    <w:rsid w:val="00526D31"/>
    <w:rsid w:val="005270F9"/>
    <w:rsid w:val="005274C1"/>
    <w:rsid w:val="005275A2"/>
    <w:rsid w:val="00527811"/>
    <w:rsid w:val="00527A5B"/>
    <w:rsid w:val="00527AFF"/>
    <w:rsid w:val="00527B4D"/>
    <w:rsid w:val="0053023B"/>
    <w:rsid w:val="005303FB"/>
    <w:rsid w:val="0053099D"/>
    <w:rsid w:val="00530D90"/>
    <w:rsid w:val="00530F32"/>
    <w:rsid w:val="005311AC"/>
    <w:rsid w:val="00532048"/>
    <w:rsid w:val="00532418"/>
    <w:rsid w:val="005324ED"/>
    <w:rsid w:val="0053257B"/>
    <w:rsid w:val="005325CF"/>
    <w:rsid w:val="00532798"/>
    <w:rsid w:val="00532890"/>
    <w:rsid w:val="0053314E"/>
    <w:rsid w:val="00533155"/>
    <w:rsid w:val="0053317F"/>
    <w:rsid w:val="00533B0B"/>
    <w:rsid w:val="00533C9B"/>
    <w:rsid w:val="00533F3A"/>
    <w:rsid w:val="00533F4F"/>
    <w:rsid w:val="00534068"/>
    <w:rsid w:val="00534103"/>
    <w:rsid w:val="00534318"/>
    <w:rsid w:val="00534342"/>
    <w:rsid w:val="0053478A"/>
    <w:rsid w:val="00534886"/>
    <w:rsid w:val="005349B3"/>
    <w:rsid w:val="00534B73"/>
    <w:rsid w:val="00534BF1"/>
    <w:rsid w:val="00534D0B"/>
    <w:rsid w:val="0053504C"/>
    <w:rsid w:val="00535091"/>
    <w:rsid w:val="00535201"/>
    <w:rsid w:val="00535489"/>
    <w:rsid w:val="005356CA"/>
    <w:rsid w:val="0053617F"/>
    <w:rsid w:val="0053679F"/>
    <w:rsid w:val="00536AB8"/>
    <w:rsid w:val="00537051"/>
    <w:rsid w:val="0053710F"/>
    <w:rsid w:val="005371B3"/>
    <w:rsid w:val="005372F9"/>
    <w:rsid w:val="00537330"/>
    <w:rsid w:val="00537362"/>
    <w:rsid w:val="0053737A"/>
    <w:rsid w:val="005375A7"/>
    <w:rsid w:val="00537601"/>
    <w:rsid w:val="0053768D"/>
    <w:rsid w:val="00537691"/>
    <w:rsid w:val="005376A2"/>
    <w:rsid w:val="00537E7B"/>
    <w:rsid w:val="00540540"/>
    <w:rsid w:val="00540593"/>
    <w:rsid w:val="005406B5"/>
    <w:rsid w:val="00540880"/>
    <w:rsid w:val="00540B78"/>
    <w:rsid w:val="0054102F"/>
    <w:rsid w:val="0054136C"/>
    <w:rsid w:val="005416CD"/>
    <w:rsid w:val="005418A1"/>
    <w:rsid w:val="00541FB1"/>
    <w:rsid w:val="0054211E"/>
    <w:rsid w:val="00542273"/>
    <w:rsid w:val="005423EF"/>
    <w:rsid w:val="00542505"/>
    <w:rsid w:val="005429D2"/>
    <w:rsid w:val="00542CEB"/>
    <w:rsid w:val="005437BB"/>
    <w:rsid w:val="005439FC"/>
    <w:rsid w:val="00543BA8"/>
    <w:rsid w:val="00543E34"/>
    <w:rsid w:val="00543EB4"/>
    <w:rsid w:val="00544241"/>
    <w:rsid w:val="00544390"/>
    <w:rsid w:val="00544422"/>
    <w:rsid w:val="005446E7"/>
    <w:rsid w:val="005446E8"/>
    <w:rsid w:val="00544ACD"/>
    <w:rsid w:val="00544B5B"/>
    <w:rsid w:val="00545AD8"/>
    <w:rsid w:val="005460C0"/>
    <w:rsid w:val="0054610D"/>
    <w:rsid w:val="005461A9"/>
    <w:rsid w:val="00546936"/>
    <w:rsid w:val="005469D0"/>
    <w:rsid w:val="00546BB3"/>
    <w:rsid w:val="00546CAF"/>
    <w:rsid w:val="00546F74"/>
    <w:rsid w:val="00547061"/>
    <w:rsid w:val="00547070"/>
    <w:rsid w:val="005471D3"/>
    <w:rsid w:val="005471ED"/>
    <w:rsid w:val="00547739"/>
    <w:rsid w:val="00547D56"/>
    <w:rsid w:val="00547D57"/>
    <w:rsid w:val="00547FA7"/>
    <w:rsid w:val="0055058E"/>
    <w:rsid w:val="0055079D"/>
    <w:rsid w:val="0055082E"/>
    <w:rsid w:val="00550A30"/>
    <w:rsid w:val="00550DBC"/>
    <w:rsid w:val="00550DBE"/>
    <w:rsid w:val="0055125B"/>
    <w:rsid w:val="00551519"/>
    <w:rsid w:val="00551B27"/>
    <w:rsid w:val="00551B3C"/>
    <w:rsid w:val="00551D06"/>
    <w:rsid w:val="00551D91"/>
    <w:rsid w:val="00551E43"/>
    <w:rsid w:val="00552046"/>
    <w:rsid w:val="00552049"/>
    <w:rsid w:val="005528A3"/>
    <w:rsid w:val="005529E0"/>
    <w:rsid w:val="00553097"/>
    <w:rsid w:val="005530BE"/>
    <w:rsid w:val="0055315E"/>
    <w:rsid w:val="0055335B"/>
    <w:rsid w:val="00553397"/>
    <w:rsid w:val="005533DD"/>
    <w:rsid w:val="005537C3"/>
    <w:rsid w:val="00553965"/>
    <w:rsid w:val="00553A82"/>
    <w:rsid w:val="00553D51"/>
    <w:rsid w:val="005540DF"/>
    <w:rsid w:val="005540E3"/>
    <w:rsid w:val="00554205"/>
    <w:rsid w:val="00554413"/>
    <w:rsid w:val="005545DB"/>
    <w:rsid w:val="005552C9"/>
    <w:rsid w:val="00555309"/>
    <w:rsid w:val="005557DF"/>
    <w:rsid w:val="00555B0A"/>
    <w:rsid w:val="00555BBB"/>
    <w:rsid w:val="00555F5C"/>
    <w:rsid w:val="00556177"/>
    <w:rsid w:val="0055646B"/>
    <w:rsid w:val="00556595"/>
    <w:rsid w:val="00556607"/>
    <w:rsid w:val="00556697"/>
    <w:rsid w:val="005566D6"/>
    <w:rsid w:val="005569EB"/>
    <w:rsid w:val="00556D83"/>
    <w:rsid w:val="00556F98"/>
    <w:rsid w:val="005571CA"/>
    <w:rsid w:val="005579EB"/>
    <w:rsid w:val="00557B5E"/>
    <w:rsid w:val="00557CDA"/>
    <w:rsid w:val="00557D29"/>
    <w:rsid w:val="00557DC8"/>
    <w:rsid w:val="00557EBE"/>
    <w:rsid w:val="005606FA"/>
    <w:rsid w:val="00560F17"/>
    <w:rsid w:val="0056108C"/>
    <w:rsid w:val="0056119C"/>
    <w:rsid w:val="005614AA"/>
    <w:rsid w:val="0056167A"/>
    <w:rsid w:val="00561771"/>
    <w:rsid w:val="00561D60"/>
    <w:rsid w:val="00561D91"/>
    <w:rsid w:val="005622B2"/>
    <w:rsid w:val="00562381"/>
    <w:rsid w:val="00562409"/>
    <w:rsid w:val="005624AE"/>
    <w:rsid w:val="005625D5"/>
    <w:rsid w:val="00562743"/>
    <w:rsid w:val="005628F2"/>
    <w:rsid w:val="005629E5"/>
    <w:rsid w:val="00562AC4"/>
    <w:rsid w:val="00562D5A"/>
    <w:rsid w:val="005632CF"/>
    <w:rsid w:val="0056359C"/>
    <w:rsid w:val="0056372E"/>
    <w:rsid w:val="00563BD4"/>
    <w:rsid w:val="00563C6F"/>
    <w:rsid w:val="00563E46"/>
    <w:rsid w:val="00564DFD"/>
    <w:rsid w:val="00564F21"/>
    <w:rsid w:val="00564F45"/>
    <w:rsid w:val="0056585E"/>
    <w:rsid w:val="00565EA5"/>
    <w:rsid w:val="005660E5"/>
    <w:rsid w:val="00566368"/>
    <w:rsid w:val="005664A1"/>
    <w:rsid w:val="0056654A"/>
    <w:rsid w:val="005667FE"/>
    <w:rsid w:val="00566A32"/>
    <w:rsid w:val="00566B6C"/>
    <w:rsid w:val="00566D08"/>
    <w:rsid w:val="005670A1"/>
    <w:rsid w:val="005670F8"/>
    <w:rsid w:val="005671AF"/>
    <w:rsid w:val="00567211"/>
    <w:rsid w:val="0056739A"/>
    <w:rsid w:val="0056743A"/>
    <w:rsid w:val="005676DE"/>
    <w:rsid w:val="005678FE"/>
    <w:rsid w:val="00567A49"/>
    <w:rsid w:val="00567CF7"/>
    <w:rsid w:val="005704F8"/>
    <w:rsid w:val="005707B7"/>
    <w:rsid w:val="00570FDD"/>
    <w:rsid w:val="00571045"/>
    <w:rsid w:val="005711BE"/>
    <w:rsid w:val="005714D9"/>
    <w:rsid w:val="0057170D"/>
    <w:rsid w:val="00571713"/>
    <w:rsid w:val="00571801"/>
    <w:rsid w:val="00571AC7"/>
    <w:rsid w:val="00571DC9"/>
    <w:rsid w:val="005721DA"/>
    <w:rsid w:val="00572547"/>
    <w:rsid w:val="00572689"/>
    <w:rsid w:val="0057280C"/>
    <w:rsid w:val="0057288B"/>
    <w:rsid w:val="005731CF"/>
    <w:rsid w:val="00573556"/>
    <w:rsid w:val="00573828"/>
    <w:rsid w:val="00573944"/>
    <w:rsid w:val="0057396E"/>
    <w:rsid w:val="00573D2F"/>
    <w:rsid w:val="00573D67"/>
    <w:rsid w:val="00574057"/>
    <w:rsid w:val="005741B4"/>
    <w:rsid w:val="00574377"/>
    <w:rsid w:val="0057458C"/>
    <w:rsid w:val="00574B78"/>
    <w:rsid w:val="00574CDA"/>
    <w:rsid w:val="00575480"/>
    <w:rsid w:val="00576A63"/>
    <w:rsid w:val="00576ADC"/>
    <w:rsid w:val="00576B57"/>
    <w:rsid w:val="00576B6B"/>
    <w:rsid w:val="00577202"/>
    <w:rsid w:val="0057721B"/>
    <w:rsid w:val="00577598"/>
    <w:rsid w:val="005779B5"/>
    <w:rsid w:val="00577D3C"/>
    <w:rsid w:val="00577D41"/>
    <w:rsid w:val="0058013F"/>
    <w:rsid w:val="005804F8"/>
    <w:rsid w:val="005811FA"/>
    <w:rsid w:val="00581808"/>
    <w:rsid w:val="005818C5"/>
    <w:rsid w:val="00581B33"/>
    <w:rsid w:val="00581C77"/>
    <w:rsid w:val="0058213A"/>
    <w:rsid w:val="0058215E"/>
    <w:rsid w:val="0058267B"/>
    <w:rsid w:val="005827C2"/>
    <w:rsid w:val="005827F7"/>
    <w:rsid w:val="00582838"/>
    <w:rsid w:val="00582B88"/>
    <w:rsid w:val="00582BC8"/>
    <w:rsid w:val="00582EF7"/>
    <w:rsid w:val="0058321D"/>
    <w:rsid w:val="00583578"/>
    <w:rsid w:val="00583C18"/>
    <w:rsid w:val="00583C1C"/>
    <w:rsid w:val="00583C43"/>
    <w:rsid w:val="00583FE8"/>
    <w:rsid w:val="0058419F"/>
    <w:rsid w:val="005843DE"/>
    <w:rsid w:val="005848EC"/>
    <w:rsid w:val="00584C38"/>
    <w:rsid w:val="00584C62"/>
    <w:rsid w:val="00584C97"/>
    <w:rsid w:val="00584C98"/>
    <w:rsid w:val="00584CFE"/>
    <w:rsid w:val="00584D43"/>
    <w:rsid w:val="00585395"/>
    <w:rsid w:val="00585746"/>
    <w:rsid w:val="005858CB"/>
    <w:rsid w:val="00585957"/>
    <w:rsid w:val="00585EC0"/>
    <w:rsid w:val="00585ED2"/>
    <w:rsid w:val="005862A5"/>
    <w:rsid w:val="005866E0"/>
    <w:rsid w:val="005867F2"/>
    <w:rsid w:val="00586860"/>
    <w:rsid w:val="005870AC"/>
    <w:rsid w:val="00587F0A"/>
    <w:rsid w:val="005908D7"/>
    <w:rsid w:val="005908D9"/>
    <w:rsid w:val="0059096E"/>
    <w:rsid w:val="00590CEB"/>
    <w:rsid w:val="00590EED"/>
    <w:rsid w:val="00590F36"/>
    <w:rsid w:val="00590F76"/>
    <w:rsid w:val="005911A9"/>
    <w:rsid w:val="00591288"/>
    <w:rsid w:val="005916A5"/>
    <w:rsid w:val="00591C13"/>
    <w:rsid w:val="00592482"/>
    <w:rsid w:val="00592609"/>
    <w:rsid w:val="005926D0"/>
    <w:rsid w:val="00592BC0"/>
    <w:rsid w:val="00592CCD"/>
    <w:rsid w:val="00592E6C"/>
    <w:rsid w:val="005930C9"/>
    <w:rsid w:val="00593259"/>
    <w:rsid w:val="00593412"/>
    <w:rsid w:val="0059353C"/>
    <w:rsid w:val="00593540"/>
    <w:rsid w:val="00593627"/>
    <w:rsid w:val="00593984"/>
    <w:rsid w:val="00593BF7"/>
    <w:rsid w:val="00593E23"/>
    <w:rsid w:val="00594526"/>
    <w:rsid w:val="005947A1"/>
    <w:rsid w:val="00594A56"/>
    <w:rsid w:val="00595378"/>
    <w:rsid w:val="005957FE"/>
    <w:rsid w:val="00595BD1"/>
    <w:rsid w:val="00595F52"/>
    <w:rsid w:val="00595FE0"/>
    <w:rsid w:val="00596036"/>
    <w:rsid w:val="005960A2"/>
    <w:rsid w:val="00596330"/>
    <w:rsid w:val="005967D7"/>
    <w:rsid w:val="0059682F"/>
    <w:rsid w:val="0059683F"/>
    <w:rsid w:val="00596947"/>
    <w:rsid w:val="005969FB"/>
    <w:rsid w:val="00596AE3"/>
    <w:rsid w:val="00596C1B"/>
    <w:rsid w:val="00596D7C"/>
    <w:rsid w:val="00596E81"/>
    <w:rsid w:val="00597195"/>
    <w:rsid w:val="005971CA"/>
    <w:rsid w:val="005971FB"/>
    <w:rsid w:val="00597518"/>
    <w:rsid w:val="00597775"/>
    <w:rsid w:val="005978F0"/>
    <w:rsid w:val="005A03BF"/>
    <w:rsid w:val="005A04B2"/>
    <w:rsid w:val="005A0552"/>
    <w:rsid w:val="005A055A"/>
    <w:rsid w:val="005A0966"/>
    <w:rsid w:val="005A0D63"/>
    <w:rsid w:val="005A1011"/>
    <w:rsid w:val="005A1423"/>
    <w:rsid w:val="005A1762"/>
    <w:rsid w:val="005A1AE9"/>
    <w:rsid w:val="005A1C47"/>
    <w:rsid w:val="005A1CB6"/>
    <w:rsid w:val="005A226D"/>
    <w:rsid w:val="005A22BD"/>
    <w:rsid w:val="005A2386"/>
    <w:rsid w:val="005A25F2"/>
    <w:rsid w:val="005A268D"/>
    <w:rsid w:val="005A26D2"/>
    <w:rsid w:val="005A2855"/>
    <w:rsid w:val="005A28A1"/>
    <w:rsid w:val="005A28F5"/>
    <w:rsid w:val="005A290F"/>
    <w:rsid w:val="005A2A7C"/>
    <w:rsid w:val="005A3506"/>
    <w:rsid w:val="005A3C00"/>
    <w:rsid w:val="005A3F17"/>
    <w:rsid w:val="005A4124"/>
    <w:rsid w:val="005A4342"/>
    <w:rsid w:val="005A43D9"/>
    <w:rsid w:val="005A47C9"/>
    <w:rsid w:val="005A4847"/>
    <w:rsid w:val="005A4ACE"/>
    <w:rsid w:val="005A4AE3"/>
    <w:rsid w:val="005A4BF9"/>
    <w:rsid w:val="005A4C0B"/>
    <w:rsid w:val="005A4CFF"/>
    <w:rsid w:val="005A4E8B"/>
    <w:rsid w:val="005A4FDE"/>
    <w:rsid w:val="005A5196"/>
    <w:rsid w:val="005A5274"/>
    <w:rsid w:val="005A539B"/>
    <w:rsid w:val="005A5CFC"/>
    <w:rsid w:val="005A6650"/>
    <w:rsid w:val="005A67A8"/>
    <w:rsid w:val="005A6902"/>
    <w:rsid w:val="005A69F7"/>
    <w:rsid w:val="005A6B59"/>
    <w:rsid w:val="005A7277"/>
    <w:rsid w:val="005A7535"/>
    <w:rsid w:val="005A7617"/>
    <w:rsid w:val="005A783B"/>
    <w:rsid w:val="005A7A3F"/>
    <w:rsid w:val="005A7AD2"/>
    <w:rsid w:val="005A7C9E"/>
    <w:rsid w:val="005B00B8"/>
    <w:rsid w:val="005B01EB"/>
    <w:rsid w:val="005B0E55"/>
    <w:rsid w:val="005B0E7E"/>
    <w:rsid w:val="005B1059"/>
    <w:rsid w:val="005B15A4"/>
    <w:rsid w:val="005B1A17"/>
    <w:rsid w:val="005B1F9F"/>
    <w:rsid w:val="005B239D"/>
    <w:rsid w:val="005B2533"/>
    <w:rsid w:val="005B25B7"/>
    <w:rsid w:val="005B2664"/>
    <w:rsid w:val="005B2B0F"/>
    <w:rsid w:val="005B2BA0"/>
    <w:rsid w:val="005B2C56"/>
    <w:rsid w:val="005B2C95"/>
    <w:rsid w:val="005B2DED"/>
    <w:rsid w:val="005B2FF8"/>
    <w:rsid w:val="005B3088"/>
    <w:rsid w:val="005B3101"/>
    <w:rsid w:val="005B3798"/>
    <w:rsid w:val="005B38A0"/>
    <w:rsid w:val="005B3977"/>
    <w:rsid w:val="005B3D79"/>
    <w:rsid w:val="005B3E20"/>
    <w:rsid w:val="005B4052"/>
    <w:rsid w:val="005B4083"/>
    <w:rsid w:val="005B4262"/>
    <w:rsid w:val="005B42CA"/>
    <w:rsid w:val="005B454A"/>
    <w:rsid w:val="005B4665"/>
    <w:rsid w:val="005B48A4"/>
    <w:rsid w:val="005B49F9"/>
    <w:rsid w:val="005B4C4D"/>
    <w:rsid w:val="005B4E8E"/>
    <w:rsid w:val="005B50D9"/>
    <w:rsid w:val="005B52C7"/>
    <w:rsid w:val="005B53A8"/>
    <w:rsid w:val="005B55AD"/>
    <w:rsid w:val="005B5738"/>
    <w:rsid w:val="005B5940"/>
    <w:rsid w:val="005B5A76"/>
    <w:rsid w:val="005B5F6E"/>
    <w:rsid w:val="005B6103"/>
    <w:rsid w:val="005B633A"/>
    <w:rsid w:val="005B66F2"/>
    <w:rsid w:val="005B6B53"/>
    <w:rsid w:val="005B744D"/>
    <w:rsid w:val="005B781D"/>
    <w:rsid w:val="005B7D18"/>
    <w:rsid w:val="005C0080"/>
    <w:rsid w:val="005C00A8"/>
    <w:rsid w:val="005C019F"/>
    <w:rsid w:val="005C0259"/>
    <w:rsid w:val="005C099D"/>
    <w:rsid w:val="005C09E4"/>
    <w:rsid w:val="005C0F67"/>
    <w:rsid w:val="005C12FB"/>
    <w:rsid w:val="005C142A"/>
    <w:rsid w:val="005C166B"/>
    <w:rsid w:val="005C16E5"/>
    <w:rsid w:val="005C1BA9"/>
    <w:rsid w:val="005C1D2F"/>
    <w:rsid w:val="005C1D58"/>
    <w:rsid w:val="005C209A"/>
    <w:rsid w:val="005C2262"/>
    <w:rsid w:val="005C2848"/>
    <w:rsid w:val="005C2881"/>
    <w:rsid w:val="005C2A88"/>
    <w:rsid w:val="005C2C43"/>
    <w:rsid w:val="005C2E98"/>
    <w:rsid w:val="005C2F08"/>
    <w:rsid w:val="005C3285"/>
    <w:rsid w:val="005C347E"/>
    <w:rsid w:val="005C369A"/>
    <w:rsid w:val="005C3746"/>
    <w:rsid w:val="005C3763"/>
    <w:rsid w:val="005C384E"/>
    <w:rsid w:val="005C39D1"/>
    <w:rsid w:val="005C3B0A"/>
    <w:rsid w:val="005C3D76"/>
    <w:rsid w:val="005C49F8"/>
    <w:rsid w:val="005C4A39"/>
    <w:rsid w:val="005C4B19"/>
    <w:rsid w:val="005C4B22"/>
    <w:rsid w:val="005C4B69"/>
    <w:rsid w:val="005C4D03"/>
    <w:rsid w:val="005C50A5"/>
    <w:rsid w:val="005C52B5"/>
    <w:rsid w:val="005C542F"/>
    <w:rsid w:val="005C634B"/>
    <w:rsid w:val="005C6F31"/>
    <w:rsid w:val="005C6FBC"/>
    <w:rsid w:val="005C768D"/>
    <w:rsid w:val="005C76A4"/>
    <w:rsid w:val="005D0098"/>
    <w:rsid w:val="005D015C"/>
    <w:rsid w:val="005D03F4"/>
    <w:rsid w:val="005D052E"/>
    <w:rsid w:val="005D09D3"/>
    <w:rsid w:val="005D0FA3"/>
    <w:rsid w:val="005D0FF7"/>
    <w:rsid w:val="005D1196"/>
    <w:rsid w:val="005D13B5"/>
    <w:rsid w:val="005D194B"/>
    <w:rsid w:val="005D1AE8"/>
    <w:rsid w:val="005D1C95"/>
    <w:rsid w:val="005D24A0"/>
    <w:rsid w:val="005D278A"/>
    <w:rsid w:val="005D2E8A"/>
    <w:rsid w:val="005D3261"/>
    <w:rsid w:val="005D34E7"/>
    <w:rsid w:val="005D3766"/>
    <w:rsid w:val="005D379A"/>
    <w:rsid w:val="005D385F"/>
    <w:rsid w:val="005D3CA2"/>
    <w:rsid w:val="005D3F1E"/>
    <w:rsid w:val="005D41DF"/>
    <w:rsid w:val="005D4307"/>
    <w:rsid w:val="005D434E"/>
    <w:rsid w:val="005D449F"/>
    <w:rsid w:val="005D46F9"/>
    <w:rsid w:val="005D47BE"/>
    <w:rsid w:val="005D550E"/>
    <w:rsid w:val="005D5512"/>
    <w:rsid w:val="005D5A5B"/>
    <w:rsid w:val="005D61E4"/>
    <w:rsid w:val="005D62E5"/>
    <w:rsid w:val="005D6518"/>
    <w:rsid w:val="005D6611"/>
    <w:rsid w:val="005D6648"/>
    <w:rsid w:val="005D6716"/>
    <w:rsid w:val="005D6856"/>
    <w:rsid w:val="005D6B91"/>
    <w:rsid w:val="005D6BC4"/>
    <w:rsid w:val="005D6DA6"/>
    <w:rsid w:val="005D77DA"/>
    <w:rsid w:val="005D7A6B"/>
    <w:rsid w:val="005D7AC0"/>
    <w:rsid w:val="005D7C92"/>
    <w:rsid w:val="005D7D84"/>
    <w:rsid w:val="005E0232"/>
    <w:rsid w:val="005E02C1"/>
    <w:rsid w:val="005E0342"/>
    <w:rsid w:val="005E041A"/>
    <w:rsid w:val="005E0490"/>
    <w:rsid w:val="005E0531"/>
    <w:rsid w:val="005E089E"/>
    <w:rsid w:val="005E0ADC"/>
    <w:rsid w:val="005E0B4F"/>
    <w:rsid w:val="005E1623"/>
    <w:rsid w:val="005E165A"/>
    <w:rsid w:val="005E1DED"/>
    <w:rsid w:val="005E2241"/>
    <w:rsid w:val="005E2376"/>
    <w:rsid w:val="005E2397"/>
    <w:rsid w:val="005E2737"/>
    <w:rsid w:val="005E2BA7"/>
    <w:rsid w:val="005E2CD0"/>
    <w:rsid w:val="005E2EE3"/>
    <w:rsid w:val="005E2FDE"/>
    <w:rsid w:val="005E3501"/>
    <w:rsid w:val="005E3624"/>
    <w:rsid w:val="005E3793"/>
    <w:rsid w:val="005E38BF"/>
    <w:rsid w:val="005E3A0B"/>
    <w:rsid w:val="005E3DC4"/>
    <w:rsid w:val="005E4124"/>
    <w:rsid w:val="005E4819"/>
    <w:rsid w:val="005E48DC"/>
    <w:rsid w:val="005E492C"/>
    <w:rsid w:val="005E4FD8"/>
    <w:rsid w:val="005E5001"/>
    <w:rsid w:val="005E5101"/>
    <w:rsid w:val="005E5238"/>
    <w:rsid w:val="005E5B31"/>
    <w:rsid w:val="005E5B7F"/>
    <w:rsid w:val="005E5DCA"/>
    <w:rsid w:val="005E6007"/>
    <w:rsid w:val="005E6140"/>
    <w:rsid w:val="005E63F2"/>
    <w:rsid w:val="005E6725"/>
    <w:rsid w:val="005E67C8"/>
    <w:rsid w:val="005E6D51"/>
    <w:rsid w:val="005E73FA"/>
    <w:rsid w:val="005E762C"/>
    <w:rsid w:val="005E7BAB"/>
    <w:rsid w:val="005E7BFC"/>
    <w:rsid w:val="005E7D28"/>
    <w:rsid w:val="005E7DDF"/>
    <w:rsid w:val="005F043A"/>
    <w:rsid w:val="005F07FF"/>
    <w:rsid w:val="005F0AAC"/>
    <w:rsid w:val="005F0B7D"/>
    <w:rsid w:val="005F0E80"/>
    <w:rsid w:val="005F10C8"/>
    <w:rsid w:val="005F1560"/>
    <w:rsid w:val="005F15A2"/>
    <w:rsid w:val="005F16C9"/>
    <w:rsid w:val="005F1744"/>
    <w:rsid w:val="005F1B3E"/>
    <w:rsid w:val="005F1F8E"/>
    <w:rsid w:val="005F1FDF"/>
    <w:rsid w:val="005F29C2"/>
    <w:rsid w:val="005F2A87"/>
    <w:rsid w:val="005F2F3A"/>
    <w:rsid w:val="005F3082"/>
    <w:rsid w:val="005F3BE6"/>
    <w:rsid w:val="005F3D7B"/>
    <w:rsid w:val="005F40FF"/>
    <w:rsid w:val="005F429E"/>
    <w:rsid w:val="005F4780"/>
    <w:rsid w:val="005F4796"/>
    <w:rsid w:val="005F47F9"/>
    <w:rsid w:val="005F4914"/>
    <w:rsid w:val="005F4CB7"/>
    <w:rsid w:val="005F5228"/>
    <w:rsid w:val="005F525A"/>
    <w:rsid w:val="005F531C"/>
    <w:rsid w:val="005F5345"/>
    <w:rsid w:val="005F54F5"/>
    <w:rsid w:val="005F5629"/>
    <w:rsid w:val="005F57A0"/>
    <w:rsid w:val="005F5A5E"/>
    <w:rsid w:val="005F5A8D"/>
    <w:rsid w:val="005F5AAB"/>
    <w:rsid w:val="005F5BC3"/>
    <w:rsid w:val="005F6269"/>
    <w:rsid w:val="005F6537"/>
    <w:rsid w:val="005F67BF"/>
    <w:rsid w:val="005F685A"/>
    <w:rsid w:val="005F68FD"/>
    <w:rsid w:val="005F691F"/>
    <w:rsid w:val="005F6AB0"/>
    <w:rsid w:val="005F6B29"/>
    <w:rsid w:val="005F6DE4"/>
    <w:rsid w:val="005F6EEA"/>
    <w:rsid w:val="005F6FE7"/>
    <w:rsid w:val="005F7292"/>
    <w:rsid w:val="005F74C0"/>
    <w:rsid w:val="005F7582"/>
    <w:rsid w:val="005F776F"/>
    <w:rsid w:val="005F78A9"/>
    <w:rsid w:val="005F7A0F"/>
    <w:rsid w:val="005F7A28"/>
    <w:rsid w:val="005F7A63"/>
    <w:rsid w:val="005F7CFF"/>
    <w:rsid w:val="005F7D02"/>
    <w:rsid w:val="006000DE"/>
    <w:rsid w:val="00600472"/>
    <w:rsid w:val="006008DB"/>
    <w:rsid w:val="00600ACF"/>
    <w:rsid w:val="00600AF9"/>
    <w:rsid w:val="00600B90"/>
    <w:rsid w:val="00600D9D"/>
    <w:rsid w:val="00600E32"/>
    <w:rsid w:val="00600E34"/>
    <w:rsid w:val="006010D2"/>
    <w:rsid w:val="00601792"/>
    <w:rsid w:val="00601E24"/>
    <w:rsid w:val="00601FC1"/>
    <w:rsid w:val="00602656"/>
    <w:rsid w:val="00602BC0"/>
    <w:rsid w:val="00602BE8"/>
    <w:rsid w:val="00602DFC"/>
    <w:rsid w:val="0060320D"/>
    <w:rsid w:val="006032E1"/>
    <w:rsid w:val="00603637"/>
    <w:rsid w:val="00603757"/>
    <w:rsid w:val="00603869"/>
    <w:rsid w:val="006038C1"/>
    <w:rsid w:val="00603AC7"/>
    <w:rsid w:val="00603AFF"/>
    <w:rsid w:val="006041A9"/>
    <w:rsid w:val="006045CC"/>
    <w:rsid w:val="00604792"/>
    <w:rsid w:val="00604B08"/>
    <w:rsid w:val="00604E3A"/>
    <w:rsid w:val="00605199"/>
    <w:rsid w:val="00605220"/>
    <w:rsid w:val="00605552"/>
    <w:rsid w:val="00605796"/>
    <w:rsid w:val="0060597D"/>
    <w:rsid w:val="00605C73"/>
    <w:rsid w:val="00605C7D"/>
    <w:rsid w:val="006060C6"/>
    <w:rsid w:val="006061AC"/>
    <w:rsid w:val="0060696A"/>
    <w:rsid w:val="00606D34"/>
    <w:rsid w:val="0060708B"/>
    <w:rsid w:val="006073FD"/>
    <w:rsid w:val="006074A1"/>
    <w:rsid w:val="00607787"/>
    <w:rsid w:val="006079C4"/>
    <w:rsid w:val="00607D49"/>
    <w:rsid w:val="00610562"/>
    <w:rsid w:val="00610DFD"/>
    <w:rsid w:val="00611202"/>
    <w:rsid w:val="00611691"/>
    <w:rsid w:val="00611A34"/>
    <w:rsid w:val="00611DD7"/>
    <w:rsid w:val="00611EBA"/>
    <w:rsid w:val="006122B7"/>
    <w:rsid w:val="006126B6"/>
    <w:rsid w:val="00612CC0"/>
    <w:rsid w:val="00612D76"/>
    <w:rsid w:val="00612E9F"/>
    <w:rsid w:val="00612F42"/>
    <w:rsid w:val="00612FB3"/>
    <w:rsid w:val="0061330E"/>
    <w:rsid w:val="0061331B"/>
    <w:rsid w:val="00613A91"/>
    <w:rsid w:val="00613BFA"/>
    <w:rsid w:val="00613E90"/>
    <w:rsid w:val="00614009"/>
    <w:rsid w:val="006142B7"/>
    <w:rsid w:val="00614407"/>
    <w:rsid w:val="00614802"/>
    <w:rsid w:val="006148DA"/>
    <w:rsid w:val="00614D27"/>
    <w:rsid w:val="00614D3C"/>
    <w:rsid w:val="00615112"/>
    <w:rsid w:val="00615144"/>
    <w:rsid w:val="00615323"/>
    <w:rsid w:val="0061537C"/>
    <w:rsid w:val="00615519"/>
    <w:rsid w:val="00615715"/>
    <w:rsid w:val="00615845"/>
    <w:rsid w:val="00615B9C"/>
    <w:rsid w:val="00615ED2"/>
    <w:rsid w:val="006162B5"/>
    <w:rsid w:val="006166B6"/>
    <w:rsid w:val="0061683A"/>
    <w:rsid w:val="00616C68"/>
    <w:rsid w:val="00616D44"/>
    <w:rsid w:val="0061703C"/>
    <w:rsid w:val="006174A9"/>
    <w:rsid w:val="00617700"/>
    <w:rsid w:val="0061790F"/>
    <w:rsid w:val="00617971"/>
    <w:rsid w:val="00617C68"/>
    <w:rsid w:val="00617D05"/>
    <w:rsid w:val="00617DE0"/>
    <w:rsid w:val="00620143"/>
    <w:rsid w:val="006201AE"/>
    <w:rsid w:val="00620539"/>
    <w:rsid w:val="0062069B"/>
    <w:rsid w:val="006207AD"/>
    <w:rsid w:val="006208E8"/>
    <w:rsid w:val="00620A71"/>
    <w:rsid w:val="00620B0A"/>
    <w:rsid w:val="00621110"/>
    <w:rsid w:val="0062114B"/>
    <w:rsid w:val="0062142D"/>
    <w:rsid w:val="006215DC"/>
    <w:rsid w:val="0062162C"/>
    <w:rsid w:val="00621873"/>
    <w:rsid w:val="00621ADF"/>
    <w:rsid w:val="00621CE3"/>
    <w:rsid w:val="00622160"/>
    <w:rsid w:val="00622623"/>
    <w:rsid w:val="0062282F"/>
    <w:rsid w:val="006229A9"/>
    <w:rsid w:val="00622A26"/>
    <w:rsid w:val="00622BBA"/>
    <w:rsid w:val="00622C70"/>
    <w:rsid w:val="00622E7F"/>
    <w:rsid w:val="006232E4"/>
    <w:rsid w:val="006237BA"/>
    <w:rsid w:val="006237D5"/>
    <w:rsid w:val="00623888"/>
    <w:rsid w:val="00623AEE"/>
    <w:rsid w:val="00623FF1"/>
    <w:rsid w:val="00623FF2"/>
    <w:rsid w:val="00624C5E"/>
    <w:rsid w:val="00624D18"/>
    <w:rsid w:val="0062516E"/>
    <w:rsid w:val="00625465"/>
    <w:rsid w:val="00625BDB"/>
    <w:rsid w:val="00625CBF"/>
    <w:rsid w:val="00625D25"/>
    <w:rsid w:val="00625D5C"/>
    <w:rsid w:val="00626112"/>
    <w:rsid w:val="0062620F"/>
    <w:rsid w:val="00626319"/>
    <w:rsid w:val="00626475"/>
    <w:rsid w:val="00626924"/>
    <w:rsid w:val="00626A0E"/>
    <w:rsid w:val="00626ABA"/>
    <w:rsid w:val="00626FD8"/>
    <w:rsid w:val="00627362"/>
    <w:rsid w:val="00627591"/>
    <w:rsid w:val="006278FE"/>
    <w:rsid w:val="00627A8D"/>
    <w:rsid w:val="006306D4"/>
    <w:rsid w:val="006307CC"/>
    <w:rsid w:val="00630806"/>
    <w:rsid w:val="00630BF6"/>
    <w:rsid w:val="00630C49"/>
    <w:rsid w:val="00630DE0"/>
    <w:rsid w:val="00630EE9"/>
    <w:rsid w:val="00630F50"/>
    <w:rsid w:val="00630FE7"/>
    <w:rsid w:val="00631174"/>
    <w:rsid w:val="00631197"/>
    <w:rsid w:val="0063125E"/>
    <w:rsid w:val="006313AC"/>
    <w:rsid w:val="00631887"/>
    <w:rsid w:val="00631BA9"/>
    <w:rsid w:val="00631F2F"/>
    <w:rsid w:val="00631F69"/>
    <w:rsid w:val="006327E3"/>
    <w:rsid w:val="00632B8E"/>
    <w:rsid w:val="00632C6C"/>
    <w:rsid w:val="00632D7E"/>
    <w:rsid w:val="00632DB5"/>
    <w:rsid w:val="0063341C"/>
    <w:rsid w:val="0063356B"/>
    <w:rsid w:val="00633A15"/>
    <w:rsid w:val="00633A7C"/>
    <w:rsid w:val="00633F27"/>
    <w:rsid w:val="0063406D"/>
    <w:rsid w:val="0063438E"/>
    <w:rsid w:val="0063475C"/>
    <w:rsid w:val="00634D2C"/>
    <w:rsid w:val="00634E9F"/>
    <w:rsid w:val="00634F71"/>
    <w:rsid w:val="0063529B"/>
    <w:rsid w:val="0063552A"/>
    <w:rsid w:val="006356A4"/>
    <w:rsid w:val="00635CFF"/>
    <w:rsid w:val="00635F7E"/>
    <w:rsid w:val="0063660E"/>
    <w:rsid w:val="006366C7"/>
    <w:rsid w:val="00636840"/>
    <w:rsid w:val="00636865"/>
    <w:rsid w:val="00636A92"/>
    <w:rsid w:val="00636CE3"/>
    <w:rsid w:val="00636EBF"/>
    <w:rsid w:val="00636ECD"/>
    <w:rsid w:val="00636F07"/>
    <w:rsid w:val="00636FF5"/>
    <w:rsid w:val="006372FA"/>
    <w:rsid w:val="00637482"/>
    <w:rsid w:val="006375E7"/>
    <w:rsid w:val="00637616"/>
    <w:rsid w:val="00637B62"/>
    <w:rsid w:val="00637F2A"/>
    <w:rsid w:val="00637FA6"/>
    <w:rsid w:val="006400BB"/>
    <w:rsid w:val="006402DC"/>
    <w:rsid w:val="00640B1E"/>
    <w:rsid w:val="00640BA1"/>
    <w:rsid w:val="00640DEA"/>
    <w:rsid w:val="006415B6"/>
    <w:rsid w:val="00641883"/>
    <w:rsid w:val="006418A6"/>
    <w:rsid w:val="00641A33"/>
    <w:rsid w:val="00641BDC"/>
    <w:rsid w:val="00641E3F"/>
    <w:rsid w:val="0064236F"/>
    <w:rsid w:val="006425CA"/>
    <w:rsid w:val="006428F3"/>
    <w:rsid w:val="00642A20"/>
    <w:rsid w:val="00642F20"/>
    <w:rsid w:val="00642F7B"/>
    <w:rsid w:val="0064342F"/>
    <w:rsid w:val="006434D3"/>
    <w:rsid w:val="00643510"/>
    <w:rsid w:val="00643DED"/>
    <w:rsid w:val="00643FE1"/>
    <w:rsid w:val="00644640"/>
    <w:rsid w:val="006446AB"/>
    <w:rsid w:val="006449F0"/>
    <w:rsid w:val="00644D45"/>
    <w:rsid w:val="006450BA"/>
    <w:rsid w:val="006456F4"/>
    <w:rsid w:val="00645713"/>
    <w:rsid w:val="006459C7"/>
    <w:rsid w:val="00645A8F"/>
    <w:rsid w:val="00645B90"/>
    <w:rsid w:val="00645CE3"/>
    <w:rsid w:val="00645D31"/>
    <w:rsid w:val="00645E68"/>
    <w:rsid w:val="006463BD"/>
    <w:rsid w:val="006463F7"/>
    <w:rsid w:val="006464CD"/>
    <w:rsid w:val="006464DB"/>
    <w:rsid w:val="00646959"/>
    <w:rsid w:val="00646BC1"/>
    <w:rsid w:val="00646BCE"/>
    <w:rsid w:val="00646EAD"/>
    <w:rsid w:val="00646F58"/>
    <w:rsid w:val="0064723C"/>
    <w:rsid w:val="006474A9"/>
    <w:rsid w:val="00647553"/>
    <w:rsid w:val="00647613"/>
    <w:rsid w:val="0064794E"/>
    <w:rsid w:val="00647D54"/>
    <w:rsid w:val="0065012F"/>
    <w:rsid w:val="0065017C"/>
    <w:rsid w:val="0065042F"/>
    <w:rsid w:val="0065078B"/>
    <w:rsid w:val="006507AF"/>
    <w:rsid w:val="00650A91"/>
    <w:rsid w:val="00650D85"/>
    <w:rsid w:val="00650EF1"/>
    <w:rsid w:val="006512E1"/>
    <w:rsid w:val="00651516"/>
    <w:rsid w:val="00651956"/>
    <w:rsid w:val="00651A00"/>
    <w:rsid w:val="00651A4C"/>
    <w:rsid w:val="00651CB1"/>
    <w:rsid w:val="00651E6F"/>
    <w:rsid w:val="00652102"/>
    <w:rsid w:val="00652184"/>
    <w:rsid w:val="006528C9"/>
    <w:rsid w:val="00652D88"/>
    <w:rsid w:val="00653A1F"/>
    <w:rsid w:val="00653C24"/>
    <w:rsid w:val="00653C6F"/>
    <w:rsid w:val="00653F92"/>
    <w:rsid w:val="00654328"/>
    <w:rsid w:val="006544C5"/>
    <w:rsid w:val="0065472B"/>
    <w:rsid w:val="006548AB"/>
    <w:rsid w:val="006549F8"/>
    <w:rsid w:val="00654C00"/>
    <w:rsid w:val="0065509E"/>
    <w:rsid w:val="00655285"/>
    <w:rsid w:val="0065540A"/>
    <w:rsid w:val="00655926"/>
    <w:rsid w:val="00656AA7"/>
    <w:rsid w:val="00656AC6"/>
    <w:rsid w:val="00656B70"/>
    <w:rsid w:val="00657133"/>
    <w:rsid w:val="00657977"/>
    <w:rsid w:val="00657AE5"/>
    <w:rsid w:val="00657B20"/>
    <w:rsid w:val="00657E71"/>
    <w:rsid w:val="006601D9"/>
    <w:rsid w:val="0066049C"/>
    <w:rsid w:val="00660A6D"/>
    <w:rsid w:val="00660A70"/>
    <w:rsid w:val="00660E19"/>
    <w:rsid w:val="00660F7C"/>
    <w:rsid w:val="00661BBB"/>
    <w:rsid w:val="006620DE"/>
    <w:rsid w:val="00662203"/>
    <w:rsid w:val="00662233"/>
    <w:rsid w:val="0066238E"/>
    <w:rsid w:val="006624A9"/>
    <w:rsid w:val="00662718"/>
    <w:rsid w:val="006628A9"/>
    <w:rsid w:val="00662DB2"/>
    <w:rsid w:val="00662E13"/>
    <w:rsid w:val="00663265"/>
    <w:rsid w:val="00663270"/>
    <w:rsid w:val="0066356B"/>
    <w:rsid w:val="006637D5"/>
    <w:rsid w:val="0066397C"/>
    <w:rsid w:val="00663D85"/>
    <w:rsid w:val="0066409A"/>
    <w:rsid w:val="00664206"/>
    <w:rsid w:val="0066425D"/>
    <w:rsid w:val="00664644"/>
    <w:rsid w:val="0066489A"/>
    <w:rsid w:val="00664A5A"/>
    <w:rsid w:val="00664E15"/>
    <w:rsid w:val="006650C6"/>
    <w:rsid w:val="006651BD"/>
    <w:rsid w:val="00665279"/>
    <w:rsid w:val="00665B02"/>
    <w:rsid w:val="00665B53"/>
    <w:rsid w:val="00665B9B"/>
    <w:rsid w:val="00665C89"/>
    <w:rsid w:val="00665F54"/>
    <w:rsid w:val="0066611A"/>
    <w:rsid w:val="006666B1"/>
    <w:rsid w:val="0066671B"/>
    <w:rsid w:val="0066679B"/>
    <w:rsid w:val="00666819"/>
    <w:rsid w:val="00666D74"/>
    <w:rsid w:val="00666F60"/>
    <w:rsid w:val="00667078"/>
    <w:rsid w:val="0066730F"/>
    <w:rsid w:val="006673E8"/>
    <w:rsid w:val="00667ACA"/>
    <w:rsid w:val="00667BBB"/>
    <w:rsid w:val="00667EF0"/>
    <w:rsid w:val="00667FBC"/>
    <w:rsid w:val="006704D4"/>
    <w:rsid w:val="006706AA"/>
    <w:rsid w:val="00670ADF"/>
    <w:rsid w:val="006710BC"/>
    <w:rsid w:val="006712C6"/>
    <w:rsid w:val="006719F5"/>
    <w:rsid w:val="00671B05"/>
    <w:rsid w:val="00671C6E"/>
    <w:rsid w:val="00671DEE"/>
    <w:rsid w:val="00671E6A"/>
    <w:rsid w:val="00671EC0"/>
    <w:rsid w:val="00672244"/>
    <w:rsid w:val="00672300"/>
    <w:rsid w:val="00672724"/>
    <w:rsid w:val="00672784"/>
    <w:rsid w:val="00672A2D"/>
    <w:rsid w:val="00672E41"/>
    <w:rsid w:val="00672F9B"/>
    <w:rsid w:val="00672FE9"/>
    <w:rsid w:val="0067308E"/>
    <w:rsid w:val="0067318A"/>
    <w:rsid w:val="00673268"/>
    <w:rsid w:val="006733E3"/>
    <w:rsid w:val="0067346F"/>
    <w:rsid w:val="0067350A"/>
    <w:rsid w:val="00673591"/>
    <w:rsid w:val="0067374B"/>
    <w:rsid w:val="006741C1"/>
    <w:rsid w:val="006743CC"/>
    <w:rsid w:val="0067450A"/>
    <w:rsid w:val="00674577"/>
    <w:rsid w:val="006746B0"/>
    <w:rsid w:val="0067480A"/>
    <w:rsid w:val="00674B80"/>
    <w:rsid w:val="00674D3D"/>
    <w:rsid w:val="006750F2"/>
    <w:rsid w:val="006752DB"/>
    <w:rsid w:val="006752F0"/>
    <w:rsid w:val="0067537B"/>
    <w:rsid w:val="006754ED"/>
    <w:rsid w:val="006758DF"/>
    <w:rsid w:val="00675956"/>
    <w:rsid w:val="00675A55"/>
    <w:rsid w:val="00675ABB"/>
    <w:rsid w:val="00675B9D"/>
    <w:rsid w:val="00675DCD"/>
    <w:rsid w:val="00675F05"/>
    <w:rsid w:val="00676670"/>
    <w:rsid w:val="00676719"/>
    <w:rsid w:val="0067683B"/>
    <w:rsid w:val="00676951"/>
    <w:rsid w:val="00676BE3"/>
    <w:rsid w:val="00676C75"/>
    <w:rsid w:val="00676D3E"/>
    <w:rsid w:val="00676F48"/>
    <w:rsid w:val="0067705A"/>
    <w:rsid w:val="00677060"/>
    <w:rsid w:val="00677071"/>
    <w:rsid w:val="00677124"/>
    <w:rsid w:val="006771EE"/>
    <w:rsid w:val="00677319"/>
    <w:rsid w:val="0067770B"/>
    <w:rsid w:val="006779C7"/>
    <w:rsid w:val="00677B9A"/>
    <w:rsid w:val="00677BB0"/>
    <w:rsid w:val="00677C18"/>
    <w:rsid w:val="00677D46"/>
    <w:rsid w:val="006800EC"/>
    <w:rsid w:val="00680560"/>
    <w:rsid w:val="0068061A"/>
    <w:rsid w:val="00680641"/>
    <w:rsid w:val="00680CEC"/>
    <w:rsid w:val="00680DF6"/>
    <w:rsid w:val="006810B2"/>
    <w:rsid w:val="00681578"/>
    <w:rsid w:val="00681654"/>
    <w:rsid w:val="0068188C"/>
    <w:rsid w:val="0068198A"/>
    <w:rsid w:val="006819A0"/>
    <w:rsid w:val="00681BF5"/>
    <w:rsid w:val="00682124"/>
    <w:rsid w:val="006826F8"/>
    <w:rsid w:val="006828C3"/>
    <w:rsid w:val="00682C1E"/>
    <w:rsid w:val="00683118"/>
    <w:rsid w:val="00683239"/>
    <w:rsid w:val="006833EA"/>
    <w:rsid w:val="00683734"/>
    <w:rsid w:val="006837BA"/>
    <w:rsid w:val="00683E06"/>
    <w:rsid w:val="00684054"/>
    <w:rsid w:val="0068435E"/>
    <w:rsid w:val="0068440A"/>
    <w:rsid w:val="00684571"/>
    <w:rsid w:val="00684771"/>
    <w:rsid w:val="006849D7"/>
    <w:rsid w:val="00684BCA"/>
    <w:rsid w:val="00684E22"/>
    <w:rsid w:val="00684ED6"/>
    <w:rsid w:val="00684F4C"/>
    <w:rsid w:val="006852C3"/>
    <w:rsid w:val="00685596"/>
    <w:rsid w:val="00685C60"/>
    <w:rsid w:val="00685E30"/>
    <w:rsid w:val="00685F06"/>
    <w:rsid w:val="00686056"/>
    <w:rsid w:val="006860E3"/>
    <w:rsid w:val="006866C1"/>
    <w:rsid w:val="00686A44"/>
    <w:rsid w:val="00686F26"/>
    <w:rsid w:val="00687367"/>
    <w:rsid w:val="00687392"/>
    <w:rsid w:val="00687545"/>
    <w:rsid w:val="0069036C"/>
    <w:rsid w:val="006906FE"/>
    <w:rsid w:val="00690A4E"/>
    <w:rsid w:val="00690E3D"/>
    <w:rsid w:val="00690EA0"/>
    <w:rsid w:val="00691661"/>
    <w:rsid w:val="00691956"/>
    <w:rsid w:val="00691A10"/>
    <w:rsid w:val="00691B16"/>
    <w:rsid w:val="00691B32"/>
    <w:rsid w:val="00691C32"/>
    <w:rsid w:val="00691E61"/>
    <w:rsid w:val="006921EE"/>
    <w:rsid w:val="0069220B"/>
    <w:rsid w:val="00692291"/>
    <w:rsid w:val="006922FE"/>
    <w:rsid w:val="0069231E"/>
    <w:rsid w:val="0069259D"/>
    <w:rsid w:val="00692CD5"/>
    <w:rsid w:val="00692D91"/>
    <w:rsid w:val="00692FB9"/>
    <w:rsid w:val="00692FCE"/>
    <w:rsid w:val="006933D3"/>
    <w:rsid w:val="0069361A"/>
    <w:rsid w:val="0069391C"/>
    <w:rsid w:val="00693A8E"/>
    <w:rsid w:val="00693DB2"/>
    <w:rsid w:val="006940FC"/>
    <w:rsid w:val="00694329"/>
    <w:rsid w:val="00694564"/>
    <w:rsid w:val="00694807"/>
    <w:rsid w:val="006951E1"/>
    <w:rsid w:val="00695628"/>
    <w:rsid w:val="0069571F"/>
    <w:rsid w:val="006957FE"/>
    <w:rsid w:val="0069595E"/>
    <w:rsid w:val="00695CD1"/>
    <w:rsid w:val="00695D7E"/>
    <w:rsid w:val="00695F03"/>
    <w:rsid w:val="00696543"/>
    <w:rsid w:val="0069663A"/>
    <w:rsid w:val="00696640"/>
    <w:rsid w:val="00696917"/>
    <w:rsid w:val="006969E1"/>
    <w:rsid w:val="00696B87"/>
    <w:rsid w:val="00697139"/>
    <w:rsid w:val="00697229"/>
    <w:rsid w:val="0069766B"/>
    <w:rsid w:val="00697C74"/>
    <w:rsid w:val="00697CF6"/>
    <w:rsid w:val="006A0262"/>
    <w:rsid w:val="006A0282"/>
    <w:rsid w:val="006A0311"/>
    <w:rsid w:val="006A09CE"/>
    <w:rsid w:val="006A0A54"/>
    <w:rsid w:val="006A0F87"/>
    <w:rsid w:val="006A1103"/>
    <w:rsid w:val="006A127D"/>
    <w:rsid w:val="006A17DE"/>
    <w:rsid w:val="006A194D"/>
    <w:rsid w:val="006A1CEF"/>
    <w:rsid w:val="006A1D7C"/>
    <w:rsid w:val="006A1E37"/>
    <w:rsid w:val="006A1EFC"/>
    <w:rsid w:val="006A22D9"/>
    <w:rsid w:val="006A24C3"/>
    <w:rsid w:val="006A2574"/>
    <w:rsid w:val="006A2915"/>
    <w:rsid w:val="006A2935"/>
    <w:rsid w:val="006A29E3"/>
    <w:rsid w:val="006A2A59"/>
    <w:rsid w:val="006A2BA6"/>
    <w:rsid w:val="006A2F23"/>
    <w:rsid w:val="006A320C"/>
    <w:rsid w:val="006A34BC"/>
    <w:rsid w:val="006A36DE"/>
    <w:rsid w:val="006A38BD"/>
    <w:rsid w:val="006A3EC5"/>
    <w:rsid w:val="006A41C3"/>
    <w:rsid w:val="006A457B"/>
    <w:rsid w:val="006A473D"/>
    <w:rsid w:val="006A4ECD"/>
    <w:rsid w:val="006A4FD4"/>
    <w:rsid w:val="006A4FD9"/>
    <w:rsid w:val="006A51B0"/>
    <w:rsid w:val="006A5A3A"/>
    <w:rsid w:val="006A5A65"/>
    <w:rsid w:val="006A5A9F"/>
    <w:rsid w:val="006A5FBB"/>
    <w:rsid w:val="006A68B9"/>
    <w:rsid w:val="006A6D4D"/>
    <w:rsid w:val="006A7036"/>
    <w:rsid w:val="006A70C0"/>
    <w:rsid w:val="006A71D5"/>
    <w:rsid w:val="006A73C6"/>
    <w:rsid w:val="006A73FF"/>
    <w:rsid w:val="006A74DB"/>
    <w:rsid w:val="006A7650"/>
    <w:rsid w:val="006A7991"/>
    <w:rsid w:val="006A7C30"/>
    <w:rsid w:val="006A7F7A"/>
    <w:rsid w:val="006B0513"/>
    <w:rsid w:val="006B0651"/>
    <w:rsid w:val="006B08BB"/>
    <w:rsid w:val="006B09F6"/>
    <w:rsid w:val="006B0B43"/>
    <w:rsid w:val="006B0BE3"/>
    <w:rsid w:val="006B0D63"/>
    <w:rsid w:val="006B0E23"/>
    <w:rsid w:val="006B0E24"/>
    <w:rsid w:val="006B1324"/>
    <w:rsid w:val="006B16E0"/>
    <w:rsid w:val="006B178D"/>
    <w:rsid w:val="006B1865"/>
    <w:rsid w:val="006B192B"/>
    <w:rsid w:val="006B1BDB"/>
    <w:rsid w:val="006B1D33"/>
    <w:rsid w:val="006B24BB"/>
    <w:rsid w:val="006B2502"/>
    <w:rsid w:val="006B284B"/>
    <w:rsid w:val="006B2AB1"/>
    <w:rsid w:val="006B2BA5"/>
    <w:rsid w:val="006B2D26"/>
    <w:rsid w:val="006B2F30"/>
    <w:rsid w:val="006B30D1"/>
    <w:rsid w:val="006B327E"/>
    <w:rsid w:val="006B3CA1"/>
    <w:rsid w:val="006B4448"/>
    <w:rsid w:val="006B45FE"/>
    <w:rsid w:val="006B4816"/>
    <w:rsid w:val="006B4877"/>
    <w:rsid w:val="006B498B"/>
    <w:rsid w:val="006B4AF9"/>
    <w:rsid w:val="006B4CDC"/>
    <w:rsid w:val="006B4DFF"/>
    <w:rsid w:val="006B4ED7"/>
    <w:rsid w:val="006B50BE"/>
    <w:rsid w:val="006B5346"/>
    <w:rsid w:val="006B55D7"/>
    <w:rsid w:val="006B5977"/>
    <w:rsid w:val="006B59FB"/>
    <w:rsid w:val="006B5A80"/>
    <w:rsid w:val="006B5B85"/>
    <w:rsid w:val="006B5D67"/>
    <w:rsid w:val="006B612A"/>
    <w:rsid w:val="006B6433"/>
    <w:rsid w:val="006B699B"/>
    <w:rsid w:val="006B6E87"/>
    <w:rsid w:val="006B6F2A"/>
    <w:rsid w:val="006B7533"/>
    <w:rsid w:val="006B78F2"/>
    <w:rsid w:val="006B79F7"/>
    <w:rsid w:val="006B7AFD"/>
    <w:rsid w:val="006B7B6A"/>
    <w:rsid w:val="006B7C31"/>
    <w:rsid w:val="006B7D99"/>
    <w:rsid w:val="006B7F3F"/>
    <w:rsid w:val="006C00CA"/>
    <w:rsid w:val="006C012D"/>
    <w:rsid w:val="006C02E4"/>
    <w:rsid w:val="006C035A"/>
    <w:rsid w:val="006C046B"/>
    <w:rsid w:val="006C08D8"/>
    <w:rsid w:val="006C0A40"/>
    <w:rsid w:val="006C0C66"/>
    <w:rsid w:val="006C0EEA"/>
    <w:rsid w:val="006C1133"/>
    <w:rsid w:val="006C130D"/>
    <w:rsid w:val="006C14CF"/>
    <w:rsid w:val="006C1B91"/>
    <w:rsid w:val="006C1C6A"/>
    <w:rsid w:val="006C1D29"/>
    <w:rsid w:val="006C1EC3"/>
    <w:rsid w:val="006C2026"/>
    <w:rsid w:val="006C2313"/>
    <w:rsid w:val="006C27B4"/>
    <w:rsid w:val="006C2AF5"/>
    <w:rsid w:val="006C2D27"/>
    <w:rsid w:val="006C30D7"/>
    <w:rsid w:val="006C3428"/>
    <w:rsid w:val="006C3625"/>
    <w:rsid w:val="006C3674"/>
    <w:rsid w:val="006C3982"/>
    <w:rsid w:val="006C3BEC"/>
    <w:rsid w:val="006C43DE"/>
    <w:rsid w:val="006C443E"/>
    <w:rsid w:val="006C4653"/>
    <w:rsid w:val="006C4726"/>
    <w:rsid w:val="006C4749"/>
    <w:rsid w:val="006C4753"/>
    <w:rsid w:val="006C47A3"/>
    <w:rsid w:val="006C48DA"/>
    <w:rsid w:val="006C4902"/>
    <w:rsid w:val="006C49DF"/>
    <w:rsid w:val="006C4BE4"/>
    <w:rsid w:val="006C4C18"/>
    <w:rsid w:val="006C4C87"/>
    <w:rsid w:val="006C526E"/>
    <w:rsid w:val="006C556C"/>
    <w:rsid w:val="006C567B"/>
    <w:rsid w:val="006C576E"/>
    <w:rsid w:val="006C577A"/>
    <w:rsid w:val="006C5AD3"/>
    <w:rsid w:val="006C5CC0"/>
    <w:rsid w:val="006C5EB9"/>
    <w:rsid w:val="006C60BE"/>
    <w:rsid w:val="006C6114"/>
    <w:rsid w:val="006C617F"/>
    <w:rsid w:val="006C61D5"/>
    <w:rsid w:val="006C6356"/>
    <w:rsid w:val="006C63BD"/>
    <w:rsid w:val="006C63E8"/>
    <w:rsid w:val="006C652D"/>
    <w:rsid w:val="006C6862"/>
    <w:rsid w:val="006C74B8"/>
    <w:rsid w:val="006C77B6"/>
    <w:rsid w:val="006C78DC"/>
    <w:rsid w:val="006C79FF"/>
    <w:rsid w:val="006C7A4F"/>
    <w:rsid w:val="006C7F45"/>
    <w:rsid w:val="006C7F8E"/>
    <w:rsid w:val="006D0261"/>
    <w:rsid w:val="006D04DD"/>
    <w:rsid w:val="006D068F"/>
    <w:rsid w:val="006D0E06"/>
    <w:rsid w:val="006D102B"/>
    <w:rsid w:val="006D10B3"/>
    <w:rsid w:val="006D1220"/>
    <w:rsid w:val="006D12F9"/>
    <w:rsid w:val="006D1416"/>
    <w:rsid w:val="006D1973"/>
    <w:rsid w:val="006D1B70"/>
    <w:rsid w:val="006D1C07"/>
    <w:rsid w:val="006D1DC9"/>
    <w:rsid w:val="006D21F0"/>
    <w:rsid w:val="006D243C"/>
    <w:rsid w:val="006D2666"/>
    <w:rsid w:val="006D270F"/>
    <w:rsid w:val="006D2A51"/>
    <w:rsid w:val="006D2CA9"/>
    <w:rsid w:val="006D34F4"/>
    <w:rsid w:val="006D3790"/>
    <w:rsid w:val="006D37F7"/>
    <w:rsid w:val="006D3AB1"/>
    <w:rsid w:val="006D3DE8"/>
    <w:rsid w:val="006D3F56"/>
    <w:rsid w:val="006D413B"/>
    <w:rsid w:val="006D45EF"/>
    <w:rsid w:val="006D4A41"/>
    <w:rsid w:val="006D4C5A"/>
    <w:rsid w:val="006D4E13"/>
    <w:rsid w:val="006D4E6E"/>
    <w:rsid w:val="006D4EE3"/>
    <w:rsid w:val="006D529B"/>
    <w:rsid w:val="006D5577"/>
    <w:rsid w:val="006D5C3E"/>
    <w:rsid w:val="006D5C5D"/>
    <w:rsid w:val="006D625B"/>
    <w:rsid w:val="006D6A17"/>
    <w:rsid w:val="006D6A53"/>
    <w:rsid w:val="006D6DDF"/>
    <w:rsid w:val="006D708D"/>
    <w:rsid w:val="006D71CD"/>
    <w:rsid w:val="006D780A"/>
    <w:rsid w:val="006D7B38"/>
    <w:rsid w:val="006D7C92"/>
    <w:rsid w:val="006D7E65"/>
    <w:rsid w:val="006D7FEF"/>
    <w:rsid w:val="006E05C8"/>
    <w:rsid w:val="006E0815"/>
    <w:rsid w:val="006E094F"/>
    <w:rsid w:val="006E0DE9"/>
    <w:rsid w:val="006E0F62"/>
    <w:rsid w:val="006E0FF8"/>
    <w:rsid w:val="006E1107"/>
    <w:rsid w:val="006E11FD"/>
    <w:rsid w:val="006E133C"/>
    <w:rsid w:val="006E13BC"/>
    <w:rsid w:val="006E1570"/>
    <w:rsid w:val="006E170A"/>
    <w:rsid w:val="006E1718"/>
    <w:rsid w:val="006E1748"/>
    <w:rsid w:val="006E1940"/>
    <w:rsid w:val="006E19DE"/>
    <w:rsid w:val="006E204C"/>
    <w:rsid w:val="006E22C6"/>
    <w:rsid w:val="006E238E"/>
    <w:rsid w:val="006E2845"/>
    <w:rsid w:val="006E28DC"/>
    <w:rsid w:val="006E2999"/>
    <w:rsid w:val="006E299C"/>
    <w:rsid w:val="006E2AEF"/>
    <w:rsid w:val="006E2D87"/>
    <w:rsid w:val="006E36EC"/>
    <w:rsid w:val="006E38D9"/>
    <w:rsid w:val="006E3B41"/>
    <w:rsid w:val="006E3EB8"/>
    <w:rsid w:val="006E3FBD"/>
    <w:rsid w:val="006E4047"/>
    <w:rsid w:val="006E4293"/>
    <w:rsid w:val="006E4463"/>
    <w:rsid w:val="006E4E6A"/>
    <w:rsid w:val="006E567D"/>
    <w:rsid w:val="006E58C0"/>
    <w:rsid w:val="006E5925"/>
    <w:rsid w:val="006E6390"/>
    <w:rsid w:val="006E67CF"/>
    <w:rsid w:val="006E68FC"/>
    <w:rsid w:val="006E6A10"/>
    <w:rsid w:val="006E6A57"/>
    <w:rsid w:val="006E6A9A"/>
    <w:rsid w:val="006E6EE0"/>
    <w:rsid w:val="006E70D2"/>
    <w:rsid w:val="006E77FC"/>
    <w:rsid w:val="006E7C3A"/>
    <w:rsid w:val="006E7D63"/>
    <w:rsid w:val="006E7E7B"/>
    <w:rsid w:val="006F0077"/>
    <w:rsid w:val="006F05F2"/>
    <w:rsid w:val="006F0BD0"/>
    <w:rsid w:val="006F128F"/>
    <w:rsid w:val="006F12CB"/>
    <w:rsid w:val="006F1931"/>
    <w:rsid w:val="006F1ADD"/>
    <w:rsid w:val="006F1C8A"/>
    <w:rsid w:val="006F1CE8"/>
    <w:rsid w:val="006F1EBF"/>
    <w:rsid w:val="006F20C2"/>
    <w:rsid w:val="006F2A22"/>
    <w:rsid w:val="006F2C96"/>
    <w:rsid w:val="006F31CA"/>
    <w:rsid w:val="006F3222"/>
    <w:rsid w:val="006F3278"/>
    <w:rsid w:val="006F3CE7"/>
    <w:rsid w:val="006F3EA4"/>
    <w:rsid w:val="006F3FF9"/>
    <w:rsid w:val="006F4022"/>
    <w:rsid w:val="006F42BD"/>
    <w:rsid w:val="006F4471"/>
    <w:rsid w:val="006F497F"/>
    <w:rsid w:val="006F4D85"/>
    <w:rsid w:val="006F4DF5"/>
    <w:rsid w:val="006F53CD"/>
    <w:rsid w:val="006F54B6"/>
    <w:rsid w:val="006F5918"/>
    <w:rsid w:val="006F5A76"/>
    <w:rsid w:val="006F5B47"/>
    <w:rsid w:val="006F613B"/>
    <w:rsid w:val="006F65F0"/>
    <w:rsid w:val="006F6644"/>
    <w:rsid w:val="006F70E8"/>
    <w:rsid w:val="006F7279"/>
    <w:rsid w:val="006F75F2"/>
    <w:rsid w:val="006F76A7"/>
    <w:rsid w:val="006F77DA"/>
    <w:rsid w:val="006F785A"/>
    <w:rsid w:val="0070000E"/>
    <w:rsid w:val="0070025A"/>
    <w:rsid w:val="007003C6"/>
    <w:rsid w:val="00700494"/>
    <w:rsid w:val="007008D6"/>
    <w:rsid w:val="00700994"/>
    <w:rsid w:val="00700BAF"/>
    <w:rsid w:val="00700E24"/>
    <w:rsid w:val="00700E78"/>
    <w:rsid w:val="00700ED3"/>
    <w:rsid w:val="00700FE4"/>
    <w:rsid w:val="00701002"/>
    <w:rsid w:val="00701199"/>
    <w:rsid w:val="00701630"/>
    <w:rsid w:val="0070189D"/>
    <w:rsid w:val="007020C9"/>
    <w:rsid w:val="00702165"/>
    <w:rsid w:val="00702217"/>
    <w:rsid w:val="00702853"/>
    <w:rsid w:val="00702C4A"/>
    <w:rsid w:val="00702CBA"/>
    <w:rsid w:val="00702FB9"/>
    <w:rsid w:val="00703061"/>
    <w:rsid w:val="007031BC"/>
    <w:rsid w:val="007034E7"/>
    <w:rsid w:val="0070390C"/>
    <w:rsid w:val="00704149"/>
    <w:rsid w:val="0070419C"/>
    <w:rsid w:val="00704579"/>
    <w:rsid w:val="007045D0"/>
    <w:rsid w:val="00704964"/>
    <w:rsid w:val="00704CF3"/>
    <w:rsid w:val="00704D16"/>
    <w:rsid w:val="00704DAF"/>
    <w:rsid w:val="00705462"/>
    <w:rsid w:val="007054ED"/>
    <w:rsid w:val="00705766"/>
    <w:rsid w:val="00705AC6"/>
    <w:rsid w:val="00705C26"/>
    <w:rsid w:val="00705F5F"/>
    <w:rsid w:val="00705FE6"/>
    <w:rsid w:val="00706184"/>
    <w:rsid w:val="00706774"/>
    <w:rsid w:val="0070705C"/>
    <w:rsid w:val="00707463"/>
    <w:rsid w:val="007074B7"/>
    <w:rsid w:val="007076CC"/>
    <w:rsid w:val="00707705"/>
    <w:rsid w:val="007079D4"/>
    <w:rsid w:val="00707DEB"/>
    <w:rsid w:val="00710228"/>
    <w:rsid w:val="007109EF"/>
    <w:rsid w:val="00710E34"/>
    <w:rsid w:val="00710FF9"/>
    <w:rsid w:val="007114B4"/>
    <w:rsid w:val="00711AE6"/>
    <w:rsid w:val="00711B27"/>
    <w:rsid w:val="00711DFF"/>
    <w:rsid w:val="00712118"/>
    <w:rsid w:val="00712177"/>
    <w:rsid w:val="007121DF"/>
    <w:rsid w:val="00712534"/>
    <w:rsid w:val="007127F9"/>
    <w:rsid w:val="00712B1D"/>
    <w:rsid w:val="00712CC7"/>
    <w:rsid w:val="00712DEF"/>
    <w:rsid w:val="00712F33"/>
    <w:rsid w:val="00713021"/>
    <w:rsid w:val="00713094"/>
    <w:rsid w:val="007131A1"/>
    <w:rsid w:val="00713333"/>
    <w:rsid w:val="007133E7"/>
    <w:rsid w:val="0071355D"/>
    <w:rsid w:val="00713567"/>
    <w:rsid w:val="00713715"/>
    <w:rsid w:val="00713820"/>
    <w:rsid w:val="007138DF"/>
    <w:rsid w:val="00713CA1"/>
    <w:rsid w:val="00713FE1"/>
    <w:rsid w:val="00713FE4"/>
    <w:rsid w:val="0071415E"/>
    <w:rsid w:val="0071429F"/>
    <w:rsid w:val="00714712"/>
    <w:rsid w:val="00714778"/>
    <w:rsid w:val="00714781"/>
    <w:rsid w:val="00714849"/>
    <w:rsid w:val="007148BF"/>
    <w:rsid w:val="00714DE4"/>
    <w:rsid w:val="007151BD"/>
    <w:rsid w:val="007151E3"/>
    <w:rsid w:val="007153A9"/>
    <w:rsid w:val="007153D8"/>
    <w:rsid w:val="00715C28"/>
    <w:rsid w:val="007160EC"/>
    <w:rsid w:val="007162C7"/>
    <w:rsid w:val="0071650A"/>
    <w:rsid w:val="007166BD"/>
    <w:rsid w:val="00716ADD"/>
    <w:rsid w:val="00716BE4"/>
    <w:rsid w:val="00716EDD"/>
    <w:rsid w:val="00716F2B"/>
    <w:rsid w:val="00717088"/>
    <w:rsid w:val="007172D9"/>
    <w:rsid w:val="00717ABB"/>
    <w:rsid w:val="00717EDB"/>
    <w:rsid w:val="00717F78"/>
    <w:rsid w:val="007200E9"/>
    <w:rsid w:val="0072018B"/>
    <w:rsid w:val="007203BA"/>
    <w:rsid w:val="00720560"/>
    <w:rsid w:val="0072058D"/>
    <w:rsid w:val="00720832"/>
    <w:rsid w:val="00720888"/>
    <w:rsid w:val="007208BE"/>
    <w:rsid w:val="00720951"/>
    <w:rsid w:val="00720969"/>
    <w:rsid w:val="00720B79"/>
    <w:rsid w:val="00721128"/>
    <w:rsid w:val="0072138D"/>
    <w:rsid w:val="00721C0A"/>
    <w:rsid w:val="00721DE0"/>
    <w:rsid w:val="00721E96"/>
    <w:rsid w:val="0072205C"/>
    <w:rsid w:val="007224F2"/>
    <w:rsid w:val="0072252F"/>
    <w:rsid w:val="00722698"/>
    <w:rsid w:val="00722717"/>
    <w:rsid w:val="0072272A"/>
    <w:rsid w:val="00722861"/>
    <w:rsid w:val="00722D47"/>
    <w:rsid w:val="00722F7D"/>
    <w:rsid w:val="00723050"/>
    <w:rsid w:val="0072329B"/>
    <w:rsid w:val="0072338A"/>
    <w:rsid w:val="00723D71"/>
    <w:rsid w:val="00723EF4"/>
    <w:rsid w:val="00723F1D"/>
    <w:rsid w:val="007240A2"/>
    <w:rsid w:val="007241D5"/>
    <w:rsid w:val="00724254"/>
    <w:rsid w:val="0072432A"/>
    <w:rsid w:val="0072486B"/>
    <w:rsid w:val="007249C9"/>
    <w:rsid w:val="00724A53"/>
    <w:rsid w:val="00724A91"/>
    <w:rsid w:val="00724C8B"/>
    <w:rsid w:val="007250D9"/>
    <w:rsid w:val="007252C7"/>
    <w:rsid w:val="007259F2"/>
    <w:rsid w:val="007267E7"/>
    <w:rsid w:val="00726BC6"/>
    <w:rsid w:val="00727339"/>
    <w:rsid w:val="0072743C"/>
    <w:rsid w:val="0072746D"/>
    <w:rsid w:val="0072773E"/>
    <w:rsid w:val="00727846"/>
    <w:rsid w:val="007278C6"/>
    <w:rsid w:val="007279E1"/>
    <w:rsid w:val="00727C5C"/>
    <w:rsid w:val="00727D7F"/>
    <w:rsid w:val="00727F80"/>
    <w:rsid w:val="00727F81"/>
    <w:rsid w:val="007305D1"/>
    <w:rsid w:val="0073064B"/>
    <w:rsid w:val="0073072B"/>
    <w:rsid w:val="0073080F"/>
    <w:rsid w:val="00730959"/>
    <w:rsid w:val="00730CC5"/>
    <w:rsid w:val="00730E57"/>
    <w:rsid w:val="007311EC"/>
    <w:rsid w:val="007312AA"/>
    <w:rsid w:val="00731399"/>
    <w:rsid w:val="0073150F"/>
    <w:rsid w:val="00731587"/>
    <w:rsid w:val="0073166E"/>
    <w:rsid w:val="007317F9"/>
    <w:rsid w:val="00731AF0"/>
    <w:rsid w:val="00731E71"/>
    <w:rsid w:val="00732556"/>
    <w:rsid w:val="0073292D"/>
    <w:rsid w:val="00732B3D"/>
    <w:rsid w:val="00732F19"/>
    <w:rsid w:val="007334E0"/>
    <w:rsid w:val="00733800"/>
    <w:rsid w:val="00733A30"/>
    <w:rsid w:val="00733C6D"/>
    <w:rsid w:val="00734083"/>
    <w:rsid w:val="007344D0"/>
    <w:rsid w:val="0073465A"/>
    <w:rsid w:val="00734AFE"/>
    <w:rsid w:val="00734C1B"/>
    <w:rsid w:val="00734D4E"/>
    <w:rsid w:val="00734EEC"/>
    <w:rsid w:val="00735001"/>
    <w:rsid w:val="00735040"/>
    <w:rsid w:val="00735159"/>
    <w:rsid w:val="0073520D"/>
    <w:rsid w:val="00735376"/>
    <w:rsid w:val="007354E7"/>
    <w:rsid w:val="00735A14"/>
    <w:rsid w:val="00735A9E"/>
    <w:rsid w:val="00735E04"/>
    <w:rsid w:val="0073647A"/>
    <w:rsid w:val="00736978"/>
    <w:rsid w:val="00736A47"/>
    <w:rsid w:val="00736CFC"/>
    <w:rsid w:val="00736D41"/>
    <w:rsid w:val="00736FDD"/>
    <w:rsid w:val="00737466"/>
    <w:rsid w:val="007375ED"/>
    <w:rsid w:val="00737748"/>
    <w:rsid w:val="00737940"/>
    <w:rsid w:val="00737B50"/>
    <w:rsid w:val="00737F99"/>
    <w:rsid w:val="0074112E"/>
    <w:rsid w:val="00741175"/>
    <w:rsid w:val="00741251"/>
    <w:rsid w:val="007414AC"/>
    <w:rsid w:val="00741F87"/>
    <w:rsid w:val="00741FD2"/>
    <w:rsid w:val="00742006"/>
    <w:rsid w:val="007420C3"/>
    <w:rsid w:val="0074210B"/>
    <w:rsid w:val="007424B2"/>
    <w:rsid w:val="007424C0"/>
    <w:rsid w:val="00742606"/>
    <w:rsid w:val="00742609"/>
    <w:rsid w:val="0074260F"/>
    <w:rsid w:val="00742858"/>
    <w:rsid w:val="00742C86"/>
    <w:rsid w:val="00742F17"/>
    <w:rsid w:val="00742F34"/>
    <w:rsid w:val="0074304B"/>
    <w:rsid w:val="00743345"/>
    <w:rsid w:val="007434FB"/>
    <w:rsid w:val="007435E3"/>
    <w:rsid w:val="0074364A"/>
    <w:rsid w:val="007438D3"/>
    <w:rsid w:val="00743E28"/>
    <w:rsid w:val="00743EE7"/>
    <w:rsid w:val="00743F57"/>
    <w:rsid w:val="00744129"/>
    <w:rsid w:val="0074423E"/>
    <w:rsid w:val="00744367"/>
    <w:rsid w:val="007443A1"/>
    <w:rsid w:val="0074458B"/>
    <w:rsid w:val="00744BAB"/>
    <w:rsid w:val="00745AAB"/>
    <w:rsid w:val="00745AD7"/>
    <w:rsid w:val="00745FA6"/>
    <w:rsid w:val="007460A4"/>
    <w:rsid w:val="007463E4"/>
    <w:rsid w:val="007467B1"/>
    <w:rsid w:val="0074684D"/>
    <w:rsid w:val="00746AE0"/>
    <w:rsid w:val="00746B51"/>
    <w:rsid w:val="00746C8B"/>
    <w:rsid w:val="00746E7B"/>
    <w:rsid w:val="00746E8A"/>
    <w:rsid w:val="00746FD3"/>
    <w:rsid w:val="00747189"/>
    <w:rsid w:val="007472B9"/>
    <w:rsid w:val="00747317"/>
    <w:rsid w:val="00747463"/>
    <w:rsid w:val="007475B7"/>
    <w:rsid w:val="007476C6"/>
    <w:rsid w:val="00747719"/>
    <w:rsid w:val="00747837"/>
    <w:rsid w:val="00747A60"/>
    <w:rsid w:val="007500F1"/>
    <w:rsid w:val="0075020E"/>
    <w:rsid w:val="007503A2"/>
    <w:rsid w:val="0075040A"/>
    <w:rsid w:val="0075051C"/>
    <w:rsid w:val="0075054F"/>
    <w:rsid w:val="00750D3B"/>
    <w:rsid w:val="007513CF"/>
    <w:rsid w:val="007516F0"/>
    <w:rsid w:val="0075173C"/>
    <w:rsid w:val="0075191E"/>
    <w:rsid w:val="007519EB"/>
    <w:rsid w:val="00751DFC"/>
    <w:rsid w:val="007523A0"/>
    <w:rsid w:val="0075241F"/>
    <w:rsid w:val="0075248A"/>
    <w:rsid w:val="00752499"/>
    <w:rsid w:val="00752881"/>
    <w:rsid w:val="0075291B"/>
    <w:rsid w:val="00752BF2"/>
    <w:rsid w:val="00752DEB"/>
    <w:rsid w:val="00753096"/>
    <w:rsid w:val="0075356E"/>
    <w:rsid w:val="007537E9"/>
    <w:rsid w:val="00753A99"/>
    <w:rsid w:val="00753CD2"/>
    <w:rsid w:val="00753ECF"/>
    <w:rsid w:val="00753ED2"/>
    <w:rsid w:val="0075410F"/>
    <w:rsid w:val="00754199"/>
    <w:rsid w:val="00754573"/>
    <w:rsid w:val="00754851"/>
    <w:rsid w:val="00754891"/>
    <w:rsid w:val="007549B4"/>
    <w:rsid w:val="00754D84"/>
    <w:rsid w:val="007550AB"/>
    <w:rsid w:val="00755299"/>
    <w:rsid w:val="00755349"/>
    <w:rsid w:val="00755402"/>
    <w:rsid w:val="0075586A"/>
    <w:rsid w:val="00755A97"/>
    <w:rsid w:val="00755C2F"/>
    <w:rsid w:val="00756172"/>
    <w:rsid w:val="00756399"/>
    <w:rsid w:val="007566FF"/>
    <w:rsid w:val="00756BD0"/>
    <w:rsid w:val="00757019"/>
    <w:rsid w:val="00757053"/>
    <w:rsid w:val="007578FD"/>
    <w:rsid w:val="00757C17"/>
    <w:rsid w:val="007601CF"/>
    <w:rsid w:val="00760B1C"/>
    <w:rsid w:val="00760F72"/>
    <w:rsid w:val="00761294"/>
    <w:rsid w:val="00761347"/>
    <w:rsid w:val="00761348"/>
    <w:rsid w:val="00761740"/>
    <w:rsid w:val="007618F4"/>
    <w:rsid w:val="0076198F"/>
    <w:rsid w:val="00761F1E"/>
    <w:rsid w:val="00761F5C"/>
    <w:rsid w:val="007620D3"/>
    <w:rsid w:val="00762137"/>
    <w:rsid w:val="00762487"/>
    <w:rsid w:val="0076286C"/>
    <w:rsid w:val="007629C6"/>
    <w:rsid w:val="00762EBE"/>
    <w:rsid w:val="007636EA"/>
    <w:rsid w:val="0076372C"/>
    <w:rsid w:val="00763C05"/>
    <w:rsid w:val="00763C2E"/>
    <w:rsid w:val="0076406E"/>
    <w:rsid w:val="0076422A"/>
    <w:rsid w:val="00764268"/>
    <w:rsid w:val="007642FC"/>
    <w:rsid w:val="0076434A"/>
    <w:rsid w:val="007645BB"/>
    <w:rsid w:val="007645F3"/>
    <w:rsid w:val="0076470E"/>
    <w:rsid w:val="00764ADC"/>
    <w:rsid w:val="00764AE3"/>
    <w:rsid w:val="00764F17"/>
    <w:rsid w:val="00764F50"/>
    <w:rsid w:val="007653DA"/>
    <w:rsid w:val="00765408"/>
    <w:rsid w:val="00765A2E"/>
    <w:rsid w:val="00765C23"/>
    <w:rsid w:val="00766101"/>
    <w:rsid w:val="0076614E"/>
    <w:rsid w:val="007663BD"/>
    <w:rsid w:val="00766923"/>
    <w:rsid w:val="00766962"/>
    <w:rsid w:val="00766B58"/>
    <w:rsid w:val="00766B85"/>
    <w:rsid w:val="00766CAC"/>
    <w:rsid w:val="00766F13"/>
    <w:rsid w:val="00766FD6"/>
    <w:rsid w:val="00767252"/>
    <w:rsid w:val="007673B8"/>
    <w:rsid w:val="00767572"/>
    <w:rsid w:val="007675A9"/>
    <w:rsid w:val="0076789D"/>
    <w:rsid w:val="00767D50"/>
    <w:rsid w:val="00767E79"/>
    <w:rsid w:val="00767EBA"/>
    <w:rsid w:val="007703F6"/>
    <w:rsid w:val="0077099F"/>
    <w:rsid w:val="00770A4E"/>
    <w:rsid w:val="00770D6E"/>
    <w:rsid w:val="007710A8"/>
    <w:rsid w:val="0077120C"/>
    <w:rsid w:val="00771240"/>
    <w:rsid w:val="007714FE"/>
    <w:rsid w:val="0077151E"/>
    <w:rsid w:val="007719E2"/>
    <w:rsid w:val="00771A25"/>
    <w:rsid w:val="00771C04"/>
    <w:rsid w:val="00771DA6"/>
    <w:rsid w:val="00772177"/>
    <w:rsid w:val="0077224F"/>
    <w:rsid w:val="00772326"/>
    <w:rsid w:val="00772D92"/>
    <w:rsid w:val="00773725"/>
    <w:rsid w:val="00773A4C"/>
    <w:rsid w:val="00773AE3"/>
    <w:rsid w:val="00773C28"/>
    <w:rsid w:val="00773D94"/>
    <w:rsid w:val="00774080"/>
    <w:rsid w:val="00774731"/>
    <w:rsid w:val="00774848"/>
    <w:rsid w:val="00774940"/>
    <w:rsid w:val="00774A64"/>
    <w:rsid w:val="00774F8F"/>
    <w:rsid w:val="00775050"/>
    <w:rsid w:val="0077506D"/>
    <w:rsid w:val="0077509E"/>
    <w:rsid w:val="0077542B"/>
    <w:rsid w:val="00775561"/>
    <w:rsid w:val="0077576A"/>
    <w:rsid w:val="0077588B"/>
    <w:rsid w:val="007758BE"/>
    <w:rsid w:val="0077594B"/>
    <w:rsid w:val="00775FC8"/>
    <w:rsid w:val="0077607A"/>
    <w:rsid w:val="00776168"/>
    <w:rsid w:val="007761E3"/>
    <w:rsid w:val="0077650B"/>
    <w:rsid w:val="00776702"/>
    <w:rsid w:val="007768AD"/>
    <w:rsid w:val="00776C49"/>
    <w:rsid w:val="00776D16"/>
    <w:rsid w:val="00776DF1"/>
    <w:rsid w:val="007777FF"/>
    <w:rsid w:val="00780136"/>
    <w:rsid w:val="0078033E"/>
    <w:rsid w:val="007803D2"/>
    <w:rsid w:val="00780532"/>
    <w:rsid w:val="00780754"/>
    <w:rsid w:val="00780D63"/>
    <w:rsid w:val="00780D87"/>
    <w:rsid w:val="00780F81"/>
    <w:rsid w:val="00781006"/>
    <w:rsid w:val="00781097"/>
    <w:rsid w:val="007815D9"/>
    <w:rsid w:val="007818D6"/>
    <w:rsid w:val="007819A5"/>
    <w:rsid w:val="00781A2B"/>
    <w:rsid w:val="00781BA3"/>
    <w:rsid w:val="00781E53"/>
    <w:rsid w:val="00782219"/>
    <w:rsid w:val="00782485"/>
    <w:rsid w:val="007827EB"/>
    <w:rsid w:val="00782BA2"/>
    <w:rsid w:val="00782BBB"/>
    <w:rsid w:val="00782BF7"/>
    <w:rsid w:val="007830B3"/>
    <w:rsid w:val="00783372"/>
    <w:rsid w:val="007835FF"/>
    <w:rsid w:val="007837D0"/>
    <w:rsid w:val="00783CEF"/>
    <w:rsid w:val="00783CF8"/>
    <w:rsid w:val="00783E02"/>
    <w:rsid w:val="00783F3E"/>
    <w:rsid w:val="007840BA"/>
    <w:rsid w:val="0078423E"/>
    <w:rsid w:val="007843B5"/>
    <w:rsid w:val="007844F0"/>
    <w:rsid w:val="0078477C"/>
    <w:rsid w:val="00784A1B"/>
    <w:rsid w:val="00784ADC"/>
    <w:rsid w:val="00784B55"/>
    <w:rsid w:val="00784B96"/>
    <w:rsid w:val="0078513B"/>
    <w:rsid w:val="007853A5"/>
    <w:rsid w:val="0078546A"/>
    <w:rsid w:val="00785495"/>
    <w:rsid w:val="007854F9"/>
    <w:rsid w:val="00785547"/>
    <w:rsid w:val="007855FF"/>
    <w:rsid w:val="00785D06"/>
    <w:rsid w:val="00786123"/>
    <w:rsid w:val="007861B6"/>
    <w:rsid w:val="00786521"/>
    <w:rsid w:val="00786593"/>
    <w:rsid w:val="00786B2E"/>
    <w:rsid w:val="00786FB9"/>
    <w:rsid w:val="00787740"/>
    <w:rsid w:val="00787ADF"/>
    <w:rsid w:val="00787B5D"/>
    <w:rsid w:val="007906C5"/>
    <w:rsid w:val="00790862"/>
    <w:rsid w:val="00790867"/>
    <w:rsid w:val="0079088E"/>
    <w:rsid w:val="00790AA3"/>
    <w:rsid w:val="00790B96"/>
    <w:rsid w:val="00791149"/>
    <w:rsid w:val="007918FE"/>
    <w:rsid w:val="00791F34"/>
    <w:rsid w:val="007920B9"/>
    <w:rsid w:val="0079245A"/>
    <w:rsid w:val="007925D9"/>
    <w:rsid w:val="00792966"/>
    <w:rsid w:val="00792EC0"/>
    <w:rsid w:val="00792FA2"/>
    <w:rsid w:val="0079305A"/>
    <w:rsid w:val="007930F4"/>
    <w:rsid w:val="00793183"/>
    <w:rsid w:val="0079326B"/>
    <w:rsid w:val="00793642"/>
    <w:rsid w:val="0079398D"/>
    <w:rsid w:val="00793A03"/>
    <w:rsid w:val="00793EA1"/>
    <w:rsid w:val="00793F8B"/>
    <w:rsid w:val="007942CB"/>
    <w:rsid w:val="00794344"/>
    <w:rsid w:val="00794DBA"/>
    <w:rsid w:val="00794FB3"/>
    <w:rsid w:val="00795CF3"/>
    <w:rsid w:val="00795E63"/>
    <w:rsid w:val="00796098"/>
    <w:rsid w:val="007961BE"/>
    <w:rsid w:val="00796257"/>
    <w:rsid w:val="00796379"/>
    <w:rsid w:val="0079647D"/>
    <w:rsid w:val="00796564"/>
    <w:rsid w:val="00796D4A"/>
    <w:rsid w:val="0079738F"/>
    <w:rsid w:val="0079752F"/>
    <w:rsid w:val="0079754F"/>
    <w:rsid w:val="007978F3"/>
    <w:rsid w:val="00797937"/>
    <w:rsid w:val="00797A03"/>
    <w:rsid w:val="00797B4C"/>
    <w:rsid w:val="00797D62"/>
    <w:rsid w:val="007A0107"/>
    <w:rsid w:val="007A07A0"/>
    <w:rsid w:val="007A098E"/>
    <w:rsid w:val="007A0ED9"/>
    <w:rsid w:val="007A0F1E"/>
    <w:rsid w:val="007A0FC1"/>
    <w:rsid w:val="007A119B"/>
    <w:rsid w:val="007A138F"/>
    <w:rsid w:val="007A1421"/>
    <w:rsid w:val="007A1452"/>
    <w:rsid w:val="007A15E0"/>
    <w:rsid w:val="007A1675"/>
    <w:rsid w:val="007A16BD"/>
    <w:rsid w:val="007A175B"/>
    <w:rsid w:val="007A19CE"/>
    <w:rsid w:val="007A1C1E"/>
    <w:rsid w:val="007A20BC"/>
    <w:rsid w:val="007A20FC"/>
    <w:rsid w:val="007A221E"/>
    <w:rsid w:val="007A2431"/>
    <w:rsid w:val="007A25EC"/>
    <w:rsid w:val="007A2775"/>
    <w:rsid w:val="007A288F"/>
    <w:rsid w:val="007A2C16"/>
    <w:rsid w:val="007A2CCB"/>
    <w:rsid w:val="007A33E3"/>
    <w:rsid w:val="007A38B8"/>
    <w:rsid w:val="007A3977"/>
    <w:rsid w:val="007A3A5D"/>
    <w:rsid w:val="007A3E4D"/>
    <w:rsid w:val="007A43B4"/>
    <w:rsid w:val="007A4729"/>
    <w:rsid w:val="007A4EAF"/>
    <w:rsid w:val="007A5108"/>
    <w:rsid w:val="007A514E"/>
    <w:rsid w:val="007A5300"/>
    <w:rsid w:val="007A548B"/>
    <w:rsid w:val="007A558B"/>
    <w:rsid w:val="007A5AE3"/>
    <w:rsid w:val="007A5B41"/>
    <w:rsid w:val="007A5EDE"/>
    <w:rsid w:val="007A6531"/>
    <w:rsid w:val="007A7090"/>
    <w:rsid w:val="007A7363"/>
    <w:rsid w:val="007A73D2"/>
    <w:rsid w:val="007A7B16"/>
    <w:rsid w:val="007A7C07"/>
    <w:rsid w:val="007A7F3B"/>
    <w:rsid w:val="007B0292"/>
    <w:rsid w:val="007B0804"/>
    <w:rsid w:val="007B091A"/>
    <w:rsid w:val="007B0B55"/>
    <w:rsid w:val="007B0F0A"/>
    <w:rsid w:val="007B0F3A"/>
    <w:rsid w:val="007B1470"/>
    <w:rsid w:val="007B14C8"/>
    <w:rsid w:val="007B154B"/>
    <w:rsid w:val="007B1811"/>
    <w:rsid w:val="007B19BB"/>
    <w:rsid w:val="007B1AE8"/>
    <w:rsid w:val="007B1BA6"/>
    <w:rsid w:val="007B1CB4"/>
    <w:rsid w:val="007B2127"/>
    <w:rsid w:val="007B21FE"/>
    <w:rsid w:val="007B29C4"/>
    <w:rsid w:val="007B2CDE"/>
    <w:rsid w:val="007B2FB1"/>
    <w:rsid w:val="007B3520"/>
    <w:rsid w:val="007B3FE7"/>
    <w:rsid w:val="007B41BA"/>
    <w:rsid w:val="007B4261"/>
    <w:rsid w:val="007B4390"/>
    <w:rsid w:val="007B4398"/>
    <w:rsid w:val="007B43B5"/>
    <w:rsid w:val="007B4431"/>
    <w:rsid w:val="007B4453"/>
    <w:rsid w:val="007B4504"/>
    <w:rsid w:val="007B4610"/>
    <w:rsid w:val="007B49F2"/>
    <w:rsid w:val="007B4B65"/>
    <w:rsid w:val="007B4D96"/>
    <w:rsid w:val="007B55FE"/>
    <w:rsid w:val="007B5823"/>
    <w:rsid w:val="007B58E9"/>
    <w:rsid w:val="007B5CDD"/>
    <w:rsid w:val="007B63DD"/>
    <w:rsid w:val="007B642F"/>
    <w:rsid w:val="007B6519"/>
    <w:rsid w:val="007B6551"/>
    <w:rsid w:val="007B66E3"/>
    <w:rsid w:val="007B6703"/>
    <w:rsid w:val="007B6C98"/>
    <w:rsid w:val="007B6D16"/>
    <w:rsid w:val="007B7224"/>
    <w:rsid w:val="007B7257"/>
    <w:rsid w:val="007B72D5"/>
    <w:rsid w:val="007B756B"/>
    <w:rsid w:val="007B787F"/>
    <w:rsid w:val="007B7AED"/>
    <w:rsid w:val="007C008A"/>
    <w:rsid w:val="007C0211"/>
    <w:rsid w:val="007C04F0"/>
    <w:rsid w:val="007C0568"/>
    <w:rsid w:val="007C0651"/>
    <w:rsid w:val="007C0725"/>
    <w:rsid w:val="007C0A57"/>
    <w:rsid w:val="007C0BC7"/>
    <w:rsid w:val="007C0C20"/>
    <w:rsid w:val="007C0E11"/>
    <w:rsid w:val="007C1118"/>
    <w:rsid w:val="007C1760"/>
    <w:rsid w:val="007C1F34"/>
    <w:rsid w:val="007C2083"/>
    <w:rsid w:val="007C20C3"/>
    <w:rsid w:val="007C229D"/>
    <w:rsid w:val="007C2A82"/>
    <w:rsid w:val="007C2D2F"/>
    <w:rsid w:val="007C303D"/>
    <w:rsid w:val="007C342F"/>
    <w:rsid w:val="007C3985"/>
    <w:rsid w:val="007C3DF6"/>
    <w:rsid w:val="007C3ED8"/>
    <w:rsid w:val="007C4050"/>
    <w:rsid w:val="007C40C4"/>
    <w:rsid w:val="007C4146"/>
    <w:rsid w:val="007C450A"/>
    <w:rsid w:val="007C4B88"/>
    <w:rsid w:val="007C503C"/>
    <w:rsid w:val="007C50AA"/>
    <w:rsid w:val="007C519D"/>
    <w:rsid w:val="007C51D4"/>
    <w:rsid w:val="007C58D3"/>
    <w:rsid w:val="007C5DD1"/>
    <w:rsid w:val="007C6057"/>
    <w:rsid w:val="007C6141"/>
    <w:rsid w:val="007C6409"/>
    <w:rsid w:val="007C69B7"/>
    <w:rsid w:val="007C6B62"/>
    <w:rsid w:val="007C6DA4"/>
    <w:rsid w:val="007C70CD"/>
    <w:rsid w:val="007C7187"/>
    <w:rsid w:val="007C75ED"/>
    <w:rsid w:val="007C7944"/>
    <w:rsid w:val="007C79CC"/>
    <w:rsid w:val="007C7A6E"/>
    <w:rsid w:val="007C7B2A"/>
    <w:rsid w:val="007C7C55"/>
    <w:rsid w:val="007C7F50"/>
    <w:rsid w:val="007C7FB7"/>
    <w:rsid w:val="007D0038"/>
    <w:rsid w:val="007D071E"/>
    <w:rsid w:val="007D07DD"/>
    <w:rsid w:val="007D08B8"/>
    <w:rsid w:val="007D0FB4"/>
    <w:rsid w:val="007D13E5"/>
    <w:rsid w:val="007D1666"/>
    <w:rsid w:val="007D167F"/>
    <w:rsid w:val="007D1946"/>
    <w:rsid w:val="007D1993"/>
    <w:rsid w:val="007D1B7B"/>
    <w:rsid w:val="007D1C12"/>
    <w:rsid w:val="007D1E2B"/>
    <w:rsid w:val="007D1E63"/>
    <w:rsid w:val="007D1FBC"/>
    <w:rsid w:val="007D20BE"/>
    <w:rsid w:val="007D22BC"/>
    <w:rsid w:val="007D2339"/>
    <w:rsid w:val="007D236F"/>
    <w:rsid w:val="007D2451"/>
    <w:rsid w:val="007D2677"/>
    <w:rsid w:val="007D2A6D"/>
    <w:rsid w:val="007D2C85"/>
    <w:rsid w:val="007D2F09"/>
    <w:rsid w:val="007D320F"/>
    <w:rsid w:val="007D34FC"/>
    <w:rsid w:val="007D3B31"/>
    <w:rsid w:val="007D3E95"/>
    <w:rsid w:val="007D4394"/>
    <w:rsid w:val="007D46F4"/>
    <w:rsid w:val="007D4EEB"/>
    <w:rsid w:val="007D5076"/>
    <w:rsid w:val="007D50E1"/>
    <w:rsid w:val="007D5184"/>
    <w:rsid w:val="007D5444"/>
    <w:rsid w:val="007D58EF"/>
    <w:rsid w:val="007D5BCF"/>
    <w:rsid w:val="007D5D48"/>
    <w:rsid w:val="007D5D5E"/>
    <w:rsid w:val="007D610D"/>
    <w:rsid w:val="007D6316"/>
    <w:rsid w:val="007D631B"/>
    <w:rsid w:val="007D631E"/>
    <w:rsid w:val="007D6611"/>
    <w:rsid w:val="007D66DD"/>
    <w:rsid w:val="007D6984"/>
    <w:rsid w:val="007D6A08"/>
    <w:rsid w:val="007D6CE2"/>
    <w:rsid w:val="007D71FB"/>
    <w:rsid w:val="007D7385"/>
    <w:rsid w:val="007D74E6"/>
    <w:rsid w:val="007D7566"/>
    <w:rsid w:val="007D75CD"/>
    <w:rsid w:val="007D78AE"/>
    <w:rsid w:val="007D7A43"/>
    <w:rsid w:val="007D7A6A"/>
    <w:rsid w:val="007D7F77"/>
    <w:rsid w:val="007D7F7C"/>
    <w:rsid w:val="007E021B"/>
    <w:rsid w:val="007E0280"/>
    <w:rsid w:val="007E03C0"/>
    <w:rsid w:val="007E0821"/>
    <w:rsid w:val="007E0A6C"/>
    <w:rsid w:val="007E0AB8"/>
    <w:rsid w:val="007E0AE4"/>
    <w:rsid w:val="007E1115"/>
    <w:rsid w:val="007E12C9"/>
    <w:rsid w:val="007E13FF"/>
    <w:rsid w:val="007E1AFD"/>
    <w:rsid w:val="007E1C60"/>
    <w:rsid w:val="007E1C73"/>
    <w:rsid w:val="007E1D69"/>
    <w:rsid w:val="007E2034"/>
    <w:rsid w:val="007E24CF"/>
    <w:rsid w:val="007E2706"/>
    <w:rsid w:val="007E2836"/>
    <w:rsid w:val="007E2A84"/>
    <w:rsid w:val="007E2CE6"/>
    <w:rsid w:val="007E2D05"/>
    <w:rsid w:val="007E2D8F"/>
    <w:rsid w:val="007E2E42"/>
    <w:rsid w:val="007E39B5"/>
    <w:rsid w:val="007E3BDE"/>
    <w:rsid w:val="007E3E8F"/>
    <w:rsid w:val="007E3EEE"/>
    <w:rsid w:val="007E4370"/>
    <w:rsid w:val="007E4494"/>
    <w:rsid w:val="007E462A"/>
    <w:rsid w:val="007E502F"/>
    <w:rsid w:val="007E50EF"/>
    <w:rsid w:val="007E51E1"/>
    <w:rsid w:val="007E55A0"/>
    <w:rsid w:val="007E562B"/>
    <w:rsid w:val="007E568A"/>
    <w:rsid w:val="007E56E6"/>
    <w:rsid w:val="007E5A67"/>
    <w:rsid w:val="007E5C0E"/>
    <w:rsid w:val="007E5E5D"/>
    <w:rsid w:val="007E6010"/>
    <w:rsid w:val="007E6105"/>
    <w:rsid w:val="007E6352"/>
    <w:rsid w:val="007E6435"/>
    <w:rsid w:val="007E6787"/>
    <w:rsid w:val="007E67BD"/>
    <w:rsid w:val="007E682E"/>
    <w:rsid w:val="007E6A04"/>
    <w:rsid w:val="007E6A3B"/>
    <w:rsid w:val="007E6B9B"/>
    <w:rsid w:val="007E6CED"/>
    <w:rsid w:val="007E713D"/>
    <w:rsid w:val="007E74D9"/>
    <w:rsid w:val="007E75CF"/>
    <w:rsid w:val="007E77E3"/>
    <w:rsid w:val="007E7A59"/>
    <w:rsid w:val="007E7A80"/>
    <w:rsid w:val="007E7D93"/>
    <w:rsid w:val="007E7E0C"/>
    <w:rsid w:val="007E7E98"/>
    <w:rsid w:val="007E7F07"/>
    <w:rsid w:val="007E7F56"/>
    <w:rsid w:val="007E7FCD"/>
    <w:rsid w:val="007F00C5"/>
    <w:rsid w:val="007F028C"/>
    <w:rsid w:val="007F08C5"/>
    <w:rsid w:val="007F0B76"/>
    <w:rsid w:val="007F0D03"/>
    <w:rsid w:val="007F0D82"/>
    <w:rsid w:val="007F0DAB"/>
    <w:rsid w:val="007F0ED0"/>
    <w:rsid w:val="007F108F"/>
    <w:rsid w:val="007F1374"/>
    <w:rsid w:val="007F143A"/>
    <w:rsid w:val="007F1630"/>
    <w:rsid w:val="007F1693"/>
    <w:rsid w:val="007F16F5"/>
    <w:rsid w:val="007F19D3"/>
    <w:rsid w:val="007F1A4C"/>
    <w:rsid w:val="007F1D7C"/>
    <w:rsid w:val="007F1E9A"/>
    <w:rsid w:val="007F249B"/>
    <w:rsid w:val="007F2707"/>
    <w:rsid w:val="007F276A"/>
    <w:rsid w:val="007F2EBB"/>
    <w:rsid w:val="007F2F23"/>
    <w:rsid w:val="007F34D0"/>
    <w:rsid w:val="007F37CE"/>
    <w:rsid w:val="007F3A9E"/>
    <w:rsid w:val="007F441F"/>
    <w:rsid w:val="007F4432"/>
    <w:rsid w:val="007F473B"/>
    <w:rsid w:val="007F4828"/>
    <w:rsid w:val="007F4C1F"/>
    <w:rsid w:val="007F4CAE"/>
    <w:rsid w:val="007F4EAD"/>
    <w:rsid w:val="007F5102"/>
    <w:rsid w:val="007F514F"/>
    <w:rsid w:val="007F559C"/>
    <w:rsid w:val="007F55F3"/>
    <w:rsid w:val="007F585A"/>
    <w:rsid w:val="007F5AB1"/>
    <w:rsid w:val="007F5EB8"/>
    <w:rsid w:val="007F607B"/>
    <w:rsid w:val="007F684F"/>
    <w:rsid w:val="007F6AF0"/>
    <w:rsid w:val="007F6C79"/>
    <w:rsid w:val="007F7578"/>
    <w:rsid w:val="007F77B4"/>
    <w:rsid w:val="007F791F"/>
    <w:rsid w:val="007F7A8C"/>
    <w:rsid w:val="007F7B3C"/>
    <w:rsid w:val="0080001F"/>
    <w:rsid w:val="008005C8"/>
    <w:rsid w:val="00800639"/>
    <w:rsid w:val="008006BE"/>
    <w:rsid w:val="00800A63"/>
    <w:rsid w:val="00800E4C"/>
    <w:rsid w:val="00801105"/>
    <w:rsid w:val="00801262"/>
    <w:rsid w:val="00801590"/>
    <w:rsid w:val="0080187A"/>
    <w:rsid w:val="00801913"/>
    <w:rsid w:val="00801CB0"/>
    <w:rsid w:val="00801D8F"/>
    <w:rsid w:val="00801E63"/>
    <w:rsid w:val="00801E71"/>
    <w:rsid w:val="00801EFB"/>
    <w:rsid w:val="00801F14"/>
    <w:rsid w:val="00801FBB"/>
    <w:rsid w:val="00802EA5"/>
    <w:rsid w:val="00802FB5"/>
    <w:rsid w:val="008036E9"/>
    <w:rsid w:val="00803935"/>
    <w:rsid w:val="0080397A"/>
    <w:rsid w:val="00803999"/>
    <w:rsid w:val="00803A35"/>
    <w:rsid w:val="00803DA0"/>
    <w:rsid w:val="00803E4B"/>
    <w:rsid w:val="00803EC0"/>
    <w:rsid w:val="00803FD0"/>
    <w:rsid w:val="00804013"/>
    <w:rsid w:val="0080433B"/>
    <w:rsid w:val="00804734"/>
    <w:rsid w:val="00804B37"/>
    <w:rsid w:val="00805191"/>
    <w:rsid w:val="00805471"/>
    <w:rsid w:val="008056FB"/>
    <w:rsid w:val="00805885"/>
    <w:rsid w:val="00805B76"/>
    <w:rsid w:val="00805C3F"/>
    <w:rsid w:val="00805D81"/>
    <w:rsid w:val="00805E5E"/>
    <w:rsid w:val="0080614A"/>
    <w:rsid w:val="00806327"/>
    <w:rsid w:val="008065CD"/>
    <w:rsid w:val="00806A6C"/>
    <w:rsid w:val="00806C7F"/>
    <w:rsid w:val="00807054"/>
    <w:rsid w:val="0080710D"/>
    <w:rsid w:val="0080711C"/>
    <w:rsid w:val="0080728A"/>
    <w:rsid w:val="008072F6"/>
    <w:rsid w:val="008074DC"/>
    <w:rsid w:val="0080792D"/>
    <w:rsid w:val="008079F9"/>
    <w:rsid w:val="008100E3"/>
    <w:rsid w:val="008101E4"/>
    <w:rsid w:val="008103C7"/>
    <w:rsid w:val="008103E4"/>
    <w:rsid w:val="00810848"/>
    <w:rsid w:val="00810962"/>
    <w:rsid w:val="00810CBB"/>
    <w:rsid w:val="00810D80"/>
    <w:rsid w:val="00811470"/>
    <w:rsid w:val="008116BB"/>
    <w:rsid w:val="008119A1"/>
    <w:rsid w:val="00811AD7"/>
    <w:rsid w:val="00811AE8"/>
    <w:rsid w:val="00811AFE"/>
    <w:rsid w:val="00811CBD"/>
    <w:rsid w:val="00811D68"/>
    <w:rsid w:val="00811E30"/>
    <w:rsid w:val="00812060"/>
    <w:rsid w:val="00812073"/>
    <w:rsid w:val="00812105"/>
    <w:rsid w:val="0081245E"/>
    <w:rsid w:val="0081289B"/>
    <w:rsid w:val="00812E3A"/>
    <w:rsid w:val="0081334B"/>
    <w:rsid w:val="0081378A"/>
    <w:rsid w:val="0081382D"/>
    <w:rsid w:val="00813899"/>
    <w:rsid w:val="00813AA8"/>
    <w:rsid w:val="00813C3B"/>
    <w:rsid w:val="00813DBC"/>
    <w:rsid w:val="00813E08"/>
    <w:rsid w:val="00813F7A"/>
    <w:rsid w:val="00814137"/>
    <w:rsid w:val="00814FFC"/>
    <w:rsid w:val="0081520A"/>
    <w:rsid w:val="00815E70"/>
    <w:rsid w:val="00815F78"/>
    <w:rsid w:val="00816AD7"/>
    <w:rsid w:val="00816BA8"/>
    <w:rsid w:val="00816DDF"/>
    <w:rsid w:val="00816E22"/>
    <w:rsid w:val="00816E51"/>
    <w:rsid w:val="00817441"/>
    <w:rsid w:val="0081763E"/>
    <w:rsid w:val="008178E0"/>
    <w:rsid w:val="008179E5"/>
    <w:rsid w:val="00817A3F"/>
    <w:rsid w:val="00817BC6"/>
    <w:rsid w:val="00817DE6"/>
    <w:rsid w:val="008201BB"/>
    <w:rsid w:val="008201C8"/>
    <w:rsid w:val="008201CA"/>
    <w:rsid w:val="00820322"/>
    <w:rsid w:val="008208F0"/>
    <w:rsid w:val="00820C3C"/>
    <w:rsid w:val="00820DF7"/>
    <w:rsid w:val="00820E07"/>
    <w:rsid w:val="00821405"/>
    <w:rsid w:val="008214AA"/>
    <w:rsid w:val="00821557"/>
    <w:rsid w:val="008218D5"/>
    <w:rsid w:val="00821D84"/>
    <w:rsid w:val="00821EA1"/>
    <w:rsid w:val="00821F18"/>
    <w:rsid w:val="00821FD9"/>
    <w:rsid w:val="00821FFC"/>
    <w:rsid w:val="00822159"/>
    <w:rsid w:val="00822167"/>
    <w:rsid w:val="00822781"/>
    <w:rsid w:val="008227DF"/>
    <w:rsid w:val="0082290B"/>
    <w:rsid w:val="00822995"/>
    <w:rsid w:val="00822A1B"/>
    <w:rsid w:val="00822A4A"/>
    <w:rsid w:val="00822DB1"/>
    <w:rsid w:val="00822FC7"/>
    <w:rsid w:val="00823047"/>
    <w:rsid w:val="00823294"/>
    <w:rsid w:val="00823569"/>
    <w:rsid w:val="0082358B"/>
    <w:rsid w:val="0082363A"/>
    <w:rsid w:val="00823A56"/>
    <w:rsid w:val="00823B94"/>
    <w:rsid w:val="00823BEC"/>
    <w:rsid w:val="00823C76"/>
    <w:rsid w:val="00823EEC"/>
    <w:rsid w:val="008241EB"/>
    <w:rsid w:val="00824E68"/>
    <w:rsid w:val="00824EC7"/>
    <w:rsid w:val="00825265"/>
    <w:rsid w:val="008252FE"/>
    <w:rsid w:val="00825713"/>
    <w:rsid w:val="00825890"/>
    <w:rsid w:val="00825CB7"/>
    <w:rsid w:val="00825FB4"/>
    <w:rsid w:val="008262B2"/>
    <w:rsid w:val="00826323"/>
    <w:rsid w:val="00826763"/>
    <w:rsid w:val="008271F5"/>
    <w:rsid w:val="0082768E"/>
    <w:rsid w:val="008277F1"/>
    <w:rsid w:val="008279AE"/>
    <w:rsid w:val="00827B76"/>
    <w:rsid w:val="0083021A"/>
    <w:rsid w:val="008305C6"/>
    <w:rsid w:val="008306C8"/>
    <w:rsid w:val="00830937"/>
    <w:rsid w:val="00830A7B"/>
    <w:rsid w:val="00830B0A"/>
    <w:rsid w:val="00830B67"/>
    <w:rsid w:val="008319CC"/>
    <w:rsid w:val="00831B76"/>
    <w:rsid w:val="00831E3B"/>
    <w:rsid w:val="00831F64"/>
    <w:rsid w:val="00831F6A"/>
    <w:rsid w:val="00831FF9"/>
    <w:rsid w:val="00832043"/>
    <w:rsid w:val="0083204E"/>
    <w:rsid w:val="008321F3"/>
    <w:rsid w:val="008328D3"/>
    <w:rsid w:val="00832980"/>
    <w:rsid w:val="00832CD9"/>
    <w:rsid w:val="0083305D"/>
    <w:rsid w:val="00833146"/>
    <w:rsid w:val="008334C9"/>
    <w:rsid w:val="00833657"/>
    <w:rsid w:val="008338B9"/>
    <w:rsid w:val="00833B25"/>
    <w:rsid w:val="00834549"/>
    <w:rsid w:val="00834864"/>
    <w:rsid w:val="00834950"/>
    <w:rsid w:val="00834ABB"/>
    <w:rsid w:val="0083521D"/>
    <w:rsid w:val="008355B6"/>
    <w:rsid w:val="008357EB"/>
    <w:rsid w:val="00835A69"/>
    <w:rsid w:val="00835A86"/>
    <w:rsid w:val="00835C88"/>
    <w:rsid w:val="00836121"/>
    <w:rsid w:val="00836126"/>
    <w:rsid w:val="008363C4"/>
    <w:rsid w:val="00836A03"/>
    <w:rsid w:val="00837560"/>
    <w:rsid w:val="00837742"/>
    <w:rsid w:val="00837807"/>
    <w:rsid w:val="00837844"/>
    <w:rsid w:val="00837A4E"/>
    <w:rsid w:val="00837BE9"/>
    <w:rsid w:val="00837CD2"/>
    <w:rsid w:val="00837CFD"/>
    <w:rsid w:val="00840128"/>
    <w:rsid w:val="008403DD"/>
    <w:rsid w:val="008406BC"/>
    <w:rsid w:val="00840709"/>
    <w:rsid w:val="00840833"/>
    <w:rsid w:val="00840B4D"/>
    <w:rsid w:val="00840D9B"/>
    <w:rsid w:val="00841195"/>
    <w:rsid w:val="008416C4"/>
    <w:rsid w:val="00841916"/>
    <w:rsid w:val="00841C2E"/>
    <w:rsid w:val="00841D57"/>
    <w:rsid w:val="00841F40"/>
    <w:rsid w:val="00841F68"/>
    <w:rsid w:val="00841F87"/>
    <w:rsid w:val="008422FC"/>
    <w:rsid w:val="00842337"/>
    <w:rsid w:val="00842ACF"/>
    <w:rsid w:val="00842CFF"/>
    <w:rsid w:val="00842FB3"/>
    <w:rsid w:val="00843198"/>
    <w:rsid w:val="008434DF"/>
    <w:rsid w:val="00843653"/>
    <w:rsid w:val="0084389C"/>
    <w:rsid w:val="00843BAC"/>
    <w:rsid w:val="00843CCF"/>
    <w:rsid w:val="00843DE0"/>
    <w:rsid w:val="00843E98"/>
    <w:rsid w:val="00844011"/>
    <w:rsid w:val="00844361"/>
    <w:rsid w:val="00844728"/>
    <w:rsid w:val="00844BC0"/>
    <w:rsid w:val="00844C3B"/>
    <w:rsid w:val="00844EAC"/>
    <w:rsid w:val="00845879"/>
    <w:rsid w:val="008458AF"/>
    <w:rsid w:val="00845AE0"/>
    <w:rsid w:val="00845F90"/>
    <w:rsid w:val="00846265"/>
    <w:rsid w:val="0084647C"/>
    <w:rsid w:val="0084651F"/>
    <w:rsid w:val="008468E3"/>
    <w:rsid w:val="00846B00"/>
    <w:rsid w:val="00846CDC"/>
    <w:rsid w:val="00846EC7"/>
    <w:rsid w:val="00846F64"/>
    <w:rsid w:val="00846F87"/>
    <w:rsid w:val="00846FB9"/>
    <w:rsid w:val="00847934"/>
    <w:rsid w:val="0084798B"/>
    <w:rsid w:val="00847C61"/>
    <w:rsid w:val="00847CFD"/>
    <w:rsid w:val="00847ECB"/>
    <w:rsid w:val="0085005B"/>
    <w:rsid w:val="008501DC"/>
    <w:rsid w:val="00850693"/>
    <w:rsid w:val="008507C7"/>
    <w:rsid w:val="00850853"/>
    <w:rsid w:val="00850FAE"/>
    <w:rsid w:val="008510D8"/>
    <w:rsid w:val="008510F5"/>
    <w:rsid w:val="0085173C"/>
    <w:rsid w:val="00851865"/>
    <w:rsid w:val="00851E4D"/>
    <w:rsid w:val="00852433"/>
    <w:rsid w:val="00852B61"/>
    <w:rsid w:val="00853106"/>
    <w:rsid w:val="00853363"/>
    <w:rsid w:val="00853722"/>
    <w:rsid w:val="008537EC"/>
    <w:rsid w:val="00853AEA"/>
    <w:rsid w:val="00853B8D"/>
    <w:rsid w:val="00854052"/>
    <w:rsid w:val="0085423C"/>
    <w:rsid w:val="00854484"/>
    <w:rsid w:val="008544F0"/>
    <w:rsid w:val="008544F7"/>
    <w:rsid w:val="008545CD"/>
    <w:rsid w:val="008546AD"/>
    <w:rsid w:val="0085474D"/>
    <w:rsid w:val="00854893"/>
    <w:rsid w:val="00854BC6"/>
    <w:rsid w:val="00855176"/>
    <w:rsid w:val="00855828"/>
    <w:rsid w:val="00855854"/>
    <w:rsid w:val="00855A9A"/>
    <w:rsid w:val="008569BD"/>
    <w:rsid w:val="00856A0E"/>
    <w:rsid w:val="00856CF9"/>
    <w:rsid w:val="00856D2F"/>
    <w:rsid w:val="00856F2A"/>
    <w:rsid w:val="00856FD7"/>
    <w:rsid w:val="00857119"/>
    <w:rsid w:val="008575F7"/>
    <w:rsid w:val="0085770B"/>
    <w:rsid w:val="0085785D"/>
    <w:rsid w:val="00857AFF"/>
    <w:rsid w:val="00857B4B"/>
    <w:rsid w:val="008600FD"/>
    <w:rsid w:val="00860377"/>
    <w:rsid w:val="008603E6"/>
    <w:rsid w:val="0086076B"/>
    <w:rsid w:val="008608C9"/>
    <w:rsid w:val="0086093D"/>
    <w:rsid w:val="00860949"/>
    <w:rsid w:val="008609E4"/>
    <w:rsid w:val="00860AD3"/>
    <w:rsid w:val="00860E9E"/>
    <w:rsid w:val="008610A9"/>
    <w:rsid w:val="008616FA"/>
    <w:rsid w:val="0086184B"/>
    <w:rsid w:val="0086187F"/>
    <w:rsid w:val="008618D2"/>
    <w:rsid w:val="00861925"/>
    <w:rsid w:val="0086199F"/>
    <w:rsid w:val="00861A43"/>
    <w:rsid w:val="00861D3B"/>
    <w:rsid w:val="008627C7"/>
    <w:rsid w:val="008627CA"/>
    <w:rsid w:val="00862AA9"/>
    <w:rsid w:val="00862B1E"/>
    <w:rsid w:val="00862CE8"/>
    <w:rsid w:val="00862F37"/>
    <w:rsid w:val="008631CE"/>
    <w:rsid w:val="0086337A"/>
    <w:rsid w:val="0086341B"/>
    <w:rsid w:val="00863443"/>
    <w:rsid w:val="00863480"/>
    <w:rsid w:val="008634BA"/>
    <w:rsid w:val="00863CA8"/>
    <w:rsid w:val="00863E75"/>
    <w:rsid w:val="00863EB0"/>
    <w:rsid w:val="00863EB5"/>
    <w:rsid w:val="008640C1"/>
    <w:rsid w:val="0086443E"/>
    <w:rsid w:val="0086447A"/>
    <w:rsid w:val="0086469C"/>
    <w:rsid w:val="00864BCB"/>
    <w:rsid w:val="00864BED"/>
    <w:rsid w:val="00864CED"/>
    <w:rsid w:val="00864DE4"/>
    <w:rsid w:val="00864E0B"/>
    <w:rsid w:val="00865590"/>
    <w:rsid w:val="0086559C"/>
    <w:rsid w:val="00865916"/>
    <w:rsid w:val="00865C0A"/>
    <w:rsid w:val="00865C9E"/>
    <w:rsid w:val="00865DE7"/>
    <w:rsid w:val="00866169"/>
    <w:rsid w:val="008665DF"/>
    <w:rsid w:val="00866920"/>
    <w:rsid w:val="00866A6A"/>
    <w:rsid w:val="00866EC1"/>
    <w:rsid w:val="00866FB3"/>
    <w:rsid w:val="00867552"/>
    <w:rsid w:val="00867582"/>
    <w:rsid w:val="0086765F"/>
    <w:rsid w:val="00867724"/>
    <w:rsid w:val="008677C4"/>
    <w:rsid w:val="008679E8"/>
    <w:rsid w:val="00867A28"/>
    <w:rsid w:val="00867EE1"/>
    <w:rsid w:val="00870049"/>
    <w:rsid w:val="0087013D"/>
    <w:rsid w:val="0087014B"/>
    <w:rsid w:val="008701B6"/>
    <w:rsid w:val="0087034D"/>
    <w:rsid w:val="00870532"/>
    <w:rsid w:val="00870533"/>
    <w:rsid w:val="00870622"/>
    <w:rsid w:val="00870735"/>
    <w:rsid w:val="0087082E"/>
    <w:rsid w:val="00870B51"/>
    <w:rsid w:val="00870E06"/>
    <w:rsid w:val="00870E3B"/>
    <w:rsid w:val="00870E84"/>
    <w:rsid w:val="0087118B"/>
    <w:rsid w:val="0087122B"/>
    <w:rsid w:val="00871361"/>
    <w:rsid w:val="00871696"/>
    <w:rsid w:val="00871B4D"/>
    <w:rsid w:val="00871B7C"/>
    <w:rsid w:val="00871C19"/>
    <w:rsid w:val="00872029"/>
    <w:rsid w:val="0087204A"/>
    <w:rsid w:val="00872397"/>
    <w:rsid w:val="0087256D"/>
    <w:rsid w:val="00872B24"/>
    <w:rsid w:val="00872C81"/>
    <w:rsid w:val="00872DF7"/>
    <w:rsid w:val="00872ED3"/>
    <w:rsid w:val="00872FD2"/>
    <w:rsid w:val="00873139"/>
    <w:rsid w:val="00873264"/>
    <w:rsid w:val="00873321"/>
    <w:rsid w:val="0087332E"/>
    <w:rsid w:val="00873405"/>
    <w:rsid w:val="0087340C"/>
    <w:rsid w:val="00873485"/>
    <w:rsid w:val="008739E1"/>
    <w:rsid w:val="00873BE7"/>
    <w:rsid w:val="00873D35"/>
    <w:rsid w:val="00873E77"/>
    <w:rsid w:val="0087441B"/>
    <w:rsid w:val="00874484"/>
    <w:rsid w:val="0087457C"/>
    <w:rsid w:val="008746F4"/>
    <w:rsid w:val="0087493C"/>
    <w:rsid w:val="00874956"/>
    <w:rsid w:val="008751B1"/>
    <w:rsid w:val="00875428"/>
    <w:rsid w:val="00875526"/>
    <w:rsid w:val="008756F3"/>
    <w:rsid w:val="00875793"/>
    <w:rsid w:val="008758F8"/>
    <w:rsid w:val="0087622F"/>
    <w:rsid w:val="00876341"/>
    <w:rsid w:val="00876355"/>
    <w:rsid w:val="008763FA"/>
    <w:rsid w:val="0087649D"/>
    <w:rsid w:val="00876869"/>
    <w:rsid w:val="00876B0D"/>
    <w:rsid w:val="00876E41"/>
    <w:rsid w:val="00876E96"/>
    <w:rsid w:val="0087730D"/>
    <w:rsid w:val="00877B56"/>
    <w:rsid w:val="00877C18"/>
    <w:rsid w:val="00877DF4"/>
    <w:rsid w:val="00877E04"/>
    <w:rsid w:val="00877EEE"/>
    <w:rsid w:val="00880000"/>
    <w:rsid w:val="00880C95"/>
    <w:rsid w:val="00880D0E"/>
    <w:rsid w:val="0088102F"/>
    <w:rsid w:val="00881209"/>
    <w:rsid w:val="00881345"/>
    <w:rsid w:val="0088160E"/>
    <w:rsid w:val="008816AF"/>
    <w:rsid w:val="008820C6"/>
    <w:rsid w:val="0088211F"/>
    <w:rsid w:val="0088241B"/>
    <w:rsid w:val="00882C7D"/>
    <w:rsid w:val="00882D31"/>
    <w:rsid w:val="00882ECC"/>
    <w:rsid w:val="00882F33"/>
    <w:rsid w:val="008836A3"/>
    <w:rsid w:val="00883C97"/>
    <w:rsid w:val="00883EFD"/>
    <w:rsid w:val="008842D0"/>
    <w:rsid w:val="008844F0"/>
    <w:rsid w:val="00884A0E"/>
    <w:rsid w:val="00884CEA"/>
    <w:rsid w:val="00884D8D"/>
    <w:rsid w:val="00884F18"/>
    <w:rsid w:val="00885137"/>
    <w:rsid w:val="0088518F"/>
    <w:rsid w:val="00885196"/>
    <w:rsid w:val="008854C8"/>
    <w:rsid w:val="00885AF1"/>
    <w:rsid w:val="00885C13"/>
    <w:rsid w:val="00885C33"/>
    <w:rsid w:val="00885C79"/>
    <w:rsid w:val="00885EE0"/>
    <w:rsid w:val="00885EF5"/>
    <w:rsid w:val="00885F01"/>
    <w:rsid w:val="00886290"/>
    <w:rsid w:val="00886785"/>
    <w:rsid w:val="00886A36"/>
    <w:rsid w:val="00886DE0"/>
    <w:rsid w:val="0088734C"/>
    <w:rsid w:val="008873FA"/>
    <w:rsid w:val="00887B64"/>
    <w:rsid w:val="00887F8D"/>
    <w:rsid w:val="008904E0"/>
    <w:rsid w:val="0089051F"/>
    <w:rsid w:val="00890545"/>
    <w:rsid w:val="008906BB"/>
    <w:rsid w:val="008909A6"/>
    <w:rsid w:val="00890EA7"/>
    <w:rsid w:val="00890F6A"/>
    <w:rsid w:val="0089116A"/>
    <w:rsid w:val="00891A55"/>
    <w:rsid w:val="00891D03"/>
    <w:rsid w:val="00891D11"/>
    <w:rsid w:val="00891F3E"/>
    <w:rsid w:val="00891FB4"/>
    <w:rsid w:val="00892462"/>
    <w:rsid w:val="008928C1"/>
    <w:rsid w:val="008929F1"/>
    <w:rsid w:val="00892BBA"/>
    <w:rsid w:val="00892E65"/>
    <w:rsid w:val="00893008"/>
    <w:rsid w:val="00893430"/>
    <w:rsid w:val="0089366D"/>
    <w:rsid w:val="00893A4F"/>
    <w:rsid w:val="00893B37"/>
    <w:rsid w:val="00893CCE"/>
    <w:rsid w:val="0089449C"/>
    <w:rsid w:val="008948B6"/>
    <w:rsid w:val="00894AEF"/>
    <w:rsid w:val="00894E76"/>
    <w:rsid w:val="00894F9A"/>
    <w:rsid w:val="0089501E"/>
    <w:rsid w:val="00895254"/>
    <w:rsid w:val="0089564B"/>
    <w:rsid w:val="00895729"/>
    <w:rsid w:val="008957B6"/>
    <w:rsid w:val="0089584B"/>
    <w:rsid w:val="0089593C"/>
    <w:rsid w:val="00895D4F"/>
    <w:rsid w:val="00896005"/>
    <w:rsid w:val="0089600D"/>
    <w:rsid w:val="00896588"/>
    <w:rsid w:val="00896606"/>
    <w:rsid w:val="00896794"/>
    <w:rsid w:val="00896BD0"/>
    <w:rsid w:val="00896D99"/>
    <w:rsid w:val="00896E7A"/>
    <w:rsid w:val="00896F0B"/>
    <w:rsid w:val="008970F7"/>
    <w:rsid w:val="00897A25"/>
    <w:rsid w:val="00897A40"/>
    <w:rsid w:val="00897D8A"/>
    <w:rsid w:val="00897DAD"/>
    <w:rsid w:val="00897F6F"/>
    <w:rsid w:val="008A03EB"/>
    <w:rsid w:val="008A040A"/>
    <w:rsid w:val="008A094C"/>
    <w:rsid w:val="008A0F94"/>
    <w:rsid w:val="008A1276"/>
    <w:rsid w:val="008A12F1"/>
    <w:rsid w:val="008A1B13"/>
    <w:rsid w:val="008A1E5F"/>
    <w:rsid w:val="008A20E4"/>
    <w:rsid w:val="008A217E"/>
    <w:rsid w:val="008A22BB"/>
    <w:rsid w:val="008A232D"/>
    <w:rsid w:val="008A2392"/>
    <w:rsid w:val="008A25B9"/>
    <w:rsid w:val="008A2AB6"/>
    <w:rsid w:val="008A2EC8"/>
    <w:rsid w:val="008A34E9"/>
    <w:rsid w:val="008A3684"/>
    <w:rsid w:val="008A3729"/>
    <w:rsid w:val="008A38E1"/>
    <w:rsid w:val="008A3AE4"/>
    <w:rsid w:val="008A4707"/>
    <w:rsid w:val="008A48FB"/>
    <w:rsid w:val="008A4B55"/>
    <w:rsid w:val="008A4B8F"/>
    <w:rsid w:val="008A4EE6"/>
    <w:rsid w:val="008A57D8"/>
    <w:rsid w:val="008A5BDB"/>
    <w:rsid w:val="008A5C08"/>
    <w:rsid w:val="008A66D7"/>
    <w:rsid w:val="008A67E7"/>
    <w:rsid w:val="008A6C7F"/>
    <w:rsid w:val="008A6DED"/>
    <w:rsid w:val="008A7172"/>
    <w:rsid w:val="008A717B"/>
    <w:rsid w:val="008A71C6"/>
    <w:rsid w:val="008A7338"/>
    <w:rsid w:val="008A7374"/>
    <w:rsid w:val="008A764B"/>
    <w:rsid w:val="008A76FA"/>
    <w:rsid w:val="008A778C"/>
    <w:rsid w:val="008A7A24"/>
    <w:rsid w:val="008A7AA7"/>
    <w:rsid w:val="008A7CE0"/>
    <w:rsid w:val="008A7DE4"/>
    <w:rsid w:val="008A7FAF"/>
    <w:rsid w:val="008B0543"/>
    <w:rsid w:val="008B0569"/>
    <w:rsid w:val="008B0ACF"/>
    <w:rsid w:val="008B0BB0"/>
    <w:rsid w:val="008B0C44"/>
    <w:rsid w:val="008B0FA8"/>
    <w:rsid w:val="008B1442"/>
    <w:rsid w:val="008B1470"/>
    <w:rsid w:val="008B198F"/>
    <w:rsid w:val="008B1990"/>
    <w:rsid w:val="008B1B7E"/>
    <w:rsid w:val="008B1CF6"/>
    <w:rsid w:val="008B20E8"/>
    <w:rsid w:val="008B2167"/>
    <w:rsid w:val="008B22BB"/>
    <w:rsid w:val="008B2451"/>
    <w:rsid w:val="008B2623"/>
    <w:rsid w:val="008B26FD"/>
    <w:rsid w:val="008B281C"/>
    <w:rsid w:val="008B2E02"/>
    <w:rsid w:val="008B2E86"/>
    <w:rsid w:val="008B3786"/>
    <w:rsid w:val="008B38DA"/>
    <w:rsid w:val="008B399B"/>
    <w:rsid w:val="008B3A0A"/>
    <w:rsid w:val="008B3B6D"/>
    <w:rsid w:val="008B3C85"/>
    <w:rsid w:val="008B3D55"/>
    <w:rsid w:val="008B3EF9"/>
    <w:rsid w:val="008B45F6"/>
    <w:rsid w:val="008B4621"/>
    <w:rsid w:val="008B4DF9"/>
    <w:rsid w:val="008B4F0C"/>
    <w:rsid w:val="008B4F66"/>
    <w:rsid w:val="008B5312"/>
    <w:rsid w:val="008B5323"/>
    <w:rsid w:val="008B5357"/>
    <w:rsid w:val="008B5AED"/>
    <w:rsid w:val="008B5DCC"/>
    <w:rsid w:val="008B5EE5"/>
    <w:rsid w:val="008B5F63"/>
    <w:rsid w:val="008B6002"/>
    <w:rsid w:val="008B6086"/>
    <w:rsid w:val="008B6901"/>
    <w:rsid w:val="008B69D5"/>
    <w:rsid w:val="008B6F6F"/>
    <w:rsid w:val="008B70EF"/>
    <w:rsid w:val="008B721C"/>
    <w:rsid w:val="008B7442"/>
    <w:rsid w:val="008B759F"/>
    <w:rsid w:val="008B760D"/>
    <w:rsid w:val="008B7697"/>
    <w:rsid w:val="008B77A8"/>
    <w:rsid w:val="008B7859"/>
    <w:rsid w:val="008B7875"/>
    <w:rsid w:val="008B7AB0"/>
    <w:rsid w:val="008B7C3D"/>
    <w:rsid w:val="008B7EA4"/>
    <w:rsid w:val="008C003A"/>
    <w:rsid w:val="008C0077"/>
    <w:rsid w:val="008C03C3"/>
    <w:rsid w:val="008C044F"/>
    <w:rsid w:val="008C05B5"/>
    <w:rsid w:val="008C087E"/>
    <w:rsid w:val="008C0A26"/>
    <w:rsid w:val="008C0AE6"/>
    <w:rsid w:val="008C0D7F"/>
    <w:rsid w:val="008C0D9D"/>
    <w:rsid w:val="008C0DFA"/>
    <w:rsid w:val="008C0E84"/>
    <w:rsid w:val="008C0EAA"/>
    <w:rsid w:val="008C12A0"/>
    <w:rsid w:val="008C1346"/>
    <w:rsid w:val="008C1575"/>
    <w:rsid w:val="008C15C6"/>
    <w:rsid w:val="008C16B1"/>
    <w:rsid w:val="008C16DC"/>
    <w:rsid w:val="008C1A3E"/>
    <w:rsid w:val="008C1D31"/>
    <w:rsid w:val="008C2550"/>
    <w:rsid w:val="008C2A91"/>
    <w:rsid w:val="008C2FF2"/>
    <w:rsid w:val="008C310D"/>
    <w:rsid w:val="008C31BC"/>
    <w:rsid w:val="008C3255"/>
    <w:rsid w:val="008C32C8"/>
    <w:rsid w:val="008C348E"/>
    <w:rsid w:val="008C358F"/>
    <w:rsid w:val="008C3B87"/>
    <w:rsid w:val="008C3C34"/>
    <w:rsid w:val="008C406A"/>
    <w:rsid w:val="008C4530"/>
    <w:rsid w:val="008C4CFB"/>
    <w:rsid w:val="008C50BA"/>
    <w:rsid w:val="008C5A91"/>
    <w:rsid w:val="008C5B7A"/>
    <w:rsid w:val="008C5C7A"/>
    <w:rsid w:val="008C5DB4"/>
    <w:rsid w:val="008C5DEE"/>
    <w:rsid w:val="008C5F1D"/>
    <w:rsid w:val="008C5FD2"/>
    <w:rsid w:val="008C5FE9"/>
    <w:rsid w:val="008C61A7"/>
    <w:rsid w:val="008C61DE"/>
    <w:rsid w:val="008C6277"/>
    <w:rsid w:val="008C6A2F"/>
    <w:rsid w:val="008C6A30"/>
    <w:rsid w:val="008C6C36"/>
    <w:rsid w:val="008C6F69"/>
    <w:rsid w:val="008C72A4"/>
    <w:rsid w:val="008C7303"/>
    <w:rsid w:val="008C7322"/>
    <w:rsid w:val="008C7A28"/>
    <w:rsid w:val="008D0168"/>
    <w:rsid w:val="008D05DA"/>
    <w:rsid w:val="008D0856"/>
    <w:rsid w:val="008D0B80"/>
    <w:rsid w:val="008D0D12"/>
    <w:rsid w:val="008D0ED9"/>
    <w:rsid w:val="008D10B0"/>
    <w:rsid w:val="008D182D"/>
    <w:rsid w:val="008D1948"/>
    <w:rsid w:val="008D1C91"/>
    <w:rsid w:val="008D1E53"/>
    <w:rsid w:val="008D1FA4"/>
    <w:rsid w:val="008D2268"/>
    <w:rsid w:val="008D255A"/>
    <w:rsid w:val="008D27D9"/>
    <w:rsid w:val="008D27E2"/>
    <w:rsid w:val="008D290E"/>
    <w:rsid w:val="008D2B25"/>
    <w:rsid w:val="008D2CA9"/>
    <w:rsid w:val="008D307B"/>
    <w:rsid w:val="008D337E"/>
    <w:rsid w:val="008D33BE"/>
    <w:rsid w:val="008D39D7"/>
    <w:rsid w:val="008D3D54"/>
    <w:rsid w:val="008D4115"/>
    <w:rsid w:val="008D416E"/>
    <w:rsid w:val="008D4D9C"/>
    <w:rsid w:val="008D4E3C"/>
    <w:rsid w:val="008D50D2"/>
    <w:rsid w:val="008D538A"/>
    <w:rsid w:val="008D542D"/>
    <w:rsid w:val="008D54B0"/>
    <w:rsid w:val="008D5736"/>
    <w:rsid w:val="008D5C8A"/>
    <w:rsid w:val="008D5F11"/>
    <w:rsid w:val="008D5F66"/>
    <w:rsid w:val="008D6242"/>
    <w:rsid w:val="008D674E"/>
    <w:rsid w:val="008D7203"/>
    <w:rsid w:val="008D7685"/>
    <w:rsid w:val="008D7697"/>
    <w:rsid w:val="008D7EC0"/>
    <w:rsid w:val="008E0377"/>
    <w:rsid w:val="008E04EB"/>
    <w:rsid w:val="008E0F1A"/>
    <w:rsid w:val="008E1030"/>
    <w:rsid w:val="008E12DF"/>
    <w:rsid w:val="008E1583"/>
    <w:rsid w:val="008E1704"/>
    <w:rsid w:val="008E188D"/>
    <w:rsid w:val="008E1C2D"/>
    <w:rsid w:val="008E2384"/>
    <w:rsid w:val="008E2388"/>
    <w:rsid w:val="008E2465"/>
    <w:rsid w:val="008E26C8"/>
    <w:rsid w:val="008E293F"/>
    <w:rsid w:val="008E2C50"/>
    <w:rsid w:val="008E324C"/>
    <w:rsid w:val="008E35F4"/>
    <w:rsid w:val="008E38DA"/>
    <w:rsid w:val="008E395C"/>
    <w:rsid w:val="008E3A37"/>
    <w:rsid w:val="008E3B4A"/>
    <w:rsid w:val="008E400D"/>
    <w:rsid w:val="008E45AC"/>
    <w:rsid w:val="008E45B6"/>
    <w:rsid w:val="008E4914"/>
    <w:rsid w:val="008E4D2D"/>
    <w:rsid w:val="008E5165"/>
    <w:rsid w:val="008E518E"/>
    <w:rsid w:val="008E5530"/>
    <w:rsid w:val="008E56C2"/>
    <w:rsid w:val="008E56C5"/>
    <w:rsid w:val="008E5819"/>
    <w:rsid w:val="008E5A81"/>
    <w:rsid w:val="008E5CA1"/>
    <w:rsid w:val="008E5CDE"/>
    <w:rsid w:val="008E650B"/>
    <w:rsid w:val="008E6D39"/>
    <w:rsid w:val="008E6F2B"/>
    <w:rsid w:val="008E727B"/>
    <w:rsid w:val="008E7383"/>
    <w:rsid w:val="008E76AD"/>
    <w:rsid w:val="008E784F"/>
    <w:rsid w:val="008E7904"/>
    <w:rsid w:val="008E7A23"/>
    <w:rsid w:val="008E7B29"/>
    <w:rsid w:val="008E7B8E"/>
    <w:rsid w:val="008E7DEE"/>
    <w:rsid w:val="008E7ED3"/>
    <w:rsid w:val="008E7FBC"/>
    <w:rsid w:val="008F0254"/>
    <w:rsid w:val="008F03D4"/>
    <w:rsid w:val="008F0548"/>
    <w:rsid w:val="008F097C"/>
    <w:rsid w:val="008F09C6"/>
    <w:rsid w:val="008F0D49"/>
    <w:rsid w:val="008F0DB7"/>
    <w:rsid w:val="008F0F80"/>
    <w:rsid w:val="008F133D"/>
    <w:rsid w:val="008F16AE"/>
    <w:rsid w:val="008F1846"/>
    <w:rsid w:val="008F1D02"/>
    <w:rsid w:val="008F1E71"/>
    <w:rsid w:val="008F1EB1"/>
    <w:rsid w:val="008F1EBB"/>
    <w:rsid w:val="008F24FC"/>
    <w:rsid w:val="008F25AD"/>
    <w:rsid w:val="008F2B04"/>
    <w:rsid w:val="008F31BA"/>
    <w:rsid w:val="008F3325"/>
    <w:rsid w:val="008F3385"/>
    <w:rsid w:val="008F35DA"/>
    <w:rsid w:val="008F3B8D"/>
    <w:rsid w:val="008F3BE5"/>
    <w:rsid w:val="008F3C46"/>
    <w:rsid w:val="008F3CE4"/>
    <w:rsid w:val="008F3DB3"/>
    <w:rsid w:val="008F3E11"/>
    <w:rsid w:val="008F435E"/>
    <w:rsid w:val="008F4365"/>
    <w:rsid w:val="008F4C09"/>
    <w:rsid w:val="008F55D7"/>
    <w:rsid w:val="008F55E7"/>
    <w:rsid w:val="008F5C04"/>
    <w:rsid w:val="008F5C37"/>
    <w:rsid w:val="008F5EF3"/>
    <w:rsid w:val="008F603D"/>
    <w:rsid w:val="008F65E8"/>
    <w:rsid w:val="008F6683"/>
    <w:rsid w:val="008F6814"/>
    <w:rsid w:val="008F6BDF"/>
    <w:rsid w:val="008F6D16"/>
    <w:rsid w:val="008F6DB6"/>
    <w:rsid w:val="008F6FD5"/>
    <w:rsid w:val="008F704B"/>
    <w:rsid w:val="008F72CD"/>
    <w:rsid w:val="008F785C"/>
    <w:rsid w:val="008F78E5"/>
    <w:rsid w:val="008F7B1D"/>
    <w:rsid w:val="008F7BC9"/>
    <w:rsid w:val="008F7E0C"/>
    <w:rsid w:val="00900003"/>
    <w:rsid w:val="009000DE"/>
    <w:rsid w:val="00900188"/>
    <w:rsid w:val="0090022B"/>
    <w:rsid w:val="00900474"/>
    <w:rsid w:val="009004BE"/>
    <w:rsid w:val="009008D8"/>
    <w:rsid w:val="009009C0"/>
    <w:rsid w:val="00900E94"/>
    <w:rsid w:val="00900EAB"/>
    <w:rsid w:val="00900F01"/>
    <w:rsid w:val="00900F8D"/>
    <w:rsid w:val="009012BA"/>
    <w:rsid w:val="0090133E"/>
    <w:rsid w:val="009014F9"/>
    <w:rsid w:val="0090155F"/>
    <w:rsid w:val="00901898"/>
    <w:rsid w:val="00901B31"/>
    <w:rsid w:val="00901E55"/>
    <w:rsid w:val="00901E5B"/>
    <w:rsid w:val="009020DB"/>
    <w:rsid w:val="009026F5"/>
    <w:rsid w:val="00902B91"/>
    <w:rsid w:val="00902F3F"/>
    <w:rsid w:val="00902F5E"/>
    <w:rsid w:val="0090305F"/>
    <w:rsid w:val="0090317E"/>
    <w:rsid w:val="0090326E"/>
    <w:rsid w:val="009034B6"/>
    <w:rsid w:val="009034B8"/>
    <w:rsid w:val="00903760"/>
    <w:rsid w:val="009037AC"/>
    <w:rsid w:val="009039F0"/>
    <w:rsid w:val="00903A38"/>
    <w:rsid w:val="00903C17"/>
    <w:rsid w:val="00903C9F"/>
    <w:rsid w:val="00903CED"/>
    <w:rsid w:val="00903EA5"/>
    <w:rsid w:val="00903F68"/>
    <w:rsid w:val="00904097"/>
    <w:rsid w:val="0090409F"/>
    <w:rsid w:val="009043AE"/>
    <w:rsid w:val="009043D4"/>
    <w:rsid w:val="00904427"/>
    <w:rsid w:val="00904AA9"/>
    <w:rsid w:val="00904B05"/>
    <w:rsid w:val="00904BF1"/>
    <w:rsid w:val="009051A5"/>
    <w:rsid w:val="009053F7"/>
    <w:rsid w:val="00905413"/>
    <w:rsid w:val="00905422"/>
    <w:rsid w:val="00905C97"/>
    <w:rsid w:val="00906880"/>
    <w:rsid w:val="00906E77"/>
    <w:rsid w:val="009071E8"/>
    <w:rsid w:val="009076F6"/>
    <w:rsid w:val="009077A4"/>
    <w:rsid w:val="00907BD7"/>
    <w:rsid w:val="00907EFF"/>
    <w:rsid w:val="00907F13"/>
    <w:rsid w:val="00907F2E"/>
    <w:rsid w:val="00907FBF"/>
    <w:rsid w:val="009101C5"/>
    <w:rsid w:val="00910484"/>
    <w:rsid w:val="00910AB1"/>
    <w:rsid w:val="00910B38"/>
    <w:rsid w:val="00910BA3"/>
    <w:rsid w:val="00910D1F"/>
    <w:rsid w:val="00910E98"/>
    <w:rsid w:val="00910EB1"/>
    <w:rsid w:val="00911420"/>
    <w:rsid w:val="009118F5"/>
    <w:rsid w:val="00911B43"/>
    <w:rsid w:val="00911FCF"/>
    <w:rsid w:val="00912017"/>
    <w:rsid w:val="00912768"/>
    <w:rsid w:val="009136E8"/>
    <w:rsid w:val="00913B43"/>
    <w:rsid w:val="00913C40"/>
    <w:rsid w:val="00913C87"/>
    <w:rsid w:val="00914133"/>
    <w:rsid w:val="009141E9"/>
    <w:rsid w:val="00914270"/>
    <w:rsid w:val="00914387"/>
    <w:rsid w:val="0091454D"/>
    <w:rsid w:val="009145DF"/>
    <w:rsid w:val="0091508D"/>
    <w:rsid w:val="00915265"/>
    <w:rsid w:val="00915491"/>
    <w:rsid w:val="0091571A"/>
    <w:rsid w:val="009157AB"/>
    <w:rsid w:val="00915907"/>
    <w:rsid w:val="00915AC1"/>
    <w:rsid w:val="00915BE2"/>
    <w:rsid w:val="0091655D"/>
    <w:rsid w:val="00916CA3"/>
    <w:rsid w:val="00916D21"/>
    <w:rsid w:val="00917327"/>
    <w:rsid w:val="00917385"/>
    <w:rsid w:val="00917580"/>
    <w:rsid w:val="00917982"/>
    <w:rsid w:val="00917BFD"/>
    <w:rsid w:val="00917C9B"/>
    <w:rsid w:val="00917D1A"/>
    <w:rsid w:val="00917FEC"/>
    <w:rsid w:val="00920151"/>
    <w:rsid w:val="00920839"/>
    <w:rsid w:val="00920990"/>
    <w:rsid w:val="00920A0F"/>
    <w:rsid w:val="00920A9B"/>
    <w:rsid w:val="00920D4E"/>
    <w:rsid w:val="00920D59"/>
    <w:rsid w:val="00920DB3"/>
    <w:rsid w:val="00921128"/>
    <w:rsid w:val="00921242"/>
    <w:rsid w:val="0092141F"/>
    <w:rsid w:val="0092149E"/>
    <w:rsid w:val="0092193E"/>
    <w:rsid w:val="00921C1D"/>
    <w:rsid w:val="00921C66"/>
    <w:rsid w:val="00921D3B"/>
    <w:rsid w:val="00921F57"/>
    <w:rsid w:val="00922B73"/>
    <w:rsid w:val="00922E05"/>
    <w:rsid w:val="00922FFF"/>
    <w:rsid w:val="00923223"/>
    <w:rsid w:val="009232DC"/>
    <w:rsid w:val="009236A9"/>
    <w:rsid w:val="00923C56"/>
    <w:rsid w:val="00923E05"/>
    <w:rsid w:val="00923F7A"/>
    <w:rsid w:val="00924639"/>
    <w:rsid w:val="00924684"/>
    <w:rsid w:val="009246F8"/>
    <w:rsid w:val="009248BA"/>
    <w:rsid w:val="00925274"/>
    <w:rsid w:val="009252BC"/>
    <w:rsid w:val="00925353"/>
    <w:rsid w:val="0092554B"/>
    <w:rsid w:val="009257D7"/>
    <w:rsid w:val="00925A23"/>
    <w:rsid w:val="00925CD1"/>
    <w:rsid w:val="0092648D"/>
    <w:rsid w:val="009265BF"/>
    <w:rsid w:val="00926AE4"/>
    <w:rsid w:val="00926B35"/>
    <w:rsid w:val="00926CBD"/>
    <w:rsid w:val="00926F99"/>
    <w:rsid w:val="00927073"/>
    <w:rsid w:val="009270C5"/>
    <w:rsid w:val="009273C8"/>
    <w:rsid w:val="0092745C"/>
    <w:rsid w:val="00927BA7"/>
    <w:rsid w:val="00927EB3"/>
    <w:rsid w:val="009300A9"/>
    <w:rsid w:val="00930187"/>
    <w:rsid w:val="00930258"/>
    <w:rsid w:val="00930800"/>
    <w:rsid w:val="00930A39"/>
    <w:rsid w:val="0093118D"/>
    <w:rsid w:val="00931225"/>
    <w:rsid w:val="00931563"/>
    <w:rsid w:val="009318B0"/>
    <w:rsid w:val="0093196E"/>
    <w:rsid w:val="00931BE7"/>
    <w:rsid w:val="009320E5"/>
    <w:rsid w:val="009320EB"/>
    <w:rsid w:val="0093235D"/>
    <w:rsid w:val="0093238C"/>
    <w:rsid w:val="0093288C"/>
    <w:rsid w:val="00932B67"/>
    <w:rsid w:val="009330ED"/>
    <w:rsid w:val="009336B3"/>
    <w:rsid w:val="0093382D"/>
    <w:rsid w:val="009341A2"/>
    <w:rsid w:val="009341D2"/>
    <w:rsid w:val="0093449E"/>
    <w:rsid w:val="009347ED"/>
    <w:rsid w:val="009348DB"/>
    <w:rsid w:val="00934C6D"/>
    <w:rsid w:val="00934F55"/>
    <w:rsid w:val="00935025"/>
    <w:rsid w:val="00935059"/>
    <w:rsid w:val="009350F0"/>
    <w:rsid w:val="0093521A"/>
    <w:rsid w:val="00935343"/>
    <w:rsid w:val="009353AD"/>
    <w:rsid w:val="009353C6"/>
    <w:rsid w:val="00935711"/>
    <w:rsid w:val="0093587F"/>
    <w:rsid w:val="00935989"/>
    <w:rsid w:val="009359BD"/>
    <w:rsid w:val="00936106"/>
    <w:rsid w:val="0093622C"/>
    <w:rsid w:val="0093638F"/>
    <w:rsid w:val="00936441"/>
    <w:rsid w:val="009364DC"/>
    <w:rsid w:val="00936CA1"/>
    <w:rsid w:val="00936E17"/>
    <w:rsid w:val="009371D4"/>
    <w:rsid w:val="00937395"/>
    <w:rsid w:val="00937785"/>
    <w:rsid w:val="00937A1C"/>
    <w:rsid w:val="00937BD1"/>
    <w:rsid w:val="009403C7"/>
    <w:rsid w:val="009403F3"/>
    <w:rsid w:val="0094042F"/>
    <w:rsid w:val="0094089C"/>
    <w:rsid w:val="009413C5"/>
    <w:rsid w:val="00941755"/>
    <w:rsid w:val="009419A4"/>
    <w:rsid w:val="00941C9B"/>
    <w:rsid w:val="00941D06"/>
    <w:rsid w:val="0094208F"/>
    <w:rsid w:val="0094212A"/>
    <w:rsid w:val="0094235C"/>
    <w:rsid w:val="00942484"/>
    <w:rsid w:val="00942623"/>
    <w:rsid w:val="00942824"/>
    <w:rsid w:val="00942F6A"/>
    <w:rsid w:val="00943239"/>
    <w:rsid w:val="009434F1"/>
    <w:rsid w:val="009435FF"/>
    <w:rsid w:val="00943608"/>
    <w:rsid w:val="0094383D"/>
    <w:rsid w:val="00943B69"/>
    <w:rsid w:val="00943D7C"/>
    <w:rsid w:val="00944029"/>
    <w:rsid w:val="00944173"/>
    <w:rsid w:val="00944734"/>
    <w:rsid w:val="00944C8B"/>
    <w:rsid w:val="00944E92"/>
    <w:rsid w:val="00944EAD"/>
    <w:rsid w:val="00944EBB"/>
    <w:rsid w:val="00944EEF"/>
    <w:rsid w:val="00944FA9"/>
    <w:rsid w:val="00945465"/>
    <w:rsid w:val="0094561F"/>
    <w:rsid w:val="00945829"/>
    <w:rsid w:val="009458CD"/>
    <w:rsid w:val="00945960"/>
    <w:rsid w:val="00945C0E"/>
    <w:rsid w:val="00945DCE"/>
    <w:rsid w:val="00945F91"/>
    <w:rsid w:val="00945FBA"/>
    <w:rsid w:val="009461C7"/>
    <w:rsid w:val="00946227"/>
    <w:rsid w:val="00946421"/>
    <w:rsid w:val="009469A8"/>
    <w:rsid w:val="00946A27"/>
    <w:rsid w:val="00946FFD"/>
    <w:rsid w:val="00947081"/>
    <w:rsid w:val="0094791A"/>
    <w:rsid w:val="00947996"/>
    <w:rsid w:val="00947BAA"/>
    <w:rsid w:val="00947FD3"/>
    <w:rsid w:val="009500F4"/>
    <w:rsid w:val="0095011D"/>
    <w:rsid w:val="009501D1"/>
    <w:rsid w:val="00950317"/>
    <w:rsid w:val="009506F1"/>
    <w:rsid w:val="00950785"/>
    <w:rsid w:val="009508DD"/>
    <w:rsid w:val="009509F1"/>
    <w:rsid w:val="00950A9C"/>
    <w:rsid w:val="00950CA4"/>
    <w:rsid w:val="00950F0B"/>
    <w:rsid w:val="0095113D"/>
    <w:rsid w:val="00951496"/>
    <w:rsid w:val="00951762"/>
    <w:rsid w:val="00951B24"/>
    <w:rsid w:val="00951C65"/>
    <w:rsid w:val="00952445"/>
    <w:rsid w:val="00952646"/>
    <w:rsid w:val="00952A7A"/>
    <w:rsid w:val="00952C12"/>
    <w:rsid w:val="00952CC1"/>
    <w:rsid w:val="00953464"/>
    <w:rsid w:val="009534DE"/>
    <w:rsid w:val="009535EC"/>
    <w:rsid w:val="0095373B"/>
    <w:rsid w:val="00953751"/>
    <w:rsid w:val="00953923"/>
    <w:rsid w:val="00953C0C"/>
    <w:rsid w:val="00953D30"/>
    <w:rsid w:val="00953D99"/>
    <w:rsid w:val="0095438C"/>
    <w:rsid w:val="00954AB6"/>
    <w:rsid w:val="00954B28"/>
    <w:rsid w:val="00954D73"/>
    <w:rsid w:val="00954D74"/>
    <w:rsid w:val="00955119"/>
    <w:rsid w:val="00955143"/>
    <w:rsid w:val="009553A4"/>
    <w:rsid w:val="009559DA"/>
    <w:rsid w:val="00956288"/>
    <w:rsid w:val="009563E2"/>
    <w:rsid w:val="00956F58"/>
    <w:rsid w:val="009571FF"/>
    <w:rsid w:val="009574BF"/>
    <w:rsid w:val="009575A8"/>
    <w:rsid w:val="0095766B"/>
    <w:rsid w:val="009578BC"/>
    <w:rsid w:val="009579C8"/>
    <w:rsid w:val="00957BA0"/>
    <w:rsid w:val="00957F1D"/>
    <w:rsid w:val="0096063A"/>
    <w:rsid w:val="0096067C"/>
    <w:rsid w:val="00960713"/>
    <w:rsid w:val="00960AB6"/>
    <w:rsid w:val="00960D4E"/>
    <w:rsid w:val="00960F9D"/>
    <w:rsid w:val="009611F7"/>
    <w:rsid w:val="009612C5"/>
    <w:rsid w:val="0096147B"/>
    <w:rsid w:val="009615D1"/>
    <w:rsid w:val="009615FC"/>
    <w:rsid w:val="00961687"/>
    <w:rsid w:val="0096189F"/>
    <w:rsid w:val="009618F1"/>
    <w:rsid w:val="00961EF3"/>
    <w:rsid w:val="00962837"/>
    <w:rsid w:val="00962DFD"/>
    <w:rsid w:val="009630B0"/>
    <w:rsid w:val="00963217"/>
    <w:rsid w:val="009632C6"/>
    <w:rsid w:val="00963461"/>
    <w:rsid w:val="00963962"/>
    <w:rsid w:val="00963AE3"/>
    <w:rsid w:val="00963BE2"/>
    <w:rsid w:val="00963E1F"/>
    <w:rsid w:val="00963F78"/>
    <w:rsid w:val="00964020"/>
    <w:rsid w:val="0096424E"/>
    <w:rsid w:val="00964401"/>
    <w:rsid w:val="00964610"/>
    <w:rsid w:val="00964D19"/>
    <w:rsid w:val="00964F51"/>
    <w:rsid w:val="009650FC"/>
    <w:rsid w:val="00965573"/>
    <w:rsid w:val="00965924"/>
    <w:rsid w:val="00965A4D"/>
    <w:rsid w:val="00965E31"/>
    <w:rsid w:val="009662D5"/>
    <w:rsid w:val="009668A0"/>
    <w:rsid w:val="0096692E"/>
    <w:rsid w:val="009669C1"/>
    <w:rsid w:val="00966AFE"/>
    <w:rsid w:val="00966C1E"/>
    <w:rsid w:val="00966F02"/>
    <w:rsid w:val="009674F6"/>
    <w:rsid w:val="00967B38"/>
    <w:rsid w:val="00970254"/>
    <w:rsid w:val="009703BE"/>
    <w:rsid w:val="009704A0"/>
    <w:rsid w:val="00970611"/>
    <w:rsid w:val="009706C9"/>
    <w:rsid w:val="009707E0"/>
    <w:rsid w:val="009708F8"/>
    <w:rsid w:val="00970AD0"/>
    <w:rsid w:val="00970B8A"/>
    <w:rsid w:val="00970C86"/>
    <w:rsid w:val="0097118E"/>
    <w:rsid w:val="0097148D"/>
    <w:rsid w:val="009714A8"/>
    <w:rsid w:val="00971532"/>
    <w:rsid w:val="009717F0"/>
    <w:rsid w:val="009719ED"/>
    <w:rsid w:val="00971B2B"/>
    <w:rsid w:val="00971D06"/>
    <w:rsid w:val="00972225"/>
    <w:rsid w:val="00972338"/>
    <w:rsid w:val="009723F7"/>
    <w:rsid w:val="00972587"/>
    <w:rsid w:val="009725E3"/>
    <w:rsid w:val="00972A19"/>
    <w:rsid w:val="00972C10"/>
    <w:rsid w:val="00973012"/>
    <w:rsid w:val="0097304E"/>
    <w:rsid w:val="00973380"/>
    <w:rsid w:val="009733EC"/>
    <w:rsid w:val="0097370D"/>
    <w:rsid w:val="00973865"/>
    <w:rsid w:val="00973CF0"/>
    <w:rsid w:val="00973D11"/>
    <w:rsid w:val="0097406D"/>
    <w:rsid w:val="0097413B"/>
    <w:rsid w:val="009741B0"/>
    <w:rsid w:val="00974709"/>
    <w:rsid w:val="009747BB"/>
    <w:rsid w:val="0097484F"/>
    <w:rsid w:val="00974AF2"/>
    <w:rsid w:val="00974CC0"/>
    <w:rsid w:val="00974CDD"/>
    <w:rsid w:val="00974EB3"/>
    <w:rsid w:val="00975311"/>
    <w:rsid w:val="009756C4"/>
    <w:rsid w:val="009756C6"/>
    <w:rsid w:val="009756D9"/>
    <w:rsid w:val="009758FD"/>
    <w:rsid w:val="0097590D"/>
    <w:rsid w:val="00975FA2"/>
    <w:rsid w:val="009760F5"/>
    <w:rsid w:val="00976292"/>
    <w:rsid w:val="00976869"/>
    <w:rsid w:val="00976DEE"/>
    <w:rsid w:val="0097706B"/>
    <w:rsid w:val="00977521"/>
    <w:rsid w:val="00977813"/>
    <w:rsid w:val="00977BEA"/>
    <w:rsid w:val="00977DDD"/>
    <w:rsid w:val="00980193"/>
    <w:rsid w:val="00980382"/>
    <w:rsid w:val="00980803"/>
    <w:rsid w:val="00980830"/>
    <w:rsid w:val="00981018"/>
    <w:rsid w:val="009812CD"/>
    <w:rsid w:val="00981957"/>
    <w:rsid w:val="00981E7D"/>
    <w:rsid w:val="0098210F"/>
    <w:rsid w:val="00982354"/>
    <w:rsid w:val="0098247B"/>
    <w:rsid w:val="00982569"/>
    <w:rsid w:val="009825FD"/>
    <w:rsid w:val="00982820"/>
    <w:rsid w:val="00982D6A"/>
    <w:rsid w:val="00983005"/>
    <w:rsid w:val="009832C2"/>
    <w:rsid w:val="00983535"/>
    <w:rsid w:val="009836BF"/>
    <w:rsid w:val="00983929"/>
    <w:rsid w:val="00983A25"/>
    <w:rsid w:val="00983F7E"/>
    <w:rsid w:val="00984104"/>
    <w:rsid w:val="00984320"/>
    <w:rsid w:val="009851CE"/>
    <w:rsid w:val="009857AE"/>
    <w:rsid w:val="0098580A"/>
    <w:rsid w:val="009862B5"/>
    <w:rsid w:val="00986C74"/>
    <w:rsid w:val="00986D3F"/>
    <w:rsid w:val="00986EB7"/>
    <w:rsid w:val="00987070"/>
    <w:rsid w:val="0098719C"/>
    <w:rsid w:val="009876D4"/>
    <w:rsid w:val="00987ACF"/>
    <w:rsid w:val="00987D1C"/>
    <w:rsid w:val="00987F58"/>
    <w:rsid w:val="0099019A"/>
    <w:rsid w:val="0099031F"/>
    <w:rsid w:val="0099037A"/>
    <w:rsid w:val="0099049C"/>
    <w:rsid w:val="009905B7"/>
    <w:rsid w:val="00990731"/>
    <w:rsid w:val="00990864"/>
    <w:rsid w:val="00990A60"/>
    <w:rsid w:val="00990BB4"/>
    <w:rsid w:val="00990C6B"/>
    <w:rsid w:val="00991006"/>
    <w:rsid w:val="009911F9"/>
    <w:rsid w:val="00991538"/>
    <w:rsid w:val="00991759"/>
    <w:rsid w:val="009917B7"/>
    <w:rsid w:val="0099185B"/>
    <w:rsid w:val="00991BD6"/>
    <w:rsid w:val="00991C70"/>
    <w:rsid w:val="0099207C"/>
    <w:rsid w:val="00992342"/>
    <w:rsid w:val="00992451"/>
    <w:rsid w:val="00992FA2"/>
    <w:rsid w:val="0099372E"/>
    <w:rsid w:val="009939CA"/>
    <w:rsid w:val="00993BF2"/>
    <w:rsid w:val="00993EC5"/>
    <w:rsid w:val="0099401D"/>
    <w:rsid w:val="00994345"/>
    <w:rsid w:val="009945C8"/>
    <w:rsid w:val="0099463B"/>
    <w:rsid w:val="00994783"/>
    <w:rsid w:val="00994C96"/>
    <w:rsid w:val="00995104"/>
    <w:rsid w:val="009951F8"/>
    <w:rsid w:val="0099575F"/>
    <w:rsid w:val="00995990"/>
    <w:rsid w:val="00995CB6"/>
    <w:rsid w:val="00995DE2"/>
    <w:rsid w:val="00996022"/>
    <w:rsid w:val="009962F0"/>
    <w:rsid w:val="009964DD"/>
    <w:rsid w:val="00996B63"/>
    <w:rsid w:val="00996C9B"/>
    <w:rsid w:val="00996E5B"/>
    <w:rsid w:val="00997207"/>
    <w:rsid w:val="00997232"/>
    <w:rsid w:val="00997306"/>
    <w:rsid w:val="0099769B"/>
    <w:rsid w:val="00997CE2"/>
    <w:rsid w:val="00997D30"/>
    <w:rsid w:val="00997E8A"/>
    <w:rsid w:val="009A00A7"/>
    <w:rsid w:val="009A0464"/>
    <w:rsid w:val="009A072F"/>
    <w:rsid w:val="009A0C07"/>
    <w:rsid w:val="009A0EB7"/>
    <w:rsid w:val="009A19CF"/>
    <w:rsid w:val="009A1A3C"/>
    <w:rsid w:val="009A1A3F"/>
    <w:rsid w:val="009A1AE9"/>
    <w:rsid w:val="009A1C31"/>
    <w:rsid w:val="009A1CD9"/>
    <w:rsid w:val="009A2313"/>
    <w:rsid w:val="009A2423"/>
    <w:rsid w:val="009A2518"/>
    <w:rsid w:val="009A2C7C"/>
    <w:rsid w:val="009A30E1"/>
    <w:rsid w:val="009A324E"/>
    <w:rsid w:val="009A34D4"/>
    <w:rsid w:val="009A3550"/>
    <w:rsid w:val="009A38ED"/>
    <w:rsid w:val="009A3AFE"/>
    <w:rsid w:val="009A3B62"/>
    <w:rsid w:val="009A3F8B"/>
    <w:rsid w:val="009A426E"/>
    <w:rsid w:val="009A44A5"/>
    <w:rsid w:val="009A48CD"/>
    <w:rsid w:val="009A4963"/>
    <w:rsid w:val="009A49B5"/>
    <w:rsid w:val="009A4A42"/>
    <w:rsid w:val="009A4AD6"/>
    <w:rsid w:val="009A4D49"/>
    <w:rsid w:val="009A4DB8"/>
    <w:rsid w:val="009A4EE6"/>
    <w:rsid w:val="009A53A8"/>
    <w:rsid w:val="009A5509"/>
    <w:rsid w:val="009A566E"/>
    <w:rsid w:val="009A5671"/>
    <w:rsid w:val="009A567A"/>
    <w:rsid w:val="009A591C"/>
    <w:rsid w:val="009A59A1"/>
    <w:rsid w:val="009A5BAF"/>
    <w:rsid w:val="009A6136"/>
    <w:rsid w:val="009A6454"/>
    <w:rsid w:val="009A6529"/>
    <w:rsid w:val="009A70D0"/>
    <w:rsid w:val="009A7109"/>
    <w:rsid w:val="009A71C2"/>
    <w:rsid w:val="009A7314"/>
    <w:rsid w:val="009A7382"/>
    <w:rsid w:val="009A7895"/>
    <w:rsid w:val="009A79B2"/>
    <w:rsid w:val="009A7FF5"/>
    <w:rsid w:val="009B0345"/>
    <w:rsid w:val="009B058D"/>
    <w:rsid w:val="009B0634"/>
    <w:rsid w:val="009B0878"/>
    <w:rsid w:val="009B0926"/>
    <w:rsid w:val="009B09D8"/>
    <w:rsid w:val="009B0E03"/>
    <w:rsid w:val="009B12A2"/>
    <w:rsid w:val="009B130E"/>
    <w:rsid w:val="009B139F"/>
    <w:rsid w:val="009B156F"/>
    <w:rsid w:val="009B1662"/>
    <w:rsid w:val="009B1A66"/>
    <w:rsid w:val="009B1F8A"/>
    <w:rsid w:val="009B1FE8"/>
    <w:rsid w:val="009B2104"/>
    <w:rsid w:val="009B24CA"/>
    <w:rsid w:val="009B25F5"/>
    <w:rsid w:val="009B26DC"/>
    <w:rsid w:val="009B287E"/>
    <w:rsid w:val="009B2902"/>
    <w:rsid w:val="009B2A4A"/>
    <w:rsid w:val="009B2C14"/>
    <w:rsid w:val="009B2D95"/>
    <w:rsid w:val="009B2F31"/>
    <w:rsid w:val="009B3FE5"/>
    <w:rsid w:val="009B4048"/>
    <w:rsid w:val="009B40F5"/>
    <w:rsid w:val="009B4111"/>
    <w:rsid w:val="009B4266"/>
    <w:rsid w:val="009B4935"/>
    <w:rsid w:val="009B4CD5"/>
    <w:rsid w:val="009B523B"/>
    <w:rsid w:val="009B5244"/>
    <w:rsid w:val="009B578B"/>
    <w:rsid w:val="009B5A71"/>
    <w:rsid w:val="009B5B02"/>
    <w:rsid w:val="009B5EF0"/>
    <w:rsid w:val="009B5F25"/>
    <w:rsid w:val="009B60B8"/>
    <w:rsid w:val="009B616E"/>
    <w:rsid w:val="009B6177"/>
    <w:rsid w:val="009B6465"/>
    <w:rsid w:val="009B64A2"/>
    <w:rsid w:val="009B6551"/>
    <w:rsid w:val="009B66A5"/>
    <w:rsid w:val="009B6A11"/>
    <w:rsid w:val="009B6E9F"/>
    <w:rsid w:val="009B6F19"/>
    <w:rsid w:val="009B6F53"/>
    <w:rsid w:val="009B71A1"/>
    <w:rsid w:val="009B7249"/>
    <w:rsid w:val="009B7892"/>
    <w:rsid w:val="009B7F31"/>
    <w:rsid w:val="009C01A6"/>
    <w:rsid w:val="009C04C2"/>
    <w:rsid w:val="009C071E"/>
    <w:rsid w:val="009C0816"/>
    <w:rsid w:val="009C08CC"/>
    <w:rsid w:val="009C0AD3"/>
    <w:rsid w:val="009C1120"/>
    <w:rsid w:val="009C13BE"/>
    <w:rsid w:val="009C165F"/>
    <w:rsid w:val="009C1950"/>
    <w:rsid w:val="009C1DC6"/>
    <w:rsid w:val="009C1E39"/>
    <w:rsid w:val="009C2146"/>
    <w:rsid w:val="009C22A6"/>
    <w:rsid w:val="009C2503"/>
    <w:rsid w:val="009C2A4C"/>
    <w:rsid w:val="009C2AFF"/>
    <w:rsid w:val="009C2CE3"/>
    <w:rsid w:val="009C2CF1"/>
    <w:rsid w:val="009C2F87"/>
    <w:rsid w:val="009C30BF"/>
    <w:rsid w:val="009C3218"/>
    <w:rsid w:val="009C341F"/>
    <w:rsid w:val="009C39A7"/>
    <w:rsid w:val="009C3E2B"/>
    <w:rsid w:val="009C3FEE"/>
    <w:rsid w:val="009C403B"/>
    <w:rsid w:val="009C4414"/>
    <w:rsid w:val="009C44D9"/>
    <w:rsid w:val="009C4790"/>
    <w:rsid w:val="009C4942"/>
    <w:rsid w:val="009C499B"/>
    <w:rsid w:val="009C4C38"/>
    <w:rsid w:val="009C4EBF"/>
    <w:rsid w:val="009C4FBB"/>
    <w:rsid w:val="009C519C"/>
    <w:rsid w:val="009C5381"/>
    <w:rsid w:val="009C543E"/>
    <w:rsid w:val="009C547A"/>
    <w:rsid w:val="009C54CE"/>
    <w:rsid w:val="009C55CE"/>
    <w:rsid w:val="009C583E"/>
    <w:rsid w:val="009C5BBD"/>
    <w:rsid w:val="009C6407"/>
    <w:rsid w:val="009C64EE"/>
    <w:rsid w:val="009C6BE9"/>
    <w:rsid w:val="009C6C3C"/>
    <w:rsid w:val="009C6C8D"/>
    <w:rsid w:val="009C6D94"/>
    <w:rsid w:val="009C70FD"/>
    <w:rsid w:val="009C72CC"/>
    <w:rsid w:val="009C73DF"/>
    <w:rsid w:val="009C7DF8"/>
    <w:rsid w:val="009C7F2D"/>
    <w:rsid w:val="009C7F72"/>
    <w:rsid w:val="009C7FB7"/>
    <w:rsid w:val="009D00B2"/>
    <w:rsid w:val="009D0979"/>
    <w:rsid w:val="009D0BED"/>
    <w:rsid w:val="009D0C90"/>
    <w:rsid w:val="009D0D6D"/>
    <w:rsid w:val="009D0F32"/>
    <w:rsid w:val="009D10A8"/>
    <w:rsid w:val="009D1607"/>
    <w:rsid w:val="009D1A92"/>
    <w:rsid w:val="009D1E02"/>
    <w:rsid w:val="009D1E22"/>
    <w:rsid w:val="009D20DE"/>
    <w:rsid w:val="009D23BF"/>
    <w:rsid w:val="009D244B"/>
    <w:rsid w:val="009D24A8"/>
    <w:rsid w:val="009D2505"/>
    <w:rsid w:val="009D26F1"/>
    <w:rsid w:val="009D2823"/>
    <w:rsid w:val="009D294D"/>
    <w:rsid w:val="009D2AB6"/>
    <w:rsid w:val="009D2B8F"/>
    <w:rsid w:val="009D2C89"/>
    <w:rsid w:val="009D2EAF"/>
    <w:rsid w:val="009D31A2"/>
    <w:rsid w:val="009D3564"/>
    <w:rsid w:val="009D38E3"/>
    <w:rsid w:val="009D4101"/>
    <w:rsid w:val="009D45F5"/>
    <w:rsid w:val="009D4A79"/>
    <w:rsid w:val="009D4F05"/>
    <w:rsid w:val="009D50F8"/>
    <w:rsid w:val="009D5174"/>
    <w:rsid w:val="009D51A3"/>
    <w:rsid w:val="009D538E"/>
    <w:rsid w:val="009D5673"/>
    <w:rsid w:val="009D57E3"/>
    <w:rsid w:val="009D5D52"/>
    <w:rsid w:val="009D601C"/>
    <w:rsid w:val="009D604F"/>
    <w:rsid w:val="009D60B5"/>
    <w:rsid w:val="009D6156"/>
    <w:rsid w:val="009D640C"/>
    <w:rsid w:val="009D64E6"/>
    <w:rsid w:val="009D666D"/>
    <w:rsid w:val="009D7CCC"/>
    <w:rsid w:val="009D7F58"/>
    <w:rsid w:val="009E006D"/>
    <w:rsid w:val="009E06A5"/>
    <w:rsid w:val="009E0822"/>
    <w:rsid w:val="009E08A6"/>
    <w:rsid w:val="009E0A65"/>
    <w:rsid w:val="009E0CFD"/>
    <w:rsid w:val="009E0DE7"/>
    <w:rsid w:val="009E1534"/>
    <w:rsid w:val="009E1A2C"/>
    <w:rsid w:val="009E1DAC"/>
    <w:rsid w:val="009E1EFA"/>
    <w:rsid w:val="009E203A"/>
    <w:rsid w:val="009E2214"/>
    <w:rsid w:val="009E224B"/>
    <w:rsid w:val="009E24F0"/>
    <w:rsid w:val="009E2656"/>
    <w:rsid w:val="009E2D72"/>
    <w:rsid w:val="009E2F33"/>
    <w:rsid w:val="009E3156"/>
    <w:rsid w:val="009E326B"/>
    <w:rsid w:val="009E3B35"/>
    <w:rsid w:val="009E3EAA"/>
    <w:rsid w:val="009E4315"/>
    <w:rsid w:val="009E432D"/>
    <w:rsid w:val="009E4665"/>
    <w:rsid w:val="009E4804"/>
    <w:rsid w:val="009E4EB5"/>
    <w:rsid w:val="009E4EE9"/>
    <w:rsid w:val="009E4FAF"/>
    <w:rsid w:val="009E5122"/>
    <w:rsid w:val="009E57AD"/>
    <w:rsid w:val="009E5A1B"/>
    <w:rsid w:val="009E5AAA"/>
    <w:rsid w:val="009E5D6A"/>
    <w:rsid w:val="009E64DF"/>
    <w:rsid w:val="009E6502"/>
    <w:rsid w:val="009E6C22"/>
    <w:rsid w:val="009E72F3"/>
    <w:rsid w:val="009E740C"/>
    <w:rsid w:val="009E76D2"/>
    <w:rsid w:val="009E7903"/>
    <w:rsid w:val="009E7AC3"/>
    <w:rsid w:val="009E7B79"/>
    <w:rsid w:val="009E7ED0"/>
    <w:rsid w:val="009F0801"/>
    <w:rsid w:val="009F1EA8"/>
    <w:rsid w:val="009F20B3"/>
    <w:rsid w:val="009F22FC"/>
    <w:rsid w:val="009F2435"/>
    <w:rsid w:val="009F28E4"/>
    <w:rsid w:val="009F293C"/>
    <w:rsid w:val="009F2A90"/>
    <w:rsid w:val="009F312D"/>
    <w:rsid w:val="009F3280"/>
    <w:rsid w:val="009F35EA"/>
    <w:rsid w:val="009F370D"/>
    <w:rsid w:val="009F4148"/>
    <w:rsid w:val="009F41E6"/>
    <w:rsid w:val="009F42A6"/>
    <w:rsid w:val="009F4752"/>
    <w:rsid w:val="009F47BF"/>
    <w:rsid w:val="009F4AE7"/>
    <w:rsid w:val="009F4EA5"/>
    <w:rsid w:val="009F4FCC"/>
    <w:rsid w:val="009F5229"/>
    <w:rsid w:val="009F5DBC"/>
    <w:rsid w:val="009F5F2B"/>
    <w:rsid w:val="009F600A"/>
    <w:rsid w:val="009F65D4"/>
    <w:rsid w:val="009F6646"/>
    <w:rsid w:val="009F6845"/>
    <w:rsid w:val="009F6877"/>
    <w:rsid w:val="009F68AE"/>
    <w:rsid w:val="009F6B2D"/>
    <w:rsid w:val="009F6B63"/>
    <w:rsid w:val="009F726E"/>
    <w:rsid w:val="009F742B"/>
    <w:rsid w:val="009F7435"/>
    <w:rsid w:val="009F745D"/>
    <w:rsid w:val="009F748B"/>
    <w:rsid w:val="009F7788"/>
    <w:rsid w:val="009F7ADA"/>
    <w:rsid w:val="009F7EED"/>
    <w:rsid w:val="009F7F33"/>
    <w:rsid w:val="00A00142"/>
    <w:rsid w:val="00A001E6"/>
    <w:rsid w:val="00A0038C"/>
    <w:rsid w:val="00A00409"/>
    <w:rsid w:val="00A0044B"/>
    <w:rsid w:val="00A004F6"/>
    <w:rsid w:val="00A0055A"/>
    <w:rsid w:val="00A00562"/>
    <w:rsid w:val="00A00677"/>
    <w:rsid w:val="00A00820"/>
    <w:rsid w:val="00A00A8A"/>
    <w:rsid w:val="00A00D75"/>
    <w:rsid w:val="00A00E6E"/>
    <w:rsid w:val="00A01063"/>
    <w:rsid w:val="00A01251"/>
    <w:rsid w:val="00A01387"/>
    <w:rsid w:val="00A01416"/>
    <w:rsid w:val="00A01446"/>
    <w:rsid w:val="00A014DC"/>
    <w:rsid w:val="00A01DA8"/>
    <w:rsid w:val="00A02500"/>
    <w:rsid w:val="00A026DC"/>
    <w:rsid w:val="00A02A6E"/>
    <w:rsid w:val="00A02BD1"/>
    <w:rsid w:val="00A02CCD"/>
    <w:rsid w:val="00A03179"/>
    <w:rsid w:val="00A034AB"/>
    <w:rsid w:val="00A03854"/>
    <w:rsid w:val="00A03F6B"/>
    <w:rsid w:val="00A04083"/>
    <w:rsid w:val="00A04636"/>
    <w:rsid w:val="00A04BF7"/>
    <w:rsid w:val="00A04ECE"/>
    <w:rsid w:val="00A05548"/>
    <w:rsid w:val="00A058D9"/>
    <w:rsid w:val="00A05C48"/>
    <w:rsid w:val="00A05E84"/>
    <w:rsid w:val="00A062A3"/>
    <w:rsid w:val="00A062F6"/>
    <w:rsid w:val="00A063EE"/>
    <w:rsid w:val="00A0665E"/>
    <w:rsid w:val="00A06710"/>
    <w:rsid w:val="00A069AC"/>
    <w:rsid w:val="00A06B9F"/>
    <w:rsid w:val="00A06C9E"/>
    <w:rsid w:val="00A06F65"/>
    <w:rsid w:val="00A07263"/>
    <w:rsid w:val="00A075B4"/>
    <w:rsid w:val="00A075CC"/>
    <w:rsid w:val="00A07823"/>
    <w:rsid w:val="00A07BAD"/>
    <w:rsid w:val="00A07BE2"/>
    <w:rsid w:val="00A07E2B"/>
    <w:rsid w:val="00A07E74"/>
    <w:rsid w:val="00A07ED9"/>
    <w:rsid w:val="00A07EF1"/>
    <w:rsid w:val="00A10345"/>
    <w:rsid w:val="00A1067B"/>
    <w:rsid w:val="00A106FE"/>
    <w:rsid w:val="00A10820"/>
    <w:rsid w:val="00A111CF"/>
    <w:rsid w:val="00A114EA"/>
    <w:rsid w:val="00A1153A"/>
    <w:rsid w:val="00A117E8"/>
    <w:rsid w:val="00A119C8"/>
    <w:rsid w:val="00A11B83"/>
    <w:rsid w:val="00A12235"/>
    <w:rsid w:val="00A1231C"/>
    <w:rsid w:val="00A12A2F"/>
    <w:rsid w:val="00A12D8C"/>
    <w:rsid w:val="00A12DED"/>
    <w:rsid w:val="00A13017"/>
    <w:rsid w:val="00A13072"/>
    <w:rsid w:val="00A13305"/>
    <w:rsid w:val="00A134B4"/>
    <w:rsid w:val="00A13678"/>
    <w:rsid w:val="00A136DF"/>
    <w:rsid w:val="00A13A9C"/>
    <w:rsid w:val="00A13AC6"/>
    <w:rsid w:val="00A13C90"/>
    <w:rsid w:val="00A13CDA"/>
    <w:rsid w:val="00A13F5D"/>
    <w:rsid w:val="00A140F9"/>
    <w:rsid w:val="00A1412A"/>
    <w:rsid w:val="00A145D3"/>
    <w:rsid w:val="00A1486A"/>
    <w:rsid w:val="00A15090"/>
    <w:rsid w:val="00A150A4"/>
    <w:rsid w:val="00A153B6"/>
    <w:rsid w:val="00A1549B"/>
    <w:rsid w:val="00A15511"/>
    <w:rsid w:val="00A15749"/>
    <w:rsid w:val="00A15B19"/>
    <w:rsid w:val="00A16092"/>
    <w:rsid w:val="00A161A4"/>
    <w:rsid w:val="00A163A8"/>
    <w:rsid w:val="00A16B0F"/>
    <w:rsid w:val="00A16D99"/>
    <w:rsid w:val="00A16E01"/>
    <w:rsid w:val="00A16E60"/>
    <w:rsid w:val="00A16F8F"/>
    <w:rsid w:val="00A177A0"/>
    <w:rsid w:val="00A178B3"/>
    <w:rsid w:val="00A17956"/>
    <w:rsid w:val="00A17957"/>
    <w:rsid w:val="00A17AAF"/>
    <w:rsid w:val="00A17E73"/>
    <w:rsid w:val="00A20730"/>
    <w:rsid w:val="00A207F6"/>
    <w:rsid w:val="00A20A5D"/>
    <w:rsid w:val="00A20BB7"/>
    <w:rsid w:val="00A20E02"/>
    <w:rsid w:val="00A2129C"/>
    <w:rsid w:val="00A21493"/>
    <w:rsid w:val="00A217B7"/>
    <w:rsid w:val="00A21B27"/>
    <w:rsid w:val="00A21B8A"/>
    <w:rsid w:val="00A21C1C"/>
    <w:rsid w:val="00A21E76"/>
    <w:rsid w:val="00A228BB"/>
    <w:rsid w:val="00A22A0D"/>
    <w:rsid w:val="00A22C63"/>
    <w:rsid w:val="00A22D30"/>
    <w:rsid w:val="00A231A3"/>
    <w:rsid w:val="00A2328D"/>
    <w:rsid w:val="00A23445"/>
    <w:rsid w:val="00A23AA8"/>
    <w:rsid w:val="00A23CB1"/>
    <w:rsid w:val="00A24279"/>
    <w:rsid w:val="00A242DE"/>
    <w:rsid w:val="00A24880"/>
    <w:rsid w:val="00A248DD"/>
    <w:rsid w:val="00A24DFD"/>
    <w:rsid w:val="00A24E09"/>
    <w:rsid w:val="00A2547D"/>
    <w:rsid w:val="00A254CA"/>
    <w:rsid w:val="00A25942"/>
    <w:rsid w:val="00A2599E"/>
    <w:rsid w:val="00A26457"/>
    <w:rsid w:val="00A2675E"/>
    <w:rsid w:val="00A26FDC"/>
    <w:rsid w:val="00A2795D"/>
    <w:rsid w:val="00A27DE1"/>
    <w:rsid w:val="00A3007B"/>
    <w:rsid w:val="00A300A1"/>
    <w:rsid w:val="00A30152"/>
    <w:rsid w:val="00A3017E"/>
    <w:rsid w:val="00A3052C"/>
    <w:rsid w:val="00A30AC1"/>
    <w:rsid w:val="00A30EBC"/>
    <w:rsid w:val="00A310DF"/>
    <w:rsid w:val="00A31154"/>
    <w:rsid w:val="00A3139D"/>
    <w:rsid w:val="00A3158E"/>
    <w:rsid w:val="00A316A5"/>
    <w:rsid w:val="00A31900"/>
    <w:rsid w:val="00A31CA2"/>
    <w:rsid w:val="00A31EF9"/>
    <w:rsid w:val="00A32001"/>
    <w:rsid w:val="00A3214B"/>
    <w:rsid w:val="00A321A4"/>
    <w:rsid w:val="00A32258"/>
    <w:rsid w:val="00A32309"/>
    <w:rsid w:val="00A3280A"/>
    <w:rsid w:val="00A32BC4"/>
    <w:rsid w:val="00A32DE4"/>
    <w:rsid w:val="00A32EF8"/>
    <w:rsid w:val="00A331CA"/>
    <w:rsid w:val="00A33333"/>
    <w:rsid w:val="00A33624"/>
    <w:rsid w:val="00A33A60"/>
    <w:rsid w:val="00A33EAF"/>
    <w:rsid w:val="00A33FEC"/>
    <w:rsid w:val="00A3434D"/>
    <w:rsid w:val="00A34783"/>
    <w:rsid w:val="00A34C1C"/>
    <w:rsid w:val="00A35094"/>
    <w:rsid w:val="00A355C4"/>
    <w:rsid w:val="00A35986"/>
    <w:rsid w:val="00A35BC9"/>
    <w:rsid w:val="00A35C41"/>
    <w:rsid w:val="00A35D1F"/>
    <w:rsid w:val="00A35E4D"/>
    <w:rsid w:val="00A35EC6"/>
    <w:rsid w:val="00A36487"/>
    <w:rsid w:val="00A3669E"/>
    <w:rsid w:val="00A36C98"/>
    <w:rsid w:val="00A36D00"/>
    <w:rsid w:val="00A373E1"/>
    <w:rsid w:val="00A37554"/>
    <w:rsid w:val="00A379FA"/>
    <w:rsid w:val="00A37E40"/>
    <w:rsid w:val="00A4002D"/>
    <w:rsid w:val="00A40065"/>
    <w:rsid w:val="00A400ED"/>
    <w:rsid w:val="00A403AB"/>
    <w:rsid w:val="00A40434"/>
    <w:rsid w:val="00A405C6"/>
    <w:rsid w:val="00A40B18"/>
    <w:rsid w:val="00A40F36"/>
    <w:rsid w:val="00A411B6"/>
    <w:rsid w:val="00A4126F"/>
    <w:rsid w:val="00A41921"/>
    <w:rsid w:val="00A41A85"/>
    <w:rsid w:val="00A41AF5"/>
    <w:rsid w:val="00A41BB0"/>
    <w:rsid w:val="00A42414"/>
    <w:rsid w:val="00A42550"/>
    <w:rsid w:val="00A4274B"/>
    <w:rsid w:val="00A42A63"/>
    <w:rsid w:val="00A42AC1"/>
    <w:rsid w:val="00A42B28"/>
    <w:rsid w:val="00A430E8"/>
    <w:rsid w:val="00A4319C"/>
    <w:rsid w:val="00A43519"/>
    <w:rsid w:val="00A4357C"/>
    <w:rsid w:val="00A43789"/>
    <w:rsid w:val="00A43B3E"/>
    <w:rsid w:val="00A446AC"/>
    <w:rsid w:val="00A44CE1"/>
    <w:rsid w:val="00A44E15"/>
    <w:rsid w:val="00A4508C"/>
    <w:rsid w:val="00A452C5"/>
    <w:rsid w:val="00A45461"/>
    <w:rsid w:val="00A45D0B"/>
    <w:rsid w:val="00A461A7"/>
    <w:rsid w:val="00A46CCC"/>
    <w:rsid w:val="00A46D6E"/>
    <w:rsid w:val="00A46DB1"/>
    <w:rsid w:val="00A46E41"/>
    <w:rsid w:val="00A471E7"/>
    <w:rsid w:val="00A473AF"/>
    <w:rsid w:val="00A475AC"/>
    <w:rsid w:val="00A475CF"/>
    <w:rsid w:val="00A476B6"/>
    <w:rsid w:val="00A47C84"/>
    <w:rsid w:val="00A47E57"/>
    <w:rsid w:val="00A47F43"/>
    <w:rsid w:val="00A501AC"/>
    <w:rsid w:val="00A502C7"/>
    <w:rsid w:val="00A5061B"/>
    <w:rsid w:val="00A5084F"/>
    <w:rsid w:val="00A5090D"/>
    <w:rsid w:val="00A50928"/>
    <w:rsid w:val="00A50A1F"/>
    <w:rsid w:val="00A50B72"/>
    <w:rsid w:val="00A50CB4"/>
    <w:rsid w:val="00A50DF5"/>
    <w:rsid w:val="00A50EDC"/>
    <w:rsid w:val="00A5112B"/>
    <w:rsid w:val="00A51635"/>
    <w:rsid w:val="00A51818"/>
    <w:rsid w:val="00A51B88"/>
    <w:rsid w:val="00A51C6D"/>
    <w:rsid w:val="00A52473"/>
    <w:rsid w:val="00A5249B"/>
    <w:rsid w:val="00A527A2"/>
    <w:rsid w:val="00A52A72"/>
    <w:rsid w:val="00A52AFB"/>
    <w:rsid w:val="00A52C28"/>
    <w:rsid w:val="00A52D50"/>
    <w:rsid w:val="00A533E1"/>
    <w:rsid w:val="00A5344D"/>
    <w:rsid w:val="00A536D6"/>
    <w:rsid w:val="00A53A36"/>
    <w:rsid w:val="00A53B13"/>
    <w:rsid w:val="00A53B9C"/>
    <w:rsid w:val="00A54B43"/>
    <w:rsid w:val="00A54F06"/>
    <w:rsid w:val="00A54F4C"/>
    <w:rsid w:val="00A55343"/>
    <w:rsid w:val="00A55350"/>
    <w:rsid w:val="00A55471"/>
    <w:rsid w:val="00A555F7"/>
    <w:rsid w:val="00A559CD"/>
    <w:rsid w:val="00A55DD3"/>
    <w:rsid w:val="00A55E68"/>
    <w:rsid w:val="00A55EAE"/>
    <w:rsid w:val="00A55F03"/>
    <w:rsid w:val="00A560EA"/>
    <w:rsid w:val="00A56431"/>
    <w:rsid w:val="00A56921"/>
    <w:rsid w:val="00A56BDD"/>
    <w:rsid w:val="00A56D5C"/>
    <w:rsid w:val="00A56DC4"/>
    <w:rsid w:val="00A57241"/>
    <w:rsid w:val="00A573F3"/>
    <w:rsid w:val="00A57514"/>
    <w:rsid w:val="00A579D9"/>
    <w:rsid w:val="00A57A1C"/>
    <w:rsid w:val="00A57B70"/>
    <w:rsid w:val="00A57CE2"/>
    <w:rsid w:val="00A60278"/>
    <w:rsid w:val="00A603E8"/>
    <w:rsid w:val="00A60449"/>
    <w:rsid w:val="00A60537"/>
    <w:rsid w:val="00A60696"/>
    <w:rsid w:val="00A60832"/>
    <w:rsid w:val="00A609BC"/>
    <w:rsid w:val="00A60FF7"/>
    <w:rsid w:val="00A611C4"/>
    <w:rsid w:val="00A6136F"/>
    <w:rsid w:val="00A617FD"/>
    <w:rsid w:val="00A61831"/>
    <w:rsid w:val="00A61937"/>
    <w:rsid w:val="00A61DEA"/>
    <w:rsid w:val="00A62109"/>
    <w:rsid w:val="00A62508"/>
    <w:rsid w:val="00A6260E"/>
    <w:rsid w:val="00A62BA0"/>
    <w:rsid w:val="00A62F63"/>
    <w:rsid w:val="00A63095"/>
    <w:rsid w:val="00A6319A"/>
    <w:rsid w:val="00A63501"/>
    <w:rsid w:val="00A63526"/>
    <w:rsid w:val="00A635B2"/>
    <w:rsid w:val="00A638CF"/>
    <w:rsid w:val="00A63A9E"/>
    <w:rsid w:val="00A63C44"/>
    <w:rsid w:val="00A63C69"/>
    <w:rsid w:val="00A63F0C"/>
    <w:rsid w:val="00A642C1"/>
    <w:rsid w:val="00A643E8"/>
    <w:rsid w:val="00A643F4"/>
    <w:rsid w:val="00A6459E"/>
    <w:rsid w:val="00A645C8"/>
    <w:rsid w:val="00A64B46"/>
    <w:rsid w:val="00A64F2F"/>
    <w:rsid w:val="00A65554"/>
    <w:rsid w:val="00A6563E"/>
    <w:rsid w:val="00A657BA"/>
    <w:rsid w:val="00A65918"/>
    <w:rsid w:val="00A659E1"/>
    <w:rsid w:val="00A65F6E"/>
    <w:rsid w:val="00A6616C"/>
    <w:rsid w:val="00A66778"/>
    <w:rsid w:val="00A667E7"/>
    <w:rsid w:val="00A66DE0"/>
    <w:rsid w:val="00A66F66"/>
    <w:rsid w:val="00A66FC8"/>
    <w:rsid w:val="00A67090"/>
    <w:rsid w:val="00A670C5"/>
    <w:rsid w:val="00A6723A"/>
    <w:rsid w:val="00A6770F"/>
    <w:rsid w:val="00A67C6A"/>
    <w:rsid w:val="00A7035E"/>
    <w:rsid w:val="00A70609"/>
    <w:rsid w:val="00A70906"/>
    <w:rsid w:val="00A70BDE"/>
    <w:rsid w:val="00A70C7A"/>
    <w:rsid w:val="00A70CE5"/>
    <w:rsid w:val="00A70FC3"/>
    <w:rsid w:val="00A710AC"/>
    <w:rsid w:val="00A7116D"/>
    <w:rsid w:val="00A71252"/>
    <w:rsid w:val="00A71404"/>
    <w:rsid w:val="00A719C3"/>
    <w:rsid w:val="00A71A6B"/>
    <w:rsid w:val="00A71C3C"/>
    <w:rsid w:val="00A71DFE"/>
    <w:rsid w:val="00A72026"/>
    <w:rsid w:val="00A72493"/>
    <w:rsid w:val="00A725F9"/>
    <w:rsid w:val="00A7270E"/>
    <w:rsid w:val="00A7281A"/>
    <w:rsid w:val="00A72A90"/>
    <w:rsid w:val="00A72B0B"/>
    <w:rsid w:val="00A72C41"/>
    <w:rsid w:val="00A72D59"/>
    <w:rsid w:val="00A73006"/>
    <w:rsid w:val="00A7306F"/>
    <w:rsid w:val="00A730A5"/>
    <w:rsid w:val="00A7318D"/>
    <w:rsid w:val="00A7348C"/>
    <w:rsid w:val="00A739A3"/>
    <w:rsid w:val="00A739FC"/>
    <w:rsid w:val="00A73D9E"/>
    <w:rsid w:val="00A74179"/>
    <w:rsid w:val="00A74B0B"/>
    <w:rsid w:val="00A74B53"/>
    <w:rsid w:val="00A74C50"/>
    <w:rsid w:val="00A75165"/>
    <w:rsid w:val="00A751B4"/>
    <w:rsid w:val="00A75458"/>
    <w:rsid w:val="00A75D46"/>
    <w:rsid w:val="00A75F39"/>
    <w:rsid w:val="00A76179"/>
    <w:rsid w:val="00A76445"/>
    <w:rsid w:val="00A76582"/>
    <w:rsid w:val="00A76AC8"/>
    <w:rsid w:val="00A76BD2"/>
    <w:rsid w:val="00A7701D"/>
    <w:rsid w:val="00A771DD"/>
    <w:rsid w:val="00A77279"/>
    <w:rsid w:val="00A7727E"/>
    <w:rsid w:val="00A7730E"/>
    <w:rsid w:val="00A7733E"/>
    <w:rsid w:val="00A77414"/>
    <w:rsid w:val="00A774A9"/>
    <w:rsid w:val="00A774B8"/>
    <w:rsid w:val="00A774EF"/>
    <w:rsid w:val="00A77540"/>
    <w:rsid w:val="00A77665"/>
    <w:rsid w:val="00A776D0"/>
    <w:rsid w:val="00A776F3"/>
    <w:rsid w:val="00A77BF6"/>
    <w:rsid w:val="00A77CA7"/>
    <w:rsid w:val="00A80133"/>
    <w:rsid w:val="00A80339"/>
    <w:rsid w:val="00A80359"/>
    <w:rsid w:val="00A80521"/>
    <w:rsid w:val="00A80737"/>
    <w:rsid w:val="00A80782"/>
    <w:rsid w:val="00A80892"/>
    <w:rsid w:val="00A80971"/>
    <w:rsid w:val="00A80B6D"/>
    <w:rsid w:val="00A80E26"/>
    <w:rsid w:val="00A80EE4"/>
    <w:rsid w:val="00A80F5B"/>
    <w:rsid w:val="00A81115"/>
    <w:rsid w:val="00A811A5"/>
    <w:rsid w:val="00A814E9"/>
    <w:rsid w:val="00A81604"/>
    <w:rsid w:val="00A81735"/>
    <w:rsid w:val="00A81797"/>
    <w:rsid w:val="00A81B7D"/>
    <w:rsid w:val="00A81DFA"/>
    <w:rsid w:val="00A81E86"/>
    <w:rsid w:val="00A82141"/>
    <w:rsid w:val="00A823B5"/>
    <w:rsid w:val="00A825B2"/>
    <w:rsid w:val="00A82CE7"/>
    <w:rsid w:val="00A82D46"/>
    <w:rsid w:val="00A82ED2"/>
    <w:rsid w:val="00A83642"/>
    <w:rsid w:val="00A83BA3"/>
    <w:rsid w:val="00A844C4"/>
    <w:rsid w:val="00A84BF7"/>
    <w:rsid w:val="00A84F1B"/>
    <w:rsid w:val="00A85173"/>
    <w:rsid w:val="00A85445"/>
    <w:rsid w:val="00A85A44"/>
    <w:rsid w:val="00A85C8B"/>
    <w:rsid w:val="00A85C9F"/>
    <w:rsid w:val="00A85CD9"/>
    <w:rsid w:val="00A85D4D"/>
    <w:rsid w:val="00A85F1D"/>
    <w:rsid w:val="00A86211"/>
    <w:rsid w:val="00A862DC"/>
    <w:rsid w:val="00A8652A"/>
    <w:rsid w:val="00A865D5"/>
    <w:rsid w:val="00A86728"/>
    <w:rsid w:val="00A86AA5"/>
    <w:rsid w:val="00A86ADD"/>
    <w:rsid w:val="00A86E39"/>
    <w:rsid w:val="00A8704E"/>
    <w:rsid w:val="00A870E7"/>
    <w:rsid w:val="00A872FF"/>
    <w:rsid w:val="00A8746D"/>
    <w:rsid w:val="00A874E1"/>
    <w:rsid w:val="00A876A0"/>
    <w:rsid w:val="00A876D2"/>
    <w:rsid w:val="00A87F8D"/>
    <w:rsid w:val="00A90099"/>
    <w:rsid w:val="00A900CC"/>
    <w:rsid w:val="00A901FE"/>
    <w:rsid w:val="00A90423"/>
    <w:rsid w:val="00A90446"/>
    <w:rsid w:val="00A90560"/>
    <w:rsid w:val="00A90666"/>
    <w:rsid w:val="00A906E2"/>
    <w:rsid w:val="00A90900"/>
    <w:rsid w:val="00A9095F"/>
    <w:rsid w:val="00A90C93"/>
    <w:rsid w:val="00A90E14"/>
    <w:rsid w:val="00A91499"/>
    <w:rsid w:val="00A914A4"/>
    <w:rsid w:val="00A9153C"/>
    <w:rsid w:val="00A915BF"/>
    <w:rsid w:val="00A91862"/>
    <w:rsid w:val="00A91C6D"/>
    <w:rsid w:val="00A91C8D"/>
    <w:rsid w:val="00A91F88"/>
    <w:rsid w:val="00A92112"/>
    <w:rsid w:val="00A922CA"/>
    <w:rsid w:val="00A92B1D"/>
    <w:rsid w:val="00A92DB0"/>
    <w:rsid w:val="00A92F83"/>
    <w:rsid w:val="00A930E4"/>
    <w:rsid w:val="00A93323"/>
    <w:rsid w:val="00A9371E"/>
    <w:rsid w:val="00A941DA"/>
    <w:rsid w:val="00A9425F"/>
    <w:rsid w:val="00A9432F"/>
    <w:rsid w:val="00A94494"/>
    <w:rsid w:val="00A947F2"/>
    <w:rsid w:val="00A94850"/>
    <w:rsid w:val="00A949E9"/>
    <w:rsid w:val="00A95059"/>
    <w:rsid w:val="00A954E5"/>
    <w:rsid w:val="00A95553"/>
    <w:rsid w:val="00A95682"/>
    <w:rsid w:val="00A956CD"/>
    <w:rsid w:val="00A957E5"/>
    <w:rsid w:val="00A95BB4"/>
    <w:rsid w:val="00A95C33"/>
    <w:rsid w:val="00A96BD2"/>
    <w:rsid w:val="00A96C82"/>
    <w:rsid w:val="00A96D98"/>
    <w:rsid w:val="00A96E5C"/>
    <w:rsid w:val="00A97EDE"/>
    <w:rsid w:val="00AA0589"/>
    <w:rsid w:val="00AA06E5"/>
    <w:rsid w:val="00AA07DC"/>
    <w:rsid w:val="00AA091E"/>
    <w:rsid w:val="00AA0A8E"/>
    <w:rsid w:val="00AA0A8F"/>
    <w:rsid w:val="00AA0B33"/>
    <w:rsid w:val="00AA0B99"/>
    <w:rsid w:val="00AA0EE4"/>
    <w:rsid w:val="00AA12E6"/>
    <w:rsid w:val="00AA1529"/>
    <w:rsid w:val="00AA17A0"/>
    <w:rsid w:val="00AA184F"/>
    <w:rsid w:val="00AA1A37"/>
    <w:rsid w:val="00AA21C8"/>
    <w:rsid w:val="00AA21DE"/>
    <w:rsid w:val="00AA22C0"/>
    <w:rsid w:val="00AA29FC"/>
    <w:rsid w:val="00AA2A22"/>
    <w:rsid w:val="00AA3330"/>
    <w:rsid w:val="00AA34E3"/>
    <w:rsid w:val="00AA3827"/>
    <w:rsid w:val="00AA3A31"/>
    <w:rsid w:val="00AA4035"/>
    <w:rsid w:val="00AA4495"/>
    <w:rsid w:val="00AA4905"/>
    <w:rsid w:val="00AA4A2E"/>
    <w:rsid w:val="00AA50E8"/>
    <w:rsid w:val="00AA51B1"/>
    <w:rsid w:val="00AA5524"/>
    <w:rsid w:val="00AA56B6"/>
    <w:rsid w:val="00AA5948"/>
    <w:rsid w:val="00AA5D52"/>
    <w:rsid w:val="00AA6044"/>
    <w:rsid w:val="00AA61BB"/>
    <w:rsid w:val="00AA639F"/>
    <w:rsid w:val="00AA63B9"/>
    <w:rsid w:val="00AA65F6"/>
    <w:rsid w:val="00AA6920"/>
    <w:rsid w:val="00AA6A50"/>
    <w:rsid w:val="00AA6A54"/>
    <w:rsid w:val="00AA6BB0"/>
    <w:rsid w:val="00AA6F7B"/>
    <w:rsid w:val="00AA6FAD"/>
    <w:rsid w:val="00AA70FC"/>
    <w:rsid w:val="00AA715B"/>
    <w:rsid w:val="00AA771D"/>
    <w:rsid w:val="00AA7BE2"/>
    <w:rsid w:val="00AA7BEA"/>
    <w:rsid w:val="00AA7D15"/>
    <w:rsid w:val="00AA7D21"/>
    <w:rsid w:val="00AB0A69"/>
    <w:rsid w:val="00AB0E85"/>
    <w:rsid w:val="00AB0F20"/>
    <w:rsid w:val="00AB1057"/>
    <w:rsid w:val="00AB15A1"/>
    <w:rsid w:val="00AB1700"/>
    <w:rsid w:val="00AB1C0F"/>
    <w:rsid w:val="00AB1C92"/>
    <w:rsid w:val="00AB2203"/>
    <w:rsid w:val="00AB2360"/>
    <w:rsid w:val="00AB254F"/>
    <w:rsid w:val="00AB28ED"/>
    <w:rsid w:val="00AB2947"/>
    <w:rsid w:val="00AB2E13"/>
    <w:rsid w:val="00AB3047"/>
    <w:rsid w:val="00AB32A9"/>
    <w:rsid w:val="00AB334E"/>
    <w:rsid w:val="00AB3405"/>
    <w:rsid w:val="00AB3519"/>
    <w:rsid w:val="00AB3564"/>
    <w:rsid w:val="00AB35C1"/>
    <w:rsid w:val="00AB37DB"/>
    <w:rsid w:val="00AB3820"/>
    <w:rsid w:val="00AB3929"/>
    <w:rsid w:val="00AB3A58"/>
    <w:rsid w:val="00AB3D47"/>
    <w:rsid w:val="00AB3D51"/>
    <w:rsid w:val="00AB3DD5"/>
    <w:rsid w:val="00AB40EF"/>
    <w:rsid w:val="00AB41BF"/>
    <w:rsid w:val="00AB48C2"/>
    <w:rsid w:val="00AB4A3D"/>
    <w:rsid w:val="00AB4C8D"/>
    <w:rsid w:val="00AB4E51"/>
    <w:rsid w:val="00AB4EDF"/>
    <w:rsid w:val="00AB5047"/>
    <w:rsid w:val="00AB5714"/>
    <w:rsid w:val="00AB5806"/>
    <w:rsid w:val="00AB5CC8"/>
    <w:rsid w:val="00AB5DFA"/>
    <w:rsid w:val="00AB6001"/>
    <w:rsid w:val="00AB6182"/>
    <w:rsid w:val="00AB6192"/>
    <w:rsid w:val="00AB62F9"/>
    <w:rsid w:val="00AB6433"/>
    <w:rsid w:val="00AB649F"/>
    <w:rsid w:val="00AB6E02"/>
    <w:rsid w:val="00AB7312"/>
    <w:rsid w:val="00AB7751"/>
    <w:rsid w:val="00AB77AB"/>
    <w:rsid w:val="00AB7840"/>
    <w:rsid w:val="00AB7BAD"/>
    <w:rsid w:val="00AB7C03"/>
    <w:rsid w:val="00AB7DB4"/>
    <w:rsid w:val="00AB7E30"/>
    <w:rsid w:val="00AC01C2"/>
    <w:rsid w:val="00AC02AA"/>
    <w:rsid w:val="00AC086D"/>
    <w:rsid w:val="00AC0D47"/>
    <w:rsid w:val="00AC0D8C"/>
    <w:rsid w:val="00AC0E5B"/>
    <w:rsid w:val="00AC1329"/>
    <w:rsid w:val="00AC1441"/>
    <w:rsid w:val="00AC1AF2"/>
    <w:rsid w:val="00AC1D94"/>
    <w:rsid w:val="00AC1FFE"/>
    <w:rsid w:val="00AC2081"/>
    <w:rsid w:val="00AC247D"/>
    <w:rsid w:val="00AC2576"/>
    <w:rsid w:val="00AC276E"/>
    <w:rsid w:val="00AC34D2"/>
    <w:rsid w:val="00AC3712"/>
    <w:rsid w:val="00AC3DB6"/>
    <w:rsid w:val="00AC3EB7"/>
    <w:rsid w:val="00AC3F57"/>
    <w:rsid w:val="00AC4224"/>
    <w:rsid w:val="00AC448F"/>
    <w:rsid w:val="00AC46FD"/>
    <w:rsid w:val="00AC4BCD"/>
    <w:rsid w:val="00AC4E9F"/>
    <w:rsid w:val="00AC4EDC"/>
    <w:rsid w:val="00AC51BC"/>
    <w:rsid w:val="00AC5237"/>
    <w:rsid w:val="00AC5324"/>
    <w:rsid w:val="00AC5328"/>
    <w:rsid w:val="00AC57EA"/>
    <w:rsid w:val="00AC5848"/>
    <w:rsid w:val="00AC5A7A"/>
    <w:rsid w:val="00AC5F4C"/>
    <w:rsid w:val="00AC5FDB"/>
    <w:rsid w:val="00AC63AB"/>
    <w:rsid w:val="00AC67F3"/>
    <w:rsid w:val="00AC6D72"/>
    <w:rsid w:val="00AC6F3F"/>
    <w:rsid w:val="00AC7263"/>
    <w:rsid w:val="00AC7364"/>
    <w:rsid w:val="00AC73DA"/>
    <w:rsid w:val="00AC7527"/>
    <w:rsid w:val="00AC7931"/>
    <w:rsid w:val="00AC794B"/>
    <w:rsid w:val="00AC7D15"/>
    <w:rsid w:val="00AC7D68"/>
    <w:rsid w:val="00AC7F8D"/>
    <w:rsid w:val="00AD02B5"/>
    <w:rsid w:val="00AD054F"/>
    <w:rsid w:val="00AD0712"/>
    <w:rsid w:val="00AD086F"/>
    <w:rsid w:val="00AD0CDB"/>
    <w:rsid w:val="00AD0E6C"/>
    <w:rsid w:val="00AD13D1"/>
    <w:rsid w:val="00AD1650"/>
    <w:rsid w:val="00AD1738"/>
    <w:rsid w:val="00AD18A8"/>
    <w:rsid w:val="00AD1A3D"/>
    <w:rsid w:val="00AD1A95"/>
    <w:rsid w:val="00AD1B23"/>
    <w:rsid w:val="00AD1BD7"/>
    <w:rsid w:val="00AD1D2A"/>
    <w:rsid w:val="00AD1F6F"/>
    <w:rsid w:val="00AD21CE"/>
    <w:rsid w:val="00AD2223"/>
    <w:rsid w:val="00AD231B"/>
    <w:rsid w:val="00AD29D9"/>
    <w:rsid w:val="00AD2B0F"/>
    <w:rsid w:val="00AD2D41"/>
    <w:rsid w:val="00AD2EDE"/>
    <w:rsid w:val="00AD319E"/>
    <w:rsid w:val="00AD36EE"/>
    <w:rsid w:val="00AD39FB"/>
    <w:rsid w:val="00AD3A7D"/>
    <w:rsid w:val="00AD3BC9"/>
    <w:rsid w:val="00AD3DBD"/>
    <w:rsid w:val="00AD4554"/>
    <w:rsid w:val="00AD46D6"/>
    <w:rsid w:val="00AD4CF0"/>
    <w:rsid w:val="00AD4EFE"/>
    <w:rsid w:val="00AD4FC6"/>
    <w:rsid w:val="00AD51B3"/>
    <w:rsid w:val="00AD55AB"/>
    <w:rsid w:val="00AD592D"/>
    <w:rsid w:val="00AD5993"/>
    <w:rsid w:val="00AD5F36"/>
    <w:rsid w:val="00AD63BF"/>
    <w:rsid w:val="00AD647C"/>
    <w:rsid w:val="00AD665F"/>
    <w:rsid w:val="00AD687E"/>
    <w:rsid w:val="00AD6BDA"/>
    <w:rsid w:val="00AD6CF2"/>
    <w:rsid w:val="00AD6EA2"/>
    <w:rsid w:val="00AD6F78"/>
    <w:rsid w:val="00AD7155"/>
    <w:rsid w:val="00AD72F6"/>
    <w:rsid w:val="00AD75AD"/>
    <w:rsid w:val="00AD7820"/>
    <w:rsid w:val="00AD7A89"/>
    <w:rsid w:val="00AE0057"/>
    <w:rsid w:val="00AE07E0"/>
    <w:rsid w:val="00AE0D40"/>
    <w:rsid w:val="00AE0FC7"/>
    <w:rsid w:val="00AE1163"/>
    <w:rsid w:val="00AE13B6"/>
    <w:rsid w:val="00AE15FA"/>
    <w:rsid w:val="00AE165C"/>
    <w:rsid w:val="00AE1A0E"/>
    <w:rsid w:val="00AE1E2D"/>
    <w:rsid w:val="00AE1F7E"/>
    <w:rsid w:val="00AE2503"/>
    <w:rsid w:val="00AE29B9"/>
    <w:rsid w:val="00AE2B34"/>
    <w:rsid w:val="00AE2DC4"/>
    <w:rsid w:val="00AE2DDF"/>
    <w:rsid w:val="00AE2E80"/>
    <w:rsid w:val="00AE2FA9"/>
    <w:rsid w:val="00AE35AB"/>
    <w:rsid w:val="00AE36CC"/>
    <w:rsid w:val="00AE36CE"/>
    <w:rsid w:val="00AE395B"/>
    <w:rsid w:val="00AE3A44"/>
    <w:rsid w:val="00AE3E9D"/>
    <w:rsid w:val="00AE4075"/>
    <w:rsid w:val="00AE4078"/>
    <w:rsid w:val="00AE40FF"/>
    <w:rsid w:val="00AE4179"/>
    <w:rsid w:val="00AE43FA"/>
    <w:rsid w:val="00AE45C7"/>
    <w:rsid w:val="00AE4745"/>
    <w:rsid w:val="00AE4863"/>
    <w:rsid w:val="00AE4C36"/>
    <w:rsid w:val="00AE4D83"/>
    <w:rsid w:val="00AE5116"/>
    <w:rsid w:val="00AE540B"/>
    <w:rsid w:val="00AE5414"/>
    <w:rsid w:val="00AE561A"/>
    <w:rsid w:val="00AE594B"/>
    <w:rsid w:val="00AE59DC"/>
    <w:rsid w:val="00AE5E0C"/>
    <w:rsid w:val="00AE5EE9"/>
    <w:rsid w:val="00AE669D"/>
    <w:rsid w:val="00AE6AC6"/>
    <w:rsid w:val="00AE6C11"/>
    <w:rsid w:val="00AE6C40"/>
    <w:rsid w:val="00AE710A"/>
    <w:rsid w:val="00AE7382"/>
    <w:rsid w:val="00AE788C"/>
    <w:rsid w:val="00AE79B1"/>
    <w:rsid w:val="00AE7B1B"/>
    <w:rsid w:val="00AE7D30"/>
    <w:rsid w:val="00AF0910"/>
    <w:rsid w:val="00AF0BC9"/>
    <w:rsid w:val="00AF0DE2"/>
    <w:rsid w:val="00AF0DFA"/>
    <w:rsid w:val="00AF0EB0"/>
    <w:rsid w:val="00AF0F46"/>
    <w:rsid w:val="00AF10C4"/>
    <w:rsid w:val="00AF114E"/>
    <w:rsid w:val="00AF1987"/>
    <w:rsid w:val="00AF1B40"/>
    <w:rsid w:val="00AF1F68"/>
    <w:rsid w:val="00AF2426"/>
    <w:rsid w:val="00AF24DE"/>
    <w:rsid w:val="00AF2607"/>
    <w:rsid w:val="00AF2B15"/>
    <w:rsid w:val="00AF2B63"/>
    <w:rsid w:val="00AF2E79"/>
    <w:rsid w:val="00AF336D"/>
    <w:rsid w:val="00AF3689"/>
    <w:rsid w:val="00AF36C0"/>
    <w:rsid w:val="00AF36E7"/>
    <w:rsid w:val="00AF3B2F"/>
    <w:rsid w:val="00AF3F46"/>
    <w:rsid w:val="00AF406A"/>
    <w:rsid w:val="00AF410A"/>
    <w:rsid w:val="00AF415B"/>
    <w:rsid w:val="00AF4914"/>
    <w:rsid w:val="00AF49AB"/>
    <w:rsid w:val="00AF4E03"/>
    <w:rsid w:val="00AF4F10"/>
    <w:rsid w:val="00AF551D"/>
    <w:rsid w:val="00AF5953"/>
    <w:rsid w:val="00AF5A6E"/>
    <w:rsid w:val="00AF5BE8"/>
    <w:rsid w:val="00AF5DFE"/>
    <w:rsid w:val="00AF5F69"/>
    <w:rsid w:val="00AF5F7F"/>
    <w:rsid w:val="00AF641F"/>
    <w:rsid w:val="00AF671E"/>
    <w:rsid w:val="00AF6FED"/>
    <w:rsid w:val="00AF70C3"/>
    <w:rsid w:val="00AF7986"/>
    <w:rsid w:val="00AF7D6E"/>
    <w:rsid w:val="00B006F4"/>
    <w:rsid w:val="00B00834"/>
    <w:rsid w:val="00B00B64"/>
    <w:rsid w:val="00B00B7D"/>
    <w:rsid w:val="00B00C40"/>
    <w:rsid w:val="00B01196"/>
    <w:rsid w:val="00B011B5"/>
    <w:rsid w:val="00B011C6"/>
    <w:rsid w:val="00B01340"/>
    <w:rsid w:val="00B01359"/>
    <w:rsid w:val="00B014E1"/>
    <w:rsid w:val="00B01593"/>
    <w:rsid w:val="00B0184F"/>
    <w:rsid w:val="00B020E4"/>
    <w:rsid w:val="00B022B7"/>
    <w:rsid w:val="00B0231A"/>
    <w:rsid w:val="00B024A6"/>
    <w:rsid w:val="00B0295A"/>
    <w:rsid w:val="00B02AC3"/>
    <w:rsid w:val="00B02E82"/>
    <w:rsid w:val="00B03241"/>
    <w:rsid w:val="00B0398E"/>
    <w:rsid w:val="00B03B79"/>
    <w:rsid w:val="00B03E7C"/>
    <w:rsid w:val="00B04336"/>
    <w:rsid w:val="00B04DC9"/>
    <w:rsid w:val="00B04EEA"/>
    <w:rsid w:val="00B04F9D"/>
    <w:rsid w:val="00B055B1"/>
    <w:rsid w:val="00B05A56"/>
    <w:rsid w:val="00B05E85"/>
    <w:rsid w:val="00B06055"/>
    <w:rsid w:val="00B061E4"/>
    <w:rsid w:val="00B0660D"/>
    <w:rsid w:val="00B06697"/>
    <w:rsid w:val="00B06C4E"/>
    <w:rsid w:val="00B06CD1"/>
    <w:rsid w:val="00B06F8F"/>
    <w:rsid w:val="00B070EC"/>
    <w:rsid w:val="00B072D5"/>
    <w:rsid w:val="00B074E4"/>
    <w:rsid w:val="00B076C7"/>
    <w:rsid w:val="00B07A2E"/>
    <w:rsid w:val="00B07A92"/>
    <w:rsid w:val="00B07C34"/>
    <w:rsid w:val="00B07DA9"/>
    <w:rsid w:val="00B07E2F"/>
    <w:rsid w:val="00B100D2"/>
    <w:rsid w:val="00B10993"/>
    <w:rsid w:val="00B10A7A"/>
    <w:rsid w:val="00B10B0B"/>
    <w:rsid w:val="00B10C4D"/>
    <w:rsid w:val="00B115FE"/>
    <w:rsid w:val="00B116E0"/>
    <w:rsid w:val="00B1172D"/>
    <w:rsid w:val="00B11AFD"/>
    <w:rsid w:val="00B11D60"/>
    <w:rsid w:val="00B120BD"/>
    <w:rsid w:val="00B123EA"/>
    <w:rsid w:val="00B12581"/>
    <w:rsid w:val="00B1268D"/>
    <w:rsid w:val="00B129C5"/>
    <w:rsid w:val="00B12C1A"/>
    <w:rsid w:val="00B12C53"/>
    <w:rsid w:val="00B12E21"/>
    <w:rsid w:val="00B12EC8"/>
    <w:rsid w:val="00B12F78"/>
    <w:rsid w:val="00B1314C"/>
    <w:rsid w:val="00B1323D"/>
    <w:rsid w:val="00B13346"/>
    <w:rsid w:val="00B13370"/>
    <w:rsid w:val="00B136A9"/>
    <w:rsid w:val="00B1395E"/>
    <w:rsid w:val="00B13AA3"/>
    <w:rsid w:val="00B13BCB"/>
    <w:rsid w:val="00B1437B"/>
    <w:rsid w:val="00B1471F"/>
    <w:rsid w:val="00B14728"/>
    <w:rsid w:val="00B14798"/>
    <w:rsid w:val="00B147CB"/>
    <w:rsid w:val="00B14AE2"/>
    <w:rsid w:val="00B14D84"/>
    <w:rsid w:val="00B15337"/>
    <w:rsid w:val="00B1545B"/>
    <w:rsid w:val="00B15490"/>
    <w:rsid w:val="00B154BD"/>
    <w:rsid w:val="00B15580"/>
    <w:rsid w:val="00B15A58"/>
    <w:rsid w:val="00B15AEC"/>
    <w:rsid w:val="00B15B39"/>
    <w:rsid w:val="00B15FA3"/>
    <w:rsid w:val="00B16041"/>
    <w:rsid w:val="00B16310"/>
    <w:rsid w:val="00B164FC"/>
    <w:rsid w:val="00B16732"/>
    <w:rsid w:val="00B16A95"/>
    <w:rsid w:val="00B16D9C"/>
    <w:rsid w:val="00B16DE5"/>
    <w:rsid w:val="00B16FA1"/>
    <w:rsid w:val="00B17068"/>
    <w:rsid w:val="00B17301"/>
    <w:rsid w:val="00B17522"/>
    <w:rsid w:val="00B175B7"/>
    <w:rsid w:val="00B176C3"/>
    <w:rsid w:val="00B177A5"/>
    <w:rsid w:val="00B17D41"/>
    <w:rsid w:val="00B203DB"/>
    <w:rsid w:val="00B20837"/>
    <w:rsid w:val="00B20997"/>
    <w:rsid w:val="00B20E03"/>
    <w:rsid w:val="00B2112E"/>
    <w:rsid w:val="00B214F0"/>
    <w:rsid w:val="00B21562"/>
    <w:rsid w:val="00B218D6"/>
    <w:rsid w:val="00B21EFD"/>
    <w:rsid w:val="00B22536"/>
    <w:rsid w:val="00B2257A"/>
    <w:rsid w:val="00B2258B"/>
    <w:rsid w:val="00B22C0C"/>
    <w:rsid w:val="00B22DA4"/>
    <w:rsid w:val="00B22DC3"/>
    <w:rsid w:val="00B230AA"/>
    <w:rsid w:val="00B232CB"/>
    <w:rsid w:val="00B232EE"/>
    <w:rsid w:val="00B23320"/>
    <w:rsid w:val="00B23450"/>
    <w:rsid w:val="00B2361C"/>
    <w:rsid w:val="00B2377B"/>
    <w:rsid w:val="00B2392A"/>
    <w:rsid w:val="00B23BE8"/>
    <w:rsid w:val="00B23E3F"/>
    <w:rsid w:val="00B24035"/>
    <w:rsid w:val="00B24082"/>
    <w:rsid w:val="00B24087"/>
    <w:rsid w:val="00B2413B"/>
    <w:rsid w:val="00B241D6"/>
    <w:rsid w:val="00B24343"/>
    <w:rsid w:val="00B24449"/>
    <w:rsid w:val="00B24A24"/>
    <w:rsid w:val="00B24B40"/>
    <w:rsid w:val="00B24CDE"/>
    <w:rsid w:val="00B24E5F"/>
    <w:rsid w:val="00B24F53"/>
    <w:rsid w:val="00B25075"/>
    <w:rsid w:val="00B251FF"/>
    <w:rsid w:val="00B25387"/>
    <w:rsid w:val="00B253A1"/>
    <w:rsid w:val="00B25670"/>
    <w:rsid w:val="00B257FE"/>
    <w:rsid w:val="00B2598F"/>
    <w:rsid w:val="00B25B19"/>
    <w:rsid w:val="00B25F5A"/>
    <w:rsid w:val="00B25FBE"/>
    <w:rsid w:val="00B262AB"/>
    <w:rsid w:val="00B262B8"/>
    <w:rsid w:val="00B263CF"/>
    <w:rsid w:val="00B26A6B"/>
    <w:rsid w:val="00B26E5B"/>
    <w:rsid w:val="00B26EA6"/>
    <w:rsid w:val="00B27203"/>
    <w:rsid w:val="00B2739F"/>
    <w:rsid w:val="00B27440"/>
    <w:rsid w:val="00B2750A"/>
    <w:rsid w:val="00B27680"/>
    <w:rsid w:val="00B27847"/>
    <w:rsid w:val="00B2793E"/>
    <w:rsid w:val="00B27BC3"/>
    <w:rsid w:val="00B27C4C"/>
    <w:rsid w:val="00B27F14"/>
    <w:rsid w:val="00B300AE"/>
    <w:rsid w:val="00B30499"/>
    <w:rsid w:val="00B30515"/>
    <w:rsid w:val="00B30792"/>
    <w:rsid w:val="00B3097C"/>
    <w:rsid w:val="00B30B7F"/>
    <w:rsid w:val="00B30BAC"/>
    <w:rsid w:val="00B30D6C"/>
    <w:rsid w:val="00B3104D"/>
    <w:rsid w:val="00B313CB"/>
    <w:rsid w:val="00B315BB"/>
    <w:rsid w:val="00B318FE"/>
    <w:rsid w:val="00B31CD5"/>
    <w:rsid w:val="00B31EC3"/>
    <w:rsid w:val="00B32261"/>
    <w:rsid w:val="00B3231D"/>
    <w:rsid w:val="00B3253F"/>
    <w:rsid w:val="00B325A9"/>
    <w:rsid w:val="00B326D1"/>
    <w:rsid w:val="00B3279D"/>
    <w:rsid w:val="00B32AB6"/>
    <w:rsid w:val="00B32C40"/>
    <w:rsid w:val="00B32E37"/>
    <w:rsid w:val="00B3317C"/>
    <w:rsid w:val="00B33711"/>
    <w:rsid w:val="00B33CB7"/>
    <w:rsid w:val="00B33E99"/>
    <w:rsid w:val="00B34048"/>
    <w:rsid w:val="00B3417E"/>
    <w:rsid w:val="00B3433F"/>
    <w:rsid w:val="00B34834"/>
    <w:rsid w:val="00B3491D"/>
    <w:rsid w:val="00B34979"/>
    <w:rsid w:val="00B34B28"/>
    <w:rsid w:val="00B35117"/>
    <w:rsid w:val="00B352FA"/>
    <w:rsid w:val="00B355F9"/>
    <w:rsid w:val="00B35CF8"/>
    <w:rsid w:val="00B363A7"/>
    <w:rsid w:val="00B366DE"/>
    <w:rsid w:val="00B368D5"/>
    <w:rsid w:val="00B369FA"/>
    <w:rsid w:val="00B36A90"/>
    <w:rsid w:val="00B36B5C"/>
    <w:rsid w:val="00B36C69"/>
    <w:rsid w:val="00B36C9C"/>
    <w:rsid w:val="00B36D31"/>
    <w:rsid w:val="00B37026"/>
    <w:rsid w:val="00B3711D"/>
    <w:rsid w:val="00B3719A"/>
    <w:rsid w:val="00B3738E"/>
    <w:rsid w:val="00B379A7"/>
    <w:rsid w:val="00B37B51"/>
    <w:rsid w:val="00B37F5A"/>
    <w:rsid w:val="00B37F96"/>
    <w:rsid w:val="00B4014D"/>
    <w:rsid w:val="00B402B1"/>
    <w:rsid w:val="00B40582"/>
    <w:rsid w:val="00B405F6"/>
    <w:rsid w:val="00B4060B"/>
    <w:rsid w:val="00B4090D"/>
    <w:rsid w:val="00B40A34"/>
    <w:rsid w:val="00B40C50"/>
    <w:rsid w:val="00B40C6A"/>
    <w:rsid w:val="00B40EDA"/>
    <w:rsid w:val="00B40F4D"/>
    <w:rsid w:val="00B411D3"/>
    <w:rsid w:val="00B41398"/>
    <w:rsid w:val="00B41B92"/>
    <w:rsid w:val="00B42194"/>
    <w:rsid w:val="00B42AB8"/>
    <w:rsid w:val="00B42C05"/>
    <w:rsid w:val="00B42CAB"/>
    <w:rsid w:val="00B43146"/>
    <w:rsid w:val="00B43169"/>
    <w:rsid w:val="00B43272"/>
    <w:rsid w:val="00B43484"/>
    <w:rsid w:val="00B44219"/>
    <w:rsid w:val="00B44313"/>
    <w:rsid w:val="00B4462C"/>
    <w:rsid w:val="00B449BD"/>
    <w:rsid w:val="00B44BD9"/>
    <w:rsid w:val="00B44CA9"/>
    <w:rsid w:val="00B44E34"/>
    <w:rsid w:val="00B44FDC"/>
    <w:rsid w:val="00B455A9"/>
    <w:rsid w:val="00B45AAB"/>
    <w:rsid w:val="00B45B57"/>
    <w:rsid w:val="00B45BA4"/>
    <w:rsid w:val="00B45DF9"/>
    <w:rsid w:val="00B45F70"/>
    <w:rsid w:val="00B464C3"/>
    <w:rsid w:val="00B46969"/>
    <w:rsid w:val="00B469A8"/>
    <w:rsid w:val="00B469D2"/>
    <w:rsid w:val="00B46D17"/>
    <w:rsid w:val="00B46FA5"/>
    <w:rsid w:val="00B471CA"/>
    <w:rsid w:val="00B472A0"/>
    <w:rsid w:val="00B473F2"/>
    <w:rsid w:val="00B47A1D"/>
    <w:rsid w:val="00B501F5"/>
    <w:rsid w:val="00B5053C"/>
    <w:rsid w:val="00B5072A"/>
    <w:rsid w:val="00B50822"/>
    <w:rsid w:val="00B50E2F"/>
    <w:rsid w:val="00B510C0"/>
    <w:rsid w:val="00B5115A"/>
    <w:rsid w:val="00B51320"/>
    <w:rsid w:val="00B51379"/>
    <w:rsid w:val="00B513E4"/>
    <w:rsid w:val="00B51423"/>
    <w:rsid w:val="00B5182E"/>
    <w:rsid w:val="00B518D7"/>
    <w:rsid w:val="00B51B43"/>
    <w:rsid w:val="00B51C9A"/>
    <w:rsid w:val="00B51E4F"/>
    <w:rsid w:val="00B51EE5"/>
    <w:rsid w:val="00B52306"/>
    <w:rsid w:val="00B524BA"/>
    <w:rsid w:val="00B525CF"/>
    <w:rsid w:val="00B52679"/>
    <w:rsid w:val="00B52692"/>
    <w:rsid w:val="00B528E0"/>
    <w:rsid w:val="00B52A7F"/>
    <w:rsid w:val="00B52F44"/>
    <w:rsid w:val="00B53566"/>
    <w:rsid w:val="00B53770"/>
    <w:rsid w:val="00B5380C"/>
    <w:rsid w:val="00B53B82"/>
    <w:rsid w:val="00B53C0C"/>
    <w:rsid w:val="00B53D8F"/>
    <w:rsid w:val="00B546BB"/>
    <w:rsid w:val="00B5479F"/>
    <w:rsid w:val="00B549CD"/>
    <w:rsid w:val="00B54A20"/>
    <w:rsid w:val="00B54A68"/>
    <w:rsid w:val="00B553CF"/>
    <w:rsid w:val="00B55607"/>
    <w:rsid w:val="00B557CD"/>
    <w:rsid w:val="00B557F9"/>
    <w:rsid w:val="00B55A6E"/>
    <w:rsid w:val="00B55B40"/>
    <w:rsid w:val="00B55B58"/>
    <w:rsid w:val="00B55CCF"/>
    <w:rsid w:val="00B55D21"/>
    <w:rsid w:val="00B55D5F"/>
    <w:rsid w:val="00B5608F"/>
    <w:rsid w:val="00B561D2"/>
    <w:rsid w:val="00B56704"/>
    <w:rsid w:val="00B56741"/>
    <w:rsid w:val="00B56BE1"/>
    <w:rsid w:val="00B56C67"/>
    <w:rsid w:val="00B5729F"/>
    <w:rsid w:val="00B57325"/>
    <w:rsid w:val="00B577D5"/>
    <w:rsid w:val="00B5783F"/>
    <w:rsid w:val="00B5788D"/>
    <w:rsid w:val="00B60789"/>
    <w:rsid w:val="00B608B5"/>
    <w:rsid w:val="00B608CA"/>
    <w:rsid w:val="00B60BB4"/>
    <w:rsid w:val="00B60C97"/>
    <w:rsid w:val="00B60E19"/>
    <w:rsid w:val="00B612F5"/>
    <w:rsid w:val="00B61545"/>
    <w:rsid w:val="00B6177A"/>
    <w:rsid w:val="00B617CD"/>
    <w:rsid w:val="00B61E27"/>
    <w:rsid w:val="00B61E61"/>
    <w:rsid w:val="00B61E9D"/>
    <w:rsid w:val="00B61FE4"/>
    <w:rsid w:val="00B621B4"/>
    <w:rsid w:val="00B62419"/>
    <w:rsid w:val="00B625E4"/>
    <w:rsid w:val="00B62A94"/>
    <w:rsid w:val="00B62B0D"/>
    <w:rsid w:val="00B62C48"/>
    <w:rsid w:val="00B62C79"/>
    <w:rsid w:val="00B63217"/>
    <w:rsid w:val="00B63469"/>
    <w:rsid w:val="00B63544"/>
    <w:rsid w:val="00B63B30"/>
    <w:rsid w:val="00B63C2E"/>
    <w:rsid w:val="00B63E1D"/>
    <w:rsid w:val="00B63F72"/>
    <w:rsid w:val="00B649D0"/>
    <w:rsid w:val="00B652F0"/>
    <w:rsid w:val="00B654B7"/>
    <w:rsid w:val="00B655F9"/>
    <w:rsid w:val="00B65619"/>
    <w:rsid w:val="00B65D63"/>
    <w:rsid w:val="00B66175"/>
    <w:rsid w:val="00B66A05"/>
    <w:rsid w:val="00B66A31"/>
    <w:rsid w:val="00B66BCE"/>
    <w:rsid w:val="00B66F45"/>
    <w:rsid w:val="00B66FFD"/>
    <w:rsid w:val="00B67227"/>
    <w:rsid w:val="00B67259"/>
    <w:rsid w:val="00B67395"/>
    <w:rsid w:val="00B67628"/>
    <w:rsid w:val="00B6766E"/>
    <w:rsid w:val="00B6776E"/>
    <w:rsid w:val="00B679A4"/>
    <w:rsid w:val="00B67C15"/>
    <w:rsid w:val="00B70093"/>
    <w:rsid w:val="00B70109"/>
    <w:rsid w:val="00B7022A"/>
    <w:rsid w:val="00B7031A"/>
    <w:rsid w:val="00B709E5"/>
    <w:rsid w:val="00B70E29"/>
    <w:rsid w:val="00B70F24"/>
    <w:rsid w:val="00B71036"/>
    <w:rsid w:val="00B71554"/>
    <w:rsid w:val="00B718FB"/>
    <w:rsid w:val="00B71C02"/>
    <w:rsid w:val="00B71CAC"/>
    <w:rsid w:val="00B71D28"/>
    <w:rsid w:val="00B71F56"/>
    <w:rsid w:val="00B72416"/>
    <w:rsid w:val="00B72432"/>
    <w:rsid w:val="00B72716"/>
    <w:rsid w:val="00B727E0"/>
    <w:rsid w:val="00B7292E"/>
    <w:rsid w:val="00B72B73"/>
    <w:rsid w:val="00B72CC4"/>
    <w:rsid w:val="00B72F32"/>
    <w:rsid w:val="00B7366F"/>
    <w:rsid w:val="00B737B4"/>
    <w:rsid w:val="00B73AC7"/>
    <w:rsid w:val="00B73AE3"/>
    <w:rsid w:val="00B73D18"/>
    <w:rsid w:val="00B74063"/>
    <w:rsid w:val="00B7428B"/>
    <w:rsid w:val="00B742D7"/>
    <w:rsid w:val="00B745BB"/>
    <w:rsid w:val="00B749CC"/>
    <w:rsid w:val="00B749DF"/>
    <w:rsid w:val="00B74B22"/>
    <w:rsid w:val="00B74B52"/>
    <w:rsid w:val="00B74D55"/>
    <w:rsid w:val="00B74F63"/>
    <w:rsid w:val="00B74FA4"/>
    <w:rsid w:val="00B75203"/>
    <w:rsid w:val="00B7528B"/>
    <w:rsid w:val="00B752EA"/>
    <w:rsid w:val="00B75331"/>
    <w:rsid w:val="00B755B9"/>
    <w:rsid w:val="00B75749"/>
    <w:rsid w:val="00B7576C"/>
    <w:rsid w:val="00B757DE"/>
    <w:rsid w:val="00B758A9"/>
    <w:rsid w:val="00B7595F"/>
    <w:rsid w:val="00B75966"/>
    <w:rsid w:val="00B75D96"/>
    <w:rsid w:val="00B760BE"/>
    <w:rsid w:val="00B762A5"/>
    <w:rsid w:val="00B76607"/>
    <w:rsid w:val="00B7665B"/>
    <w:rsid w:val="00B76AF5"/>
    <w:rsid w:val="00B76E4D"/>
    <w:rsid w:val="00B76EA4"/>
    <w:rsid w:val="00B77159"/>
    <w:rsid w:val="00B777B6"/>
    <w:rsid w:val="00B77A59"/>
    <w:rsid w:val="00B77DAD"/>
    <w:rsid w:val="00B77F17"/>
    <w:rsid w:val="00B805E0"/>
    <w:rsid w:val="00B8070C"/>
    <w:rsid w:val="00B80B20"/>
    <w:rsid w:val="00B80BA8"/>
    <w:rsid w:val="00B80FB3"/>
    <w:rsid w:val="00B81229"/>
    <w:rsid w:val="00B8172A"/>
    <w:rsid w:val="00B8180F"/>
    <w:rsid w:val="00B81924"/>
    <w:rsid w:val="00B81C0B"/>
    <w:rsid w:val="00B81DB0"/>
    <w:rsid w:val="00B81FA1"/>
    <w:rsid w:val="00B823A5"/>
    <w:rsid w:val="00B82B87"/>
    <w:rsid w:val="00B82C92"/>
    <w:rsid w:val="00B82EC9"/>
    <w:rsid w:val="00B83136"/>
    <w:rsid w:val="00B83177"/>
    <w:rsid w:val="00B835D5"/>
    <w:rsid w:val="00B83796"/>
    <w:rsid w:val="00B83907"/>
    <w:rsid w:val="00B8439E"/>
    <w:rsid w:val="00B844B6"/>
    <w:rsid w:val="00B8498E"/>
    <w:rsid w:val="00B84D40"/>
    <w:rsid w:val="00B85722"/>
    <w:rsid w:val="00B85809"/>
    <w:rsid w:val="00B85BF6"/>
    <w:rsid w:val="00B85C6E"/>
    <w:rsid w:val="00B85DFA"/>
    <w:rsid w:val="00B85F89"/>
    <w:rsid w:val="00B8625B"/>
    <w:rsid w:val="00B86329"/>
    <w:rsid w:val="00B8637C"/>
    <w:rsid w:val="00B8641D"/>
    <w:rsid w:val="00B86B43"/>
    <w:rsid w:val="00B86E7E"/>
    <w:rsid w:val="00B86E85"/>
    <w:rsid w:val="00B870DD"/>
    <w:rsid w:val="00B8792F"/>
    <w:rsid w:val="00B8796D"/>
    <w:rsid w:val="00B87DE7"/>
    <w:rsid w:val="00B87EA0"/>
    <w:rsid w:val="00B9003B"/>
    <w:rsid w:val="00B900A0"/>
    <w:rsid w:val="00B9049E"/>
    <w:rsid w:val="00B904E8"/>
    <w:rsid w:val="00B90652"/>
    <w:rsid w:val="00B9080D"/>
    <w:rsid w:val="00B90E63"/>
    <w:rsid w:val="00B91020"/>
    <w:rsid w:val="00B912CF"/>
    <w:rsid w:val="00B91525"/>
    <w:rsid w:val="00B915A6"/>
    <w:rsid w:val="00B918C0"/>
    <w:rsid w:val="00B9196E"/>
    <w:rsid w:val="00B919EC"/>
    <w:rsid w:val="00B91B86"/>
    <w:rsid w:val="00B91E6F"/>
    <w:rsid w:val="00B91E9C"/>
    <w:rsid w:val="00B920E5"/>
    <w:rsid w:val="00B92171"/>
    <w:rsid w:val="00B92203"/>
    <w:rsid w:val="00B92279"/>
    <w:rsid w:val="00B92677"/>
    <w:rsid w:val="00B92913"/>
    <w:rsid w:val="00B929CA"/>
    <w:rsid w:val="00B92DB3"/>
    <w:rsid w:val="00B93346"/>
    <w:rsid w:val="00B936E6"/>
    <w:rsid w:val="00B93D55"/>
    <w:rsid w:val="00B944B5"/>
    <w:rsid w:val="00B953AB"/>
    <w:rsid w:val="00B954E8"/>
    <w:rsid w:val="00B9550E"/>
    <w:rsid w:val="00B955FF"/>
    <w:rsid w:val="00B95818"/>
    <w:rsid w:val="00B9590E"/>
    <w:rsid w:val="00B95BC9"/>
    <w:rsid w:val="00B95F1C"/>
    <w:rsid w:val="00B95FDE"/>
    <w:rsid w:val="00B961A7"/>
    <w:rsid w:val="00B962CB"/>
    <w:rsid w:val="00B96604"/>
    <w:rsid w:val="00B96749"/>
    <w:rsid w:val="00B96805"/>
    <w:rsid w:val="00B96D6E"/>
    <w:rsid w:val="00B96DAC"/>
    <w:rsid w:val="00B97424"/>
    <w:rsid w:val="00B974C0"/>
    <w:rsid w:val="00B97734"/>
    <w:rsid w:val="00B97B6E"/>
    <w:rsid w:val="00B97D62"/>
    <w:rsid w:val="00B97F3A"/>
    <w:rsid w:val="00BA036C"/>
    <w:rsid w:val="00BA0736"/>
    <w:rsid w:val="00BA0776"/>
    <w:rsid w:val="00BA0806"/>
    <w:rsid w:val="00BA09DC"/>
    <w:rsid w:val="00BA0BE6"/>
    <w:rsid w:val="00BA0DD6"/>
    <w:rsid w:val="00BA0E2C"/>
    <w:rsid w:val="00BA1256"/>
    <w:rsid w:val="00BA13AD"/>
    <w:rsid w:val="00BA1673"/>
    <w:rsid w:val="00BA167A"/>
    <w:rsid w:val="00BA1EEC"/>
    <w:rsid w:val="00BA22BD"/>
    <w:rsid w:val="00BA240E"/>
    <w:rsid w:val="00BA2AA9"/>
    <w:rsid w:val="00BA2C32"/>
    <w:rsid w:val="00BA3475"/>
    <w:rsid w:val="00BA38B6"/>
    <w:rsid w:val="00BA3983"/>
    <w:rsid w:val="00BA3BD8"/>
    <w:rsid w:val="00BA3D67"/>
    <w:rsid w:val="00BA3E36"/>
    <w:rsid w:val="00BA3FBF"/>
    <w:rsid w:val="00BA4608"/>
    <w:rsid w:val="00BA47BA"/>
    <w:rsid w:val="00BA4A12"/>
    <w:rsid w:val="00BA4F82"/>
    <w:rsid w:val="00BA508E"/>
    <w:rsid w:val="00BA51AD"/>
    <w:rsid w:val="00BA574E"/>
    <w:rsid w:val="00BA5800"/>
    <w:rsid w:val="00BA5A66"/>
    <w:rsid w:val="00BA5D3C"/>
    <w:rsid w:val="00BA6085"/>
    <w:rsid w:val="00BA61D0"/>
    <w:rsid w:val="00BA63FA"/>
    <w:rsid w:val="00BA644E"/>
    <w:rsid w:val="00BA64EA"/>
    <w:rsid w:val="00BA662D"/>
    <w:rsid w:val="00BA6751"/>
    <w:rsid w:val="00BA6E61"/>
    <w:rsid w:val="00BA6F33"/>
    <w:rsid w:val="00BA700A"/>
    <w:rsid w:val="00BA7540"/>
    <w:rsid w:val="00BA7F2E"/>
    <w:rsid w:val="00BB0027"/>
    <w:rsid w:val="00BB01BC"/>
    <w:rsid w:val="00BB030A"/>
    <w:rsid w:val="00BB07D5"/>
    <w:rsid w:val="00BB07DA"/>
    <w:rsid w:val="00BB0A74"/>
    <w:rsid w:val="00BB0C8C"/>
    <w:rsid w:val="00BB0D4F"/>
    <w:rsid w:val="00BB0D8B"/>
    <w:rsid w:val="00BB0E61"/>
    <w:rsid w:val="00BB0F05"/>
    <w:rsid w:val="00BB10D6"/>
    <w:rsid w:val="00BB16AD"/>
    <w:rsid w:val="00BB1737"/>
    <w:rsid w:val="00BB1741"/>
    <w:rsid w:val="00BB2342"/>
    <w:rsid w:val="00BB2346"/>
    <w:rsid w:val="00BB2B1E"/>
    <w:rsid w:val="00BB2F03"/>
    <w:rsid w:val="00BB2FB4"/>
    <w:rsid w:val="00BB2FDF"/>
    <w:rsid w:val="00BB2FF8"/>
    <w:rsid w:val="00BB3059"/>
    <w:rsid w:val="00BB3279"/>
    <w:rsid w:val="00BB3569"/>
    <w:rsid w:val="00BB36E1"/>
    <w:rsid w:val="00BB3A07"/>
    <w:rsid w:val="00BB3C9A"/>
    <w:rsid w:val="00BB3E77"/>
    <w:rsid w:val="00BB3FC0"/>
    <w:rsid w:val="00BB406F"/>
    <w:rsid w:val="00BB418D"/>
    <w:rsid w:val="00BB44E6"/>
    <w:rsid w:val="00BB4842"/>
    <w:rsid w:val="00BB48CF"/>
    <w:rsid w:val="00BB493E"/>
    <w:rsid w:val="00BB4A7A"/>
    <w:rsid w:val="00BB4C17"/>
    <w:rsid w:val="00BB4CB6"/>
    <w:rsid w:val="00BB511A"/>
    <w:rsid w:val="00BB55C4"/>
    <w:rsid w:val="00BB57CB"/>
    <w:rsid w:val="00BB5FA3"/>
    <w:rsid w:val="00BB621E"/>
    <w:rsid w:val="00BB65B9"/>
    <w:rsid w:val="00BB6B66"/>
    <w:rsid w:val="00BB6CB3"/>
    <w:rsid w:val="00BB75E5"/>
    <w:rsid w:val="00BB7A8D"/>
    <w:rsid w:val="00BB7C57"/>
    <w:rsid w:val="00BB7D04"/>
    <w:rsid w:val="00BB7D0A"/>
    <w:rsid w:val="00BC0047"/>
    <w:rsid w:val="00BC0357"/>
    <w:rsid w:val="00BC05C6"/>
    <w:rsid w:val="00BC06BA"/>
    <w:rsid w:val="00BC0B74"/>
    <w:rsid w:val="00BC0D3D"/>
    <w:rsid w:val="00BC0F11"/>
    <w:rsid w:val="00BC13AE"/>
    <w:rsid w:val="00BC13DD"/>
    <w:rsid w:val="00BC164B"/>
    <w:rsid w:val="00BC17D7"/>
    <w:rsid w:val="00BC1BE3"/>
    <w:rsid w:val="00BC1E66"/>
    <w:rsid w:val="00BC247D"/>
    <w:rsid w:val="00BC266F"/>
    <w:rsid w:val="00BC26BC"/>
    <w:rsid w:val="00BC26FC"/>
    <w:rsid w:val="00BC270E"/>
    <w:rsid w:val="00BC291A"/>
    <w:rsid w:val="00BC2BEC"/>
    <w:rsid w:val="00BC2C11"/>
    <w:rsid w:val="00BC3106"/>
    <w:rsid w:val="00BC328C"/>
    <w:rsid w:val="00BC34E6"/>
    <w:rsid w:val="00BC35FC"/>
    <w:rsid w:val="00BC38DC"/>
    <w:rsid w:val="00BC3A80"/>
    <w:rsid w:val="00BC434F"/>
    <w:rsid w:val="00BC43B2"/>
    <w:rsid w:val="00BC4498"/>
    <w:rsid w:val="00BC4560"/>
    <w:rsid w:val="00BC4B1D"/>
    <w:rsid w:val="00BC4D25"/>
    <w:rsid w:val="00BC4F2E"/>
    <w:rsid w:val="00BC5123"/>
    <w:rsid w:val="00BC55A8"/>
    <w:rsid w:val="00BC587C"/>
    <w:rsid w:val="00BC58A5"/>
    <w:rsid w:val="00BC5C25"/>
    <w:rsid w:val="00BC5E16"/>
    <w:rsid w:val="00BC6056"/>
    <w:rsid w:val="00BC60E2"/>
    <w:rsid w:val="00BC62C6"/>
    <w:rsid w:val="00BC6ACA"/>
    <w:rsid w:val="00BC6B26"/>
    <w:rsid w:val="00BC6B76"/>
    <w:rsid w:val="00BC6FC7"/>
    <w:rsid w:val="00BC77E6"/>
    <w:rsid w:val="00BC7931"/>
    <w:rsid w:val="00BC7C7B"/>
    <w:rsid w:val="00BD0086"/>
    <w:rsid w:val="00BD055D"/>
    <w:rsid w:val="00BD0785"/>
    <w:rsid w:val="00BD0FD2"/>
    <w:rsid w:val="00BD126E"/>
    <w:rsid w:val="00BD129A"/>
    <w:rsid w:val="00BD1436"/>
    <w:rsid w:val="00BD15B0"/>
    <w:rsid w:val="00BD15CF"/>
    <w:rsid w:val="00BD1866"/>
    <w:rsid w:val="00BD1AAF"/>
    <w:rsid w:val="00BD1B77"/>
    <w:rsid w:val="00BD1D41"/>
    <w:rsid w:val="00BD1E00"/>
    <w:rsid w:val="00BD1E68"/>
    <w:rsid w:val="00BD2095"/>
    <w:rsid w:val="00BD2139"/>
    <w:rsid w:val="00BD2222"/>
    <w:rsid w:val="00BD2372"/>
    <w:rsid w:val="00BD24F6"/>
    <w:rsid w:val="00BD2ED2"/>
    <w:rsid w:val="00BD3086"/>
    <w:rsid w:val="00BD319E"/>
    <w:rsid w:val="00BD3252"/>
    <w:rsid w:val="00BD3381"/>
    <w:rsid w:val="00BD3395"/>
    <w:rsid w:val="00BD3820"/>
    <w:rsid w:val="00BD38A2"/>
    <w:rsid w:val="00BD38B1"/>
    <w:rsid w:val="00BD42EE"/>
    <w:rsid w:val="00BD432F"/>
    <w:rsid w:val="00BD4728"/>
    <w:rsid w:val="00BD48F0"/>
    <w:rsid w:val="00BD4AD9"/>
    <w:rsid w:val="00BD4EF3"/>
    <w:rsid w:val="00BD503A"/>
    <w:rsid w:val="00BD52A0"/>
    <w:rsid w:val="00BD52B5"/>
    <w:rsid w:val="00BD52CF"/>
    <w:rsid w:val="00BD55BC"/>
    <w:rsid w:val="00BD595C"/>
    <w:rsid w:val="00BD5B6C"/>
    <w:rsid w:val="00BD5B75"/>
    <w:rsid w:val="00BD63AF"/>
    <w:rsid w:val="00BD6458"/>
    <w:rsid w:val="00BD6547"/>
    <w:rsid w:val="00BD6829"/>
    <w:rsid w:val="00BD6BA2"/>
    <w:rsid w:val="00BD6CD4"/>
    <w:rsid w:val="00BD7447"/>
    <w:rsid w:val="00BD781B"/>
    <w:rsid w:val="00BD7BD7"/>
    <w:rsid w:val="00BD7CAA"/>
    <w:rsid w:val="00BE095E"/>
    <w:rsid w:val="00BE09D6"/>
    <w:rsid w:val="00BE0A52"/>
    <w:rsid w:val="00BE0C0B"/>
    <w:rsid w:val="00BE12A6"/>
    <w:rsid w:val="00BE15A8"/>
    <w:rsid w:val="00BE17C7"/>
    <w:rsid w:val="00BE1909"/>
    <w:rsid w:val="00BE1B34"/>
    <w:rsid w:val="00BE20C6"/>
    <w:rsid w:val="00BE2388"/>
    <w:rsid w:val="00BE2586"/>
    <w:rsid w:val="00BE2713"/>
    <w:rsid w:val="00BE2A1C"/>
    <w:rsid w:val="00BE2C14"/>
    <w:rsid w:val="00BE2F11"/>
    <w:rsid w:val="00BE3760"/>
    <w:rsid w:val="00BE3F54"/>
    <w:rsid w:val="00BE426C"/>
    <w:rsid w:val="00BE454B"/>
    <w:rsid w:val="00BE48D2"/>
    <w:rsid w:val="00BE48D9"/>
    <w:rsid w:val="00BE51FA"/>
    <w:rsid w:val="00BE5802"/>
    <w:rsid w:val="00BE5EF7"/>
    <w:rsid w:val="00BE60A3"/>
    <w:rsid w:val="00BE66AC"/>
    <w:rsid w:val="00BE6918"/>
    <w:rsid w:val="00BE6A2A"/>
    <w:rsid w:val="00BE6AF8"/>
    <w:rsid w:val="00BE7196"/>
    <w:rsid w:val="00BE72F7"/>
    <w:rsid w:val="00BE77B1"/>
    <w:rsid w:val="00BE7AB3"/>
    <w:rsid w:val="00BE7EF3"/>
    <w:rsid w:val="00BF01CA"/>
    <w:rsid w:val="00BF02FC"/>
    <w:rsid w:val="00BF0436"/>
    <w:rsid w:val="00BF0591"/>
    <w:rsid w:val="00BF06AE"/>
    <w:rsid w:val="00BF0CDC"/>
    <w:rsid w:val="00BF0E3F"/>
    <w:rsid w:val="00BF0EC9"/>
    <w:rsid w:val="00BF0F37"/>
    <w:rsid w:val="00BF0F74"/>
    <w:rsid w:val="00BF1155"/>
    <w:rsid w:val="00BF1950"/>
    <w:rsid w:val="00BF1A89"/>
    <w:rsid w:val="00BF1E09"/>
    <w:rsid w:val="00BF1E49"/>
    <w:rsid w:val="00BF1F9E"/>
    <w:rsid w:val="00BF1FAF"/>
    <w:rsid w:val="00BF2296"/>
    <w:rsid w:val="00BF22DC"/>
    <w:rsid w:val="00BF2982"/>
    <w:rsid w:val="00BF2AFA"/>
    <w:rsid w:val="00BF2BEB"/>
    <w:rsid w:val="00BF2CA5"/>
    <w:rsid w:val="00BF2CCF"/>
    <w:rsid w:val="00BF2FA5"/>
    <w:rsid w:val="00BF3260"/>
    <w:rsid w:val="00BF32FE"/>
    <w:rsid w:val="00BF33B8"/>
    <w:rsid w:val="00BF37DD"/>
    <w:rsid w:val="00BF3D21"/>
    <w:rsid w:val="00BF3DC0"/>
    <w:rsid w:val="00BF4216"/>
    <w:rsid w:val="00BF458E"/>
    <w:rsid w:val="00BF488D"/>
    <w:rsid w:val="00BF49CA"/>
    <w:rsid w:val="00BF4D0A"/>
    <w:rsid w:val="00BF4F2D"/>
    <w:rsid w:val="00BF509F"/>
    <w:rsid w:val="00BF50D6"/>
    <w:rsid w:val="00BF56CA"/>
    <w:rsid w:val="00BF57D7"/>
    <w:rsid w:val="00BF6025"/>
    <w:rsid w:val="00BF657D"/>
    <w:rsid w:val="00BF67EE"/>
    <w:rsid w:val="00BF6F8B"/>
    <w:rsid w:val="00BF7107"/>
    <w:rsid w:val="00BF7542"/>
    <w:rsid w:val="00BF7637"/>
    <w:rsid w:val="00C00188"/>
    <w:rsid w:val="00C001A3"/>
    <w:rsid w:val="00C00282"/>
    <w:rsid w:val="00C009D8"/>
    <w:rsid w:val="00C00A49"/>
    <w:rsid w:val="00C00B5A"/>
    <w:rsid w:val="00C00C1E"/>
    <w:rsid w:val="00C00D43"/>
    <w:rsid w:val="00C0119D"/>
    <w:rsid w:val="00C01841"/>
    <w:rsid w:val="00C01E8D"/>
    <w:rsid w:val="00C01FE9"/>
    <w:rsid w:val="00C02951"/>
    <w:rsid w:val="00C02958"/>
    <w:rsid w:val="00C02BA7"/>
    <w:rsid w:val="00C031F1"/>
    <w:rsid w:val="00C042C4"/>
    <w:rsid w:val="00C044DD"/>
    <w:rsid w:val="00C047F6"/>
    <w:rsid w:val="00C0482C"/>
    <w:rsid w:val="00C04918"/>
    <w:rsid w:val="00C0493C"/>
    <w:rsid w:val="00C04DAF"/>
    <w:rsid w:val="00C04DC5"/>
    <w:rsid w:val="00C04DCF"/>
    <w:rsid w:val="00C0502F"/>
    <w:rsid w:val="00C05748"/>
    <w:rsid w:val="00C05C45"/>
    <w:rsid w:val="00C05CDA"/>
    <w:rsid w:val="00C05F4E"/>
    <w:rsid w:val="00C06044"/>
    <w:rsid w:val="00C0616E"/>
    <w:rsid w:val="00C06177"/>
    <w:rsid w:val="00C06AA2"/>
    <w:rsid w:val="00C06B91"/>
    <w:rsid w:val="00C06BC0"/>
    <w:rsid w:val="00C06CDE"/>
    <w:rsid w:val="00C06D3C"/>
    <w:rsid w:val="00C06FA8"/>
    <w:rsid w:val="00C070C5"/>
    <w:rsid w:val="00C07266"/>
    <w:rsid w:val="00C075EA"/>
    <w:rsid w:val="00C076B2"/>
    <w:rsid w:val="00C07714"/>
    <w:rsid w:val="00C07A9C"/>
    <w:rsid w:val="00C10081"/>
    <w:rsid w:val="00C10236"/>
    <w:rsid w:val="00C10380"/>
    <w:rsid w:val="00C103DB"/>
    <w:rsid w:val="00C109F5"/>
    <w:rsid w:val="00C10E3A"/>
    <w:rsid w:val="00C10E71"/>
    <w:rsid w:val="00C111F5"/>
    <w:rsid w:val="00C113F0"/>
    <w:rsid w:val="00C1143B"/>
    <w:rsid w:val="00C114D6"/>
    <w:rsid w:val="00C11AF1"/>
    <w:rsid w:val="00C1205E"/>
    <w:rsid w:val="00C12218"/>
    <w:rsid w:val="00C1248F"/>
    <w:rsid w:val="00C1287A"/>
    <w:rsid w:val="00C128FD"/>
    <w:rsid w:val="00C12AAA"/>
    <w:rsid w:val="00C13015"/>
    <w:rsid w:val="00C130C0"/>
    <w:rsid w:val="00C1342E"/>
    <w:rsid w:val="00C135FB"/>
    <w:rsid w:val="00C13655"/>
    <w:rsid w:val="00C137EA"/>
    <w:rsid w:val="00C1394D"/>
    <w:rsid w:val="00C139EE"/>
    <w:rsid w:val="00C13AD7"/>
    <w:rsid w:val="00C13F36"/>
    <w:rsid w:val="00C14309"/>
    <w:rsid w:val="00C14628"/>
    <w:rsid w:val="00C1462F"/>
    <w:rsid w:val="00C1485A"/>
    <w:rsid w:val="00C14943"/>
    <w:rsid w:val="00C14F3F"/>
    <w:rsid w:val="00C14F7A"/>
    <w:rsid w:val="00C15022"/>
    <w:rsid w:val="00C153C2"/>
    <w:rsid w:val="00C1577E"/>
    <w:rsid w:val="00C158DA"/>
    <w:rsid w:val="00C15907"/>
    <w:rsid w:val="00C15D5C"/>
    <w:rsid w:val="00C15EEF"/>
    <w:rsid w:val="00C15F17"/>
    <w:rsid w:val="00C16154"/>
    <w:rsid w:val="00C16232"/>
    <w:rsid w:val="00C16331"/>
    <w:rsid w:val="00C168B8"/>
    <w:rsid w:val="00C17173"/>
    <w:rsid w:val="00C172F3"/>
    <w:rsid w:val="00C17412"/>
    <w:rsid w:val="00C1741F"/>
    <w:rsid w:val="00C1754E"/>
    <w:rsid w:val="00C17637"/>
    <w:rsid w:val="00C20047"/>
    <w:rsid w:val="00C2094B"/>
    <w:rsid w:val="00C20B68"/>
    <w:rsid w:val="00C20C5C"/>
    <w:rsid w:val="00C20C7C"/>
    <w:rsid w:val="00C2111D"/>
    <w:rsid w:val="00C21321"/>
    <w:rsid w:val="00C21476"/>
    <w:rsid w:val="00C215D0"/>
    <w:rsid w:val="00C21744"/>
    <w:rsid w:val="00C21A9D"/>
    <w:rsid w:val="00C21CD6"/>
    <w:rsid w:val="00C21DF0"/>
    <w:rsid w:val="00C21E5C"/>
    <w:rsid w:val="00C21EFF"/>
    <w:rsid w:val="00C222D3"/>
    <w:rsid w:val="00C2283F"/>
    <w:rsid w:val="00C228B3"/>
    <w:rsid w:val="00C22C40"/>
    <w:rsid w:val="00C22C7C"/>
    <w:rsid w:val="00C22CBA"/>
    <w:rsid w:val="00C22DA3"/>
    <w:rsid w:val="00C22EA2"/>
    <w:rsid w:val="00C22F38"/>
    <w:rsid w:val="00C2310C"/>
    <w:rsid w:val="00C234A9"/>
    <w:rsid w:val="00C23990"/>
    <w:rsid w:val="00C23DB7"/>
    <w:rsid w:val="00C23E48"/>
    <w:rsid w:val="00C23EE2"/>
    <w:rsid w:val="00C24386"/>
    <w:rsid w:val="00C24403"/>
    <w:rsid w:val="00C24688"/>
    <w:rsid w:val="00C246EF"/>
    <w:rsid w:val="00C24725"/>
    <w:rsid w:val="00C24EA5"/>
    <w:rsid w:val="00C2560C"/>
    <w:rsid w:val="00C25676"/>
    <w:rsid w:val="00C25EC1"/>
    <w:rsid w:val="00C2600E"/>
    <w:rsid w:val="00C2602E"/>
    <w:rsid w:val="00C268BB"/>
    <w:rsid w:val="00C26B52"/>
    <w:rsid w:val="00C26BD5"/>
    <w:rsid w:val="00C26D4F"/>
    <w:rsid w:val="00C27166"/>
    <w:rsid w:val="00C272E8"/>
    <w:rsid w:val="00C2754B"/>
    <w:rsid w:val="00C276F1"/>
    <w:rsid w:val="00C2776D"/>
    <w:rsid w:val="00C27BDE"/>
    <w:rsid w:val="00C27FED"/>
    <w:rsid w:val="00C30056"/>
    <w:rsid w:val="00C30116"/>
    <w:rsid w:val="00C30449"/>
    <w:rsid w:val="00C30468"/>
    <w:rsid w:val="00C305FF"/>
    <w:rsid w:val="00C30608"/>
    <w:rsid w:val="00C3143B"/>
    <w:rsid w:val="00C31724"/>
    <w:rsid w:val="00C31A60"/>
    <w:rsid w:val="00C31CFD"/>
    <w:rsid w:val="00C31D0B"/>
    <w:rsid w:val="00C3212B"/>
    <w:rsid w:val="00C32392"/>
    <w:rsid w:val="00C3251D"/>
    <w:rsid w:val="00C32F45"/>
    <w:rsid w:val="00C33282"/>
    <w:rsid w:val="00C33DBE"/>
    <w:rsid w:val="00C34186"/>
    <w:rsid w:val="00C341BA"/>
    <w:rsid w:val="00C34260"/>
    <w:rsid w:val="00C342F6"/>
    <w:rsid w:val="00C343CB"/>
    <w:rsid w:val="00C3454C"/>
    <w:rsid w:val="00C34781"/>
    <w:rsid w:val="00C34A71"/>
    <w:rsid w:val="00C34C43"/>
    <w:rsid w:val="00C34D38"/>
    <w:rsid w:val="00C34E3F"/>
    <w:rsid w:val="00C3531D"/>
    <w:rsid w:val="00C3567D"/>
    <w:rsid w:val="00C36161"/>
    <w:rsid w:val="00C36420"/>
    <w:rsid w:val="00C364F2"/>
    <w:rsid w:val="00C36B70"/>
    <w:rsid w:val="00C36CA2"/>
    <w:rsid w:val="00C36D78"/>
    <w:rsid w:val="00C36EEF"/>
    <w:rsid w:val="00C37179"/>
    <w:rsid w:val="00C37250"/>
    <w:rsid w:val="00C3736C"/>
    <w:rsid w:val="00C3761B"/>
    <w:rsid w:val="00C37A92"/>
    <w:rsid w:val="00C37EB6"/>
    <w:rsid w:val="00C37F37"/>
    <w:rsid w:val="00C37FFE"/>
    <w:rsid w:val="00C4009C"/>
    <w:rsid w:val="00C402AD"/>
    <w:rsid w:val="00C40645"/>
    <w:rsid w:val="00C407E0"/>
    <w:rsid w:val="00C40871"/>
    <w:rsid w:val="00C40EF9"/>
    <w:rsid w:val="00C40F7F"/>
    <w:rsid w:val="00C413EE"/>
    <w:rsid w:val="00C41BEB"/>
    <w:rsid w:val="00C41C8F"/>
    <w:rsid w:val="00C41D68"/>
    <w:rsid w:val="00C41FB6"/>
    <w:rsid w:val="00C421D6"/>
    <w:rsid w:val="00C424F3"/>
    <w:rsid w:val="00C42773"/>
    <w:rsid w:val="00C42BC6"/>
    <w:rsid w:val="00C42CDB"/>
    <w:rsid w:val="00C42D38"/>
    <w:rsid w:val="00C43162"/>
    <w:rsid w:val="00C434EF"/>
    <w:rsid w:val="00C4370D"/>
    <w:rsid w:val="00C43DF6"/>
    <w:rsid w:val="00C43E72"/>
    <w:rsid w:val="00C4416C"/>
    <w:rsid w:val="00C44592"/>
    <w:rsid w:val="00C44982"/>
    <w:rsid w:val="00C44A43"/>
    <w:rsid w:val="00C44C36"/>
    <w:rsid w:val="00C44C88"/>
    <w:rsid w:val="00C44D4B"/>
    <w:rsid w:val="00C44E71"/>
    <w:rsid w:val="00C45436"/>
    <w:rsid w:val="00C4571E"/>
    <w:rsid w:val="00C4592B"/>
    <w:rsid w:val="00C4597F"/>
    <w:rsid w:val="00C45AEB"/>
    <w:rsid w:val="00C45CCF"/>
    <w:rsid w:val="00C45EEE"/>
    <w:rsid w:val="00C45F30"/>
    <w:rsid w:val="00C460FC"/>
    <w:rsid w:val="00C462D6"/>
    <w:rsid w:val="00C46A52"/>
    <w:rsid w:val="00C46AA2"/>
    <w:rsid w:val="00C46AD7"/>
    <w:rsid w:val="00C46D07"/>
    <w:rsid w:val="00C46FB6"/>
    <w:rsid w:val="00C46FF1"/>
    <w:rsid w:val="00C471CA"/>
    <w:rsid w:val="00C472D1"/>
    <w:rsid w:val="00C4740C"/>
    <w:rsid w:val="00C47550"/>
    <w:rsid w:val="00C475B0"/>
    <w:rsid w:val="00C4764D"/>
    <w:rsid w:val="00C479A8"/>
    <w:rsid w:val="00C47BD9"/>
    <w:rsid w:val="00C47F40"/>
    <w:rsid w:val="00C501C8"/>
    <w:rsid w:val="00C50447"/>
    <w:rsid w:val="00C504E5"/>
    <w:rsid w:val="00C50809"/>
    <w:rsid w:val="00C50979"/>
    <w:rsid w:val="00C50A26"/>
    <w:rsid w:val="00C50B28"/>
    <w:rsid w:val="00C50BA5"/>
    <w:rsid w:val="00C512D2"/>
    <w:rsid w:val="00C51438"/>
    <w:rsid w:val="00C51579"/>
    <w:rsid w:val="00C516B5"/>
    <w:rsid w:val="00C5179B"/>
    <w:rsid w:val="00C51A74"/>
    <w:rsid w:val="00C51BBA"/>
    <w:rsid w:val="00C51CF5"/>
    <w:rsid w:val="00C51D9D"/>
    <w:rsid w:val="00C51E67"/>
    <w:rsid w:val="00C51EB9"/>
    <w:rsid w:val="00C52194"/>
    <w:rsid w:val="00C521DB"/>
    <w:rsid w:val="00C524D5"/>
    <w:rsid w:val="00C53198"/>
    <w:rsid w:val="00C532A5"/>
    <w:rsid w:val="00C532E7"/>
    <w:rsid w:val="00C53331"/>
    <w:rsid w:val="00C53596"/>
    <w:rsid w:val="00C535FF"/>
    <w:rsid w:val="00C53D57"/>
    <w:rsid w:val="00C54450"/>
    <w:rsid w:val="00C544B5"/>
    <w:rsid w:val="00C54651"/>
    <w:rsid w:val="00C549FF"/>
    <w:rsid w:val="00C54B14"/>
    <w:rsid w:val="00C54EC9"/>
    <w:rsid w:val="00C550F8"/>
    <w:rsid w:val="00C5536B"/>
    <w:rsid w:val="00C5554E"/>
    <w:rsid w:val="00C55855"/>
    <w:rsid w:val="00C55A54"/>
    <w:rsid w:val="00C55D75"/>
    <w:rsid w:val="00C55E18"/>
    <w:rsid w:val="00C55F86"/>
    <w:rsid w:val="00C561A9"/>
    <w:rsid w:val="00C56207"/>
    <w:rsid w:val="00C56473"/>
    <w:rsid w:val="00C56562"/>
    <w:rsid w:val="00C56AB5"/>
    <w:rsid w:val="00C56C68"/>
    <w:rsid w:val="00C5741F"/>
    <w:rsid w:val="00C574E7"/>
    <w:rsid w:val="00C57555"/>
    <w:rsid w:val="00C57758"/>
    <w:rsid w:val="00C57DEE"/>
    <w:rsid w:val="00C57E3C"/>
    <w:rsid w:val="00C57E99"/>
    <w:rsid w:val="00C613B0"/>
    <w:rsid w:val="00C61974"/>
    <w:rsid w:val="00C619A1"/>
    <w:rsid w:val="00C61AC6"/>
    <w:rsid w:val="00C61D5C"/>
    <w:rsid w:val="00C61D6B"/>
    <w:rsid w:val="00C62529"/>
    <w:rsid w:val="00C6265F"/>
    <w:rsid w:val="00C627BE"/>
    <w:rsid w:val="00C628E1"/>
    <w:rsid w:val="00C62ADE"/>
    <w:rsid w:val="00C62B18"/>
    <w:rsid w:val="00C63348"/>
    <w:rsid w:val="00C63403"/>
    <w:rsid w:val="00C63420"/>
    <w:rsid w:val="00C63645"/>
    <w:rsid w:val="00C63EEE"/>
    <w:rsid w:val="00C64671"/>
    <w:rsid w:val="00C646AF"/>
    <w:rsid w:val="00C64803"/>
    <w:rsid w:val="00C649A3"/>
    <w:rsid w:val="00C65015"/>
    <w:rsid w:val="00C6502B"/>
    <w:rsid w:val="00C651C0"/>
    <w:rsid w:val="00C6574F"/>
    <w:rsid w:val="00C65AAA"/>
    <w:rsid w:val="00C65D74"/>
    <w:rsid w:val="00C65D99"/>
    <w:rsid w:val="00C662F4"/>
    <w:rsid w:val="00C666C3"/>
    <w:rsid w:val="00C667D1"/>
    <w:rsid w:val="00C66B52"/>
    <w:rsid w:val="00C66D44"/>
    <w:rsid w:val="00C67524"/>
    <w:rsid w:val="00C6785B"/>
    <w:rsid w:val="00C67999"/>
    <w:rsid w:val="00C67B2A"/>
    <w:rsid w:val="00C70084"/>
    <w:rsid w:val="00C700EF"/>
    <w:rsid w:val="00C700F9"/>
    <w:rsid w:val="00C702C7"/>
    <w:rsid w:val="00C70304"/>
    <w:rsid w:val="00C703F6"/>
    <w:rsid w:val="00C70498"/>
    <w:rsid w:val="00C70574"/>
    <w:rsid w:val="00C70727"/>
    <w:rsid w:val="00C708F7"/>
    <w:rsid w:val="00C7090B"/>
    <w:rsid w:val="00C70D71"/>
    <w:rsid w:val="00C712FF"/>
    <w:rsid w:val="00C71527"/>
    <w:rsid w:val="00C717CC"/>
    <w:rsid w:val="00C71C9B"/>
    <w:rsid w:val="00C71EC6"/>
    <w:rsid w:val="00C72046"/>
    <w:rsid w:val="00C723B5"/>
    <w:rsid w:val="00C723EA"/>
    <w:rsid w:val="00C7241A"/>
    <w:rsid w:val="00C724DA"/>
    <w:rsid w:val="00C725E9"/>
    <w:rsid w:val="00C72881"/>
    <w:rsid w:val="00C72C77"/>
    <w:rsid w:val="00C72EEE"/>
    <w:rsid w:val="00C7366B"/>
    <w:rsid w:val="00C73BA7"/>
    <w:rsid w:val="00C73FB6"/>
    <w:rsid w:val="00C7429C"/>
    <w:rsid w:val="00C742B5"/>
    <w:rsid w:val="00C745DC"/>
    <w:rsid w:val="00C74AA1"/>
    <w:rsid w:val="00C74B34"/>
    <w:rsid w:val="00C74ED1"/>
    <w:rsid w:val="00C74FE2"/>
    <w:rsid w:val="00C75836"/>
    <w:rsid w:val="00C75A2E"/>
    <w:rsid w:val="00C75E06"/>
    <w:rsid w:val="00C76139"/>
    <w:rsid w:val="00C762EB"/>
    <w:rsid w:val="00C7692E"/>
    <w:rsid w:val="00C76AD6"/>
    <w:rsid w:val="00C76C7C"/>
    <w:rsid w:val="00C77128"/>
    <w:rsid w:val="00C774EC"/>
    <w:rsid w:val="00C779D6"/>
    <w:rsid w:val="00C77A9F"/>
    <w:rsid w:val="00C77C15"/>
    <w:rsid w:val="00C77F47"/>
    <w:rsid w:val="00C77F7C"/>
    <w:rsid w:val="00C80598"/>
    <w:rsid w:val="00C80660"/>
    <w:rsid w:val="00C80ADC"/>
    <w:rsid w:val="00C80D54"/>
    <w:rsid w:val="00C80F7B"/>
    <w:rsid w:val="00C810C9"/>
    <w:rsid w:val="00C819DB"/>
    <w:rsid w:val="00C81C52"/>
    <w:rsid w:val="00C81FC5"/>
    <w:rsid w:val="00C821C7"/>
    <w:rsid w:val="00C823E7"/>
    <w:rsid w:val="00C82602"/>
    <w:rsid w:val="00C82C67"/>
    <w:rsid w:val="00C82CDD"/>
    <w:rsid w:val="00C82D5D"/>
    <w:rsid w:val="00C82DDC"/>
    <w:rsid w:val="00C83195"/>
    <w:rsid w:val="00C83B41"/>
    <w:rsid w:val="00C83E8B"/>
    <w:rsid w:val="00C846E1"/>
    <w:rsid w:val="00C8473D"/>
    <w:rsid w:val="00C84806"/>
    <w:rsid w:val="00C85200"/>
    <w:rsid w:val="00C853AF"/>
    <w:rsid w:val="00C85433"/>
    <w:rsid w:val="00C85D8E"/>
    <w:rsid w:val="00C85EA3"/>
    <w:rsid w:val="00C85FAF"/>
    <w:rsid w:val="00C86D3F"/>
    <w:rsid w:val="00C86D49"/>
    <w:rsid w:val="00C86D59"/>
    <w:rsid w:val="00C86F28"/>
    <w:rsid w:val="00C86F53"/>
    <w:rsid w:val="00C86F8A"/>
    <w:rsid w:val="00C8703B"/>
    <w:rsid w:val="00C87077"/>
    <w:rsid w:val="00C876B1"/>
    <w:rsid w:val="00C879A7"/>
    <w:rsid w:val="00C87AC7"/>
    <w:rsid w:val="00C87B29"/>
    <w:rsid w:val="00C87C41"/>
    <w:rsid w:val="00C901A1"/>
    <w:rsid w:val="00C9035C"/>
    <w:rsid w:val="00C903CF"/>
    <w:rsid w:val="00C90441"/>
    <w:rsid w:val="00C9049E"/>
    <w:rsid w:val="00C9049F"/>
    <w:rsid w:val="00C906C7"/>
    <w:rsid w:val="00C90701"/>
    <w:rsid w:val="00C90734"/>
    <w:rsid w:val="00C90B43"/>
    <w:rsid w:val="00C90D1B"/>
    <w:rsid w:val="00C91070"/>
    <w:rsid w:val="00C9108C"/>
    <w:rsid w:val="00C9109D"/>
    <w:rsid w:val="00C911D5"/>
    <w:rsid w:val="00C9160D"/>
    <w:rsid w:val="00C916C4"/>
    <w:rsid w:val="00C91846"/>
    <w:rsid w:val="00C91963"/>
    <w:rsid w:val="00C91C68"/>
    <w:rsid w:val="00C91EA4"/>
    <w:rsid w:val="00C92145"/>
    <w:rsid w:val="00C92384"/>
    <w:rsid w:val="00C92938"/>
    <w:rsid w:val="00C92C0C"/>
    <w:rsid w:val="00C92CBC"/>
    <w:rsid w:val="00C9316B"/>
    <w:rsid w:val="00C93A81"/>
    <w:rsid w:val="00C93BF4"/>
    <w:rsid w:val="00C94151"/>
    <w:rsid w:val="00C941CF"/>
    <w:rsid w:val="00C941E5"/>
    <w:rsid w:val="00C943CD"/>
    <w:rsid w:val="00C945DA"/>
    <w:rsid w:val="00C9498A"/>
    <w:rsid w:val="00C94A12"/>
    <w:rsid w:val="00C94B13"/>
    <w:rsid w:val="00C95165"/>
    <w:rsid w:val="00C95235"/>
    <w:rsid w:val="00C952CA"/>
    <w:rsid w:val="00C9540F"/>
    <w:rsid w:val="00C955F5"/>
    <w:rsid w:val="00C957FE"/>
    <w:rsid w:val="00C95875"/>
    <w:rsid w:val="00C95D89"/>
    <w:rsid w:val="00C95FA9"/>
    <w:rsid w:val="00C9624D"/>
    <w:rsid w:val="00C96381"/>
    <w:rsid w:val="00C96913"/>
    <w:rsid w:val="00C96BE5"/>
    <w:rsid w:val="00C96D65"/>
    <w:rsid w:val="00C96FD3"/>
    <w:rsid w:val="00C97017"/>
    <w:rsid w:val="00C97718"/>
    <w:rsid w:val="00C97DDF"/>
    <w:rsid w:val="00CA0382"/>
    <w:rsid w:val="00CA0756"/>
    <w:rsid w:val="00CA0BC1"/>
    <w:rsid w:val="00CA10BB"/>
    <w:rsid w:val="00CA17BC"/>
    <w:rsid w:val="00CA1969"/>
    <w:rsid w:val="00CA1974"/>
    <w:rsid w:val="00CA1BA6"/>
    <w:rsid w:val="00CA1EFF"/>
    <w:rsid w:val="00CA200D"/>
    <w:rsid w:val="00CA205C"/>
    <w:rsid w:val="00CA214F"/>
    <w:rsid w:val="00CA216B"/>
    <w:rsid w:val="00CA273D"/>
    <w:rsid w:val="00CA2A4E"/>
    <w:rsid w:val="00CA3398"/>
    <w:rsid w:val="00CA36CC"/>
    <w:rsid w:val="00CA376D"/>
    <w:rsid w:val="00CA39CE"/>
    <w:rsid w:val="00CA3BD5"/>
    <w:rsid w:val="00CA3D02"/>
    <w:rsid w:val="00CA3FBD"/>
    <w:rsid w:val="00CA44D7"/>
    <w:rsid w:val="00CA4743"/>
    <w:rsid w:val="00CA4BC4"/>
    <w:rsid w:val="00CA4C82"/>
    <w:rsid w:val="00CA4E63"/>
    <w:rsid w:val="00CA504D"/>
    <w:rsid w:val="00CA51C2"/>
    <w:rsid w:val="00CA531D"/>
    <w:rsid w:val="00CA58FB"/>
    <w:rsid w:val="00CA5B05"/>
    <w:rsid w:val="00CA5EA1"/>
    <w:rsid w:val="00CA5F3A"/>
    <w:rsid w:val="00CA63EA"/>
    <w:rsid w:val="00CA6495"/>
    <w:rsid w:val="00CA66B4"/>
    <w:rsid w:val="00CA68D5"/>
    <w:rsid w:val="00CA6E66"/>
    <w:rsid w:val="00CA6EF9"/>
    <w:rsid w:val="00CA7001"/>
    <w:rsid w:val="00CA719F"/>
    <w:rsid w:val="00CA739C"/>
    <w:rsid w:val="00CA79FB"/>
    <w:rsid w:val="00CA7AF6"/>
    <w:rsid w:val="00CA7B3F"/>
    <w:rsid w:val="00CA7BAB"/>
    <w:rsid w:val="00CB01C8"/>
    <w:rsid w:val="00CB0BC7"/>
    <w:rsid w:val="00CB0C1E"/>
    <w:rsid w:val="00CB0E9D"/>
    <w:rsid w:val="00CB10FD"/>
    <w:rsid w:val="00CB163C"/>
    <w:rsid w:val="00CB1642"/>
    <w:rsid w:val="00CB198C"/>
    <w:rsid w:val="00CB1B3E"/>
    <w:rsid w:val="00CB23B8"/>
    <w:rsid w:val="00CB2442"/>
    <w:rsid w:val="00CB246E"/>
    <w:rsid w:val="00CB2918"/>
    <w:rsid w:val="00CB2C1A"/>
    <w:rsid w:val="00CB2C6A"/>
    <w:rsid w:val="00CB2E05"/>
    <w:rsid w:val="00CB2E29"/>
    <w:rsid w:val="00CB2F15"/>
    <w:rsid w:val="00CB38B6"/>
    <w:rsid w:val="00CB3B01"/>
    <w:rsid w:val="00CB3CBA"/>
    <w:rsid w:val="00CB3D83"/>
    <w:rsid w:val="00CB3ED7"/>
    <w:rsid w:val="00CB3EEB"/>
    <w:rsid w:val="00CB4274"/>
    <w:rsid w:val="00CB4483"/>
    <w:rsid w:val="00CB44F9"/>
    <w:rsid w:val="00CB4572"/>
    <w:rsid w:val="00CB4722"/>
    <w:rsid w:val="00CB4927"/>
    <w:rsid w:val="00CB4F80"/>
    <w:rsid w:val="00CB4FDA"/>
    <w:rsid w:val="00CB5576"/>
    <w:rsid w:val="00CB564A"/>
    <w:rsid w:val="00CB572A"/>
    <w:rsid w:val="00CB57F5"/>
    <w:rsid w:val="00CB57F7"/>
    <w:rsid w:val="00CB581B"/>
    <w:rsid w:val="00CB583B"/>
    <w:rsid w:val="00CB5923"/>
    <w:rsid w:val="00CB63A0"/>
    <w:rsid w:val="00CB652D"/>
    <w:rsid w:val="00CB6575"/>
    <w:rsid w:val="00CB65C4"/>
    <w:rsid w:val="00CB664B"/>
    <w:rsid w:val="00CB673B"/>
    <w:rsid w:val="00CB6B74"/>
    <w:rsid w:val="00CB6B7C"/>
    <w:rsid w:val="00CB7292"/>
    <w:rsid w:val="00CB731E"/>
    <w:rsid w:val="00CB7511"/>
    <w:rsid w:val="00CB7522"/>
    <w:rsid w:val="00CB794F"/>
    <w:rsid w:val="00CB7C21"/>
    <w:rsid w:val="00CC0797"/>
    <w:rsid w:val="00CC087D"/>
    <w:rsid w:val="00CC0960"/>
    <w:rsid w:val="00CC13CB"/>
    <w:rsid w:val="00CC1901"/>
    <w:rsid w:val="00CC1BC9"/>
    <w:rsid w:val="00CC1CBC"/>
    <w:rsid w:val="00CC1D41"/>
    <w:rsid w:val="00CC1F77"/>
    <w:rsid w:val="00CC1F8C"/>
    <w:rsid w:val="00CC216E"/>
    <w:rsid w:val="00CC2180"/>
    <w:rsid w:val="00CC21C7"/>
    <w:rsid w:val="00CC23C7"/>
    <w:rsid w:val="00CC257C"/>
    <w:rsid w:val="00CC25F8"/>
    <w:rsid w:val="00CC2832"/>
    <w:rsid w:val="00CC28F4"/>
    <w:rsid w:val="00CC293D"/>
    <w:rsid w:val="00CC2A1A"/>
    <w:rsid w:val="00CC2CD9"/>
    <w:rsid w:val="00CC2F9B"/>
    <w:rsid w:val="00CC3047"/>
    <w:rsid w:val="00CC343D"/>
    <w:rsid w:val="00CC354C"/>
    <w:rsid w:val="00CC36FF"/>
    <w:rsid w:val="00CC3B43"/>
    <w:rsid w:val="00CC3BD8"/>
    <w:rsid w:val="00CC3F99"/>
    <w:rsid w:val="00CC4179"/>
    <w:rsid w:val="00CC46E8"/>
    <w:rsid w:val="00CC4A20"/>
    <w:rsid w:val="00CC4DBA"/>
    <w:rsid w:val="00CC4EFE"/>
    <w:rsid w:val="00CC5587"/>
    <w:rsid w:val="00CC55C9"/>
    <w:rsid w:val="00CC5646"/>
    <w:rsid w:val="00CC5833"/>
    <w:rsid w:val="00CC58B2"/>
    <w:rsid w:val="00CC5E8F"/>
    <w:rsid w:val="00CC61FA"/>
    <w:rsid w:val="00CC6209"/>
    <w:rsid w:val="00CC6567"/>
    <w:rsid w:val="00CC661C"/>
    <w:rsid w:val="00CC662E"/>
    <w:rsid w:val="00CC6A33"/>
    <w:rsid w:val="00CC6C6F"/>
    <w:rsid w:val="00CC6FD9"/>
    <w:rsid w:val="00CC702D"/>
    <w:rsid w:val="00CC7463"/>
    <w:rsid w:val="00CC7525"/>
    <w:rsid w:val="00CC75C4"/>
    <w:rsid w:val="00CC75FD"/>
    <w:rsid w:val="00CC796E"/>
    <w:rsid w:val="00CC7F5E"/>
    <w:rsid w:val="00CC7FF8"/>
    <w:rsid w:val="00CD0145"/>
    <w:rsid w:val="00CD055A"/>
    <w:rsid w:val="00CD0EE2"/>
    <w:rsid w:val="00CD10EF"/>
    <w:rsid w:val="00CD1780"/>
    <w:rsid w:val="00CD189B"/>
    <w:rsid w:val="00CD1B2D"/>
    <w:rsid w:val="00CD27B5"/>
    <w:rsid w:val="00CD2C28"/>
    <w:rsid w:val="00CD2E8A"/>
    <w:rsid w:val="00CD3D46"/>
    <w:rsid w:val="00CD3E02"/>
    <w:rsid w:val="00CD41E0"/>
    <w:rsid w:val="00CD434F"/>
    <w:rsid w:val="00CD4479"/>
    <w:rsid w:val="00CD4BA9"/>
    <w:rsid w:val="00CD4BB1"/>
    <w:rsid w:val="00CD504F"/>
    <w:rsid w:val="00CD50B2"/>
    <w:rsid w:val="00CD51E0"/>
    <w:rsid w:val="00CD52A3"/>
    <w:rsid w:val="00CD533E"/>
    <w:rsid w:val="00CD53C1"/>
    <w:rsid w:val="00CD5BFC"/>
    <w:rsid w:val="00CD61B7"/>
    <w:rsid w:val="00CD62BE"/>
    <w:rsid w:val="00CD669B"/>
    <w:rsid w:val="00CD685C"/>
    <w:rsid w:val="00CD6A7A"/>
    <w:rsid w:val="00CD6A95"/>
    <w:rsid w:val="00CD6AF5"/>
    <w:rsid w:val="00CD6F9E"/>
    <w:rsid w:val="00CD7357"/>
    <w:rsid w:val="00CD757C"/>
    <w:rsid w:val="00CD758D"/>
    <w:rsid w:val="00CD775A"/>
    <w:rsid w:val="00CD7B27"/>
    <w:rsid w:val="00CD7F6A"/>
    <w:rsid w:val="00CE000D"/>
    <w:rsid w:val="00CE037B"/>
    <w:rsid w:val="00CE06FD"/>
    <w:rsid w:val="00CE0AC0"/>
    <w:rsid w:val="00CE0AD0"/>
    <w:rsid w:val="00CE0C02"/>
    <w:rsid w:val="00CE0EF2"/>
    <w:rsid w:val="00CE11D7"/>
    <w:rsid w:val="00CE1736"/>
    <w:rsid w:val="00CE1D9F"/>
    <w:rsid w:val="00CE24BA"/>
    <w:rsid w:val="00CE2CD9"/>
    <w:rsid w:val="00CE2F61"/>
    <w:rsid w:val="00CE3366"/>
    <w:rsid w:val="00CE3952"/>
    <w:rsid w:val="00CE3D62"/>
    <w:rsid w:val="00CE3DCE"/>
    <w:rsid w:val="00CE3FB5"/>
    <w:rsid w:val="00CE41EB"/>
    <w:rsid w:val="00CE4278"/>
    <w:rsid w:val="00CE44D4"/>
    <w:rsid w:val="00CE4524"/>
    <w:rsid w:val="00CE4BD2"/>
    <w:rsid w:val="00CE4C4E"/>
    <w:rsid w:val="00CE4C9B"/>
    <w:rsid w:val="00CE4F25"/>
    <w:rsid w:val="00CE50D1"/>
    <w:rsid w:val="00CE5638"/>
    <w:rsid w:val="00CE571D"/>
    <w:rsid w:val="00CE57A8"/>
    <w:rsid w:val="00CE5E71"/>
    <w:rsid w:val="00CE6108"/>
    <w:rsid w:val="00CE663F"/>
    <w:rsid w:val="00CE6905"/>
    <w:rsid w:val="00CE6AC2"/>
    <w:rsid w:val="00CE6D95"/>
    <w:rsid w:val="00CE6F0C"/>
    <w:rsid w:val="00CE6F12"/>
    <w:rsid w:val="00CE6F98"/>
    <w:rsid w:val="00CE7162"/>
    <w:rsid w:val="00CE72B6"/>
    <w:rsid w:val="00CE76C2"/>
    <w:rsid w:val="00CE76CE"/>
    <w:rsid w:val="00CE7C79"/>
    <w:rsid w:val="00CE7D88"/>
    <w:rsid w:val="00CE7F0E"/>
    <w:rsid w:val="00CE7F60"/>
    <w:rsid w:val="00CF003A"/>
    <w:rsid w:val="00CF0915"/>
    <w:rsid w:val="00CF0B73"/>
    <w:rsid w:val="00CF0EFA"/>
    <w:rsid w:val="00CF10F3"/>
    <w:rsid w:val="00CF14B5"/>
    <w:rsid w:val="00CF1609"/>
    <w:rsid w:val="00CF18C7"/>
    <w:rsid w:val="00CF204B"/>
    <w:rsid w:val="00CF2370"/>
    <w:rsid w:val="00CF23CD"/>
    <w:rsid w:val="00CF2695"/>
    <w:rsid w:val="00CF27EE"/>
    <w:rsid w:val="00CF2C13"/>
    <w:rsid w:val="00CF305C"/>
    <w:rsid w:val="00CF314A"/>
    <w:rsid w:val="00CF32F5"/>
    <w:rsid w:val="00CF332E"/>
    <w:rsid w:val="00CF350E"/>
    <w:rsid w:val="00CF3675"/>
    <w:rsid w:val="00CF39AB"/>
    <w:rsid w:val="00CF3B69"/>
    <w:rsid w:val="00CF3BF8"/>
    <w:rsid w:val="00CF3CA4"/>
    <w:rsid w:val="00CF3D56"/>
    <w:rsid w:val="00CF3E19"/>
    <w:rsid w:val="00CF41CE"/>
    <w:rsid w:val="00CF435D"/>
    <w:rsid w:val="00CF442C"/>
    <w:rsid w:val="00CF4523"/>
    <w:rsid w:val="00CF4CC3"/>
    <w:rsid w:val="00CF4E08"/>
    <w:rsid w:val="00CF545E"/>
    <w:rsid w:val="00CF546E"/>
    <w:rsid w:val="00CF5720"/>
    <w:rsid w:val="00CF5C3E"/>
    <w:rsid w:val="00CF60FC"/>
    <w:rsid w:val="00CF6241"/>
    <w:rsid w:val="00CF6377"/>
    <w:rsid w:val="00CF665D"/>
    <w:rsid w:val="00CF67EE"/>
    <w:rsid w:val="00CF6842"/>
    <w:rsid w:val="00CF693C"/>
    <w:rsid w:val="00CF6C5F"/>
    <w:rsid w:val="00CF6E9C"/>
    <w:rsid w:val="00CF72F6"/>
    <w:rsid w:val="00CF739A"/>
    <w:rsid w:val="00CF73A6"/>
    <w:rsid w:val="00CF7489"/>
    <w:rsid w:val="00CF7595"/>
    <w:rsid w:val="00CF791E"/>
    <w:rsid w:val="00CF79E3"/>
    <w:rsid w:val="00CF7E43"/>
    <w:rsid w:val="00CF7F7F"/>
    <w:rsid w:val="00D0001B"/>
    <w:rsid w:val="00D00126"/>
    <w:rsid w:val="00D0023B"/>
    <w:rsid w:val="00D0083D"/>
    <w:rsid w:val="00D009DF"/>
    <w:rsid w:val="00D01239"/>
    <w:rsid w:val="00D014B8"/>
    <w:rsid w:val="00D01500"/>
    <w:rsid w:val="00D016C9"/>
    <w:rsid w:val="00D01752"/>
    <w:rsid w:val="00D018A1"/>
    <w:rsid w:val="00D01F1C"/>
    <w:rsid w:val="00D01FBB"/>
    <w:rsid w:val="00D02036"/>
    <w:rsid w:val="00D02357"/>
    <w:rsid w:val="00D02479"/>
    <w:rsid w:val="00D024A2"/>
    <w:rsid w:val="00D0258B"/>
    <w:rsid w:val="00D025A9"/>
    <w:rsid w:val="00D02883"/>
    <w:rsid w:val="00D02DBF"/>
    <w:rsid w:val="00D0319A"/>
    <w:rsid w:val="00D0319F"/>
    <w:rsid w:val="00D03634"/>
    <w:rsid w:val="00D03A45"/>
    <w:rsid w:val="00D03A82"/>
    <w:rsid w:val="00D03E2F"/>
    <w:rsid w:val="00D03EE3"/>
    <w:rsid w:val="00D0410F"/>
    <w:rsid w:val="00D04728"/>
    <w:rsid w:val="00D04790"/>
    <w:rsid w:val="00D04AC2"/>
    <w:rsid w:val="00D05159"/>
    <w:rsid w:val="00D052C9"/>
    <w:rsid w:val="00D0535D"/>
    <w:rsid w:val="00D054CD"/>
    <w:rsid w:val="00D05519"/>
    <w:rsid w:val="00D05AD9"/>
    <w:rsid w:val="00D05F74"/>
    <w:rsid w:val="00D06017"/>
    <w:rsid w:val="00D060D4"/>
    <w:rsid w:val="00D06392"/>
    <w:rsid w:val="00D066ED"/>
    <w:rsid w:val="00D06CD0"/>
    <w:rsid w:val="00D072D2"/>
    <w:rsid w:val="00D07470"/>
    <w:rsid w:val="00D07479"/>
    <w:rsid w:val="00D074CA"/>
    <w:rsid w:val="00D07712"/>
    <w:rsid w:val="00D07A9A"/>
    <w:rsid w:val="00D07EA1"/>
    <w:rsid w:val="00D07EB6"/>
    <w:rsid w:val="00D07F7A"/>
    <w:rsid w:val="00D100FA"/>
    <w:rsid w:val="00D10166"/>
    <w:rsid w:val="00D1065C"/>
    <w:rsid w:val="00D106E3"/>
    <w:rsid w:val="00D1082C"/>
    <w:rsid w:val="00D10D13"/>
    <w:rsid w:val="00D10F0C"/>
    <w:rsid w:val="00D10F4B"/>
    <w:rsid w:val="00D111A3"/>
    <w:rsid w:val="00D111AB"/>
    <w:rsid w:val="00D11329"/>
    <w:rsid w:val="00D11555"/>
    <w:rsid w:val="00D1173A"/>
    <w:rsid w:val="00D12077"/>
    <w:rsid w:val="00D122C2"/>
    <w:rsid w:val="00D12324"/>
    <w:rsid w:val="00D12383"/>
    <w:rsid w:val="00D1299F"/>
    <w:rsid w:val="00D129CB"/>
    <w:rsid w:val="00D12C3F"/>
    <w:rsid w:val="00D12D4E"/>
    <w:rsid w:val="00D12F68"/>
    <w:rsid w:val="00D13497"/>
    <w:rsid w:val="00D13670"/>
    <w:rsid w:val="00D14056"/>
    <w:rsid w:val="00D142C2"/>
    <w:rsid w:val="00D149CC"/>
    <w:rsid w:val="00D149EC"/>
    <w:rsid w:val="00D14AB5"/>
    <w:rsid w:val="00D14C7E"/>
    <w:rsid w:val="00D14F39"/>
    <w:rsid w:val="00D151F0"/>
    <w:rsid w:val="00D15325"/>
    <w:rsid w:val="00D15420"/>
    <w:rsid w:val="00D16028"/>
    <w:rsid w:val="00D160D6"/>
    <w:rsid w:val="00D16AD4"/>
    <w:rsid w:val="00D16CA9"/>
    <w:rsid w:val="00D170F5"/>
    <w:rsid w:val="00D17232"/>
    <w:rsid w:val="00D17258"/>
    <w:rsid w:val="00D1782B"/>
    <w:rsid w:val="00D17D76"/>
    <w:rsid w:val="00D17E63"/>
    <w:rsid w:val="00D17F1D"/>
    <w:rsid w:val="00D17F61"/>
    <w:rsid w:val="00D2003E"/>
    <w:rsid w:val="00D206E5"/>
    <w:rsid w:val="00D20836"/>
    <w:rsid w:val="00D20D94"/>
    <w:rsid w:val="00D20ED6"/>
    <w:rsid w:val="00D20EFC"/>
    <w:rsid w:val="00D2137B"/>
    <w:rsid w:val="00D213B3"/>
    <w:rsid w:val="00D216C7"/>
    <w:rsid w:val="00D21BF7"/>
    <w:rsid w:val="00D21CA0"/>
    <w:rsid w:val="00D21DE9"/>
    <w:rsid w:val="00D22435"/>
    <w:rsid w:val="00D22993"/>
    <w:rsid w:val="00D22A59"/>
    <w:rsid w:val="00D22C19"/>
    <w:rsid w:val="00D22E7E"/>
    <w:rsid w:val="00D2365F"/>
    <w:rsid w:val="00D236E8"/>
    <w:rsid w:val="00D23935"/>
    <w:rsid w:val="00D23CA3"/>
    <w:rsid w:val="00D23E97"/>
    <w:rsid w:val="00D23FD0"/>
    <w:rsid w:val="00D242DE"/>
    <w:rsid w:val="00D242EB"/>
    <w:rsid w:val="00D246C5"/>
    <w:rsid w:val="00D24870"/>
    <w:rsid w:val="00D2494D"/>
    <w:rsid w:val="00D24ED0"/>
    <w:rsid w:val="00D25084"/>
    <w:rsid w:val="00D25966"/>
    <w:rsid w:val="00D25BB3"/>
    <w:rsid w:val="00D25E95"/>
    <w:rsid w:val="00D26612"/>
    <w:rsid w:val="00D26771"/>
    <w:rsid w:val="00D26AA3"/>
    <w:rsid w:val="00D26D22"/>
    <w:rsid w:val="00D27625"/>
    <w:rsid w:val="00D27698"/>
    <w:rsid w:val="00D27815"/>
    <w:rsid w:val="00D27B73"/>
    <w:rsid w:val="00D30105"/>
    <w:rsid w:val="00D30161"/>
    <w:rsid w:val="00D3041F"/>
    <w:rsid w:val="00D30581"/>
    <w:rsid w:val="00D30702"/>
    <w:rsid w:val="00D30879"/>
    <w:rsid w:val="00D30AB6"/>
    <w:rsid w:val="00D30DBC"/>
    <w:rsid w:val="00D31306"/>
    <w:rsid w:val="00D31457"/>
    <w:rsid w:val="00D31610"/>
    <w:rsid w:val="00D31629"/>
    <w:rsid w:val="00D316D8"/>
    <w:rsid w:val="00D319B7"/>
    <w:rsid w:val="00D31A34"/>
    <w:rsid w:val="00D31A87"/>
    <w:rsid w:val="00D31ED6"/>
    <w:rsid w:val="00D3206D"/>
    <w:rsid w:val="00D3223C"/>
    <w:rsid w:val="00D327B9"/>
    <w:rsid w:val="00D327F6"/>
    <w:rsid w:val="00D329C7"/>
    <w:rsid w:val="00D329DF"/>
    <w:rsid w:val="00D32C3E"/>
    <w:rsid w:val="00D32F5E"/>
    <w:rsid w:val="00D335CA"/>
    <w:rsid w:val="00D339B9"/>
    <w:rsid w:val="00D33A2B"/>
    <w:rsid w:val="00D33A3B"/>
    <w:rsid w:val="00D33B37"/>
    <w:rsid w:val="00D33EA5"/>
    <w:rsid w:val="00D340CE"/>
    <w:rsid w:val="00D341AF"/>
    <w:rsid w:val="00D34293"/>
    <w:rsid w:val="00D343B5"/>
    <w:rsid w:val="00D343D9"/>
    <w:rsid w:val="00D34679"/>
    <w:rsid w:val="00D34767"/>
    <w:rsid w:val="00D347AA"/>
    <w:rsid w:val="00D34A24"/>
    <w:rsid w:val="00D350BB"/>
    <w:rsid w:val="00D3511F"/>
    <w:rsid w:val="00D353E2"/>
    <w:rsid w:val="00D3545A"/>
    <w:rsid w:val="00D35594"/>
    <w:rsid w:val="00D35863"/>
    <w:rsid w:val="00D35B37"/>
    <w:rsid w:val="00D35CED"/>
    <w:rsid w:val="00D35DCC"/>
    <w:rsid w:val="00D35DEF"/>
    <w:rsid w:val="00D36321"/>
    <w:rsid w:val="00D36361"/>
    <w:rsid w:val="00D364EA"/>
    <w:rsid w:val="00D3679E"/>
    <w:rsid w:val="00D367C5"/>
    <w:rsid w:val="00D36C1A"/>
    <w:rsid w:val="00D36C54"/>
    <w:rsid w:val="00D36DC2"/>
    <w:rsid w:val="00D36DD0"/>
    <w:rsid w:val="00D36E73"/>
    <w:rsid w:val="00D37500"/>
    <w:rsid w:val="00D37590"/>
    <w:rsid w:val="00D379A6"/>
    <w:rsid w:val="00D37A35"/>
    <w:rsid w:val="00D37B7A"/>
    <w:rsid w:val="00D37C6D"/>
    <w:rsid w:val="00D37EC3"/>
    <w:rsid w:val="00D4013D"/>
    <w:rsid w:val="00D40280"/>
    <w:rsid w:val="00D4060B"/>
    <w:rsid w:val="00D4070F"/>
    <w:rsid w:val="00D40759"/>
    <w:rsid w:val="00D4088F"/>
    <w:rsid w:val="00D40F3C"/>
    <w:rsid w:val="00D410F3"/>
    <w:rsid w:val="00D4110A"/>
    <w:rsid w:val="00D41F20"/>
    <w:rsid w:val="00D421BE"/>
    <w:rsid w:val="00D42563"/>
    <w:rsid w:val="00D4280C"/>
    <w:rsid w:val="00D42855"/>
    <w:rsid w:val="00D42ADC"/>
    <w:rsid w:val="00D42C5F"/>
    <w:rsid w:val="00D42CC9"/>
    <w:rsid w:val="00D42E45"/>
    <w:rsid w:val="00D43031"/>
    <w:rsid w:val="00D4304E"/>
    <w:rsid w:val="00D43396"/>
    <w:rsid w:val="00D436E2"/>
    <w:rsid w:val="00D4391D"/>
    <w:rsid w:val="00D43994"/>
    <w:rsid w:val="00D43B4E"/>
    <w:rsid w:val="00D43C44"/>
    <w:rsid w:val="00D43CC6"/>
    <w:rsid w:val="00D43D27"/>
    <w:rsid w:val="00D441B2"/>
    <w:rsid w:val="00D4432C"/>
    <w:rsid w:val="00D44949"/>
    <w:rsid w:val="00D44997"/>
    <w:rsid w:val="00D44D6F"/>
    <w:rsid w:val="00D45048"/>
    <w:rsid w:val="00D45138"/>
    <w:rsid w:val="00D451A4"/>
    <w:rsid w:val="00D451A9"/>
    <w:rsid w:val="00D45514"/>
    <w:rsid w:val="00D45661"/>
    <w:rsid w:val="00D45746"/>
    <w:rsid w:val="00D4588D"/>
    <w:rsid w:val="00D458DE"/>
    <w:rsid w:val="00D45E1E"/>
    <w:rsid w:val="00D4606B"/>
    <w:rsid w:val="00D460ED"/>
    <w:rsid w:val="00D462BC"/>
    <w:rsid w:val="00D46643"/>
    <w:rsid w:val="00D46816"/>
    <w:rsid w:val="00D46A3D"/>
    <w:rsid w:val="00D46C20"/>
    <w:rsid w:val="00D46C90"/>
    <w:rsid w:val="00D46DBC"/>
    <w:rsid w:val="00D46EDF"/>
    <w:rsid w:val="00D47038"/>
    <w:rsid w:val="00D475FA"/>
    <w:rsid w:val="00D47BED"/>
    <w:rsid w:val="00D47C4E"/>
    <w:rsid w:val="00D506B1"/>
    <w:rsid w:val="00D50776"/>
    <w:rsid w:val="00D50853"/>
    <w:rsid w:val="00D50F6C"/>
    <w:rsid w:val="00D510C1"/>
    <w:rsid w:val="00D51727"/>
    <w:rsid w:val="00D51916"/>
    <w:rsid w:val="00D51AB1"/>
    <w:rsid w:val="00D51D38"/>
    <w:rsid w:val="00D5200C"/>
    <w:rsid w:val="00D52333"/>
    <w:rsid w:val="00D525AE"/>
    <w:rsid w:val="00D527EB"/>
    <w:rsid w:val="00D5297D"/>
    <w:rsid w:val="00D52A6A"/>
    <w:rsid w:val="00D52CC7"/>
    <w:rsid w:val="00D52D92"/>
    <w:rsid w:val="00D532A7"/>
    <w:rsid w:val="00D53DF9"/>
    <w:rsid w:val="00D54C87"/>
    <w:rsid w:val="00D54C96"/>
    <w:rsid w:val="00D54D0C"/>
    <w:rsid w:val="00D54EE1"/>
    <w:rsid w:val="00D54FAA"/>
    <w:rsid w:val="00D5522B"/>
    <w:rsid w:val="00D554AA"/>
    <w:rsid w:val="00D5581C"/>
    <w:rsid w:val="00D55831"/>
    <w:rsid w:val="00D55A00"/>
    <w:rsid w:val="00D55CD0"/>
    <w:rsid w:val="00D55F39"/>
    <w:rsid w:val="00D56297"/>
    <w:rsid w:val="00D563A3"/>
    <w:rsid w:val="00D56453"/>
    <w:rsid w:val="00D5650F"/>
    <w:rsid w:val="00D5688F"/>
    <w:rsid w:val="00D56A9B"/>
    <w:rsid w:val="00D56BFF"/>
    <w:rsid w:val="00D56CC1"/>
    <w:rsid w:val="00D56CEB"/>
    <w:rsid w:val="00D56E3D"/>
    <w:rsid w:val="00D574D4"/>
    <w:rsid w:val="00D57624"/>
    <w:rsid w:val="00D57724"/>
    <w:rsid w:val="00D57C67"/>
    <w:rsid w:val="00D57F5E"/>
    <w:rsid w:val="00D57FFA"/>
    <w:rsid w:val="00D60141"/>
    <w:rsid w:val="00D60310"/>
    <w:rsid w:val="00D60933"/>
    <w:rsid w:val="00D60BD7"/>
    <w:rsid w:val="00D60C8C"/>
    <w:rsid w:val="00D60DC4"/>
    <w:rsid w:val="00D60DEC"/>
    <w:rsid w:val="00D6138A"/>
    <w:rsid w:val="00D614E1"/>
    <w:rsid w:val="00D61632"/>
    <w:rsid w:val="00D61657"/>
    <w:rsid w:val="00D617EE"/>
    <w:rsid w:val="00D618A6"/>
    <w:rsid w:val="00D6195D"/>
    <w:rsid w:val="00D61AFE"/>
    <w:rsid w:val="00D61DFC"/>
    <w:rsid w:val="00D61F12"/>
    <w:rsid w:val="00D61FC1"/>
    <w:rsid w:val="00D62073"/>
    <w:rsid w:val="00D624A8"/>
    <w:rsid w:val="00D624CC"/>
    <w:rsid w:val="00D62876"/>
    <w:rsid w:val="00D629CD"/>
    <w:rsid w:val="00D62C95"/>
    <w:rsid w:val="00D62CB8"/>
    <w:rsid w:val="00D62D65"/>
    <w:rsid w:val="00D62EFB"/>
    <w:rsid w:val="00D6311A"/>
    <w:rsid w:val="00D63320"/>
    <w:rsid w:val="00D634C0"/>
    <w:rsid w:val="00D6355E"/>
    <w:rsid w:val="00D63583"/>
    <w:rsid w:val="00D6375D"/>
    <w:rsid w:val="00D637B2"/>
    <w:rsid w:val="00D6393C"/>
    <w:rsid w:val="00D63972"/>
    <w:rsid w:val="00D63C6F"/>
    <w:rsid w:val="00D63CF3"/>
    <w:rsid w:val="00D63EA3"/>
    <w:rsid w:val="00D6426B"/>
    <w:rsid w:val="00D6448F"/>
    <w:rsid w:val="00D64668"/>
    <w:rsid w:val="00D646EA"/>
    <w:rsid w:val="00D64C39"/>
    <w:rsid w:val="00D6525A"/>
    <w:rsid w:val="00D65634"/>
    <w:rsid w:val="00D657D4"/>
    <w:rsid w:val="00D65887"/>
    <w:rsid w:val="00D65D31"/>
    <w:rsid w:val="00D66387"/>
    <w:rsid w:val="00D6641E"/>
    <w:rsid w:val="00D66730"/>
    <w:rsid w:val="00D6689E"/>
    <w:rsid w:val="00D66DF0"/>
    <w:rsid w:val="00D66F3A"/>
    <w:rsid w:val="00D67413"/>
    <w:rsid w:val="00D676BC"/>
    <w:rsid w:val="00D67770"/>
    <w:rsid w:val="00D67794"/>
    <w:rsid w:val="00D67839"/>
    <w:rsid w:val="00D67CBA"/>
    <w:rsid w:val="00D67CD0"/>
    <w:rsid w:val="00D67EAF"/>
    <w:rsid w:val="00D67F92"/>
    <w:rsid w:val="00D67FB8"/>
    <w:rsid w:val="00D70110"/>
    <w:rsid w:val="00D70255"/>
    <w:rsid w:val="00D705F6"/>
    <w:rsid w:val="00D7066C"/>
    <w:rsid w:val="00D70DDC"/>
    <w:rsid w:val="00D717B8"/>
    <w:rsid w:val="00D71850"/>
    <w:rsid w:val="00D71A4C"/>
    <w:rsid w:val="00D71F3F"/>
    <w:rsid w:val="00D7215E"/>
    <w:rsid w:val="00D72194"/>
    <w:rsid w:val="00D7227D"/>
    <w:rsid w:val="00D72443"/>
    <w:rsid w:val="00D72448"/>
    <w:rsid w:val="00D7259C"/>
    <w:rsid w:val="00D7261F"/>
    <w:rsid w:val="00D7286D"/>
    <w:rsid w:val="00D72B2A"/>
    <w:rsid w:val="00D72CA1"/>
    <w:rsid w:val="00D731C0"/>
    <w:rsid w:val="00D73412"/>
    <w:rsid w:val="00D7356F"/>
    <w:rsid w:val="00D73B4B"/>
    <w:rsid w:val="00D73B5E"/>
    <w:rsid w:val="00D73B9F"/>
    <w:rsid w:val="00D73BB7"/>
    <w:rsid w:val="00D7410A"/>
    <w:rsid w:val="00D74556"/>
    <w:rsid w:val="00D74888"/>
    <w:rsid w:val="00D749BC"/>
    <w:rsid w:val="00D74C6D"/>
    <w:rsid w:val="00D7501E"/>
    <w:rsid w:val="00D7508F"/>
    <w:rsid w:val="00D754F2"/>
    <w:rsid w:val="00D75550"/>
    <w:rsid w:val="00D7558A"/>
    <w:rsid w:val="00D75C5F"/>
    <w:rsid w:val="00D75E84"/>
    <w:rsid w:val="00D763AC"/>
    <w:rsid w:val="00D764E5"/>
    <w:rsid w:val="00D768FD"/>
    <w:rsid w:val="00D76E25"/>
    <w:rsid w:val="00D76E70"/>
    <w:rsid w:val="00D772B2"/>
    <w:rsid w:val="00D7732D"/>
    <w:rsid w:val="00D77C03"/>
    <w:rsid w:val="00D77C8C"/>
    <w:rsid w:val="00D77D69"/>
    <w:rsid w:val="00D77F9A"/>
    <w:rsid w:val="00D80519"/>
    <w:rsid w:val="00D80A0A"/>
    <w:rsid w:val="00D80AB5"/>
    <w:rsid w:val="00D80E92"/>
    <w:rsid w:val="00D81098"/>
    <w:rsid w:val="00D810C2"/>
    <w:rsid w:val="00D8157F"/>
    <w:rsid w:val="00D815D0"/>
    <w:rsid w:val="00D81BEE"/>
    <w:rsid w:val="00D81E2E"/>
    <w:rsid w:val="00D822C5"/>
    <w:rsid w:val="00D823D6"/>
    <w:rsid w:val="00D82425"/>
    <w:rsid w:val="00D82515"/>
    <w:rsid w:val="00D82559"/>
    <w:rsid w:val="00D82CE4"/>
    <w:rsid w:val="00D82EBE"/>
    <w:rsid w:val="00D8307B"/>
    <w:rsid w:val="00D8360C"/>
    <w:rsid w:val="00D838BC"/>
    <w:rsid w:val="00D83908"/>
    <w:rsid w:val="00D83916"/>
    <w:rsid w:val="00D83C94"/>
    <w:rsid w:val="00D8474E"/>
    <w:rsid w:val="00D84782"/>
    <w:rsid w:val="00D847E3"/>
    <w:rsid w:val="00D84A77"/>
    <w:rsid w:val="00D84B33"/>
    <w:rsid w:val="00D84B62"/>
    <w:rsid w:val="00D84C23"/>
    <w:rsid w:val="00D84CC3"/>
    <w:rsid w:val="00D84D93"/>
    <w:rsid w:val="00D85D4F"/>
    <w:rsid w:val="00D85E00"/>
    <w:rsid w:val="00D86012"/>
    <w:rsid w:val="00D86868"/>
    <w:rsid w:val="00D871AF"/>
    <w:rsid w:val="00D877EB"/>
    <w:rsid w:val="00D8782F"/>
    <w:rsid w:val="00D8783F"/>
    <w:rsid w:val="00D87CDA"/>
    <w:rsid w:val="00D87F78"/>
    <w:rsid w:val="00D90374"/>
    <w:rsid w:val="00D90941"/>
    <w:rsid w:val="00D90991"/>
    <w:rsid w:val="00D90FB1"/>
    <w:rsid w:val="00D912DE"/>
    <w:rsid w:val="00D9156D"/>
    <w:rsid w:val="00D916A6"/>
    <w:rsid w:val="00D919A7"/>
    <w:rsid w:val="00D919AA"/>
    <w:rsid w:val="00D91CD1"/>
    <w:rsid w:val="00D91E2A"/>
    <w:rsid w:val="00D920A9"/>
    <w:rsid w:val="00D922B2"/>
    <w:rsid w:val="00D9231D"/>
    <w:rsid w:val="00D92498"/>
    <w:rsid w:val="00D92560"/>
    <w:rsid w:val="00D92A2A"/>
    <w:rsid w:val="00D92E85"/>
    <w:rsid w:val="00D93678"/>
    <w:rsid w:val="00D93712"/>
    <w:rsid w:val="00D93859"/>
    <w:rsid w:val="00D938B2"/>
    <w:rsid w:val="00D93FF0"/>
    <w:rsid w:val="00D94C92"/>
    <w:rsid w:val="00D94CD2"/>
    <w:rsid w:val="00D94DBD"/>
    <w:rsid w:val="00D94F71"/>
    <w:rsid w:val="00D9538B"/>
    <w:rsid w:val="00D955D0"/>
    <w:rsid w:val="00D959B8"/>
    <w:rsid w:val="00D95BCE"/>
    <w:rsid w:val="00D95BDA"/>
    <w:rsid w:val="00D960A0"/>
    <w:rsid w:val="00D96214"/>
    <w:rsid w:val="00D96296"/>
    <w:rsid w:val="00D963B6"/>
    <w:rsid w:val="00D96421"/>
    <w:rsid w:val="00D964C9"/>
    <w:rsid w:val="00D96B3B"/>
    <w:rsid w:val="00D96C8A"/>
    <w:rsid w:val="00D9716A"/>
    <w:rsid w:val="00D9735C"/>
    <w:rsid w:val="00D97500"/>
    <w:rsid w:val="00D97AD3"/>
    <w:rsid w:val="00D97B08"/>
    <w:rsid w:val="00DA054D"/>
    <w:rsid w:val="00DA05AD"/>
    <w:rsid w:val="00DA0958"/>
    <w:rsid w:val="00DA0C3F"/>
    <w:rsid w:val="00DA0CD2"/>
    <w:rsid w:val="00DA0E47"/>
    <w:rsid w:val="00DA1384"/>
    <w:rsid w:val="00DA15EA"/>
    <w:rsid w:val="00DA1962"/>
    <w:rsid w:val="00DA1B31"/>
    <w:rsid w:val="00DA1F35"/>
    <w:rsid w:val="00DA1FD0"/>
    <w:rsid w:val="00DA207E"/>
    <w:rsid w:val="00DA2469"/>
    <w:rsid w:val="00DA2CF1"/>
    <w:rsid w:val="00DA2D80"/>
    <w:rsid w:val="00DA2DAC"/>
    <w:rsid w:val="00DA2E4F"/>
    <w:rsid w:val="00DA30BF"/>
    <w:rsid w:val="00DA3A14"/>
    <w:rsid w:val="00DA3CFA"/>
    <w:rsid w:val="00DA3ECA"/>
    <w:rsid w:val="00DA4A42"/>
    <w:rsid w:val="00DA4B39"/>
    <w:rsid w:val="00DA4C44"/>
    <w:rsid w:val="00DA5064"/>
    <w:rsid w:val="00DA531D"/>
    <w:rsid w:val="00DA5359"/>
    <w:rsid w:val="00DA57C6"/>
    <w:rsid w:val="00DA596D"/>
    <w:rsid w:val="00DA5CDF"/>
    <w:rsid w:val="00DA5FD1"/>
    <w:rsid w:val="00DA611F"/>
    <w:rsid w:val="00DA6485"/>
    <w:rsid w:val="00DA64F4"/>
    <w:rsid w:val="00DA661C"/>
    <w:rsid w:val="00DA6BF7"/>
    <w:rsid w:val="00DA6C36"/>
    <w:rsid w:val="00DA7142"/>
    <w:rsid w:val="00DA7185"/>
    <w:rsid w:val="00DA7400"/>
    <w:rsid w:val="00DA7659"/>
    <w:rsid w:val="00DA797C"/>
    <w:rsid w:val="00DA7BC3"/>
    <w:rsid w:val="00DB0011"/>
    <w:rsid w:val="00DB053C"/>
    <w:rsid w:val="00DB088D"/>
    <w:rsid w:val="00DB0C42"/>
    <w:rsid w:val="00DB0CB1"/>
    <w:rsid w:val="00DB0EA3"/>
    <w:rsid w:val="00DB0EDF"/>
    <w:rsid w:val="00DB117A"/>
    <w:rsid w:val="00DB132E"/>
    <w:rsid w:val="00DB189B"/>
    <w:rsid w:val="00DB18CC"/>
    <w:rsid w:val="00DB18FD"/>
    <w:rsid w:val="00DB1999"/>
    <w:rsid w:val="00DB1AE6"/>
    <w:rsid w:val="00DB2126"/>
    <w:rsid w:val="00DB29E2"/>
    <w:rsid w:val="00DB2B17"/>
    <w:rsid w:val="00DB2B6A"/>
    <w:rsid w:val="00DB2DB9"/>
    <w:rsid w:val="00DB2DC7"/>
    <w:rsid w:val="00DB305E"/>
    <w:rsid w:val="00DB3429"/>
    <w:rsid w:val="00DB35E9"/>
    <w:rsid w:val="00DB3705"/>
    <w:rsid w:val="00DB3DEA"/>
    <w:rsid w:val="00DB3F83"/>
    <w:rsid w:val="00DB4333"/>
    <w:rsid w:val="00DB434B"/>
    <w:rsid w:val="00DB4391"/>
    <w:rsid w:val="00DB4410"/>
    <w:rsid w:val="00DB4412"/>
    <w:rsid w:val="00DB47BE"/>
    <w:rsid w:val="00DB4CF5"/>
    <w:rsid w:val="00DB4E90"/>
    <w:rsid w:val="00DB53A2"/>
    <w:rsid w:val="00DB5503"/>
    <w:rsid w:val="00DB5522"/>
    <w:rsid w:val="00DB59B5"/>
    <w:rsid w:val="00DB5A08"/>
    <w:rsid w:val="00DB5A1D"/>
    <w:rsid w:val="00DB5B0D"/>
    <w:rsid w:val="00DB5D79"/>
    <w:rsid w:val="00DB5D8D"/>
    <w:rsid w:val="00DB5E47"/>
    <w:rsid w:val="00DB5F72"/>
    <w:rsid w:val="00DB61AA"/>
    <w:rsid w:val="00DB63C6"/>
    <w:rsid w:val="00DB6754"/>
    <w:rsid w:val="00DB691B"/>
    <w:rsid w:val="00DB706E"/>
    <w:rsid w:val="00DB7789"/>
    <w:rsid w:val="00DB7A45"/>
    <w:rsid w:val="00DC00AC"/>
    <w:rsid w:val="00DC05FC"/>
    <w:rsid w:val="00DC062F"/>
    <w:rsid w:val="00DC07C3"/>
    <w:rsid w:val="00DC09D2"/>
    <w:rsid w:val="00DC0AEC"/>
    <w:rsid w:val="00DC0BB8"/>
    <w:rsid w:val="00DC0C91"/>
    <w:rsid w:val="00DC0C9C"/>
    <w:rsid w:val="00DC115F"/>
    <w:rsid w:val="00DC140B"/>
    <w:rsid w:val="00DC1626"/>
    <w:rsid w:val="00DC17E6"/>
    <w:rsid w:val="00DC18A1"/>
    <w:rsid w:val="00DC19EE"/>
    <w:rsid w:val="00DC1B63"/>
    <w:rsid w:val="00DC1DE7"/>
    <w:rsid w:val="00DC271D"/>
    <w:rsid w:val="00DC2DFB"/>
    <w:rsid w:val="00DC2F31"/>
    <w:rsid w:val="00DC350E"/>
    <w:rsid w:val="00DC352E"/>
    <w:rsid w:val="00DC39B5"/>
    <w:rsid w:val="00DC3CDA"/>
    <w:rsid w:val="00DC3DA6"/>
    <w:rsid w:val="00DC3DC0"/>
    <w:rsid w:val="00DC3DF2"/>
    <w:rsid w:val="00DC3F57"/>
    <w:rsid w:val="00DC4186"/>
    <w:rsid w:val="00DC4BEA"/>
    <w:rsid w:val="00DC4D91"/>
    <w:rsid w:val="00DC4ED2"/>
    <w:rsid w:val="00DC532E"/>
    <w:rsid w:val="00DC5793"/>
    <w:rsid w:val="00DC5B64"/>
    <w:rsid w:val="00DC5C72"/>
    <w:rsid w:val="00DC5F03"/>
    <w:rsid w:val="00DC6066"/>
    <w:rsid w:val="00DC6396"/>
    <w:rsid w:val="00DC64D9"/>
    <w:rsid w:val="00DC65D0"/>
    <w:rsid w:val="00DC663C"/>
    <w:rsid w:val="00DC66A9"/>
    <w:rsid w:val="00DC67F6"/>
    <w:rsid w:val="00DC6D7D"/>
    <w:rsid w:val="00DC6E1A"/>
    <w:rsid w:val="00DC6E76"/>
    <w:rsid w:val="00DC6F22"/>
    <w:rsid w:val="00DC7147"/>
    <w:rsid w:val="00DC7526"/>
    <w:rsid w:val="00DC772C"/>
    <w:rsid w:val="00DC7AD0"/>
    <w:rsid w:val="00DC7D3F"/>
    <w:rsid w:val="00DC7DEB"/>
    <w:rsid w:val="00DD00E1"/>
    <w:rsid w:val="00DD011D"/>
    <w:rsid w:val="00DD04C4"/>
    <w:rsid w:val="00DD04DE"/>
    <w:rsid w:val="00DD0E1A"/>
    <w:rsid w:val="00DD17B4"/>
    <w:rsid w:val="00DD1C10"/>
    <w:rsid w:val="00DD2036"/>
    <w:rsid w:val="00DD22FF"/>
    <w:rsid w:val="00DD2868"/>
    <w:rsid w:val="00DD28D9"/>
    <w:rsid w:val="00DD2AD4"/>
    <w:rsid w:val="00DD3502"/>
    <w:rsid w:val="00DD37AA"/>
    <w:rsid w:val="00DD37C6"/>
    <w:rsid w:val="00DD3879"/>
    <w:rsid w:val="00DD40D9"/>
    <w:rsid w:val="00DD4634"/>
    <w:rsid w:val="00DD48A8"/>
    <w:rsid w:val="00DD4B6E"/>
    <w:rsid w:val="00DD5153"/>
    <w:rsid w:val="00DD5205"/>
    <w:rsid w:val="00DD52B4"/>
    <w:rsid w:val="00DD5339"/>
    <w:rsid w:val="00DD53FF"/>
    <w:rsid w:val="00DD55FD"/>
    <w:rsid w:val="00DD56C0"/>
    <w:rsid w:val="00DD5751"/>
    <w:rsid w:val="00DD57BC"/>
    <w:rsid w:val="00DD5A1B"/>
    <w:rsid w:val="00DD5A2E"/>
    <w:rsid w:val="00DD5CCA"/>
    <w:rsid w:val="00DD5CF1"/>
    <w:rsid w:val="00DD63B1"/>
    <w:rsid w:val="00DD64D3"/>
    <w:rsid w:val="00DD6552"/>
    <w:rsid w:val="00DD660E"/>
    <w:rsid w:val="00DD6828"/>
    <w:rsid w:val="00DD6952"/>
    <w:rsid w:val="00DD696D"/>
    <w:rsid w:val="00DD69C3"/>
    <w:rsid w:val="00DD6C8E"/>
    <w:rsid w:val="00DD715C"/>
    <w:rsid w:val="00DD716C"/>
    <w:rsid w:val="00DD733D"/>
    <w:rsid w:val="00DD7CF8"/>
    <w:rsid w:val="00DD7E0B"/>
    <w:rsid w:val="00DD7E56"/>
    <w:rsid w:val="00DD7FCE"/>
    <w:rsid w:val="00DE00EE"/>
    <w:rsid w:val="00DE01B7"/>
    <w:rsid w:val="00DE078C"/>
    <w:rsid w:val="00DE0825"/>
    <w:rsid w:val="00DE0A0C"/>
    <w:rsid w:val="00DE0ADA"/>
    <w:rsid w:val="00DE0D54"/>
    <w:rsid w:val="00DE0D78"/>
    <w:rsid w:val="00DE0FF8"/>
    <w:rsid w:val="00DE1538"/>
    <w:rsid w:val="00DE166E"/>
    <w:rsid w:val="00DE18BC"/>
    <w:rsid w:val="00DE1964"/>
    <w:rsid w:val="00DE1B67"/>
    <w:rsid w:val="00DE1CFF"/>
    <w:rsid w:val="00DE1E6F"/>
    <w:rsid w:val="00DE1ECC"/>
    <w:rsid w:val="00DE1F5D"/>
    <w:rsid w:val="00DE1FA9"/>
    <w:rsid w:val="00DE2D18"/>
    <w:rsid w:val="00DE2E18"/>
    <w:rsid w:val="00DE2F48"/>
    <w:rsid w:val="00DE33F2"/>
    <w:rsid w:val="00DE3D84"/>
    <w:rsid w:val="00DE459B"/>
    <w:rsid w:val="00DE4608"/>
    <w:rsid w:val="00DE497E"/>
    <w:rsid w:val="00DE49A8"/>
    <w:rsid w:val="00DE4AAF"/>
    <w:rsid w:val="00DE4FC6"/>
    <w:rsid w:val="00DE52F9"/>
    <w:rsid w:val="00DE5647"/>
    <w:rsid w:val="00DE57A4"/>
    <w:rsid w:val="00DE5AE5"/>
    <w:rsid w:val="00DE637B"/>
    <w:rsid w:val="00DE64D7"/>
    <w:rsid w:val="00DE66F6"/>
    <w:rsid w:val="00DE6750"/>
    <w:rsid w:val="00DE6A7F"/>
    <w:rsid w:val="00DE6AC4"/>
    <w:rsid w:val="00DE6BDC"/>
    <w:rsid w:val="00DE7076"/>
    <w:rsid w:val="00DE71A4"/>
    <w:rsid w:val="00DE7A47"/>
    <w:rsid w:val="00DF0122"/>
    <w:rsid w:val="00DF0353"/>
    <w:rsid w:val="00DF06E9"/>
    <w:rsid w:val="00DF0816"/>
    <w:rsid w:val="00DF0BC0"/>
    <w:rsid w:val="00DF0F0A"/>
    <w:rsid w:val="00DF0F8F"/>
    <w:rsid w:val="00DF10CF"/>
    <w:rsid w:val="00DF1899"/>
    <w:rsid w:val="00DF1A4D"/>
    <w:rsid w:val="00DF1D47"/>
    <w:rsid w:val="00DF1E2B"/>
    <w:rsid w:val="00DF1E91"/>
    <w:rsid w:val="00DF21BD"/>
    <w:rsid w:val="00DF221B"/>
    <w:rsid w:val="00DF23C2"/>
    <w:rsid w:val="00DF2725"/>
    <w:rsid w:val="00DF2EB3"/>
    <w:rsid w:val="00DF2F20"/>
    <w:rsid w:val="00DF2F68"/>
    <w:rsid w:val="00DF3025"/>
    <w:rsid w:val="00DF307A"/>
    <w:rsid w:val="00DF336B"/>
    <w:rsid w:val="00DF37E6"/>
    <w:rsid w:val="00DF39A4"/>
    <w:rsid w:val="00DF3A60"/>
    <w:rsid w:val="00DF3AD1"/>
    <w:rsid w:val="00DF3BB4"/>
    <w:rsid w:val="00DF3DD1"/>
    <w:rsid w:val="00DF3EB4"/>
    <w:rsid w:val="00DF3FF3"/>
    <w:rsid w:val="00DF410C"/>
    <w:rsid w:val="00DF4493"/>
    <w:rsid w:val="00DF4648"/>
    <w:rsid w:val="00DF4652"/>
    <w:rsid w:val="00DF4B62"/>
    <w:rsid w:val="00DF4C8D"/>
    <w:rsid w:val="00DF4F68"/>
    <w:rsid w:val="00DF5137"/>
    <w:rsid w:val="00DF5283"/>
    <w:rsid w:val="00DF5659"/>
    <w:rsid w:val="00DF5677"/>
    <w:rsid w:val="00DF589C"/>
    <w:rsid w:val="00DF59EC"/>
    <w:rsid w:val="00DF5F20"/>
    <w:rsid w:val="00DF6055"/>
    <w:rsid w:val="00DF6133"/>
    <w:rsid w:val="00DF61A1"/>
    <w:rsid w:val="00DF61B9"/>
    <w:rsid w:val="00DF636E"/>
    <w:rsid w:val="00DF6493"/>
    <w:rsid w:val="00DF64A4"/>
    <w:rsid w:val="00DF66D7"/>
    <w:rsid w:val="00DF6BCF"/>
    <w:rsid w:val="00DF6C85"/>
    <w:rsid w:val="00DF72A9"/>
    <w:rsid w:val="00DF7423"/>
    <w:rsid w:val="00DF743A"/>
    <w:rsid w:val="00DF75E4"/>
    <w:rsid w:val="00DF7819"/>
    <w:rsid w:val="00DF79E0"/>
    <w:rsid w:val="00E00161"/>
    <w:rsid w:val="00E001F2"/>
    <w:rsid w:val="00E00337"/>
    <w:rsid w:val="00E009F4"/>
    <w:rsid w:val="00E00A56"/>
    <w:rsid w:val="00E00A74"/>
    <w:rsid w:val="00E00AAB"/>
    <w:rsid w:val="00E00B31"/>
    <w:rsid w:val="00E00E02"/>
    <w:rsid w:val="00E00FB1"/>
    <w:rsid w:val="00E00FC9"/>
    <w:rsid w:val="00E0119A"/>
    <w:rsid w:val="00E01A74"/>
    <w:rsid w:val="00E01C8F"/>
    <w:rsid w:val="00E01CE6"/>
    <w:rsid w:val="00E01ED1"/>
    <w:rsid w:val="00E020CE"/>
    <w:rsid w:val="00E022D9"/>
    <w:rsid w:val="00E0254C"/>
    <w:rsid w:val="00E0275F"/>
    <w:rsid w:val="00E02B1F"/>
    <w:rsid w:val="00E02ECF"/>
    <w:rsid w:val="00E03664"/>
    <w:rsid w:val="00E03805"/>
    <w:rsid w:val="00E03890"/>
    <w:rsid w:val="00E0393F"/>
    <w:rsid w:val="00E03985"/>
    <w:rsid w:val="00E03A57"/>
    <w:rsid w:val="00E03A94"/>
    <w:rsid w:val="00E03B12"/>
    <w:rsid w:val="00E03BB2"/>
    <w:rsid w:val="00E03C1B"/>
    <w:rsid w:val="00E0402E"/>
    <w:rsid w:val="00E046DC"/>
    <w:rsid w:val="00E04CD9"/>
    <w:rsid w:val="00E0517E"/>
    <w:rsid w:val="00E051AB"/>
    <w:rsid w:val="00E05223"/>
    <w:rsid w:val="00E052FD"/>
    <w:rsid w:val="00E05900"/>
    <w:rsid w:val="00E05963"/>
    <w:rsid w:val="00E05EF0"/>
    <w:rsid w:val="00E06657"/>
    <w:rsid w:val="00E06708"/>
    <w:rsid w:val="00E06942"/>
    <w:rsid w:val="00E06C6E"/>
    <w:rsid w:val="00E06D7A"/>
    <w:rsid w:val="00E06E26"/>
    <w:rsid w:val="00E06F2E"/>
    <w:rsid w:val="00E07132"/>
    <w:rsid w:val="00E07403"/>
    <w:rsid w:val="00E07642"/>
    <w:rsid w:val="00E076D0"/>
    <w:rsid w:val="00E077C2"/>
    <w:rsid w:val="00E077D7"/>
    <w:rsid w:val="00E07A57"/>
    <w:rsid w:val="00E10044"/>
    <w:rsid w:val="00E1075F"/>
    <w:rsid w:val="00E1079E"/>
    <w:rsid w:val="00E10CC8"/>
    <w:rsid w:val="00E11041"/>
    <w:rsid w:val="00E1134D"/>
    <w:rsid w:val="00E113FA"/>
    <w:rsid w:val="00E11710"/>
    <w:rsid w:val="00E1176B"/>
    <w:rsid w:val="00E117F7"/>
    <w:rsid w:val="00E1186F"/>
    <w:rsid w:val="00E12285"/>
    <w:rsid w:val="00E12475"/>
    <w:rsid w:val="00E127A1"/>
    <w:rsid w:val="00E12A65"/>
    <w:rsid w:val="00E12ACC"/>
    <w:rsid w:val="00E12E1D"/>
    <w:rsid w:val="00E13058"/>
    <w:rsid w:val="00E13266"/>
    <w:rsid w:val="00E132F0"/>
    <w:rsid w:val="00E138E6"/>
    <w:rsid w:val="00E13F30"/>
    <w:rsid w:val="00E1474B"/>
    <w:rsid w:val="00E147C3"/>
    <w:rsid w:val="00E147FD"/>
    <w:rsid w:val="00E14A8A"/>
    <w:rsid w:val="00E14C77"/>
    <w:rsid w:val="00E14FF5"/>
    <w:rsid w:val="00E153A0"/>
    <w:rsid w:val="00E153E7"/>
    <w:rsid w:val="00E15428"/>
    <w:rsid w:val="00E157FA"/>
    <w:rsid w:val="00E15854"/>
    <w:rsid w:val="00E15947"/>
    <w:rsid w:val="00E15D6F"/>
    <w:rsid w:val="00E15D8B"/>
    <w:rsid w:val="00E15DC5"/>
    <w:rsid w:val="00E15DE4"/>
    <w:rsid w:val="00E15DEF"/>
    <w:rsid w:val="00E15DFE"/>
    <w:rsid w:val="00E15E9E"/>
    <w:rsid w:val="00E15F73"/>
    <w:rsid w:val="00E15F7F"/>
    <w:rsid w:val="00E161F9"/>
    <w:rsid w:val="00E16508"/>
    <w:rsid w:val="00E165D0"/>
    <w:rsid w:val="00E165DD"/>
    <w:rsid w:val="00E16D56"/>
    <w:rsid w:val="00E16DD7"/>
    <w:rsid w:val="00E16FCF"/>
    <w:rsid w:val="00E173DB"/>
    <w:rsid w:val="00E17778"/>
    <w:rsid w:val="00E1785C"/>
    <w:rsid w:val="00E17D1D"/>
    <w:rsid w:val="00E17D3F"/>
    <w:rsid w:val="00E17E15"/>
    <w:rsid w:val="00E20397"/>
    <w:rsid w:val="00E206EC"/>
    <w:rsid w:val="00E2084B"/>
    <w:rsid w:val="00E208DA"/>
    <w:rsid w:val="00E20985"/>
    <w:rsid w:val="00E20D44"/>
    <w:rsid w:val="00E20DEF"/>
    <w:rsid w:val="00E21820"/>
    <w:rsid w:val="00E21F34"/>
    <w:rsid w:val="00E221A6"/>
    <w:rsid w:val="00E2221F"/>
    <w:rsid w:val="00E222D7"/>
    <w:rsid w:val="00E2233E"/>
    <w:rsid w:val="00E22541"/>
    <w:rsid w:val="00E225AC"/>
    <w:rsid w:val="00E229C5"/>
    <w:rsid w:val="00E22D7A"/>
    <w:rsid w:val="00E22E0B"/>
    <w:rsid w:val="00E22E43"/>
    <w:rsid w:val="00E22F57"/>
    <w:rsid w:val="00E23247"/>
    <w:rsid w:val="00E23320"/>
    <w:rsid w:val="00E23648"/>
    <w:rsid w:val="00E23681"/>
    <w:rsid w:val="00E236F8"/>
    <w:rsid w:val="00E237A3"/>
    <w:rsid w:val="00E23C92"/>
    <w:rsid w:val="00E23DC3"/>
    <w:rsid w:val="00E23EBA"/>
    <w:rsid w:val="00E2411A"/>
    <w:rsid w:val="00E245F0"/>
    <w:rsid w:val="00E24A42"/>
    <w:rsid w:val="00E24A95"/>
    <w:rsid w:val="00E24B41"/>
    <w:rsid w:val="00E25330"/>
    <w:rsid w:val="00E2549D"/>
    <w:rsid w:val="00E254A1"/>
    <w:rsid w:val="00E254B6"/>
    <w:rsid w:val="00E2589D"/>
    <w:rsid w:val="00E25999"/>
    <w:rsid w:val="00E25A42"/>
    <w:rsid w:val="00E25F96"/>
    <w:rsid w:val="00E26113"/>
    <w:rsid w:val="00E26490"/>
    <w:rsid w:val="00E266A4"/>
    <w:rsid w:val="00E26853"/>
    <w:rsid w:val="00E268DE"/>
    <w:rsid w:val="00E269A8"/>
    <w:rsid w:val="00E26A9F"/>
    <w:rsid w:val="00E26F72"/>
    <w:rsid w:val="00E27064"/>
    <w:rsid w:val="00E27137"/>
    <w:rsid w:val="00E27232"/>
    <w:rsid w:val="00E27320"/>
    <w:rsid w:val="00E2798A"/>
    <w:rsid w:val="00E27AC8"/>
    <w:rsid w:val="00E27D57"/>
    <w:rsid w:val="00E27D82"/>
    <w:rsid w:val="00E300A3"/>
    <w:rsid w:val="00E3013A"/>
    <w:rsid w:val="00E305B9"/>
    <w:rsid w:val="00E30B72"/>
    <w:rsid w:val="00E30D88"/>
    <w:rsid w:val="00E31534"/>
    <w:rsid w:val="00E31675"/>
    <w:rsid w:val="00E31832"/>
    <w:rsid w:val="00E31AD8"/>
    <w:rsid w:val="00E31AD9"/>
    <w:rsid w:val="00E31C6A"/>
    <w:rsid w:val="00E31D94"/>
    <w:rsid w:val="00E31DCA"/>
    <w:rsid w:val="00E32400"/>
    <w:rsid w:val="00E3241C"/>
    <w:rsid w:val="00E324D9"/>
    <w:rsid w:val="00E3270B"/>
    <w:rsid w:val="00E3299C"/>
    <w:rsid w:val="00E32D76"/>
    <w:rsid w:val="00E32D8A"/>
    <w:rsid w:val="00E32E1D"/>
    <w:rsid w:val="00E334D3"/>
    <w:rsid w:val="00E339E3"/>
    <w:rsid w:val="00E33AA2"/>
    <w:rsid w:val="00E33AD0"/>
    <w:rsid w:val="00E33B46"/>
    <w:rsid w:val="00E33B5F"/>
    <w:rsid w:val="00E33E88"/>
    <w:rsid w:val="00E3425C"/>
    <w:rsid w:val="00E34291"/>
    <w:rsid w:val="00E3434F"/>
    <w:rsid w:val="00E343FB"/>
    <w:rsid w:val="00E3454D"/>
    <w:rsid w:val="00E34615"/>
    <w:rsid w:val="00E346D1"/>
    <w:rsid w:val="00E34950"/>
    <w:rsid w:val="00E34C15"/>
    <w:rsid w:val="00E34CC4"/>
    <w:rsid w:val="00E34CD6"/>
    <w:rsid w:val="00E34D53"/>
    <w:rsid w:val="00E34F32"/>
    <w:rsid w:val="00E35306"/>
    <w:rsid w:val="00E3533E"/>
    <w:rsid w:val="00E353A7"/>
    <w:rsid w:val="00E3570C"/>
    <w:rsid w:val="00E357EF"/>
    <w:rsid w:val="00E35847"/>
    <w:rsid w:val="00E35941"/>
    <w:rsid w:val="00E35C83"/>
    <w:rsid w:val="00E35CBC"/>
    <w:rsid w:val="00E36242"/>
    <w:rsid w:val="00E3642B"/>
    <w:rsid w:val="00E364B1"/>
    <w:rsid w:val="00E36938"/>
    <w:rsid w:val="00E36ADE"/>
    <w:rsid w:val="00E36C7A"/>
    <w:rsid w:val="00E37265"/>
    <w:rsid w:val="00E3744F"/>
    <w:rsid w:val="00E37983"/>
    <w:rsid w:val="00E37CC0"/>
    <w:rsid w:val="00E37EFC"/>
    <w:rsid w:val="00E37FA1"/>
    <w:rsid w:val="00E4012A"/>
    <w:rsid w:val="00E40370"/>
    <w:rsid w:val="00E403C9"/>
    <w:rsid w:val="00E4178C"/>
    <w:rsid w:val="00E41811"/>
    <w:rsid w:val="00E41894"/>
    <w:rsid w:val="00E41D0E"/>
    <w:rsid w:val="00E421DB"/>
    <w:rsid w:val="00E423DE"/>
    <w:rsid w:val="00E4249D"/>
    <w:rsid w:val="00E427A4"/>
    <w:rsid w:val="00E42A10"/>
    <w:rsid w:val="00E42B2C"/>
    <w:rsid w:val="00E42B43"/>
    <w:rsid w:val="00E42C4F"/>
    <w:rsid w:val="00E42CDE"/>
    <w:rsid w:val="00E42CFB"/>
    <w:rsid w:val="00E432C3"/>
    <w:rsid w:val="00E43483"/>
    <w:rsid w:val="00E4362E"/>
    <w:rsid w:val="00E43AB6"/>
    <w:rsid w:val="00E43CA7"/>
    <w:rsid w:val="00E43F96"/>
    <w:rsid w:val="00E43FDA"/>
    <w:rsid w:val="00E440AF"/>
    <w:rsid w:val="00E44812"/>
    <w:rsid w:val="00E44AA7"/>
    <w:rsid w:val="00E44ED1"/>
    <w:rsid w:val="00E454E1"/>
    <w:rsid w:val="00E45604"/>
    <w:rsid w:val="00E457C4"/>
    <w:rsid w:val="00E45AE9"/>
    <w:rsid w:val="00E45C10"/>
    <w:rsid w:val="00E461D9"/>
    <w:rsid w:val="00E4622C"/>
    <w:rsid w:val="00E46555"/>
    <w:rsid w:val="00E4666D"/>
    <w:rsid w:val="00E46DFD"/>
    <w:rsid w:val="00E46F2F"/>
    <w:rsid w:val="00E47056"/>
    <w:rsid w:val="00E4731C"/>
    <w:rsid w:val="00E47350"/>
    <w:rsid w:val="00E47360"/>
    <w:rsid w:val="00E47386"/>
    <w:rsid w:val="00E4738A"/>
    <w:rsid w:val="00E4740C"/>
    <w:rsid w:val="00E4754C"/>
    <w:rsid w:val="00E4784C"/>
    <w:rsid w:val="00E4793A"/>
    <w:rsid w:val="00E47FDD"/>
    <w:rsid w:val="00E5014D"/>
    <w:rsid w:val="00E50255"/>
    <w:rsid w:val="00E5025E"/>
    <w:rsid w:val="00E51102"/>
    <w:rsid w:val="00E513FF"/>
    <w:rsid w:val="00E51605"/>
    <w:rsid w:val="00E519C2"/>
    <w:rsid w:val="00E51A09"/>
    <w:rsid w:val="00E52279"/>
    <w:rsid w:val="00E522CD"/>
    <w:rsid w:val="00E5237B"/>
    <w:rsid w:val="00E5261F"/>
    <w:rsid w:val="00E526FB"/>
    <w:rsid w:val="00E527B4"/>
    <w:rsid w:val="00E5282A"/>
    <w:rsid w:val="00E5294A"/>
    <w:rsid w:val="00E52E23"/>
    <w:rsid w:val="00E52FAA"/>
    <w:rsid w:val="00E536B3"/>
    <w:rsid w:val="00E53751"/>
    <w:rsid w:val="00E53A20"/>
    <w:rsid w:val="00E53C0A"/>
    <w:rsid w:val="00E53FF6"/>
    <w:rsid w:val="00E53FFE"/>
    <w:rsid w:val="00E54275"/>
    <w:rsid w:val="00E5433D"/>
    <w:rsid w:val="00E54493"/>
    <w:rsid w:val="00E5467F"/>
    <w:rsid w:val="00E546B7"/>
    <w:rsid w:val="00E546F6"/>
    <w:rsid w:val="00E5491E"/>
    <w:rsid w:val="00E549F9"/>
    <w:rsid w:val="00E54A2C"/>
    <w:rsid w:val="00E54BEF"/>
    <w:rsid w:val="00E55585"/>
    <w:rsid w:val="00E55BFA"/>
    <w:rsid w:val="00E5621F"/>
    <w:rsid w:val="00E56355"/>
    <w:rsid w:val="00E567D0"/>
    <w:rsid w:val="00E56930"/>
    <w:rsid w:val="00E56981"/>
    <w:rsid w:val="00E56993"/>
    <w:rsid w:val="00E56D91"/>
    <w:rsid w:val="00E56EA1"/>
    <w:rsid w:val="00E56F4A"/>
    <w:rsid w:val="00E56F99"/>
    <w:rsid w:val="00E5703E"/>
    <w:rsid w:val="00E57368"/>
    <w:rsid w:val="00E5739E"/>
    <w:rsid w:val="00E57679"/>
    <w:rsid w:val="00E57F8A"/>
    <w:rsid w:val="00E57FB3"/>
    <w:rsid w:val="00E602CF"/>
    <w:rsid w:val="00E6065D"/>
    <w:rsid w:val="00E607DD"/>
    <w:rsid w:val="00E60B38"/>
    <w:rsid w:val="00E617DD"/>
    <w:rsid w:val="00E61AE9"/>
    <w:rsid w:val="00E61C2E"/>
    <w:rsid w:val="00E61CC4"/>
    <w:rsid w:val="00E61E72"/>
    <w:rsid w:val="00E62227"/>
    <w:rsid w:val="00E6230F"/>
    <w:rsid w:val="00E62625"/>
    <w:rsid w:val="00E62E22"/>
    <w:rsid w:val="00E6318C"/>
    <w:rsid w:val="00E632AA"/>
    <w:rsid w:val="00E633FF"/>
    <w:rsid w:val="00E63BB4"/>
    <w:rsid w:val="00E63C31"/>
    <w:rsid w:val="00E63C40"/>
    <w:rsid w:val="00E63CDD"/>
    <w:rsid w:val="00E644C5"/>
    <w:rsid w:val="00E64691"/>
    <w:rsid w:val="00E648F7"/>
    <w:rsid w:val="00E64ECA"/>
    <w:rsid w:val="00E64FBE"/>
    <w:rsid w:val="00E650E5"/>
    <w:rsid w:val="00E651C3"/>
    <w:rsid w:val="00E65CEB"/>
    <w:rsid w:val="00E661A8"/>
    <w:rsid w:val="00E66381"/>
    <w:rsid w:val="00E663B5"/>
    <w:rsid w:val="00E6659A"/>
    <w:rsid w:val="00E66752"/>
    <w:rsid w:val="00E6677C"/>
    <w:rsid w:val="00E66AAD"/>
    <w:rsid w:val="00E66BF6"/>
    <w:rsid w:val="00E66E4E"/>
    <w:rsid w:val="00E6735F"/>
    <w:rsid w:val="00E673C0"/>
    <w:rsid w:val="00E67A9C"/>
    <w:rsid w:val="00E67BCB"/>
    <w:rsid w:val="00E67C21"/>
    <w:rsid w:val="00E67F3F"/>
    <w:rsid w:val="00E700D9"/>
    <w:rsid w:val="00E70509"/>
    <w:rsid w:val="00E7091F"/>
    <w:rsid w:val="00E71118"/>
    <w:rsid w:val="00E71236"/>
    <w:rsid w:val="00E71531"/>
    <w:rsid w:val="00E7156A"/>
    <w:rsid w:val="00E71B43"/>
    <w:rsid w:val="00E71C25"/>
    <w:rsid w:val="00E71E33"/>
    <w:rsid w:val="00E7229E"/>
    <w:rsid w:val="00E725E7"/>
    <w:rsid w:val="00E72E02"/>
    <w:rsid w:val="00E73402"/>
    <w:rsid w:val="00E735F3"/>
    <w:rsid w:val="00E73883"/>
    <w:rsid w:val="00E73E40"/>
    <w:rsid w:val="00E73E95"/>
    <w:rsid w:val="00E73F1D"/>
    <w:rsid w:val="00E744CB"/>
    <w:rsid w:val="00E747CA"/>
    <w:rsid w:val="00E74963"/>
    <w:rsid w:val="00E74A62"/>
    <w:rsid w:val="00E74AFA"/>
    <w:rsid w:val="00E74D1B"/>
    <w:rsid w:val="00E74D60"/>
    <w:rsid w:val="00E751C3"/>
    <w:rsid w:val="00E7561D"/>
    <w:rsid w:val="00E7575C"/>
    <w:rsid w:val="00E75C13"/>
    <w:rsid w:val="00E75C1D"/>
    <w:rsid w:val="00E75E93"/>
    <w:rsid w:val="00E75FE0"/>
    <w:rsid w:val="00E7623C"/>
    <w:rsid w:val="00E765D9"/>
    <w:rsid w:val="00E768DB"/>
    <w:rsid w:val="00E77013"/>
    <w:rsid w:val="00E77039"/>
    <w:rsid w:val="00E77210"/>
    <w:rsid w:val="00E773EC"/>
    <w:rsid w:val="00E774CF"/>
    <w:rsid w:val="00E77510"/>
    <w:rsid w:val="00E776FC"/>
    <w:rsid w:val="00E7771F"/>
    <w:rsid w:val="00E778C4"/>
    <w:rsid w:val="00E8001E"/>
    <w:rsid w:val="00E80053"/>
    <w:rsid w:val="00E80082"/>
    <w:rsid w:val="00E80136"/>
    <w:rsid w:val="00E805CF"/>
    <w:rsid w:val="00E80628"/>
    <w:rsid w:val="00E80BF3"/>
    <w:rsid w:val="00E80CEF"/>
    <w:rsid w:val="00E80D82"/>
    <w:rsid w:val="00E80E28"/>
    <w:rsid w:val="00E80E35"/>
    <w:rsid w:val="00E81379"/>
    <w:rsid w:val="00E81657"/>
    <w:rsid w:val="00E8188B"/>
    <w:rsid w:val="00E81C02"/>
    <w:rsid w:val="00E81C16"/>
    <w:rsid w:val="00E81C5A"/>
    <w:rsid w:val="00E81D08"/>
    <w:rsid w:val="00E81D1C"/>
    <w:rsid w:val="00E81E93"/>
    <w:rsid w:val="00E81F19"/>
    <w:rsid w:val="00E822FE"/>
    <w:rsid w:val="00E8276F"/>
    <w:rsid w:val="00E82807"/>
    <w:rsid w:val="00E82914"/>
    <w:rsid w:val="00E82F0C"/>
    <w:rsid w:val="00E82F22"/>
    <w:rsid w:val="00E82F5F"/>
    <w:rsid w:val="00E83CA7"/>
    <w:rsid w:val="00E8405D"/>
    <w:rsid w:val="00E8417B"/>
    <w:rsid w:val="00E84561"/>
    <w:rsid w:val="00E84D54"/>
    <w:rsid w:val="00E85209"/>
    <w:rsid w:val="00E85546"/>
    <w:rsid w:val="00E8560B"/>
    <w:rsid w:val="00E85B77"/>
    <w:rsid w:val="00E85D8B"/>
    <w:rsid w:val="00E85F98"/>
    <w:rsid w:val="00E870F2"/>
    <w:rsid w:val="00E8724A"/>
    <w:rsid w:val="00E87432"/>
    <w:rsid w:val="00E87A0C"/>
    <w:rsid w:val="00E87D48"/>
    <w:rsid w:val="00E87ECD"/>
    <w:rsid w:val="00E903D0"/>
    <w:rsid w:val="00E90418"/>
    <w:rsid w:val="00E90564"/>
    <w:rsid w:val="00E9060C"/>
    <w:rsid w:val="00E90A27"/>
    <w:rsid w:val="00E90CF8"/>
    <w:rsid w:val="00E90E3F"/>
    <w:rsid w:val="00E90E75"/>
    <w:rsid w:val="00E91091"/>
    <w:rsid w:val="00E915FC"/>
    <w:rsid w:val="00E91722"/>
    <w:rsid w:val="00E9178E"/>
    <w:rsid w:val="00E91D97"/>
    <w:rsid w:val="00E91E90"/>
    <w:rsid w:val="00E91F5B"/>
    <w:rsid w:val="00E92381"/>
    <w:rsid w:val="00E925E8"/>
    <w:rsid w:val="00E92827"/>
    <w:rsid w:val="00E928EC"/>
    <w:rsid w:val="00E928FD"/>
    <w:rsid w:val="00E92AFA"/>
    <w:rsid w:val="00E93304"/>
    <w:rsid w:val="00E93713"/>
    <w:rsid w:val="00E93795"/>
    <w:rsid w:val="00E937C4"/>
    <w:rsid w:val="00E93A18"/>
    <w:rsid w:val="00E93F90"/>
    <w:rsid w:val="00E942C9"/>
    <w:rsid w:val="00E943B8"/>
    <w:rsid w:val="00E94411"/>
    <w:rsid w:val="00E94477"/>
    <w:rsid w:val="00E94C20"/>
    <w:rsid w:val="00E94D11"/>
    <w:rsid w:val="00E95483"/>
    <w:rsid w:val="00E9549C"/>
    <w:rsid w:val="00E95544"/>
    <w:rsid w:val="00E955B6"/>
    <w:rsid w:val="00E95732"/>
    <w:rsid w:val="00E95810"/>
    <w:rsid w:val="00E9582B"/>
    <w:rsid w:val="00E958A8"/>
    <w:rsid w:val="00E959D5"/>
    <w:rsid w:val="00E95DAE"/>
    <w:rsid w:val="00E961FB"/>
    <w:rsid w:val="00E96215"/>
    <w:rsid w:val="00E96419"/>
    <w:rsid w:val="00E9662A"/>
    <w:rsid w:val="00E96684"/>
    <w:rsid w:val="00E96851"/>
    <w:rsid w:val="00E968BF"/>
    <w:rsid w:val="00E96CC0"/>
    <w:rsid w:val="00E96EC1"/>
    <w:rsid w:val="00E96F0F"/>
    <w:rsid w:val="00E97078"/>
    <w:rsid w:val="00E97661"/>
    <w:rsid w:val="00E97680"/>
    <w:rsid w:val="00E978E6"/>
    <w:rsid w:val="00E97A67"/>
    <w:rsid w:val="00E97E3C"/>
    <w:rsid w:val="00EA051C"/>
    <w:rsid w:val="00EA0AA6"/>
    <w:rsid w:val="00EA0F20"/>
    <w:rsid w:val="00EA1115"/>
    <w:rsid w:val="00EA1184"/>
    <w:rsid w:val="00EA11A9"/>
    <w:rsid w:val="00EA12B9"/>
    <w:rsid w:val="00EA15B7"/>
    <w:rsid w:val="00EA2163"/>
    <w:rsid w:val="00EA2228"/>
    <w:rsid w:val="00EA238D"/>
    <w:rsid w:val="00EA23F9"/>
    <w:rsid w:val="00EA2419"/>
    <w:rsid w:val="00EA2748"/>
    <w:rsid w:val="00EA2CAD"/>
    <w:rsid w:val="00EA2D60"/>
    <w:rsid w:val="00EA2E3B"/>
    <w:rsid w:val="00EA2E86"/>
    <w:rsid w:val="00EA2EA3"/>
    <w:rsid w:val="00EA312C"/>
    <w:rsid w:val="00EA3650"/>
    <w:rsid w:val="00EA37AC"/>
    <w:rsid w:val="00EA3880"/>
    <w:rsid w:val="00EA393E"/>
    <w:rsid w:val="00EA3AB8"/>
    <w:rsid w:val="00EA41BF"/>
    <w:rsid w:val="00EA41C5"/>
    <w:rsid w:val="00EA43F5"/>
    <w:rsid w:val="00EA4561"/>
    <w:rsid w:val="00EA498A"/>
    <w:rsid w:val="00EA4A05"/>
    <w:rsid w:val="00EA4B2F"/>
    <w:rsid w:val="00EA4B90"/>
    <w:rsid w:val="00EA5478"/>
    <w:rsid w:val="00EA555F"/>
    <w:rsid w:val="00EA5610"/>
    <w:rsid w:val="00EA5C76"/>
    <w:rsid w:val="00EA5D72"/>
    <w:rsid w:val="00EA5DB9"/>
    <w:rsid w:val="00EA5DE5"/>
    <w:rsid w:val="00EA5FAA"/>
    <w:rsid w:val="00EA5FF6"/>
    <w:rsid w:val="00EA6413"/>
    <w:rsid w:val="00EA677E"/>
    <w:rsid w:val="00EA6A91"/>
    <w:rsid w:val="00EA6DBB"/>
    <w:rsid w:val="00EA723D"/>
    <w:rsid w:val="00EA75BE"/>
    <w:rsid w:val="00EA7703"/>
    <w:rsid w:val="00EA7B4E"/>
    <w:rsid w:val="00EA7B79"/>
    <w:rsid w:val="00EA7E80"/>
    <w:rsid w:val="00EA7FA3"/>
    <w:rsid w:val="00EB0149"/>
    <w:rsid w:val="00EB0470"/>
    <w:rsid w:val="00EB07A8"/>
    <w:rsid w:val="00EB0B45"/>
    <w:rsid w:val="00EB0C86"/>
    <w:rsid w:val="00EB115A"/>
    <w:rsid w:val="00EB1737"/>
    <w:rsid w:val="00EB195F"/>
    <w:rsid w:val="00EB1A87"/>
    <w:rsid w:val="00EB1AF1"/>
    <w:rsid w:val="00EB1CA9"/>
    <w:rsid w:val="00EB1E00"/>
    <w:rsid w:val="00EB1F76"/>
    <w:rsid w:val="00EB209E"/>
    <w:rsid w:val="00EB2B46"/>
    <w:rsid w:val="00EB2E5D"/>
    <w:rsid w:val="00EB3234"/>
    <w:rsid w:val="00EB3261"/>
    <w:rsid w:val="00EB3269"/>
    <w:rsid w:val="00EB330E"/>
    <w:rsid w:val="00EB344A"/>
    <w:rsid w:val="00EB36D9"/>
    <w:rsid w:val="00EB3C6F"/>
    <w:rsid w:val="00EB3DDE"/>
    <w:rsid w:val="00EB3F02"/>
    <w:rsid w:val="00EB3FFC"/>
    <w:rsid w:val="00EB414C"/>
    <w:rsid w:val="00EB454F"/>
    <w:rsid w:val="00EB4A89"/>
    <w:rsid w:val="00EB4AD0"/>
    <w:rsid w:val="00EB50C7"/>
    <w:rsid w:val="00EB5189"/>
    <w:rsid w:val="00EB5257"/>
    <w:rsid w:val="00EB57E5"/>
    <w:rsid w:val="00EB58B6"/>
    <w:rsid w:val="00EB5B36"/>
    <w:rsid w:val="00EB5C73"/>
    <w:rsid w:val="00EB5CD1"/>
    <w:rsid w:val="00EB6049"/>
    <w:rsid w:val="00EB6324"/>
    <w:rsid w:val="00EB64E0"/>
    <w:rsid w:val="00EB68CB"/>
    <w:rsid w:val="00EB6CDB"/>
    <w:rsid w:val="00EB7970"/>
    <w:rsid w:val="00EB7B58"/>
    <w:rsid w:val="00EB7E9A"/>
    <w:rsid w:val="00EB7FEB"/>
    <w:rsid w:val="00EC0227"/>
    <w:rsid w:val="00EC03A4"/>
    <w:rsid w:val="00EC0601"/>
    <w:rsid w:val="00EC060C"/>
    <w:rsid w:val="00EC0AE0"/>
    <w:rsid w:val="00EC0BF1"/>
    <w:rsid w:val="00EC0E7A"/>
    <w:rsid w:val="00EC10E7"/>
    <w:rsid w:val="00EC12AA"/>
    <w:rsid w:val="00EC137E"/>
    <w:rsid w:val="00EC1A22"/>
    <w:rsid w:val="00EC1B0B"/>
    <w:rsid w:val="00EC1B12"/>
    <w:rsid w:val="00EC2091"/>
    <w:rsid w:val="00EC239A"/>
    <w:rsid w:val="00EC2515"/>
    <w:rsid w:val="00EC2703"/>
    <w:rsid w:val="00EC29AB"/>
    <w:rsid w:val="00EC2E78"/>
    <w:rsid w:val="00EC2FFE"/>
    <w:rsid w:val="00EC3236"/>
    <w:rsid w:val="00EC3259"/>
    <w:rsid w:val="00EC33B2"/>
    <w:rsid w:val="00EC3913"/>
    <w:rsid w:val="00EC4000"/>
    <w:rsid w:val="00EC47E2"/>
    <w:rsid w:val="00EC4960"/>
    <w:rsid w:val="00EC5239"/>
    <w:rsid w:val="00EC5778"/>
    <w:rsid w:val="00EC5A35"/>
    <w:rsid w:val="00EC5E86"/>
    <w:rsid w:val="00EC6017"/>
    <w:rsid w:val="00EC619C"/>
    <w:rsid w:val="00EC623E"/>
    <w:rsid w:val="00EC654E"/>
    <w:rsid w:val="00EC6698"/>
    <w:rsid w:val="00EC6A06"/>
    <w:rsid w:val="00EC6CC9"/>
    <w:rsid w:val="00EC6CE2"/>
    <w:rsid w:val="00EC6D8D"/>
    <w:rsid w:val="00EC6F17"/>
    <w:rsid w:val="00EC6F5A"/>
    <w:rsid w:val="00EC72AF"/>
    <w:rsid w:val="00EC74FE"/>
    <w:rsid w:val="00EC7ACC"/>
    <w:rsid w:val="00EC7E38"/>
    <w:rsid w:val="00ED093A"/>
    <w:rsid w:val="00ED0AE9"/>
    <w:rsid w:val="00ED0C19"/>
    <w:rsid w:val="00ED0CA9"/>
    <w:rsid w:val="00ED0F72"/>
    <w:rsid w:val="00ED102E"/>
    <w:rsid w:val="00ED10C3"/>
    <w:rsid w:val="00ED15F6"/>
    <w:rsid w:val="00ED180F"/>
    <w:rsid w:val="00ED1C2A"/>
    <w:rsid w:val="00ED2145"/>
    <w:rsid w:val="00ED21B7"/>
    <w:rsid w:val="00ED235E"/>
    <w:rsid w:val="00ED25C1"/>
    <w:rsid w:val="00ED2818"/>
    <w:rsid w:val="00ED2ACE"/>
    <w:rsid w:val="00ED30CF"/>
    <w:rsid w:val="00ED30F8"/>
    <w:rsid w:val="00ED323A"/>
    <w:rsid w:val="00ED358C"/>
    <w:rsid w:val="00ED3A07"/>
    <w:rsid w:val="00ED3BCE"/>
    <w:rsid w:val="00ED3E69"/>
    <w:rsid w:val="00ED45E8"/>
    <w:rsid w:val="00ED47C6"/>
    <w:rsid w:val="00ED518B"/>
    <w:rsid w:val="00ED5288"/>
    <w:rsid w:val="00ED5345"/>
    <w:rsid w:val="00ED55AF"/>
    <w:rsid w:val="00ED56AA"/>
    <w:rsid w:val="00ED599C"/>
    <w:rsid w:val="00ED5E4E"/>
    <w:rsid w:val="00ED5F98"/>
    <w:rsid w:val="00ED6171"/>
    <w:rsid w:val="00ED78D0"/>
    <w:rsid w:val="00ED7A2D"/>
    <w:rsid w:val="00ED7AB6"/>
    <w:rsid w:val="00ED7F90"/>
    <w:rsid w:val="00EE0073"/>
    <w:rsid w:val="00EE04C6"/>
    <w:rsid w:val="00EE0936"/>
    <w:rsid w:val="00EE0AA4"/>
    <w:rsid w:val="00EE0DCE"/>
    <w:rsid w:val="00EE15F6"/>
    <w:rsid w:val="00EE16D4"/>
    <w:rsid w:val="00EE1DD5"/>
    <w:rsid w:val="00EE1ED1"/>
    <w:rsid w:val="00EE21C6"/>
    <w:rsid w:val="00EE2217"/>
    <w:rsid w:val="00EE26B3"/>
    <w:rsid w:val="00EE2BA3"/>
    <w:rsid w:val="00EE2C87"/>
    <w:rsid w:val="00EE2D94"/>
    <w:rsid w:val="00EE31B0"/>
    <w:rsid w:val="00EE36CD"/>
    <w:rsid w:val="00EE36F2"/>
    <w:rsid w:val="00EE3BD1"/>
    <w:rsid w:val="00EE3CA8"/>
    <w:rsid w:val="00EE3CB7"/>
    <w:rsid w:val="00EE3E74"/>
    <w:rsid w:val="00EE42C9"/>
    <w:rsid w:val="00EE4517"/>
    <w:rsid w:val="00EE461D"/>
    <w:rsid w:val="00EE4BE2"/>
    <w:rsid w:val="00EE4F67"/>
    <w:rsid w:val="00EE521C"/>
    <w:rsid w:val="00EE537A"/>
    <w:rsid w:val="00EE545F"/>
    <w:rsid w:val="00EE5477"/>
    <w:rsid w:val="00EE59B8"/>
    <w:rsid w:val="00EE5C8B"/>
    <w:rsid w:val="00EE5F7C"/>
    <w:rsid w:val="00EE6095"/>
    <w:rsid w:val="00EE61A2"/>
    <w:rsid w:val="00EE6596"/>
    <w:rsid w:val="00EE6609"/>
    <w:rsid w:val="00EE66A0"/>
    <w:rsid w:val="00EE6966"/>
    <w:rsid w:val="00EE6DE6"/>
    <w:rsid w:val="00EE735F"/>
    <w:rsid w:val="00EE789A"/>
    <w:rsid w:val="00EE7A20"/>
    <w:rsid w:val="00EE7CB3"/>
    <w:rsid w:val="00EE7DE5"/>
    <w:rsid w:val="00EF079D"/>
    <w:rsid w:val="00EF0925"/>
    <w:rsid w:val="00EF0AE8"/>
    <w:rsid w:val="00EF0B7E"/>
    <w:rsid w:val="00EF0D69"/>
    <w:rsid w:val="00EF0F26"/>
    <w:rsid w:val="00EF0FD7"/>
    <w:rsid w:val="00EF103B"/>
    <w:rsid w:val="00EF107E"/>
    <w:rsid w:val="00EF10E4"/>
    <w:rsid w:val="00EF10FB"/>
    <w:rsid w:val="00EF15B1"/>
    <w:rsid w:val="00EF1680"/>
    <w:rsid w:val="00EF176B"/>
    <w:rsid w:val="00EF18DE"/>
    <w:rsid w:val="00EF1C3C"/>
    <w:rsid w:val="00EF1CB2"/>
    <w:rsid w:val="00EF1F50"/>
    <w:rsid w:val="00EF2276"/>
    <w:rsid w:val="00EF2558"/>
    <w:rsid w:val="00EF2D71"/>
    <w:rsid w:val="00EF2EC6"/>
    <w:rsid w:val="00EF303B"/>
    <w:rsid w:val="00EF3375"/>
    <w:rsid w:val="00EF3449"/>
    <w:rsid w:val="00EF3671"/>
    <w:rsid w:val="00EF385B"/>
    <w:rsid w:val="00EF3A21"/>
    <w:rsid w:val="00EF3B3F"/>
    <w:rsid w:val="00EF3CA9"/>
    <w:rsid w:val="00EF3DDD"/>
    <w:rsid w:val="00EF3F24"/>
    <w:rsid w:val="00EF4086"/>
    <w:rsid w:val="00EF4102"/>
    <w:rsid w:val="00EF41A5"/>
    <w:rsid w:val="00EF4566"/>
    <w:rsid w:val="00EF45CC"/>
    <w:rsid w:val="00EF48D4"/>
    <w:rsid w:val="00EF49F7"/>
    <w:rsid w:val="00EF4A57"/>
    <w:rsid w:val="00EF4B4F"/>
    <w:rsid w:val="00EF50EA"/>
    <w:rsid w:val="00EF51E1"/>
    <w:rsid w:val="00EF5240"/>
    <w:rsid w:val="00EF57FD"/>
    <w:rsid w:val="00EF5838"/>
    <w:rsid w:val="00EF597B"/>
    <w:rsid w:val="00EF5B75"/>
    <w:rsid w:val="00EF5E57"/>
    <w:rsid w:val="00EF6036"/>
    <w:rsid w:val="00EF62E6"/>
    <w:rsid w:val="00EF6492"/>
    <w:rsid w:val="00EF65DE"/>
    <w:rsid w:val="00EF6C2B"/>
    <w:rsid w:val="00EF7057"/>
    <w:rsid w:val="00EF71A1"/>
    <w:rsid w:val="00EF721C"/>
    <w:rsid w:val="00EF76BE"/>
    <w:rsid w:val="00EF77C2"/>
    <w:rsid w:val="00EF7848"/>
    <w:rsid w:val="00EF7F81"/>
    <w:rsid w:val="00EF7FB3"/>
    <w:rsid w:val="00F00402"/>
    <w:rsid w:val="00F004C6"/>
    <w:rsid w:val="00F00A5E"/>
    <w:rsid w:val="00F00AC5"/>
    <w:rsid w:val="00F00B99"/>
    <w:rsid w:val="00F00F77"/>
    <w:rsid w:val="00F01284"/>
    <w:rsid w:val="00F01AF6"/>
    <w:rsid w:val="00F01DAC"/>
    <w:rsid w:val="00F01E63"/>
    <w:rsid w:val="00F020FF"/>
    <w:rsid w:val="00F02105"/>
    <w:rsid w:val="00F0232D"/>
    <w:rsid w:val="00F02A82"/>
    <w:rsid w:val="00F02ACF"/>
    <w:rsid w:val="00F02B03"/>
    <w:rsid w:val="00F02BDB"/>
    <w:rsid w:val="00F02E3C"/>
    <w:rsid w:val="00F039EC"/>
    <w:rsid w:val="00F04048"/>
    <w:rsid w:val="00F04450"/>
    <w:rsid w:val="00F04464"/>
    <w:rsid w:val="00F04510"/>
    <w:rsid w:val="00F045B9"/>
    <w:rsid w:val="00F04640"/>
    <w:rsid w:val="00F04CC1"/>
    <w:rsid w:val="00F050DF"/>
    <w:rsid w:val="00F0530C"/>
    <w:rsid w:val="00F0535F"/>
    <w:rsid w:val="00F053D4"/>
    <w:rsid w:val="00F057FB"/>
    <w:rsid w:val="00F063B9"/>
    <w:rsid w:val="00F0653B"/>
    <w:rsid w:val="00F06857"/>
    <w:rsid w:val="00F06874"/>
    <w:rsid w:val="00F06AA9"/>
    <w:rsid w:val="00F06C15"/>
    <w:rsid w:val="00F07161"/>
    <w:rsid w:val="00F071F5"/>
    <w:rsid w:val="00F072F2"/>
    <w:rsid w:val="00F0742B"/>
    <w:rsid w:val="00F075C8"/>
    <w:rsid w:val="00F078E1"/>
    <w:rsid w:val="00F07AB2"/>
    <w:rsid w:val="00F07C92"/>
    <w:rsid w:val="00F1015C"/>
    <w:rsid w:val="00F10171"/>
    <w:rsid w:val="00F10773"/>
    <w:rsid w:val="00F1090E"/>
    <w:rsid w:val="00F109DF"/>
    <w:rsid w:val="00F10BA4"/>
    <w:rsid w:val="00F10C26"/>
    <w:rsid w:val="00F10D06"/>
    <w:rsid w:val="00F10D9F"/>
    <w:rsid w:val="00F10FCE"/>
    <w:rsid w:val="00F117FC"/>
    <w:rsid w:val="00F11874"/>
    <w:rsid w:val="00F11BE9"/>
    <w:rsid w:val="00F11C4D"/>
    <w:rsid w:val="00F11C57"/>
    <w:rsid w:val="00F11DD5"/>
    <w:rsid w:val="00F121DF"/>
    <w:rsid w:val="00F1293F"/>
    <w:rsid w:val="00F12EFB"/>
    <w:rsid w:val="00F12F89"/>
    <w:rsid w:val="00F12FEA"/>
    <w:rsid w:val="00F131E6"/>
    <w:rsid w:val="00F1328D"/>
    <w:rsid w:val="00F13305"/>
    <w:rsid w:val="00F13799"/>
    <w:rsid w:val="00F137AD"/>
    <w:rsid w:val="00F137D8"/>
    <w:rsid w:val="00F13885"/>
    <w:rsid w:val="00F13899"/>
    <w:rsid w:val="00F13E02"/>
    <w:rsid w:val="00F13E27"/>
    <w:rsid w:val="00F1411D"/>
    <w:rsid w:val="00F143C5"/>
    <w:rsid w:val="00F14518"/>
    <w:rsid w:val="00F1479E"/>
    <w:rsid w:val="00F14900"/>
    <w:rsid w:val="00F14FBD"/>
    <w:rsid w:val="00F14FFB"/>
    <w:rsid w:val="00F1518C"/>
    <w:rsid w:val="00F15209"/>
    <w:rsid w:val="00F156CC"/>
    <w:rsid w:val="00F15B10"/>
    <w:rsid w:val="00F15CC0"/>
    <w:rsid w:val="00F15CE5"/>
    <w:rsid w:val="00F15EAA"/>
    <w:rsid w:val="00F15F5C"/>
    <w:rsid w:val="00F160A9"/>
    <w:rsid w:val="00F165F3"/>
    <w:rsid w:val="00F168A5"/>
    <w:rsid w:val="00F16B12"/>
    <w:rsid w:val="00F16D69"/>
    <w:rsid w:val="00F16D9E"/>
    <w:rsid w:val="00F1708A"/>
    <w:rsid w:val="00F17AEB"/>
    <w:rsid w:val="00F17D59"/>
    <w:rsid w:val="00F17DCA"/>
    <w:rsid w:val="00F2050A"/>
    <w:rsid w:val="00F20623"/>
    <w:rsid w:val="00F2068B"/>
    <w:rsid w:val="00F207BB"/>
    <w:rsid w:val="00F20900"/>
    <w:rsid w:val="00F20A8A"/>
    <w:rsid w:val="00F20A8F"/>
    <w:rsid w:val="00F20F5D"/>
    <w:rsid w:val="00F20FC8"/>
    <w:rsid w:val="00F20FE8"/>
    <w:rsid w:val="00F212C4"/>
    <w:rsid w:val="00F219FF"/>
    <w:rsid w:val="00F21B08"/>
    <w:rsid w:val="00F21E27"/>
    <w:rsid w:val="00F222C8"/>
    <w:rsid w:val="00F22534"/>
    <w:rsid w:val="00F22912"/>
    <w:rsid w:val="00F22A28"/>
    <w:rsid w:val="00F23266"/>
    <w:rsid w:val="00F23337"/>
    <w:rsid w:val="00F23540"/>
    <w:rsid w:val="00F23551"/>
    <w:rsid w:val="00F235E1"/>
    <w:rsid w:val="00F23C77"/>
    <w:rsid w:val="00F23DC1"/>
    <w:rsid w:val="00F23FA2"/>
    <w:rsid w:val="00F24013"/>
    <w:rsid w:val="00F24015"/>
    <w:rsid w:val="00F2446E"/>
    <w:rsid w:val="00F24AE2"/>
    <w:rsid w:val="00F24B65"/>
    <w:rsid w:val="00F24B81"/>
    <w:rsid w:val="00F24CDF"/>
    <w:rsid w:val="00F24E2B"/>
    <w:rsid w:val="00F24F77"/>
    <w:rsid w:val="00F25477"/>
    <w:rsid w:val="00F2570A"/>
    <w:rsid w:val="00F25936"/>
    <w:rsid w:val="00F25ACC"/>
    <w:rsid w:val="00F25E05"/>
    <w:rsid w:val="00F25E52"/>
    <w:rsid w:val="00F26001"/>
    <w:rsid w:val="00F26010"/>
    <w:rsid w:val="00F26165"/>
    <w:rsid w:val="00F26D38"/>
    <w:rsid w:val="00F26EED"/>
    <w:rsid w:val="00F26EF3"/>
    <w:rsid w:val="00F26F5A"/>
    <w:rsid w:val="00F27037"/>
    <w:rsid w:val="00F27B2D"/>
    <w:rsid w:val="00F27C92"/>
    <w:rsid w:val="00F27D07"/>
    <w:rsid w:val="00F27FE7"/>
    <w:rsid w:val="00F30070"/>
    <w:rsid w:val="00F3053D"/>
    <w:rsid w:val="00F3081C"/>
    <w:rsid w:val="00F30D44"/>
    <w:rsid w:val="00F30EA4"/>
    <w:rsid w:val="00F30F10"/>
    <w:rsid w:val="00F30F18"/>
    <w:rsid w:val="00F31353"/>
    <w:rsid w:val="00F3150F"/>
    <w:rsid w:val="00F31831"/>
    <w:rsid w:val="00F31B8C"/>
    <w:rsid w:val="00F31D17"/>
    <w:rsid w:val="00F32332"/>
    <w:rsid w:val="00F323AC"/>
    <w:rsid w:val="00F32489"/>
    <w:rsid w:val="00F32810"/>
    <w:rsid w:val="00F32AF9"/>
    <w:rsid w:val="00F32DAD"/>
    <w:rsid w:val="00F32DD4"/>
    <w:rsid w:val="00F32E16"/>
    <w:rsid w:val="00F32F98"/>
    <w:rsid w:val="00F3315D"/>
    <w:rsid w:val="00F33231"/>
    <w:rsid w:val="00F33623"/>
    <w:rsid w:val="00F337CB"/>
    <w:rsid w:val="00F3397D"/>
    <w:rsid w:val="00F33C79"/>
    <w:rsid w:val="00F33DDA"/>
    <w:rsid w:val="00F33FC2"/>
    <w:rsid w:val="00F3446F"/>
    <w:rsid w:val="00F344CF"/>
    <w:rsid w:val="00F34540"/>
    <w:rsid w:val="00F3486D"/>
    <w:rsid w:val="00F348E4"/>
    <w:rsid w:val="00F349EC"/>
    <w:rsid w:val="00F34A28"/>
    <w:rsid w:val="00F3510B"/>
    <w:rsid w:val="00F352D2"/>
    <w:rsid w:val="00F356EF"/>
    <w:rsid w:val="00F35AC0"/>
    <w:rsid w:val="00F35B2A"/>
    <w:rsid w:val="00F35E23"/>
    <w:rsid w:val="00F362EC"/>
    <w:rsid w:val="00F36341"/>
    <w:rsid w:val="00F363FE"/>
    <w:rsid w:val="00F365EB"/>
    <w:rsid w:val="00F366B2"/>
    <w:rsid w:val="00F36AFE"/>
    <w:rsid w:val="00F36E15"/>
    <w:rsid w:val="00F36F6B"/>
    <w:rsid w:val="00F3702D"/>
    <w:rsid w:val="00F370D9"/>
    <w:rsid w:val="00F373D7"/>
    <w:rsid w:val="00F37F99"/>
    <w:rsid w:val="00F37FB9"/>
    <w:rsid w:val="00F37FD1"/>
    <w:rsid w:val="00F4091A"/>
    <w:rsid w:val="00F40947"/>
    <w:rsid w:val="00F4095E"/>
    <w:rsid w:val="00F409A8"/>
    <w:rsid w:val="00F40C43"/>
    <w:rsid w:val="00F4169C"/>
    <w:rsid w:val="00F41F6D"/>
    <w:rsid w:val="00F4201F"/>
    <w:rsid w:val="00F42232"/>
    <w:rsid w:val="00F42350"/>
    <w:rsid w:val="00F425B3"/>
    <w:rsid w:val="00F42648"/>
    <w:rsid w:val="00F42A4E"/>
    <w:rsid w:val="00F42AE2"/>
    <w:rsid w:val="00F43AA2"/>
    <w:rsid w:val="00F43D03"/>
    <w:rsid w:val="00F43FCD"/>
    <w:rsid w:val="00F4454D"/>
    <w:rsid w:val="00F445E4"/>
    <w:rsid w:val="00F44615"/>
    <w:rsid w:val="00F44679"/>
    <w:rsid w:val="00F446F6"/>
    <w:rsid w:val="00F448EC"/>
    <w:rsid w:val="00F452DB"/>
    <w:rsid w:val="00F45DB5"/>
    <w:rsid w:val="00F46569"/>
    <w:rsid w:val="00F46FB3"/>
    <w:rsid w:val="00F476F8"/>
    <w:rsid w:val="00F477B2"/>
    <w:rsid w:val="00F47A25"/>
    <w:rsid w:val="00F47AA6"/>
    <w:rsid w:val="00F47AD4"/>
    <w:rsid w:val="00F47C01"/>
    <w:rsid w:val="00F47E58"/>
    <w:rsid w:val="00F47E89"/>
    <w:rsid w:val="00F50026"/>
    <w:rsid w:val="00F504F7"/>
    <w:rsid w:val="00F50629"/>
    <w:rsid w:val="00F5069C"/>
    <w:rsid w:val="00F506EF"/>
    <w:rsid w:val="00F50751"/>
    <w:rsid w:val="00F5140D"/>
    <w:rsid w:val="00F51607"/>
    <w:rsid w:val="00F5175E"/>
    <w:rsid w:val="00F51919"/>
    <w:rsid w:val="00F51BAC"/>
    <w:rsid w:val="00F51EC2"/>
    <w:rsid w:val="00F51EC5"/>
    <w:rsid w:val="00F52352"/>
    <w:rsid w:val="00F524B4"/>
    <w:rsid w:val="00F525EC"/>
    <w:rsid w:val="00F52685"/>
    <w:rsid w:val="00F528F2"/>
    <w:rsid w:val="00F529A2"/>
    <w:rsid w:val="00F52E08"/>
    <w:rsid w:val="00F52E7E"/>
    <w:rsid w:val="00F53283"/>
    <w:rsid w:val="00F532E5"/>
    <w:rsid w:val="00F53497"/>
    <w:rsid w:val="00F5359C"/>
    <w:rsid w:val="00F53E14"/>
    <w:rsid w:val="00F53E39"/>
    <w:rsid w:val="00F53E52"/>
    <w:rsid w:val="00F54068"/>
    <w:rsid w:val="00F5455F"/>
    <w:rsid w:val="00F54A18"/>
    <w:rsid w:val="00F5520A"/>
    <w:rsid w:val="00F558EB"/>
    <w:rsid w:val="00F55BEA"/>
    <w:rsid w:val="00F55D19"/>
    <w:rsid w:val="00F55D28"/>
    <w:rsid w:val="00F565A3"/>
    <w:rsid w:val="00F5661C"/>
    <w:rsid w:val="00F56790"/>
    <w:rsid w:val="00F56953"/>
    <w:rsid w:val="00F56CAF"/>
    <w:rsid w:val="00F5733E"/>
    <w:rsid w:val="00F5749F"/>
    <w:rsid w:val="00F57575"/>
    <w:rsid w:val="00F576FF"/>
    <w:rsid w:val="00F57761"/>
    <w:rsid w:val="00F57849"/>
    <w:rsid w:val="00F579D5"/>
    <w:rsid w:val="00F57A24"/>
    <w:rsid w:val="00F57B87"/>
    <w:rsid w:val="00F57D5B"/>
    <w:rsid w:val="00F57EE1"/>
    <w:rsid w:val="00F57EF0"/>
    <w:rsid w:val="00F57EFD"/>
    <w:rsid w:val="00F60227"/>
    <w:rsid w:val="00F6075C"/>
    <w:rsid w:val="00F60789"/>
    <w:rsid w:val="00F607F1"/>
    <w:rsid w:val="00F6096F"/>
    <w:rsid w:val="00F60970"/>
    <w:rsid w:val="00F6097F"/>
    <w:rsid w:val="00F60AAE"/>
    <w:rsid w:val="00F60C3B"/>
    <w:rsid w:val="00F60D5B"/>
    <w:rsid w:val="00F60EF3"/>
    <w:rsid w:val="00F611A8"/>
    <w:rsid w:val="00F6124D"/>
    <w:rsid w:val="00F6144B"/>
    <w:rsid w:val="00F61506"/>
    <w:rsid w:val="00F61546"/>
    <w:rsid w:val="00F61568"/>
    <w:rsid w:val="00F615FE"/>
    <w:rsid w:val="00F6258B"/>
    <w:rsid w:val="00F6286B"/>
    <w:rsid w:val="00F62974"/>
    <w:rsid w:val="00F62E17"/>
    <w:rsid w:val="00F62E37"/>
    <w:rsid w:val="00F6329E"/>
    <w:rsid w:val="00F6377B"/>
    <w:rsid w:val="00F63BFB"/>
    <w:rsid w:val="00F64080"/>
    <w:rsid w:val="00F640BE"/>
    <w:rsid w:val="00F64320"/>
    <w:rsid w:val="00F64334"/>
    <w:rsid w:val="00F644D9"/>
    <w:rsid w:val="00F646B8"/>
    <w:rsid w:val="00F64A6E"/>
    <w:rsid w:val="00F64BDF"/>
    <w:rsid w:val="00F64D69"/>
    <w:rsid w:val="00F64FA2"/>
    <w:rsid w:val="00F653D2"/>
    <w:rsid w:val="00F658D3"/>
    <w:rsid w:val="00F658E1"/>
    <w:rsid w:val="00F659C5"/>
    <w:rsid w:val="00F65A87"/>
    <w:rsid w:val="00F65B04"/>
    <w:rsid w:val="00F65C30"/>
    <w:rsid w:val="00F65CA2"/>
    <w:rsid w:val="00F65DBE"/>
    <w:rsid w:val="00F65E6D"/>
    <w:rsid w:val="00F65ECC"/>
    <w:rsid w:val="00F66272"/>
    <w:rsid w:val="00F667EE"/>
    <w:rsid w:val="00F669F0"/>
    <w:rsid w:val="00F66BD2"/>
    <w:rsid w:val="00F67564"/>
    <w:rsid w:val="00F6771C"/>
    <w:rsid w:val="00F6771E"/>
    <w:rsid w:val="00F6797C"/>
    <w:rsid w:val="00F67BB3"/>
    <w:rsid w:val="00F67ECF"/>
    <w:rsid w:val="00F67F30"/>
    <w:rsid w:val="00F67FBD"/>
    <w:rsid w:val="00F7014C"/>
    <w:rsid w:val="00F70553"/>
    <w:rsid w:val="00F70A1A"/>
    <w:rsid w:val="00F70D4F"/>
    <w:rsid w:val="00F713D9"/>
    <w:rsid w:val="00F71C04"/>
    <w:rsid w:val="00F71F62"/>
    <w:rsid w:val="00F71FF3"/>
    <w:rsid w:val="00F7220B"/>
    <w:rsid w:val="00F7278C"/>
    <w:rsid w:val="00F72AA9"/>
    <w:rsid w:val="00F72B0A"/>
    <w:rsid w:val="00F72C21"/>
    <w:rsid w:val="00F73525"/>
    <w:rsid w:val="00F735C4"/>
    <w:rsid w:val="00F7388E"/>
    <w:rsid w:val="00F74078"/>
    <w:rsid w:val="00F74083"/>
    <w:rsid w:val="00F74105"/>
    <w:rsid w:val="00F7435C"/>
    <w:rsid w:val="00F74824"/>
    <w:rsid w:val="00F7491F"/>
    <w:rsid w:val="00F74C5B"/>
    <w:rsid w:val="00F74CB7"/>
    <w:rsid w:val="00F75183"/>
    <w:rsid w:val="00F7594C"/>
    <w:rsid w:val="00F7624A"/>
    <w:rsid w:val="00F76417"/>
    <w:rsid w:val="00F7657B"/>
    <w:rsid w:val="00F7693F"/>
    <w:rsid w:val="00F76D60"/>
    <w:rsid w:val="00F76FAE"/>
    <w:rsid w:val="00F77430"/>
    <w:rsid w:val="00F77482"/>
    <w:rsid w:val="00F77550"/>
    <w:rsid w:val="00F77AE6"/>
    <w:rsid w:val="00F77D45"/>
    <w:rsid w:val="00F77DF7"/>
    <w:rsid w:val="00F77EA7"/>
    <w:rsid w:val="00F77EF9"/>
    <w:rsid w:val="00F803E5"/>
    <w:rsid w:val="00F8073E"/>
    <w:rsid w:val="00F807DB"/>
    <w:rsid w:val="00F807E2"/>
    <w:rsid w:val="00F81426"/>
    <w:rsid w:val="00F81431"/>
    <w:rsid w:val="00F81732"/>
    <w:rsid w:val="00F81976"/>
    <w:rsid w:val="00F81A99"/>
    <w:rsid w:val="00F82EB6"/>
    <w:rsid w:val="00F82F88"/>
    <w:rsid w:val="00F831BA"/>
    <w:rsid w:val="00F83290"/>
    <w:rsid w:val="00F83B31"/>
    <w:rsid w:val="00F841FF"/>
    <w:rsid w:val="00F84377"/>
    <w:rsid w:val="00F8451D"/>
    <w:rsid w:val="00F845C8"/>
    <w:rsid w:val="00F846CC"/>
    <w:rsid w:val="00F84828"/>
    <w:rsid w:val="00F84E5A"/>
    <w:rsid w:val="00F851A3"/>
    <w:rsid w:val="00F851F2"/>
    <w:rsid w:val="00F8553D"/>
    <w:rsid w:val="00F85680"/>
    <w:rsid w:val="00F858A5"/>
    <w:rsid w:val="00F85DA7"/>
    <w:rsid w:val="00F85DE9"/>
    <w:rsid w:val="00F8635C"/>
    <w:rsid w:val="00F8644E"/>
    <w:rsid w:val="00F866BD"/>
    <w:rsid w:val="00F86B28"/>
    <w:rsid w:val="00F8707C"/>
    <w:rsid w:val="00F870B2"/>
    <w:rsid w:val="00F8752A"/>
    <w:rsid w:val="00F8786F"/>
    <w:rsid w:val="00F87B34"/>
    <w:rsid w:val="00F87D82"/>
    <w:rsid w:val="00F90107"/>
    <w:rsid w:val="00F901A4"/>
    <w:rsid w:val="00F902B4"/>
    <w:rsid w:val="00F9080E"/>
    <w:rsid w:val="00F90D3A"/>
    <w:rsid w:val="00F90D7E"/>
    <w:rsid w:val="00F9113D"/>
    <w:rsid w:val="00F9119D"/>
    <w:rsid w:val="00F9135E"/>
    <w:rsid w:val="00F91368"/>
    <w:rsid w:val="00F9160F"/>
    <w:rsid w:val="00F917C8"/>
    <w:rsid w:val="00F919DE"/>
    <w:rsid w:val="00F92344"/>
    <w:rsid w:val="00F924AC"/>
    <w:rsid w:val="00F925D5"/>
    <w:rsid w:val="00F9280D"/>
    <w:rsid w:val="00F92B6A"/>
    <w:rsid w:val="00F92BD5"/>
    <w:rsid w:val="00F92C94"/>
    <w:rsid w:val="00F92DC5"/>
    <w:rsid w:val="00F93036"/>
    <w:rsid w:val="00F93177"/>
    <w:rsid w:val="00F931D5"/>
    <w:rsid w:val="00F931ED"/>
    <w:rsid w:val="00F9351F"/>
    <w:rsid w:val="00F93865"/>
    <w:rsid w:val="00F93904"/>
    <w:rsid w:val="00F93BC4"/>
    <w:rsid w:val="00F93C01"/>
    <w:rsid w:val="00F93E1E"/>
    <w:rsid w:val="00F94113"/>
    <w:rsid w:val="00F944C4"/>
    <w:rsid w:val="00F94926"/>
    <w:rsid w:val="00F949DB"/>
    <w:rsid w:val="00F94D9E"/>
    <w:rsid w:val="00F95479"/>
    <w:rsid w:val="00F9595E"/>
    <w:rsid w:val="00F95A9C"/>
    <w:rsid w:val="00F95D5A"/>
    <w:rsid w:val="00F95F6F"/>
    <w:rsid w:val="00F961C9"/>
    <w:rsid w:val="00F9649C"/>
    <w:rsid w:val="00F9657C"/>
    <w:rsid w:val="00F968BA"/>
    <w:rsid w:val="00F9694B"/>
    <w:rsid w:val="00F96A35"/>
    <w:rsid w:val="00F96C92"/>
    <w:rsid w:val="00F96EEC"/>
    <w:rsid w:val="00F96F8B"/>
    <w:rsid w:val="00F96FE7"/>
    <w:rsid w:val="00F973D7"/>
    <w:rsid w:val="00F97652"/>
    <w:rsid w:val="00F977D3"/>
    <w:rsid w:val="00F97D97"/>
    <w:rsid w:val="00F97DA8"/>
    <w:rsid w:val="00FA0239"/>
    <w:rsid w:val="00FA0555"/>
    <w:rsid w:val="00FA07D2"/>
    <w:rsid w:val="00FA07E6"/>
    <w:rsid w:val="00FA098C"/>
    <w:rsid w:val="00FA0DF1"/>
    <w:rsid w:val="00FA108E"/>
    <w:rsid w:val="00FA11B8"/>
    <w:rsid w:val="00FA1536"/>
    <w:rsid w:val="00FA163E"/>
    <w:rsid w:val="00FA197A"/>
    <w:rsid w:val="00FA1B54"/>
    <w:rsid w:val="00FA1D22"/>
    <w:rsid w:val="00FA1D9A"/>
    <w:rsid w:val="00FA23DA"/>
    <w:rsid w:val="00FA24C4"/>
    <w:rsid w:val="00FA26FF"/>
    <w:rsid w:val="00FA287A"/>
    <w:rsid w:val="00FA28DB"/>
    <w:rsid w:val="00FA2FBB"/>
    <w:rsid w:val="00FA3525"/>
    <w:rsid w:val="00FA3AD2"/>
    <w:rsid w:val="00FA400B"/>
    <w:rsid w:val="00FA4067"/>
    <w:rsid w:val="00FA415A"/>
    <w:rsid w:val="00FA42BC"/>
    <w:rsid w:val="00FA483B"/>
    <w:rsid w:val="00FA4CB3"/>
    <w:rsid w:val="00FA4D3F"/>
    <w:rsid w:val="00FA4F62"/>
    <w:rsid w:val="00FA558C"/>
    <w:rsid w:val="00FA5859"/>
    <w:rsid w:val="00FA5A0A"/>
    <w:rsid w:val="00FA5D6B"/>
    <w:rsid w:val="00FA5D9C"/>
    <w:rsid w:val="00FA5F49"/>
    <w:rsid w:val="00FA65C6"/>
    <w:rsid w:val="00FA698B"/>
    <w:rsid w:val="00FA6C5C"/>
    <w:rsid w:val="00FA6EC4"/>
    <w:rsid w:val="00FA6F05"/>
    <w:rsid w:val="00FA79B6"/>
    <w:rsid w:val="00FA79C4"/>
    <w:rsid w:val="00FA7B08"/>
    <w:rsid w:val="00FA7C3C"/>
    <w:rsid w:val="00FA7CBA"/>
    <w:rsid w:val="00FB025A"/>
    <w:rsid w:val="00FB0629"/>
    <w:rsid w:val="00FB06F5"/>
    <w:rsid w:val="00FB0DF6"/>
    <w:rsid w:val="00FB10C2"/>
    <w:rsid w:val="00FB125C"/>
    <w:rsid w:val="00FB176F"/>
    <w:rsid w:val="00FB1920"/>
    <w:rsid w:val="00FB19B1"/>
    <w:rsid w:val="00FB1A22"/>
    <w:rsid w:val="00FB1B2A"/>
    <w:rsid w:val="00FB2142"/>
    <w:rsid w:val="00FB22FC"/>
    <w:rsid w:val="00FB25C1"/>
    <w:rsid w:val="00FB294B"/>
    <w:rsid w:val="00FB2B25"/>
    <w:rsid w:val="00FB2C3E"/>
    <w:rsid w:val="00FB2E58"/>
    <w:rsid w:val="00FB320E"/>
    <w:rsid w:val="00FB322C"/>
    <w:rsid w:val="00FB3290"/>
    <w:rsid w:val="00FB32B2"/>
    <w:rsid w:val="00FB32BE"/>
    <w:rsid w:val="00FB3479"/>
    <w:rsid w:val="00FB3925"/>
    <w:rsid w:val="00FB39C0"/>
    <w:rsid w:val="00FB3BA0"/>
    <w:rsid w:val="00FB3C2D"/>
    <w:rsid w:val="00FB3C94"/>
    <w:rsid w:val="00FB4B9A"/>
    <w:rsid w:val="00FB4DF0"/>
    <w:rsid w:val="00FB4E34"/>
    <w:rsid w:val="00FB4EBF"/>
    <w:rsid w:val="00FB5014"/>
    <w:rsid w:val="00FB580F"/>
    <w:rsid w:val="00FB589D"/>
    <w:rsid w:val="00FB5DAA"/>
    <w:rsid w:val="00FB5F3C"/>
    <w:rsid w:val="00FB6006"/>
    <w:rsid w:val="00FB6270"/>
    <w:rsid w:val="00FB62D7"/>
    <w:rsid w:val="00FB672D"/>
    <w:rsid w:val="00FB6935"/>
    <w:rsid w:val="00FB6AB7"/>
    <w:rsid w:val="00FB6C38"/>
    <w:rsid w:val="00FB6F39"/>
    <w:rsid w:val="00FB6F4C"/>
    <w:rsid w:val="00FB706D"/>
    <w:rsid w:val="00FB71BD"/>
    <w:rsid w:val="00FB73C7"/>
    <w:rsid w:val="00FB75B3"/>
    <w:rsid w:val="00FB77B7"/>
    <w:rsid w:val="00FB7E04"/>
    <w:rsid w:val="00FC0061"/>
    <w:rsid w:val="00FC0132"/>
    <w:rsid w:val="00FC01C5"/>
    <w:rsid w:val="00FC01FB"/>
    <w:rsid w:val="00FC0721"/>
    <w:rsid w:val="00FC0BB0"/>
    <w:rsid w:val="00FC0CC0"/>
    <w:rsid w:val="00FC1170"/>
    <w:rsid w:val="00FC17EE"/>
    <w:rsid w:val="00FC1800"/>
    <w:rsid w:val="00FC1820"/>
    <w:rsid w:val="00FC182B"/>
    <w:rsid w:val="00FC18B9"/>
    <w:rsid w:val="00FC1AC8"/>
    <w:rsid w:val="00FC1EAB"/>
    <w:rsid w:val="00FC20EF"/>
    <w:rsid w:val="00FC2104"/>
    <w:rsid w:val="00FC262D"/>
    <w:rsid w:val="00FC2895"/>
    <w:rsid w:val="00FC2B0D"/>
    <w:rsid w:val="00FC2C36"/>
    <w:rsid w:val="00FC3A87"/>
    <w:rsid w:val="00FC403F"/>
    <w:rsid w:val="00FC4218"/>
    <w:rsid w:val="00FC4641"/>
    <w:rsid w:val="00FC48A9"/>
    <w:rsid w:val="00FC4B46"/>
    <w:rsid w:val="00FC50D1"/>
    <w:rsid w:val="00FC54CC"/>
    <w:rsid w:val="00FC56C1"/>
    <w:rsid w:val="00FC5A76"/>
    <w:rsid w:val="00FC5AE4"/>
    <w:rsid w:val="00FC5C06"/>
    <w:rsid w:val="00FC6122"/>
    <w:rsid w:val="00FC6216"/>
    <w:rsid w:val="00FC6AAD"/>
    <w:rsid w:val="00FC6BF6"/>
    <w:rsid w:val="00FC6C95"/>
    <w:rsid w:val="00FC6D15"/>
    <w:rsid w:val="00FC6D2F"/>
    <w:rsid w:val="00FC6DFC"/>
    <w:rsid w:val="00FC6EDF"/>
    <w:rsid w:val="00FC6F57"/>
    <w:rsid w:val="00FC70CB"/>
    <w:rsid w:val="00FC732A"/>
    <w:rsid w:val="00FC7446"/>
    <w:rsid w:val="00FC75E4"/>
    <w:rsid w:val="00FC7C6D"/>
    <w:rsid w:val="00FC7D2B"/>
    <w:rsid w:val="00FC7DDB"/>
    <w:rsid w:val="00FC7E3A"/>
    <w:rsid w:val="00FD06DD"/>
    <w:rsid w:val="00FD07C2"/>
    <w:rsid w:val="00FD0C83"/>
    <w:rsid w:val="00FD0E04"/>
    <w:rsid w:val="00FD1345"/>
    <w:rsid w:val="00FD15D0"/>
    <w:rsid w:val="00FD199B"/>
    <w:rsid w:val="00FD19EB"/>
    <w:rsid w:val="00FD1B64"/>
    <w:rsid w:val="00FD1B98"/>
    <w:rsid w:val="00FD1D35"/>
    <w:rsid w:val="00FD1EBB"/>
    <w:rsid w:val="00FD21DD"/>
    <w:rsid w:val="00FD224D"/>
    <w:rsid w:val="00FD2392"/>
    <w:rsid w:val="00FD2673"/>
    <w:rsid w:val="00FD2991"/>
    <w:rsid w:val="00FD2A43"/>
    <w:rsid w:val="00FD2BD3"/>
    <w:rsid w:val="00FD2C37"/>
    <w:rsid w:val="00FD2E4A"/>
    <w:rsid w:val="00FD30CA"/>
    <w:rsid w:val="00FD3BB2"/>
    <w:rsid w:val="00FD3C8B"/>
    <w:rsid w:val="00FD3E5F"/>
    <w:rsid w:val="00FD4049"/>
    <w:rsid w:val="00FD416F"/>
    <w:rsid w:val="00FD42E1"/>
    <w:rsid w:val="00FD42E3"/>
    <w:rsid w:val="00FD4A96"/>
    <w:rsid w:val="00FD4B21"/>
    <w:rsid w:val="00FD505C"/>
    <w:rsid w:val="00FD5421"/>
    <w:rsid w:val="00FD583C"/>
    <w:rsid w:val="00FD5A5E"/>
    <w:rsid w:val="00FD5AC1"/>
    <w:rsid w:val="00FD5B91"/>
    <w:rsid w:val="00FD5BE6"/>
    <w:rsid w:val="00FD5FC3"/>
    <w:rsid w:val="00FD6670"/>
    <w:rsid w:val="00FD680A"/>
    <w:rsid w:val="00FD6F01"/>
    <w:rsid w:val="00FD73D8"/>
    <w:rsid w:val="00FD748A"/>
    <w:rsid w:val="00FD749A"/>
    <w:rsid w:val="00FD76E8"/>
    <w:rsid w:val="00FD77A4"/>
    <w:rsid w:val="00FD7C58"/>
    <w:rsid w:val="00FD7D79"/>
    <w:rsid w:val="00FE05DD"/>
    <w:rsid w:val="00FE0665"/>
    <w:rsid w:val="00FE0AE5"/>
    <w:rsid w:val="00FE0B03"/>
    <w:rsid w:val="00FE0E2A"/>
    <w:rsid w:val="00FE0E8D"/>
    <w:rsid w:val="00FE0F55"/>
    <w:rsid w:val="00FE10F9"/>
    <w:rsid w:val="00FE1138"/>
    <w:rsid w:val="00FE14A7"/>
    <w:rsid w:val="00FE1782"/>
    <w:rsid w:val="00FE18A0"/>
    <w:rsid w:val="00FE18B8"/>
    <w:rsid w:val="00FE1974"/>
    <w:rsid w:val="00FE1A56"/>
    <w:rsid w:val="00FE1BE6"/>
    <w:rsid w:val="00FE1DE9"/>
    <w:rsid w:val="00FE1F11"/>
    <w:rsid w:val="00FE1FC7"/>
    <w:rsid w:val="00FE29E3"/>
    <w:rsid w:val="00FE2F24"/>
    <w:rsid w:val="00FE314C"/>
    <w:rsid w:val="00FE34A1"/>
    <w:rsid w:val="00FE36EF"/>
    <w:rsid w:val="00FE4005"/>
    <w:rsid w:val="00FE4596"/>
    <w:rsid w:val="00FE4C97"/>
    <w:rsid w:val="00FE4CC9"/>
    <w:rsid w:val="00FE4E5F"/>
    <w:rsid w:val="00FE52CE"/>
    <w:rsid w:val="00FE54F5"/>
    <w:rsid w:val="00FE5594"/>
    <w:rsid w:val="00FE561D"/>
    <w:rsid w:val="00FE58B1"/>
    <w:rsid w:val="00FE5DF5"/>
    <w:rsid w:val="00FE5E05"/>
    <w:rsid w:val="00FE602E"/>
    <w:rsid w:val="00FE6141"/>
    <w:rsid w:val="00FE617E"/>
    <w:rsid w:val="00FE6612"/>
    <w:rsid w:val="00FE67D2"/>
    <w:rsid w:val="00FE6DA6"/>
    <w:rsid w:val="00FE6FA1"/>
    <w:rsid w:val="00FE744B"/>
    <w:rsid w:val="00FE79A1"/>
    <w:rsid w:val="00FE79DE"/>
    <w:rsid w:val="00FE7E6F"/>
    <w:rsid w:val="00FF040B"/>
    <w:rsid w:val="00FF0F52"/>
    <w:rsid w:val="00FF109C"/>
    <w:rsid w:val="00FF1102"/>
    <w:rsid w:val="00FF11ED"/>
    <w:rsid w:val="00FF1911"/>
    <w:rsid w:val="00FF19B7"/>
    <w:rsid w:val="00FF1A0B"/>
    <w:rsid w:val="00FF1A40"/>
    <w:rsid w:val="00FF1A79"/>
    <w:rsid w:val="00FF1C0C"/>
    <w:rsid w:val="00FF1D57"/>
    <w:rsid w:val="00FF1E8D"/>
    <w:rsid w:val="00FF2172"/>
    <w:rsid w:val="00FF24B8"/>
    <w:rsid w:val="00FF25CB"/>
    <w:rsid w:val="00FF2FF2"/>
    <w:rsid w:val="00FF33B9"/>
    <w:rsid w:val="00FF362C"/>
    <w:rsid w:val="00FF369F"/>
    <w:rsid w:val="00FF386F"/>
    <w:rsid w:val="00FF39C4"/>
    <w:rsid w:val="00FF406B"/>
    <w:rsid w:val="00FF47CC"/>
    <w:rsid w:val="00FF5121"/>
    <w:rsid w:val="00FF542F"/>
    <w:rsid w:val="00FF584B"/>
    <w:rsid w:val="00FF5879"/>
    <w:rsid w:val="00FF5A8F"/>
    <w:rsid w:val="00FF5AC5"/>
    <w:rsid w:val="00FF5E9E"/>
    <w:rsid w:val="00FF5FA2"/>
    <w:rsid w:val="00FF68F0"/>
    <w:rsid w:val="00FF7408"/>
    <w:rsid w:val="00FF793C"/>
    <w:rsid w:val="00FF7A06"/>
    <w:rsid w:val="00FF7A3B"/>
    <w:rsid w:val="00FF7DFC"/>
    <w:rsid w:val="03DE4795"/>
    <w:rsid w:val="060C488C"/>
    <w:rsid w:val="07CA7654"/>
    <w:rsid w:val="11794F10"/>
    <w:rsid w:val="15A5B6E1"/>
    <w:rsid w:val="19BB17A8"/>
    <w:rsid w:val="1A0C355A"/>
    <w:rsid w:val="1A94C83C"/>
    <w:rsid w:val="1C0674BB"/>
    <w:rsid w:val="32A2A2A1"/>
    <w:rsid w:val="366A3725"/>
    <w:rsid w:val="36CBCB70"/>
    <w:rsid w:val="37381D4E"/>
    <w:rsid w:val="386FE3AE"/>
    <w:rsid w:val="3AD88BD3"/>
    <w:rsid w:val="3CD15F62"/>
    <w:rsid w:val="467021FE"/>
    <w:rsid w:val="495AA931"/>
    <w:rsid w:val="4C7968A6"/>
    <w:rsid w:val="5040D756"/>
    <w:rsid w:val="534148EA"/>
    <w:rsid w:val="59A4E61E"/>
    <w:rsid w:val="602E8068"/>
    <w:rsid w:val="66378DEF"/>
    <w:rsid w:val="67204B46"/>
    <w:rsid w:val="6C25D9D9"/>
    <w:rsid w:val="6C60D88D"/>
    <w:rsid w:val="72134652"/>
    <w:rsid w:val="73B1E203"/>
    <w:rsid w:val="753AA3C2"/>
    <w:rsid w:val="7732843E"/>
    <w:rsid w:val="79A67323"/>
    <w:rsid w:val="7B815F87"/>
    <w:rsid w:val="7BE5D197"/>
    <w:rsid w:val="7EFB1B3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CC559"/>
  <w15:docId w15:val="{B1DC02FF-09B6-441F-BF3D-37058D5A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en-GB"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qFormat="1"/>
    <w:lsdException w:name="heading 4" w:uiPriority="0" w:qFormat="1"/>
    <w:lsdException w:name="heading 5" w:semiHidden="1" w:uiPriority="0"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iPriority="10" w:unhideWhenUsed="1"/>
    <w:lsdException w:name="footer" w:uiPriority="10" w:unhideWhenUsed="1" w:qFormat="1"/>
    <w:lsdException w:name="index heading" w:semiHidden="1" w:unhideWhenUsed="1"/>
    <w:lsdException w:name="caption" w:uiPriority="3"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iPriority="1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unhideWhenUsed="1" w:qFormat="1"/>
    <w:lsdException w:name="List Number" w:uiPriority="3" w:qFormat="1"/>
    <w:lsdException w:name="List 2" w:semiHidden="1" w:unhideWhenUsed="1"/>
    <w:lsdException w:name="List 3" w:semiHidden="1" w:unhideWhenUsed="1"/>
    <w:lsdException w:name="List 4" w:semiHidden="1"/>
    <w:lsdException w:name="List 5" w:semiHidden="1"/>
    <w:lsdException w:name="List Bullet 2" w:uiPriority="3" w:unhideWhenUsed="1" w:qFormat="1"/>
    <w:lsdException w:name="List Bullet 3" w:semiHidden="1" w:unhideWhenUsed="1"/>
    <w:lsdException w:name="List Bullet 4" w:semiHidden="1" w:unhideWhenUsed="1"/>
    <w:lsdException w:name="List Bullet 5" w:semiHidden="1" w:unhideWhenUsed="1"/>
    <w:lsdException w:name="List Number 2" w:uiPriority="3"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0"/>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186"/>
    <w:pPr>
      <w:spacing w:after="170"/>
    </w:pPr>
    <w:rPr>
      <w:lang w:val="en-AU"/>
    </w:rPr>
  </w:style>
  <w:style w:type="paragraph" w:styleId="Heading1">
    <w:name w:val="heading 1"/>
    <w:aliases w:val="Heading 1 Section Heading"/>
    <w:basedOn w:val="Normal"/>
    <w:next w:val="Normal"/>
    <w:link w:val="Heading1Char"/>
    <w:uiPriority w:val="1"/>
    <w:qFormat/>
    <w:rsid w:val="009E2F33"/>
    <w:pPr>
      <w:keepNext/>
      <w:keepLines/>
      <w:pageBreakBefore/>
      <w:numPr>
        <w:numId w:val="39"/>
      </w:numPr>
      <w:spacing w:after="480" w:line="720" w:lineRule="atLeast"/>
      <w:contextualSpacing/>
      <w:outlineLvl w:val="0"/>
    </w:pPr>
    <w:rPr>
      <w:rFonts w:eastAsiaTheme="majorEastAsia" w:cstheme="majorBidi"/>
      <w:bCs/>
      <w:sz w:val="60"/>
      <w:szCs w:val="28"/>
    </w:rPr>
  </w:style>
  <w:style w:type="paragraph" w:styleId="Heading2">
    <w:name w:val="heading 2"/>
    <w:aliases w:val="h2 main heading,Heading 2 Main Heading"/>
    <w:basedOn w:val="Normal"/>
    <w:next w:val="Normal"/>
    <w:link w:val="Heading2Char"/>
    <w:uiPriority w:val="1"/>
    <w:qFormat/>
    <w:rsid w:val="007F276A"/>
    <w:pPr>
      <w:keepNext/>
      <w:keepLines/>
      <w:numPr>
        <w:ilvl w:val="1"/>
        <w:numId w:val="39"/>
      </w:numPr>
      <w:spacing w:before="240" w:after="0" w:line="280" w:lineRule="atLeast"/>
      <w:outlineLvl w:val="1"/>
    </w:pPr>
    <w:rPr>
      <w:rFonts w:eastAsiaTheme="majorEastAsia" w:cstheme="majorBidi"/>
      <w:b/>
      <w:bCs/>
      <w:color w:val="62B5E5" w:themeColor="accent3"/>
      <w:sz w:val="22"/>
      <w:szCs w:val="26"/>
    </w:rPr>
  </w:style>
  <w:style w:type="paragraph" w:styleId="Heading3">
    <w:name w:val="heading 3"/>
    <w:aliases w:val="h3 sub heading,Heading 3 Sub Heading"/>
    <w:basedOn w:val="Normal"/>
    <w:next w:val="Normal"/>
    <w:link w:val="Heading3Char"/>
    <w:uiPriority w:val="1"/>
    <w:qFormat/>
    <w:rsid w:val="00F9113D"/>
    <w:pPr>
      <w:keepNext/>
      <w:keepLines/>
      <w:numPr>
        <w:ilvl w:val="2"/>
        <w:numId w:val="39"/>
      </w:numPr>
      <w:spacing w:after="0"/>
      <w:outlineLvl w:val="2"/>
    </w:pPr>
    <w:rPr>
      <w:rFonts w:eastAsiaTheme="majorEastAsia" w:cstheme="majorBidi"/>
      <w:b/>
      <w:bCs/>
    </w:rPr>
  </w:style>
  <w:style w:type="paragraph" w:styleId="Heading4">
    <w:name w:val="heading 4"/>
    <w:basedOn w:val="Normal"/>
    <w:next w:val="Normal"/>
    <w:link w:val="Heading4Char"/>
    <w:uiPriority w:val="1"/>
    <w:qFormat/>
    <w:rsid w:val="00F9113D"/>
    <w:pPr>
      <w:keepNext/>
      <w:keepLines/>
      <w:numPr>
        <w:ilvl w:val="3"/>
        <w:numId w:val="39"/>
      </w:numPr>
      <w:tabs>
        <w:tab w:val="left" w:pos="340"/>
      </w:tabs>
      <w:spacing w:after="0"/>
      <w:outlineLvl w:val="3"/>
    </w:pPr>
    <w:rPr>
      <w:rFonts w:eastAsiaTheme="majorEastAsia" w:cstheme="majorBidi"/>
      <w:b/>
      <w:bCs/>
      <w:iCs/>
      <w:color w:val="75787B" w:themeColor="accent6"/>
    </w:rPr>
  </w:style>
  <w:style w:type="paragraph" w:styleId="Heading5">
    <w:name w:val="heading 5"/>
    <w:basedOn w:val="Normal"/>
    <w:next w:val="Normal"/>
    <w:link w:val="Heading5Char"/>
    <w:uiPriority w:val="1"/>
    <w:qFormat/>
    <w:rsid w:val="00F9113D"/>
    <w:pPr>
      <w:keepNext/>
      <w:keepLines/>
      <w:numPr>
        <w:ilvl w:val="4"/>
        <w:numId w:val="39"/>
      </w:numPr>
      <w:spacing w:after="0"/>
      <w:outlineLvl w:val="4"/>
    </w:pPr>
    <w:rPr>
      <w:rFonts w:eastAsiaTheme="majorEastAsia" w:cstheme="majorBidi"/>
      <w:b/>
    </w:rPr>
  </w:style>
  <w:style w:type="paragraph" w:styleId="Heading6">
    <w:name w:val="heading 6"/>
    <w:basedOn w:val="Normal"/>
    <w:next w:val="Normal"/>
    <w:link w:val="Heading6Char"/>
    <w:uiPriority w:val="1"/>
    <w:qFormat/>
    <w:rsid w:val="00F9113D"/>
    <w:pPr>
      <w:keepNext/>
      <w:keepLines/>
      <w:numPr>
        <w:ilvl w:val="5"/>
        <w:numId w:val="39"/>
      </w:numPr>
      <w:spacing w:after="0"/>
      <w:outlineLvl w:val="5"/>
    </w:pPr>
    <w:rPr>
      <w:rFonts w:eastAsiaTheme="majorEastAsia" w:cstheme="majorBidi"/>
      <w:b/>
      <w:iCs/>
    </w:rPr>
  </w:style>
  <w:style w:type="paragraph" w:styleId="Heading7">
    <w:name w:val="heading 7"/>
    <w:basedOn w:val="Normal"/>
    <w:next w:val="Normal"/>
    <w:link w:val="Heading7Char"/>
    <w:uiPriority w:val="1"/>
    <w:semiHidden/>
    <w:qFormat/>
    <w:rsid w:val="00F9113D"/>
    <w:pPr>
      <w:keepNext/>
      <w:keepLines/>
      <w:spacing w:after="0"/>
      <w:outlineLvl w:val="6"/>
    </w:pPr>
    <w:rPr>
      <w:rFonts w:eastAsiaTheme="majorEastAsia" w:cstheme="majorBidi"/>
      <w:b/>
      <w:iCs/>
    </w:rPr>
  </w:style>
  <w:style w:type="paragraph" w:styleId="Heading8">
    <w:name w:val="heading 8"/>
    <w:basedOn w:val="Normal"/>
    <w:next w:val="Normal"/>
    <w:link w:val="Heading8Char"/>
    <w:uiPriority w:val="1"/>
    <w:semiHidden/>
    <w:qFormat/>
    <w:rsid w:val="00F9113D"/>
    <w:pPr>
      <w:keepNext/>
      <w:keepLines/>
      <w:spacing w:after="0"/>
      <w:outlineLvl w:val="7"/>
    </w:pPr>
    <w:rPr>
      <w:rFonts w:eastAsiaTheme="majorEastAsia" w:cstheme="majorBidi"/>
      <w:b/>
      <w:szCs w:val="20"/>
    </w:rPr>
  </w:style>
  <w:style w:type="paragraph" w:styleId="Heading9">
    <w:name w:val="heading 9"/>
    <w:basedOn w:val="Normal"/>
    <w:next w:val="Normal"/>
    <w:link w:val="Heading9Char"/>
    <w:uiPriority w:val="1"/>
    <w:semiHidden/>
    <w:qFormat/>
    <w:rsid w:val="00F9113D"/>
    <w:pPr>
      <w:keepNext/>
      <w:keepLines/>
      <w:spacing w:after="0"/>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Heading Char"/>
    <w:basedOn w:val="DefaultParagraphFont"/>
    <w:link w:val="Heading1"/>
    <w:uiPriority w:val="1"/>
    <w:rsid w:val="009E2F33"/>
    <w:rPr>
      <w:rFonts w:eastAsiaTheme="majorEastAsia" w:cstheme="majorBidi"/>
      <w:bCs/>
      <w:sz w:val="60"/>
      <w:szCs w:val="28"/>
      <w:lang w:val="en-AU"/>
    </w:rPr>
  </w:style>
  <w:style w:type="character" w:customStyle="1" w:styleId="Heading2Char">
    <w:name w:val="Heading 2 Char"/>
    <w:aliases w:val="h2 main heading Char,Heading 2 Main Heading Char"/>
    <w:basedOn w:val="DefaultParagraphFont"/>
    <w:link w:val="Heading2"/>
    <w:uiPriority w:val="1"/>
    <w:rsid w:val="007F276A"/>
    <w:rPr>
      <w:rFonts w:eastAsiaTheme="majorEastAsia" w:cstheme="majorBidi"/>
      <w:b/>
      <w:bCs/>
      <w:color w:val="62B5E5" w:themeColor="accent3"/>
      <w:sz w:val="22"/>
      <w:szCs w:val="26"/>
      <w:lang w:val="en-AU"/>
    </w:rPr>
  </w:style>
  <w:style w:type="table" w:styleId="TableGrid">
    <w:name w:val="Table Grid"/>
    <w:basedOn w:val="TableNormal"/>
    <w:uiPriority w:val="99"/>
    <w:rsid w:val="00D93FF0"/>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styleId="Header">
    <w:name w:val="header"/>
    <w:link w:val="HeaderChar"/>
    <w:uiPriority w:val="10"/>
    <w:semiHidden/>
    <w:rsid w:val="000116B0"/>
    <w:pPr>
      <w:tabs>
        <w:tab w:val="center" w:pos="4513"/>
        <w:tab w:val="right" w:pos="9026"/>
      </w:tabs>
      <w:spacing w:line="240" w:lineRule="auto"/>
    </w:pPr>
    <w:rPr>
      <w:sz w:val="14"/>
      <w:lang w:val="en-AU"/>
    </w:rPr>
  </w:style>
  <w:style w:type="character" w:customStyle="1" w:styleId="HeaderChar">
    <w:name w:val="Header Char"/>
    <w:basedOn w:val="DefaultParagraphFont"/>
    <w:link w:val="Header"/>
    <w:uiPriority w:val="10"/>
    <w:semiHidden/>
    <w:rsid w:val="000116B0"/>
    <w:rPr>
      <w:sz w:val="14"/>
      <w:lang w:val="en-AU"/>
    </w:rPr>
  </w:style>
  <w:style w:type="paragraph" w:styleId="Footer">
    <w:name w:val="footer"/>
    <w:basedOn w:val="Normal"/>
    <w:link w:val="FooterChar"/>
    <w:uiPriority w:val="10"/>
    <w:semiHidden/>
    <w:qFormat/>
    <w:rsid w:val="00F9113D"/>
    <w:pPr>
      <w:tabs>
        <w:tab w:val="right" w:pos="7371"/>
      </w:tabs>
      <w:spacing w:after="0" w:line="200" w:lineRule="atLeast"/>
    </w:pPr>
    <w:rPr>
      <w:sz w:val="16"/>
    </w:rPr>
  </w:style>
  <w:style w:type="character" w:customStyle="1" w:styleId="FooterChar">
    <w:name w:val="Footer Char"/>
    <w:basedOn w:val="DefaultParagraphFont"/>
    <w:link w:val="Footer"/>
    <w:uiPriority w:val="10"/>
    <w:semiHidden/>
    <w:rsid w:val="00F9113D"/>
    <w:rPr>
      <w:sz w:val="16"/>
    </w:rPr>
  </w:style>
  <w:style w:type="paragraph" w:styleId="BalloonText">
    <w:name w:val="Balloon Text"/>
    <w:basedOn w:val="Normal"/>
    <w:link w:val="BalloonTextChar"/>
    <w:uiPriority w:val="99"/>
    <w:semiHidden/>
    <w:rsid w:val="00F911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13D"/>
    <w:rPr>
      <w:rFonts w:ascii="Tahoma" w:hAnsi="Tahoma" w:cs="Tahoma"/>
      <w:sz w:val="16"/>
      <w:szCs w:val="16"/>
    </w:rPr>
  </w:style>
  <w:style w:type="paragraph" w:customStyle="1" w:styleId="Subject">
    <w:name w:val="Subject"/>
    <w:basedOn w:val="Normal"/>
    <w:uiPriority w:val="6"/>
    <w:semiHidden/>
    <w:qFormat/>
    <w:rsid w:val="00F9113D"/>
    <w:pPr>
      <w:spacing w:after="0"/>
    </w:pPr>
    <w:rPr>
      <w:b/>
    </w:rPr>
  </w:style>
  <w:style w:type="character" w:styleId="PlaceholderText">
    <w:name w:val="Placeholder Text"/>
    <w:basedOn w:val="DefaultParagraphFont"/>
    <w:uiPriority w:val="10"/>
    <w:semiHidden/>
    <w:rsid w:val="00F9113D"/>
    <w:rPr>
      <w:color w:val="808080"/>
      <w:lang w:val="en-AU"/>
    </w:rPr>
  </w:style>
  <w:style w:type="paragraph" w:styleId="ListBullet">
    <w:name w:val="List Bullet"/>
    <w:basedOn w:val="Normal"/>
    <w:uiPriority w:val="3"/>
    <w:qFormat/>
    <w:rsid w:val="00DF7819"/>
    <w:pPr>
      <w:numPr>
        <w:numId w:val="13"/>
      </w:numPr>
      <w:spacing w:after="0"/>
      <w:contextualSpacing/>
    </w:pPr>
    <w:rPr>
      <w:szCs w:val="17"/>
    </w:rPr>
  </w:style>
  <w:style w:type="paragraph" w:styleId="ListBullet2">
    <w:name w:val="List Bullet 2"/>
    <w:basedOn w:val="Normal"/>
    <w:uiPriority w:val="3"/>
    <w:rsid w:val="00DF7819"/>
    <w:pPr>
      <w:numPr>
        <w:numId w:val="15"/>
      </w:numPr>
      <w:spacing w:after="0"/>
      <w:contextualSpacing/>
    </w:pPr>
    <w:rPr>
      <w:szCs w:val="17"/>
    </w:rPr>
  </w:style>
  <w:style w:type="paragraph" w:styleId="ListNumber">
    <w:name w:val="List Number"/>
    <w:basedOn w:val="Normal"/>
    <w:uiPriority w:val="3"/>
    <w:qFormat/>
    <w:rsid w:val="007F7A8C"/>
    <w:pPr>
      <w:spacing w:after="0"/>
      <w:ind w:left="340" w:hanging="340"/>
      <w:contextualSpacing/>
    </w:pPr>
    <w:rPr>
      <w:szCs w:val="17"/>
    </w:rPr>
  </w:style>
  <w:style w:type="paragraph" w:styleId="ListNumber2">
    <w:name w:val="List Number 2"/>
    <w:basedOn w:val="Normal"/>
    <w:uiPriority w:val="3"/>
    <w:qFormat/>
    <w:rsid w:val="007F7A8C"/>
    <w:pPr>
      <w:numPr>
        <w:ilvl w:val="1"/>
        <w:numId w:val="17"/>
      </w:numPr>
      <w:spacing w:after="0"/>
      <w:contextualSpacing/>
    </w:pPr>
  </w:style>
  <w:style w:type="character" w:customStyle="1" w:styleId="Heading3Char">
    <w:name w:val="Heading 3 Char"/>
    <w:aliases w:val="h3 sub heading Char,Heading 3 Sub Heading Char"/>
    <w:basedOn w:val="DefaultParagraphFont"/>
    <w:link w:val="Heading3"/>
    <w:uiPriority w:val="1"/>
    <w:rsid w:val="00C50447"/>
    <w:rPr>
      <w:rFonts w:eastAsiaTheme="majorEastAsia" w:cstheme="majorBidi"/>
      <w:b/>
      <w:bCs/>
      <w:lang w:val="en-AU"/>
    </w:rPr>
  </w:style>
  <w:style w:type="character" w:customStyle="1" w:styleId="Heading4Char">
    <w:name w:val="Heading 4 Char"/>
    <w:basedOn w:val="DefaultParagraphFont"/>
    <w:link w:val="Heading4"/>
    <w:uiPriority w:val="1"/>
    <w:rsid w:val="00C50447"/>
    <w:rPr>
      <w:rFonts w:eastAsiaTheme="majorEastAsia" w:cstheme="majorBidi"/>
      <w:b/>
      <w:bCs/>
      <w:iCs/>
      <w:color w:val="75787B" w:themeColor="accent6"/>
      <w:lang w:val="en-AU"/>
    </w:rPr>
  </w:style>
  <w:style w:type="paragraph" w:styleId="FootnoteText">
    <w:name w:val="footnote text"/>
    <w:aliases w:val="Footnote Text Char1 Char,Footnote Text Char Char1 Char,Footnote Text Char Char Char Char Char1,Footnote Text Char Char Char,Footnote Text Char Char Char Char"/>
    <w:basedOn w:val="Normal"/>
    <w:link w:val="FootnoteTextChar"/>
    <w:semiHidden/>
    <w:rsid w:val="00F9113D"/>
    <w:pPr>
      <w:spacing w:after="0" w:line="240" w:lineRule="auto"/>
    </w:pPr>
    <w:rPr>
      <w:sz w:val="16"/>
      <w:szCs w:val="20"/>
    </w:rPr>
  </w:style>
  <w:style w:type="character" w:customStyle="1" w:styleId="FootnoteTextChar">
    <w:name w:val="Footnote Text Char"/>
    <w:aliases w:val="Footnote Text Char1 Char Char,Footnote Text Char Char1 Char Char,Footnote Text Char Char Char Char Char1 Char,Footnote Text Char Char Char Char1,Footnote Text Char Char Char Char Char"/>
    <w:basedOn w:val="DefaultParagraphFont"/>
    <w:link w:val="FootnoteText"/>
    <w:semiHidden/>
    <w:rsid w:val="00F9113D"/>
    <w:rPr>
      <w:sz w:val="16"/>
      <w:szCs w:val="20"/>
    </w:rPr>
  </w:style>
  <w:style w:type="paragraph" w:customStyle="1" w:styleId="Documenttitle">
    <w:name w:val="Document title"/>
    <w:next w:val="Documentsubtitle"/>
    <w:uiPriority w:val="7"/>
    <w:rsid w:val="007C4146"/>
    <w:pPr>
      <w:spacing w:line="440" w:lineRule="atLeast"/>
    </w:pPr>
    <w:rPr>
      <w:rFonts w:eastAsiaTheme="majorEastAsia" w:cstheme="majorBidi"/>
      <w:b/>
      <w:bCs/>
      <w:color w:val="000000"/>
      <w:sz w:val="32"/>
      <w:szCs w:val="28"/>
      <w:lang w:val="en-AU"/>
    </w:rPr>
  </w:style>
  <w:style w:type="paragraph" w:customStyle="1" w:styleId="Subheading">
    <w:name w:val="Subheading"/>
    <w:basedOn w:val="Normal"/>
    <w:next w:val="Normal"/>
    <w:uiPriority w:val="6"/>
    <w:semiHidden/>
    <w:qFormat/>
    <w:rsid w:val="00F9113D"/>
    <w:pPr>
      <w:spacing w:after="0"/>
    </w:pPr>
    <w:rPr>
      <w:rFonts w:eastAsiaTheme="majorEastAsia" w:cstheme="majorBidi"/>
      <w:b/>
      <w:bCs/>
      <w:iCs/>
      <w:color w:val="000000" w:themeColor="text1"/>
    </w:rPr>
  </w:style>
  <w:style w:type="character" w:styleId="FootnoteReference">
    <w:name w:val="footnote reference"/>
    <w:basedOn w:val="DefaultParagraphFont"/>
    <w:uiPriority w:val="99"/>
    <w:semiHidden/>
    <w:rsid w:val="00F9113D"/>
    <w:rPr>
      <w:vertAlign w:val="superscript"/>
      <w:lang w:val="en-AU"/>
    </w:rPr>
  </w:style>
  <w:style w:type="paragraph" w:customStyle="1" w:styleId="Sectionintro">
    <w:name w:val="Section intro"/>
    <w:basedOn w:val="Normal"/>
    <w:next w:val="Normal"/>
    <w:uiPriority w:val="2"/>
    <w:qFormat/>
    <w:rsid w:val="00F9113D"/>
    <w:pPr>
      <w:spacing w:after="360" w:line="360" w:lineRule="atLeast"/>
      <w:contextualSpacing/>
    </w:pPr>
    <w:rPr>
      <w:sz w:val="28"/>
    </w:rPr>
  </w:style>
  <w:style w:type="paragraph" w:customStyle="1" w:styleId="Documentdate">
    <w:name w:val="Document date"/>
    <w:uiPriority w:val="7"/>
    <w:rsid w:val="00F9113D"/>
    <w:rPr>
      <w:color w:val="000000"/>
      <w:lang w:val="en-AU"/>
    </w:rPr>
  </w:style>
  <w:style w:type="paragraph" w:customStyle="1" w:styleId="Heading1un-numbered">
    <w:name w:val="Heading 1 (un-numbered)"/>
    <w:basedOn w:val="Normal"/>
    <w:next w:val="Normal"/>
    <w:uiPriority w:val="2"/>
    <w:qFormat/>
    <w:rsid w:val="00F9113D"/>
    <w:pPr>
      <w:keepNext/>
      <w:keepLines/>
      <w:pageBreakBefore/>
      <w:spacing w:after="480" w:line="720" w:lineRule="atLeast"/>
      <w:outlineLvl w:val="0"/>
    </w:pPr>
    <w:rPr>
      <w:sz w:val="60"/>
    </w:rPr>
  </w:style>
  <w:style w:type="paragraph" w:customStyle="1" w:styleId="PulloutBlue">
    <w:name w:val="Pullout Blue"/>
    <w:basedOn w:val="Normal"/>
    <w:next w:val="Normal"/>
    <w:uiPriority w:val="6"/>
    <w:rsid w:val="00F9113D"/>
    <w:pPr>
      <w:spacing w:after="0" w:line="360" w:lineRule="atLeast"/>
    </w:pPr>
    <w:rPr>
      <w:color w:val="62B5E5" w:themeColor="accent3"/>
      <w:sz w:val="28"/>
    </w:rPr>
  </w:style>
  <w:style w:type="paragraph" w:customStyle="1" w:styleId="Contacttext">
    <w:name w:val="Contact text"/>
    <w:basedOn w:val="Normal"/>
    <w:uiPriority w:val="7"/>
    <w:semiHidden/>
    <w:rsid w:val="00F9113D"/>
    <w:pPr>
      <w:spacing w:after="0"/>
    </w:pPr>
  </w:style>
  <w:style w:type="paragraph" w:customStyle="1" w:styleId="Contactus">
    <w:name w:val="Contact us"/>
    <w:basedOn w:val="Contacttext"/>
    <w:next w:val="Contacttext"/>
    <w:uiPriority w:val="7"/>
    <w:semiHidden/>
    <w:rsid w:val="00F9113D"/>
    <w:pPr>
      <w:spacing w:after="240" w:line="340" w:lineRule="atLeast"/>
    </w:pPr>
    <w:rPr>
      <w:sz w:val="28"/>
    </w:rPr>
  </w:style>
  <w:style w:type="paragraph" w:styleId="Caption">
    <w:name w:val="caption"/>
    <w:basedOn w:val="Normal"/>
    <w:next w:val="Normal"/>
    <w:uiPriority w:val="3"/>
    <w:qFormat/>
    <w:rsid w:val="005D6648"/>
    <w:pPr>
      <w:keepNext/>
      <w:keepLines/>
      <w:spacing w:before="240" w:after="240"/>
    </w:pPr>
    <w:rPr>
      <w:iCs/>
      <w:color w:val="75787B" w:themeColor="accent6"/>
      <w:sz w:val="17"/>
    </w:rPr>
  </w:style>
  <w:style w:type="character" w:styleId="Hyperlink">
    <w:name w:val="Hyperlink"/>
    <w:basedOn w:val="DefaultParagraphFont"/>
    <w:uiPriority w:val="99"/>
    <w:rsid w:val="00F9113D"/>
    <w:rPr>
      <w:color w:val="00A3E0" w:themeColor="hyperlink"/>
      <w:u w:val="single"/>
      <w:lang w:val="en-AU"/>
    </w:rPr>
  </w:style>
  <w:style w:type="paragraph" w:customStyle="1" w:styleId="PulloutGreen">
    <w:name w:val="Pullout Green"/>
    <w:basedOn w:val="PulloutBlue"/>
    <w:next w:val="Normal"/>
    <w:uiPriority w:val="6"/>
    <w:rsid w:val="00F9113D"/>
    <w:rPr>
      <w:color w:val="86BC25" w:themeColor="accent1"/>
    </w:rPr>
  </w:style>
  <w:style w:type="paragraph" w:customStyle="1" w:styleId="QuotesourceBlue">
    <w:name w:val="Quote source Blue"/>
    <w:basedOn w:val="Normal"/>
    <w:next w:val="Normal"/>
    <w:uiPriority w:val="6"/>
    <w:rsid w:val="00F9113D"/>
    <w:pPr>
      <w:spacing w:after="0" w:line="200" w:lineRule="atLeast"/>
      <w:contextualSpacing/>
    </w:pPr>
    <w:rPr>
      <w:b/>
      <w:color w:val="62B5E5" w:themeColor="accent3"/>
      <w:sz w:val="17"/>
    </w:rPr>
  </w:style>
  <w:style w:type="paragraph" w:customStyle="1" w:styleId="QuotesourceGreen">
    <w:name w:val="Quote source Green"/>
    <w:basedOn w:val="QuotesourceBlue"/>
    <w:next w:val="Normal"/>
    <w:uiPriority w:val="6"/>
    <w:rsid w:val="00F9113D"/>
    <w:rPr>
      <w:color w:val="86BC25" w:themeColor="accent1"/>
    </w:rPr>
  </w:style>
  <w:style w:type="paragraph" w:customStyle="1" w:styleId="Paneltext">
    <w:name w:val="Panel text"/>
    <w:basedOn w:val="Normal"/>
    <w:uiPriority w:val="6"/>
    <w:rsid w:val="00F9113D"/>
    <w:pPr>
      <w:spacing w:after="0"/>
    </w:pPr>
    <w:rPr>
      <w:color w:val="FFFFFF"/>
      <w:sz w:val="17"/>
    </w:rPr>
  </w:style>
  <w:style w:type="paragraph" w:customStyle="1" w:styleId="Paneltitle">
    <w:name w:val="Panel title"/>
    <w:basedOn w:val="Paneltext"/>
    <w:next w:val="Paneltext"/>
    <w:uiPriority w:val="6"/>
    <w:rsid w:val="00F9113D"/>
    <w:pPr>
      <w:spacing w:line="360" w:lineRule="atLeast"/>
    </w:pPr>
    <w:rPr>
      <w:b/>
      <w:sz w:val="28"/>
    </w:rPr>
  </w:style>
  <w:style w:type="paragraph" w:customStyle="1" w:styleId="Formoreinfocalloutwhite8512ptPullOutStyles">
    <w:name w:val="For more info call out (white 8.5/12pt) (Pull Out Styles)"/>
    <w:basedOn w:val="Normal"/>
    <w:uiPriority w:val="99"/>
    <w:semiHidden/>
    <w:rsid w:val="00F9113D"/>
    <w:pPr>
      <w:tabs>
        <w:tab w:val="left" w:pos="283"/>
        <w:tab w:val="left" w:pos="567"/>
      </w:tabs>
      <w:suppressAutoHyphens/>
      <w:autoSpaceDE w:val="0"/>
      <w:autoSpaceDN w:val="0"/>
      <w:adjustRightInd w:val="0"/>
      <w:textAlignment w:val="center"/>
    </w:pPr>
    <w:rPr>
      <w:rFonts w:ascii="OpenSans-Bold" w:hAnsi="OpenSans-Bold" w:cs="OpenSans-Bold"/>
      <w:b/>
      <w:bCs/>
      <w:color w:val="FFFFFF"/>
      <w:spacing w:val="-2"/>
      <w:sz w:val="17"/>
      <w:szCs w:val="17"/>
    </w:rPr>
  </w:style>
  <w:style w:type="paragraph" w:customStyle="1" w:styleId="Documentsubtitle">
    <w:name w:val="Document subtitle"/>
    <w:basedOn w:val="Normal"/>
    <w:uiPriority w:val="7"/>
    <w:rsid w:val="007C4146"/>
    <w:pPr>
      <w:spacing w:after="120" w:line="440" w:lineRule="atLeast"/>
    </w:pPr>
    <w:rPr>
      <w:color w:val="000000"/>
      <w:sz w:val="28"/>
    </w:rPr>
  </w:style>
  <w:style w:type="paragraph" w:customStyle="1" w:styleId="Contentstitle">
    <w:name w:val="Contents title"/>
    <w:basedOn w:val="Heading1un-numbered"/>
    <w:next w:val="Normal"/>
    <w:uiPriority w:val="7"/>
    <w:semiHidden/>
    <w:rsid w:val="00F9113D"/>
  </w:style>
  <w:style w:type="paragraph" w:styleId="TOC1">
    <w:name w:val="toc 1"/>
    <w:basedOn w:val="Normal"/>
    <w:next w:val="Normal"/>
    <w:uiPriority w:val="39"/>
    <w:rsid w:val="00271D10"/>
    <w:pPr>
      <w:tabs>
        <w:tab w:val="left" w:pos="567"/>
        <w:tab w:val="right" w:pos="8959"/>
      </w:tabs>
      <w:spacing w:after="120" w:line="320" w:lineRule="atLeast"/>
      <w:ind w:left="567" w:right="567" w:hanging="567"/>
    </w:pPr>
  </w:style>
  <w:style w:type="paragraph" w:customStyle="1" w:styleId="Quotetext">
    <w:name w:val="Quote text"/>
    <w:basedOn w:val="PulloutBlue"/>
    <w:uiPriority w:val="6"/>
    <w:rsid w:val="00F9113D"/>
    <w:pPr>
      <w:spacing w:line="720" w:lineRule="atLeast"/>
    </w:pPr>
    <w:rPr>
      <w:color w:val="FFFFFF"/>
      <w:sz w:val="60"/>
    </w:rPr>
  </w:style>
  <w:style w:type="paragraph" w:customStyle="1" w:styleId="Legaltext">
    <w:name w:val="Legal text"/>
    <w:basedOn w:val="Normal"/>
    <w:uiPriority w:val="7"/>
    <w:semiHidden/>
    <w:qFormat/>
    <w:rsid w:val="00F9113D"/>
    <w:pPr>
      <w:spacing w:after="0" w:line="180" w:lineRule="atLeast"/>
    </w:pPr>
    <w:rPr>
      <w:sz w:val="14"/>
    </w:rPr>
  </w:style>
  <w:style w:type="table" w:customStyle="1" w:styleId="Deloittetable">
    <w:name w:val="Deloitte table"/>
    <w:basedOn w:val="TableNormal"/>
    <w:uiPriority w:val="99"/>
    <w:rsid w:val="005C6F31"/>
    <w:pPr>
      <w:ind w:left="57" w:right="57"/>
    </w:pPr>
    <w:rPr>
      <w:sz w:val="17"/>
    </w:rPr>
    <w:tblPr>
      <w:tblBorders>
        <w:top w:val="single" w:sz="4" w:space="0" w:color="62B5E5"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62B5E5" w:themeColor="accent3"/>
        </w:tcBorders>
      </w:tcPr>
    </w:tblStylePr>
  </w:style>
  <w:style w:type="paragraph" w:customStyle="1" w:styleId="TabletextLeft">
    <w:name w:val="Table text Left"/>
    <w:basedOn w:val="Normal"/>
    <w:uiPriority w:val="5"/>
    <w:rsid w:val="004A4474"/>
    <w:pPr>
      <w:spacing w:after="0" w:line="200" w:lineRule="atLeast"/>
      <w:ind w:left="57" w:right="57"/>
    </w:pPr>
    <w:rPr>
      <w:sz w:val="17"/>
    </w:rPr>
  </w:style>
  <w:style w:type="paragraph" w:customStyle="1" w:styleId="TableHeadingLeft">
    <w:name w:val="Table Heading Left"/>
    <w:basedOn w:val="TabletextLeft"/>
    <w:uiPriority w:val="5"/>
    <w:rsid w:val="00625BDB"/>
    <w:rPr>
      <w:b/>
      <w:color w:val="62B5E5" w:themeColor="accent3"/>
    </w:rPr>
  </w:style>
  <w:style w:type="paragraph" w:customStyle="1" w:styleId="Source">
    <w:name w:val="Source"/>
    <w:basedOn w:val="Caption"/>
    <w:next w:val="Normal"/>
    <w:uiPriority w:val="6"/>
    <w:rsid w:val="00B5479F"/>
    <w:pPr>
      <w:keepNext w:val="0"/>
      <w:keepLines w:val="0"/>
      <w:spacing w:before="120"/>
    </w:pPr>
    <w:rPr>
      <w:sz w:val="14"/>
    </w:rPr>
  </w:style>
  <w:style w:type="paragraph" w:customStyle="1" w:styleId="Tablebullets">
    <w:name w:val="Table bullets"/>
    <w:basedOn w:val="TabletextLeft"/>
    <w:uiPriority w:val="5"/>
    <w:rsid w:val="00F9113D"/>
    <w:pPr>
      <w:framePr w:hSpace="180" w:wrap="around" w:vAnchor="text" w:hAnchor="text" w:y="1"/>
      <w:numPr>
        <w:numId w:val="8"/>
      </w:numPr>
      <w:suppressOverlap/>
    </w:pPr>
  </w:style>
  <w:style w:type="paragraph" w:customStyle="1" w:styleId="Tablenumbered">
    <w:name w:val="Table numbered"/>
    <w:basedOn w:val="TabletextLeft"/>
    <w:uiPriority w:val="5"/>
    <w:rsid w:val="00F9113D"/>
    <w:pPr>
      <w:framePr w:hSpace="180" w:wrap="around" w:vAnchor="text" w:hAnchor="text" w:y="1"/>
      <w:numPr>
        <w:numId w:val="9"/>
      </w:numPr>
      <w:suppressOverlap/>
    </w:pPr>
  </w:style>
  <w:style w:type="paragraph" w:customStyle="1" w:styleId="Charttitle">
    <w:name w:val="Chart title"/>
    <w:uiPriority w:val="7"/>
    <w:rsid w:val="00F9113D"/>
    <w:pPr>
      <w:spacing w:before="120" w:after="120"/>
    </w:pPr>
    <w:rPr>
      <w:rFonts w:eastAsiaTheme="majorEastAsia" w:cstheme="majorBidi"/>
      <w:b/>
      <w:bCs/>
      <w:color w:val="62B5E5" w:themeColor="accent3"/>
      <w:szCs w:val="26"/>
      <w:lang w:val="en-AU"/>
    </w:rPr>
  </w:style>
  <w:style w:type="paragraph" w:styleId="Bibliography">
    <w:name w:val="Bibliography"/>
    <w:basedOn w:val="Normal"/>
    <w:next w:val="Normal"/>
    <w:uiPriority w:val="99"/>
    <w:semiHidden/>
    <w:rsid w:val="00F9113D"/>
  </w:style>
  <w:style w:type="paragraph" w:styleId="BlockText">
    <w:name w:val="Block Text"/>
    <w:basedOn w:val="Normal"/>
    <w:uiPriority w:val="99"/>
    <w:semiHidden/>
    <w:rsid w:val="00F9113D"/>
    <w:pPr>
      <w:pBdr>
        <w:top w:val="single" w:sz="2" w:space="10" w:color="86BC25" w:themeColor="accent1" w:frame="1"/>
        <w:left w:val="single" w:sz="2" w:space="10" w:color="86BC25" w:themeColor="accent1" w:frame="1"/>
        <w:bottom w:val="single" w:sz="2" w:space="10" w:color="86BC25" w:themeColor="accent1" w:frame="1"/>
        <w:right w:val="single" w:sz="2" w:space="10" w:color="86BC25" w:themeColor="accent1" w:frame="1"/>
      </w:pBdr>
      <w:ind w:left="1152" w:right="1152"/>
    </w:pPr>
    <w:rPr>
      <w:rFonts w:eastAsiaTheme="minorEastAsia"/>
      <w:i/>
      <w:iCs/>
      <w:color w:val="86BC25" w:themeColor="accent1"/>
    </w:rPr>
  </w:style>
  <w:style w:type="paragraph" w:styleId="BodyText">
    <w:name w:val="Body Text"/>
    <w:basedOn w:val="Normal"/>
    <w:link w:val="BodyTextChar"/>
    <w:semiHidden/>
    <w:rsid w:val="00F9113D"/>
    <w:pPr>
      <w:spacing w:after="240"/>
    </w:pPr>
  </w:style>
  <w:style w:type="character" w:customStyle="1" w:styleId="BodyTextChar">
    <w:name w:val="Body Text Char"/>
    <w:basedOn w:val="DefaultParagraphFont"/>
    <w:link w:val="BodyText"/>
    <w:semiHidden/>
    <w:rsid w:val="00D24870"/>
  </w:style>
  <w:style w:type="paragraph" w:styleId="BodyText2">
    <w:name w:val="Body Text 2"/>
    <w:basedOn w:val="Normal"/>
    <w:link w:val="BodyText2Char"/>
    <w:uiPriority w:val="99"/>
    <w:semiHidden/>
    <w:rsid w:val="00F9113D"/>
    <w:pPr>
      <w:spacing w:after="120" w:line="480" w:lineRule="auto"/>
    </w:pPr>
  </w:style>
  <w:style w:type="character" w:customStyle="1" w:styleId="BodyText2Char">
    <w:name w:val="Body Text 2 Char"/>
    <w:basedOn w:val="DefaultParagraphFont"/>
    <w:link w:val="BodyText2"/>
    <w:uiPriority w:val="99"/>
    <w:semiHidden/>
    <w:rsid w:val="00F9113D"/>
  </w:style>
  <w:style w:type="paragraph" w:styleId="BodyText3">
    <w:name w:val="Body Text 3"/>
    <w:basedOn w:val="Normal"/>
    <w:link w:val="BodyText3Char"/>
    <w:uiPriority w:val="99"/>
    <w:semiHidden/>
    <w:rsid w:val="00F9113D"/>
    <w:pPr>
      <w:spacing w:after="120"/>
    </w:pPr>
    <w:rPr>
      <w:sz w:val="16"/>
      <w:szCs w:val="16"/>
    </w:rPr>
  </w:style>
  <w:style w:type="character" w:customStyle="1" w:styleId="BodyText3Char">
    <w:name w:val="Body Text 3 Char"/>
    <w:basedOn w:val="DefaultParagraphFont"/>
    <w:link w:val="BodyText3"/>
    <w:uiPriority w:val="99"/>
    <w:semiHidden/>
    <w:rsid w:val="00F9113D"/>
    <w:rPr>
      <w:sz w:val="16"/>
      <w:szCs w:val="16"/>
    </w:rPr>
  </w:style>
  <w:style w:type="paragraph" w:styleId="BodyTextFirstIndent">
    <w:name w:val="Body Text First Indent"/>
    <w:basedOn w:val="BodyText"/>
    <w:link w:val="BodyTextFirstIndentChar"/>
    <w:uiPriority w:val="99"/>
    <w:semiHidden/>
    <w:rsid w:val="00F9113D"/>
    <w:pPr>
      <w:ind w:firstLine="360"/>
    </w:pPr>
  </w:style>
  <w:style w:type="character" w:customStyle="1" w:styleId="BodyTextFirstIndentChar">
    <w:name w:val="Body Text First Indent Char"/>
    <w:basedOn w:val="BodyTextChar"/>
    <w:link w:val="BodyTextFirstIndent"/>
    <w:uiPriority w:val="99"/>
    <w:semiHidden/>
    <w:rsid w:val="00F9113D"/>
  </w:style>
  <w:style w:type="paragraph" w:styleId="BodyTextIndent">
    <w:name w:val="Body Text Indent"/>
    <w:basedOn w:val="Normal"/>
    <w:link w:val="BodyTextIndentChar"/>
    <w:uiPriority w:val="99"/>
    <w:semiHidden/>
    <w:rsid w:val="00F9113D"/>
    <w:pPr>
      <w:spacing w:after="120"/>
      <w:ind w:left="283"/>
    </w:pPr>
  </w:style>
  <w:style w:type="character" w:customStyle="1" w:styleId="BodyTextIndentChar">
    <w:name w:val="Body Text Indent Char"/>
    <w:basedOn w:val="DefaultParagraphFont"/>
    <w:link w:val="BodyTextIndent"/>
    <w:uiPriority w:val="99"/>
    <w:semiHidden/>
    <w:rsid w:val="00F9113D"/>
  </w:style>
  <w:style w:type="paragraph" w:styleId="BodyTextFirstIndent2">
    <w:name w:val="Body Text First Indent 2"/>
    <w:basedOn w:val="BodyTextIndent"/>
    <w:link w:val="BodyTextFirstIndent2Char"/>
    <w:uiPriority w:val="99"/>
    <w:semiHidden/>
    <w:rsid w:val="00F9113D"/>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9113D"/>
  </w:style>
  <w:style w:type="paragraph" w:styleId="BodyTextIndent2">
    <w:name w:val="Body Text Indent 2"/>
    <w:basedOn w:val="Normal"/>
    <w:link w:val="BodyTextIndent2Char"/>
    <w:uiPriority w:val="99"/>
    <w:semiHidden/>
    <w:rsid w:val="00F9113D"/>
    <w:pPr>
      <w:spacing w:after="120" w:line="480" w:lineRule="auto"/>
      <w:ind w:left="283"/>
    </w:pPr>
  </w:style>
  <w:style w:type="character" w:customStyle="1" w:styleId="BodyTextIndent2Char">
    <w:name w:val="Body Text Indent 2 Char"/>
    <w:basedOn w:val="DefaultParagraphFont"/>
    <w:link w:val="BodyTextIndent2"/>
    <w:uiPriority w:val="99"/>
    <w:semiHidden/>
    <w:rsid w:val="00F9113D"/>
  </w:style>
  <w:style w:type="paragraph" w:styleId="BodyTextIndent3">
    <w:name w:val="Body Text Indent 3"/>
    <w:basedOn w:val="Normal"/>
    <w:link w:val="BodyTextIndent3Char"/>
    <w:uiPriority w:val="99"/>
    <w:semiHidden/>
    <w:rsid w:val="00F9113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9113D"/>
    <w:rPr>
      <w:sz w:val="16"/>
      <w:szCs w:val="16"/>
    </w:rPr>
  </w:style>
  <w:style w:type="character" w:styleId="BookTitle">
    <w:name w:val="Book Title"/>
    <w:basedOn w:val="DefaultParagraphFont"/>
    <w:uiPriority w:val="99"/>
    <w:semiHidden/>
    <w:qFormat/>
    <w:rsid w:val="00F9113D"/>
    <w:rPr>
      <w:b/>
      <w:bCs/>
      <w:smallCaps/>
      <w:spacing w:val="5"/>
      <w:lang w:val="en-AU"/>
    </w:rPr>
  </w:style>
  <w:style w:type="paragraph" w:styleId="Closing">
    <w:name w:val="Closing"/>
    <w:basedOn w:val="Normal"/>
    <w:link w:val="ClosingChar"/>
    <w:uiPriority w:val="99"/>
    <w:semiHidden/>
    <w:rsid w:val="00F9113D"/>
    <w:pPr>
      <w:spacing w:line="240" w:lineRule="auto"/>
      <w:ind w:left="4252"/>
    </w:pPr>
  </w:style>
  <w:style w:type="character" w:customStyle="1" w:styleId="ClosingChar">
    <w:name w:val="Closing Char"/>
    <w:basedOn w:val="DefaultParagraphFont"/>
    <w:link w:val="Closing"/>
    <w:uiPriority w:val="99"/>
    <w:semiHidden/>
    <w:rsid w:val="00F9113D"/>
  </w:style>
  <w:style w:type="table" w:styleId="ColorfulGrid">
    <w:name w:val="Colorful Grid"/>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CF" w:themeFill="accent1" w:themeFillTint="33"/>
    </w:tcPr>
    <w:tblStylePr w:type="firstRow">
      <w:rPr>
        <w:b/>
        <w:bCs/>
      </w:rPr>
      <w:tblPr/>
      <w:tcPr>
        <w:shd w:val="clear" w:color="auto" w:fill="D0EC9F" w:themeFill="accent1" w:themeFillTint="66"/>
      </w:tcPr>
    </w:tblStylePr>
    <w:tblStylePr w:type="lastRow">
      <w:rPr>
        <w:b/>
        <w:bCs/>
        <w:color w:val="000000" w:themeColor="text1"/>
      </w:rPr>
      <w:tblPr/>
      <w:tcPr>
        <w:shd w:val="clear" w:color="auto" w:fill="D0EC9F" w:themeFill="accent1" w:themeFillTint="66"/>
      </w:tcPr>
    </w:tblStylePr>
    <w:tblStylePr w:type="firstCol">
      <w:rPr>
        <w:color w:val="FFFFFF" w:themeColor="background1"/>
      </w:rPr>
      <w:tblPr/>
      <w:tcPr>
        <w:shd w:val="clear" w:color="auto" w:fill="638C1B" w:themeFill="accent1" w:themeFillShade="BF"/>
      </w:tcPr>
    </w:tblStylePr>
    <w:tblStylePr w:type="lastCol">
      <w:rPr>
        <w:color w:val="FFFFFF" w:themeColor="background1"/>
      </w:rPr>
      <w:tblPr/>
      <w:tcPr>
        <w:shd w:val="clear" w:color="auto" w:fill="638C1B" w:themeFill="accent1" w:themeFillShade="BF"/>
      </w:tcPr>
    </w:tblStylePr>
    <w:tblStylePr w:type="band1Vert">
      <w:tblPr/>
      <w:tcPr>
        <w:shd w:val="clear" w:color="auto" w:fill="C5E788" w:themeFill="accent1" w:themeFillTint="7F"/>
      </w:tcPr>
    </w:tblStylePr>
    <w:tblStylePr w:type="band1Horz">
      <w:tblPr/>
      <w:tcPr>
        <w:shd w:val="clear" w:color="auto" w:fill="C5E788" w:themeFill="accent1" w:themeFillTint="7F"/>
      </w:tcPr>
    </w:tblStylePr>
  </w:style>
  <w:style w:type="table" w:styleId="ColorfulGrid-Accent2">
    <w:name w:val="Colorful Grid Accent 2"/>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FCD7" w:themeFill="accent2" w:themeFillTint="33"/>
    </w:tcPr>
    <w:tblStylePr w:type="firstRow">
      <w:rPr>
        <w:b/>
        <w:bCs/>
      </w:rPr>
      <w:tblPr/>
      <w:tcPr>
        <w:shd w:val="clear" w:color="auto" w:fill="64F9B0" w:themeFill="accent2" w:themeFillTint="66"/>
      </w:tcPr>
    </w:tblStylePr>
    <w:tblStylePr w:type="lastRow">
      <w:rPr>
        <w:b/>
        <w:bCs/>
        <w:color w:val="000000" w:themeColor="text1"/>
      </w:rPr>
      <w:tblPr/>
      <w:tcPr>
        <w:shd w:val="clear" w:color="auto" w:fill="64F9B0" w:themeFill="accent2" w:themeFillTint="66"/>
      </w:tcPr>
    </w:tblStylePr>
    <w:tblStylePr w:type="firstCol">
      <w:rPr>
        <w:color w:val="FFFFFF" w:themeColor="background1"/>
      </w:rPr>
      <w:tblPr/>
      <w:tcPr>
        <w:shd w:val="clear" w:color="auto" w:fill="034F29" w:themeFill="accent2" w:themeFillShade="BF"/>
      </w:tcPr>
    </w:tblStylePr>
    <w:tblStylePr w:type="lastCol">
      <w:rPr>
        <w:color w:val="FFFFFF" w:themeColor="background1"/>
      </w:rPr>
      <w:tblPr/>
      <w:tcPr>
        <w:shd w:val="clear" w:color="auto" w:fill="034F29" w:themeFill="accent2" w:themeFillShade="BF"/>
      </w:tcPr>
    </w:tblStylePr>
    <w:tblStylePr w:type="band1Vert">
      <w:tblPr/>
      <w:tcPr>
        <w:shd w:val="clear" w:color="auto" w:fill="3EF79D" w:themeFill="accent2" w:themeFillTint="7F"/>
      </w:tcPr>
    </w:tblStylePr>
    <w:tblStylePr w:type="band1Horz">
      <w:tblPr/>
      <w:tcPr>
        <w:shd w:val="clear" w:color="auto" w:fill="3EF79D" w:themeFill="accent2" w:themeFillTint="7F"/>
      </w:tcPr>
    </w:tblStylePr>
  </w:style>
  <w:style w:type="table" w:styleId="ColorfulGrid-Accent3">
    <w:name w:val="Colorful Grid Accent 3"/>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FF0F9" w:themeFill="accent3" w:themeFillTint="33"/>
    </w:tcPr>
    <w:tblStylePr w:type="firstRow">
      <w:rPr>
        <w:b/>
        <w:bCs/>
      </w:rPr>
      <w:tblPr/>
      <w:tcPr>
        <w:shd w:val="clear" w:color="auto" w:fill="C0E1F4" w:themeFill="accent3" w:themeFillTint="66"/>
      </w:tcPr>
    </w:tblStylePr>
    <w:tblStylePr w:type="lastRow">
      <w:rPr>
        <w:b/>
        <w:bCs/>
        <w:color w:val="000000" w:themeColor="text1"/>
      </w:rPr>
      <w:tblPr/>
      <w:tcPr>
        <w:shd w:val="clear" w:color="auto" w:fill="C0E1F4" w:themeFill="accent3" w:themeFillTint="66"/>
      </w:tcPr>
    </w:tblStylePr>
    <w:tblStylePr w:type="firstCol">
      <w:rPr>
        <w:color w:val="FFFFFF" w:themeColor="background1"/>
      </w:rPr>
      <w:tblPr/>
      <w:tcPr>
        <w:shd w:val="clear" w:color="auto" w:fill="2291D1" w:themeFill="accent3" w:themeFillShade="BF"/>
      </w:tcPr>
    </w:tblStylePr>
    <w:tblStylePr w:type="lastCol">
      <w:rPr>
        <w:color w:val="FFFFFF" w:themeColor="background1"/>
      </w:rPr>
      <w:tblPr/>
      <w:tcPr>
        <w:shd w:val="clear" w:color="auto" w:fill="2291D1" w:themeFill="accent3" w:themeFillShade="BF"/>
      </w:tc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ColorfulGrid-Accent4">
    <w:name w:val="Colorful Grid Accent 4"/>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EC7FE" w:themeFill="accent4" w:themeFillTint="33"/>
    </w:tcPr>
    <w:tblStylePr w:type="firstRow">
      <w:rPr>
        <w:b/>
        <w:bCs/>
      </w:rPr>
      <w:tblPr/>
      <w:tcPr>
        <w:shd w:val="clear" w:color="auto" w:fill="5E8FFD" w:themeFill="accent4" w:themeFillTint="66"/>
      </w:tcPr>
    </w:tblStylePr>
    <w:tblStylePr w:type="lastRow">
      <w:rPr>
        <w:b/>
        <w:bCs/>
        <w:color w:val="000000" w:themeColor="text1"/>
      </w:rPr>
      <w:tblPr/>
      <w:tcPr>
        <w:shd w:val="clear" w:color="auto" w:fill="5E8FFD" w:themeFill="accent4" w:themeFillTint="66"/>
      </w:tcPr>
    </w:tblStylePr>
    <w:tblStylePr w:type="firstCol">
      <w:rPr>
        <w:color w:val="FFFFFF" w:themeColor="background1"/>
      </w:rPr>
      <w:tblPr/>
      <w:tcPr>
        <w:shd w:val="clear" w:color="auto" w:fill="00184E" w:themeFill="accent4" w:themeFillShade="BF"/>
      </w:tcPr>
    </w:tblStylePr>
    <w:tblStylePr w:type="lastCol">
      <w:rPr>
        <w:color w:val="FFFFFF" w:themeColor="background1"/>
      </w:rPr>
      <w:tblPr/>
      <w:tcPr>
        <w:shd w:val="clear" w:color="auto" w:fill="00184E" w:themeFill="accent4" w:themeFillShade="BF"/>
      </w:tcPr>
    </w:tblStylePr>
    <w:tblStylePr w:type="band1Vert">
      <w:tblPr/>
      <w:tcPr>
        <w:shd w:val="clear" w:color="auto" w:fill="3773FD" w:themeFill="accent4" w:themeFillTint="7F"/>
      </w:tcPr>
    </w:tblStylePr>
    <w:tblStylePr w:type="band1Horz">
      <w:tblPr/>
      <w:tcPr>
        <w:shd w:val="clear" w:color="auto" w:fill="3773FD" w:themeFill="accent4" w:themeFillTint="7F"/>
      </w:tcPr>
    </w:tblStylePr>
  </w:style>
  <w:style w:type="table" w:styleId="ColorfulGrid-Accent5">
    <w:name w:val="Colorful Grid Accent 5"/>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AF7FF" w:themeFill="accent5" w:themeFillTint="33"/>
    </w:tcPr>
    <w:tblStylePr w:type="firstRow">
      <w:rPr>
        <w:b/>
        <w:bCs/>
      </w:rPr>
      <w:tblPr/>
      <w:tcPr>
        <w:shd w:val="clear" w:color="auto" w:fill="76EFFF" w:themeFill="accent5" w:themeFillTint="66"/>
      </w:tcPr>
    </w:tblStylePr>
    <w:tblStylePr w:type="lastRow">
      <w:rPr>
        <w:b/>
        <w:bCs/>
        <w:color w:val="000000" w:themeColor="text1"/>
      </w:rPr>
      <w:tblPr/>
      <w:tcPr>
        <w:shd w:val="clear" w:color="auto" w:fill="76EFFF" w:themeFill="accent5" w:themeFillTint="66"/>
      </w:tcPr>
    </w:tblStylePr>
    <w:tblStylePr w:type="firstCol">
      <w:rPr>
        <w:color w:val="FFFFFF" w:themeColor="background1"/>
      </w:rPr>
      <w:tblPr/>
      <w:tcPr>
        <w:shd w:val="clear" w:color="auto" w:fill="00707E" w:themeFill="accent5" w:themeFillShade="BF"/>
      </w:tcPr>
    </w:tblStylePr>
    <w:tblStylePr w:type="lastCol">
      <w:rPr>
        <w:color w:val="FFFFFF" w:themeColor="background1"/>
      </w:rPr>
      <w:tblPr/>
      <w:tcPr>
        <w:shd w:val="clear" w:color="auto" w:fill="00707E" w:themeFill="accent5" w:themeFillShade="BF"/>
      </w:tcPr>
    </w:tblStylePr>
    <w:tblStylePr w:type="band1Vert">
      <w:tblPr/>
      <w:tcPr>
        <w:shd w:val="clear" w:color="auto" w:fill="55ECFF" w:themeFill="accent5" w:themeFillTint="7F"/>
      </w:tcPr>
    </w:tblStylePr>
    <w:tblStylePr w:type="band1Horz">
      <w:tblPr/>
      <w:tcPr>
        <w:shd w:val="clear" w:color="auto" w:fill="55ECFF" w:themeFill="accent5" w:themeFillTint="7F"/>
      </w:tcPr>
    </w:tblStylePr>
  </w:style>
  <w:style w:type="table" w:styleId="ColorfulGrid-Accent6">
    <w:name w:val="Colorful Grid Accent 6"/>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3E4" w:themeFill="accent6" w:themeFillTint="33"/>
    </w:tcPr>
    <w:tblStylePr w:type="firstRow">
      <w:rPr>
        <w:b/>
        <w:bCs/>
      </w:rPr>
      <w:tblPr/>
      <w:tcPr>
        <w:shd w:val="clear" w:color="auto" w:fill="C7C8CA" w:themeFill="accent6" w:themeFillTint="66"/>
      </w:tcPr>
    </w:tblStylePr>
    <w:tblStylePr w:type="lastRow">
      <w:rPr>
        <w:b/>
        <w:bCs/>
        <w:color w:val="000000" w:themeColor="text1"/>
      </w:rPr>
      <w:tblPr/>
      <w:tcPr>
        <w:shd w:val="clear" w:color="auto" w:fill="C7C8CA" w:themeFill="accent6" w:themeFillTint="66"/>
      </w:tcPr>
    </w:tblStylePr>
    <w:tblStylePr w:type="firstCol">
      <w:rPr>
        <w:color w:val="FFFFFF" w:themeColor="background1"/>
      </w:rPr>
      <w:tblPr/>
      <w:tcPr>
        <w:shd w:val="clear" w:color="auto" w:fill="57595C" w:themeFill="accent6" w:themeFillShade="BF"/>
      </w:tcPr>
    </w:tblStylePr>
    <w:tblStylePr w:type="lastCol">
      <w:rPr>
        <w:color w:val="FFFFFF" w:themeColor="background1"/>
      </w:rPr>
      <w:tblPr/>
      <w:tcPr>
        <w:shd w:val="clear" w:color="auto" w:fill="57595C" w:themeFill="accent6" w:themeFillShade="BF"/>
      </w:tcPr>
    </w:tblStylePr>
    <w:tblStylePr w:type="band1Vert">
      <w:tblPr/>
      <w:tcPr>
        <w:shd w:val="clear" w:color="auto" w:fill="B9BBBD" w:themeFill="accent6" w:themeFillTint="7F"/>
      </w:tcPr>
    </w:tblStylePr>
    <w:tblStylePr w:type="band1Horz">
      <w:tblPr/>
      <w:tcPr>
        <w:shd w:val="clear" w:color="auto" w:fill="B9BBBD" w:themeFill="accent6" w:themeFillTint="7F"/>
      </w:tcPr>
    </w:tblStylePr>
  </w:style>
  <w:style w:type="table" w:styleId="ColorfulList">
    <w:name w:val="Colorful List"/>
    <w:basedOn w:val="TableNormal"/>
    <w:uiPriority w:val="72"/>
    <w:rsid w:val="00F9113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9113D"/>
    <w:pPr>
      <w:spacing w:line="240" w:lineRule="auto"/>
    </w:pPr>
    <w:rPr>
      <w:color w:val="000000" w:themeColor="text1"/>
    </w:rPr>
    <w:tblPr>
      <w:tblStyleRowBandSize w:val="1"/>
      <w:tblStyleColBandSize w:val="1"/>
    </w:tblPr>
    <w:tcPr>
      <w:shd w:val="clear" w:color="auto" w:fill="F3FAE7" w:themeFill="accent1"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C3" w:themeFill="accent1" w:themeFillTint="3F"/>
      </w:tcPr>
    </w:tblStylePr>
    <w:tblStylePr w:type="band1Horz">
      <w:tblPr/>
      <w:tcPr>
        <w:shd w:val="clear" w:color="auto" w:fill="E7F5CF" w:themeFill="accent1" w:themeFillTint="33"/>
      </w:tcPr>
    </w:tblStylePr>
  </w:style>
  <w:style w:type="table" w:styleId="ColorfulList-Accent2">
    <w:name w:val="Colorful List Accent 2"/>
    <w:basedOn w:val="TableNormal"/>
    <w:uiPriority w:val="72"/>
    <w:rsid w:val="00F9113D"/>
    <w:pPr>
      <w:spacing w:line="240" w:lineRule="auto"/>
    </w:pPr>
    <w:rPr>
      <w:color w:val="000000" w:themeColor="text1"/>
    </w:rPr>
    <w:tblPr>
      <w:tblStyleRowBandSize w:val="1"/>
      <w:tblStyleColBandSize w:val="1"/>
    </w:tblPr>
    <w:tcPr>
      <w:shd w:val="clear" w:color="auto" w:fill="D9FDEB" w:themeFill="accent2"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BCE" w:themeFill="accent2" w:themeFillTint="3F"/>
      </w:tcPr>
    </w:tblStylePr>
    <w:tblStylePr w:type="band1Horz">
      <w:tblPr/>
      <w:tcPr>
        <w:shd w:val="clear" w:color="auto" w:fill="B1FCD7" w:themeFill="accent2" w:themeFillTint="33"/>
      </w:tcPr>
    </w:tblStylePr>
  </w:style>
  <w:style w:type="table" w:styleId="ColorfulList-Accent3">
    <w:name w:val="Colorful List Accent 3"/>
    <w:basedOn w:val="TableNormal"/>
    <w:uiPriority w:val="72"/>
    <w:rsid w:val="00F9113D"/>
    <w:pPr>
      <w:spacing w:line="240" w:lineRule="auto"/>
    </w:pPr>
    <w:rPr>
      <w:color w:val="000000" w:themeColor="text1"/>
    </w:rPr>
    <w:tblPr>
      <w:tblStyleRowBandSize w:val="1"/>
      <w:tblStyleColBandSize w:val="1"/>
    </w:tblPr>
    <w:tcPr>
      <w:shd w:val="clear" w:color="auto" w:fill="EFF7FC" w:themeFill="accent3" w:themeFillTint="19"/>
    </w:tcPr>
    <w:tblStylePr w:type="firstRow">
      <w:rPr>
        <w:b/>
        <w:bCs/>
        <w:color w:val="FFFFFF" w:themeColor="background1"/>
      </w:rPr>
      <w:tblPr/>
      <w:tcPr>
        <w:tcBorders>
          <w:bottom w:val="single" w:sz="12" w:space="0" w:color="FFFFFF" w:themeColor="background1"/>
        </w:tcBorders>
        <w:shd w:val="clear" w:color="auto" w:fill="001A53" w:themeFill="accent4" w:themeFillShade="CC"/>
      </w:tcPr>
    </w:tblStylePr>
    <w:tblStylePr w:type="lastRow">
      <w:rPr>
        <w:b/>
        <w:bCs/>
        <w:color w:val="001A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CF8" w:themeFill="accent3" w:themeFillTint="3F"/>
      </w:tcPr>
    </w:tblStylePr>
    <w:tblStylePr w:type="band1Horz">
      <w:tblPr/>
      <w:tcPr>
        <w:shd w:val="clear" w:color="auto" w:fill="DFF0F9" w:themeFill="accent3" w:themeFillTint="33"/>
      </w:tcPr>
    </w:tblStylePr>
  </w:style>
  <w:style w:type="table" w:styleId="ColorfulList-Accent4">
    <w:name w:val="Colorful List Accent 4"/>
    <w:basedOn w:val="TableNormal"/>
    <w:uiPriority w:val="72"/>
    <w:rsid w:val="00F9113D"/>
    <w:pPr>
      <w:spacing w:line="240" w:lineRule="auto"/>
    </w:pPr>
    <w:rPr>
      <w:color w:val="000000" w:themeColor="text1"/>
    </w:rPr>
    <w:tblPr>
      <w:tblStyleRowBandSize w:val="1"/>
      <w:tblStyleColBandSize w:val="1"/>
    </w:tblPr>
    <w:tcPr>
      <w:shd w:val="clear" w:color="auto" w:fill="D7E3FE" w:themeFill="accent4" w:themeFillTint="19"/>
    </w:tcPr>
    <w:tblStylePr w:type="firstRow">
      <w:rPr>
        <w:b/>
        <w:bCs/>
        <w:color w:val="FFFFFF" w:themeColor="background1"/>
      </w:rPr>
      <w:tblPr/>
      <w:tcPr>
        <w:tcBorders>
          <w:bottom w:val="single" w:sz="12" w:space="0" w:color="FFFFFF" w:themeColor="background1"/>
        </w:tcBorders>
        <w:shd w:val="clear" w:color="auto" w:fill="299ADB" w:themeFill="accent3" w:themeFillShade="CC"/>
      </w:tcPr>
    </w:tblStylePr>
    <w:tblStylePr w:type="lastRow">
      <w:rPr>
        <w:b/>
        <w:bCs/>
        <w:color w:val="299AD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4" w:themeFillTint="3F"/>
      </w:tcPr>
    </w:tblStylePr>
    <w:tblStylePr w:type="band1Horz">
      <w:tblPr/>
      <w:tcPr>
        <w:shd w:val="clear" w:color="auto" w:fill="AEC7FE" w:themeFill="accent4" w:themeFillTint="33"/>
      </w:tcPr>
    </w:tblStylePr>
  </w:style>
  <w:style w:type="table" w:styleId="ColorfulList-Accent5">
    <w:name w:val="Colorful List Accent 5"/>
    <w:basedOn w:val="TableNormal"/>
    <w:uiPriority w:val="72"/>
    <w:rsid w:val="00F9113D"/>
    <w:pPr>
      <w:spacing w:line="240" w:lineRule="auto"/>
    </w:pPr>
    <w:rPr>
      <w:color w:val="000000" w:themeColor="text1"/>
    </w:rPr>
    <w:tblPr>
      <w:tblStyleRowBandSize w:val="1"/>
      <w:tblStyleColBandSize w:val="1"/>
    </w:tblPr>
    <w:tcPr>
      <w:shd w:val="clear" w:color="auto" w:fill="DDFBFF" w:themeFill="accent5" w:themeFillTint="19"/>
    </w:tcPr>
    <w:tblStylePr w:type="firstRow">
      <w:rPr>
        <w:b/>
        <w:bCs/>
        <w:color w:val="FFFFFF" w:themeColor="background1"/>
      </w:rPr>
      <w:tblPr/>
      <w:tcPr>
        <w:tcBorders>
          <w:bottom w:val="single" w:sz="12" w:space="0" w:color="FFFFFF" w:themeColor="background1"/>
        </w:tcBorders>
        <w:shd w:val="clear" w:color="auto" w:fill="5D5F62" w:themeFill="accent6" w:themeFillShade="CC"/>
      </w:tcPr>
    </w:tblStylePr>
    <w:tblStylePr w:type="lastRow">
      <w:rPr>
        <w:b/>
        <w:bCs/>
        <w:color w:val="5D5F6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5FF" w:themeFill="accent5" w:themeFillTint="3F"/>
      </w:tcPr>
    </w:tblStylePr>
    <w:tblStylePr w:type="band1Horz">
      <w:tblPr/>
      <w:tcPr>
        <w:shd w:val="clear" w:color="auto" w:fill="BAF7FF" w:themeFill="accent5" w:themeFillTint="33"/>
      </w:tcPr>
    </w:tblStylePr>
  </w:style>
  <w:style w:type="table" w:styleId="ColorfulList-Accent6">
    <w:name w:val="Colorful List Accent 6"/>
    <w:basedOn w:val="TableNormal"/>
    <w:uiPriority w:val="72"/>
    <w:rsid w:val="00F9113D"/>
    <w:pPr>
      <w:spacing w:line="240" w:lineRule="auto"/>
    </w:pPr>
    <w:rPr>
      <w:color w:val="000000" w:themeColor="text1"/>
    </w:rPr>
    <w:tblPr>
      <w:tblStyleRowBandSize w:val="1"/>
      <w:tblStyleColBandSize w:val="1"/>
    </w:tblPr>
    <w:tcPr>
      <w:shd w:val="clear" w:color="auto" w:fill="F1F1F2" w:themeFill="accent6" w:themeFillTint="19"/>
    </w:tcPr>
    <w:tblStylePr w:type="firstRow">
      <w:rPr>
        <w:b/>
        <w:bCs/>
        <w:color w:val="FFFFFF" w:themeColor="background1"/>
      </w:rPr>
      <w:tblPr/>
      <w:tcPr>
        <w:tcBorders>
          <w:bottom w:val="single" w:sz="12" w:space="0" w:color="FFFFFF" w:themeColor="background1"/>
        </w:tcBorders>
        <w:shd w:val="clear" w:color="auto" w:fill="007887" w:themeFill="accent5" w:themeFillShade="CC"/>
      </w:tcPr>
    </w:tblStylePr>
    <w:tblStylePr w:type="lastRow">
      <w:rPr>
        <w:b/>
        <w:bCs/>
        <w:color w:val="00788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DDE" w:themeFill="accent6" w:themeFillTint="3F"/>
      </w:tcPr>
    </w:tblStylePr>
    <w:tblStylePr w:type="band1Horz">
      <w:tblPr/>
      <w:tcPr>
        <w:shd w:val="clear" w:color="auto" w:fill="E3E3E4" w:themeFill="accent6" w:themeFillTint="33"/>
      </w:tcPr>
    </w:tblStylePr>
  </w:style>
  <w:style w:type="table" w:styleId="ColorfulShading">
    <w:name w:val="Colorful Shading"/>
    <w:basedOn w:val="TableNormal"/>
    <w:uiPriority w:val="71"/>
    <w:rsid w:val="00F9113D"/>
    <w:pPr>
      <w:spacing w:line="240" w:lineRule="auto"/>
    </w:pPr>
    <w:rPr>
      <w:color w:val="000000" w:themeColor="text1"/>
    </w:rPr>
    <w:tblPr>
      <w:tblStyleRowBandSize w:val="1"/>
      <w:tblStyleColBandSize w:val="1"/>
      <w:tblBorders>
        <w:top w:val="single" w:sz="24" w:space="0" w:color="046A3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9113D"/>
    <w:pPr>
      <w:spacing w:line="240" w:lineRule="auto"/>
    </w:pPr>
    <w:rPr>
      <w:color w:val="000000" w:themeColor="text1"/>
    </w:rPr>
    <w:tblPr>
      <w:tblStyleRowBandSize w:val="1"/>
      <w:tblStyleColBandSize w:val="1"/>
      <w:tblBorders>
        <w:top w:val="single" w:sz="24" w:space="0" w:color="046A38" w:themeColor="accent2"/>
        <w:left w:val="single" w:sz="4" w:space="0" w:color="86BC25" w:themeColor="accent1"/>
        <w:bottom w:val="single" w:sz="4" w:space="0" w:color="86BC25" w:themeColor="accent1"/>
        <w:right w:val="single" w:sz="4" w:space="0" w:color="86BC25" w:themeColor="accent1"/>
        <w:insideH w:val="single" w:sz="4" w:space="0" w:color="FFFFFF" w:themeColor="background1"/>
        <w:insideV w:val="single" w:sz="4" w:space="0" w:color="FFFFFF" w:themeColor="background1"/>
      </w:tblBorders>
    </w:tblPr>
    <w:tcPr>
      <w:shd w:val="clear" w:color="auto" w:fill="F3FAE7" w:themeFill="accent1"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7016" w:themeFill="accent1" w:themeFillShade="99"/>
      </w:tcPr>
    </w:tblStylePr>
    <w:tblStylePr w:type="firstCol">
      <w:rPr>
        <w:color w:val="FFFFFF" w:themeColor="background1"/>
      </w:rPr>
      <w:tblPr/>
      <w:tcPr>
        <w:tcBorders>
          <w:top w:val="nil"/>
          <w:left w:val="nil"/>
          <w:bottom w:val="nil"/>
          <w:right w:val="nil"/>
          <w:insideH w:val="single" w:sz="4" w:space="0" w:color="507016" w:themeColor="accent1" w:themeShade="99"/>
          <w:insideV w:val="nil"/>
        </w:tcBorders>
        <w:shd w:val="clear" w:color="auto" w:fill="5070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07016" w:themeFill="accent1" w:themeFillShade="99"/>
      </w:tcPr>
    </w:tblStylePr>
    <w:tblStylePr w:type="band1Vert">
      <w:tblPr/>
      <w:tcPr>
        <w:shd w:val="clear" w:color="auto" w:fill="D0EC9F" w:themeFill="accent1" w:themeFillTint="66"/>
      </w:tcPr>
    </w:tblStylePr>
    <w:tblStylePr w:type="band1Horz">
      <w:tblPr/>
      <w:tcPr>
        <w:shd w:val="clear" w:color="auto" w:fill="C5E7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9113D"/>
    <w:pPr>
      <w:spacing w:line="240" w:lineRule="auto"/>
    </w:pPr>
    <w:rPr>
      <w:color w:val="000000" w:themeColor="text1"/>
    </w:rPr>
    <w:tblPr>
      <w:tblStyleRowBandSize w:val="1"/>
      <w:tblStyleColBandSize w:val="1"/>
      <w:tblBorders>
        <w:top w:val="single" w:sz="24" w:space="0" w:color="046A38" w:themeColor="accent2"/>
        <w:left w:val="single" w:sz="4" w:space="0" w:color="046A38" w:themeColor="accent2"/>
        <w:bottom w:val="single" w:sz="4" w:space="0" w:color="046A38" w:themeColor="accent2"/>
        <w:right w:val="single" w:sz="4" w:space="0" w:color="046A38" w:themeColor="accent2"/>
        <w:insideH w:val="single" w:sz="4" w:space="0" w:color="FFFFFF" w:themeColor="background1"/>
        <w:insideV w:val="single" w:sz="4" w:space="0" w:color="FFFFFF" w:themeColor="background1"/>
      </w:tblBorders>
    </w:tblPr>
    <w:tcPr>
      <w:shd w:val="clear" w:color="auto" w:fill="D9FDEB" w:themeFill="accent2"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3F21" w:themeFill="accent2" w:themeFillShade="99"/>
      </w:tcPr>
    </w:tblStylePr>
    <w:tblStylePr w:type="firstCol">
      <w:rPr>
        <w:color w:val="FFFFFF" w:themeColor="background1"/>
      </w:rPr>
      <w:tblPr/>
      <w:tcPr>
        <w:tcBorders>
          <w:top w:val="nil"/>
          <w:left w:val="nil"/>
          <w:bottom w:val="nil"/>
          <w:right w:val="nil"/>
          <w:insideH w:val="single" w:sz="4" w:space="0" w:color="023F21" w:themeColor="accent2" w:themeShade="99"/>
          <w:insideV w:val="nil"/>
        </w:tcBorders>
        <w:shd w:val="clear" w:color="auto" w:fill="023F2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23F21" w:themeFill="accent2" w:themeFillShade="99"/>
      </w:tcPr>
    </w:tblStylePr>
    <w:tblStylePr w:type="band1Vert">
      <w:tblPr/>
      <w:tcPr>
        <w:shd w:val="clear" w:color="auto" w:fill="64F9B0" w:themeFill="accent2" w:themeFillTint="66"/>
      </w:tcPr>
    </w:tblStylePr>
    <w:tblStylePr w:type="band1Horz">
      <w:tblPr/>
      <w:tcPr>
        <w:shd w:val="clear" w:color="auto" w:fill="3EF7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9113D"/>
    <w:pPr>
      <w:spacing w:line="240" w:lineRule="auto"/>
    </w:pPr>
    <w:rPr>
      <w:color w:val="000000" w:themeColor="text1"/>
    </w:rPr>
    <w:tblPr>
      <w:tblStyleRowBandSize w:val="1"/>
      <w:tblStyleColBandSize w:val="1"/>
      <w:tblBorders>
        <w:top w:val="single" w:sz="24" w:space="0" w:color="012169" w:themeColor="accent4"/>
        <w:left w:val="single" w:sz="4" w:space="0" w:color="62B5E5" w:themeColor="accent3"/>
        <w:bottom w:val="single" w:sz="4" w:space="0" w:color="62B5E5" w:themeColor="accent3"/>
        <w:right w:val="single" w:sz="4" w:space="0" w:color="62B5E5" w:themeColor="accent3"/>
        <w:insideH w:val="single" w:sz="4" w:space="0" w:color="FFFFFF" w:themeColor="background1"/>
        <w:insideV w:val="single" w:sz="4" w:space="0" w:color="FFFFFF" w:themeColor="background1"/>
      </w:tblBorders>
    </w:tblPr>
    <w:tcPr>
      <w:shd w:val="clear" w:color="auto" w:fill="EFF7FC" w:themeFill="accent3" w:themeFillTint="19"/>
    </w:tcPr>
    <w:tblStylePr w:type="firstRow">
      <w:rPr>
        <w:b/>
        <w:bCs/>
      </w:rPr>
      <w:tblPr/>
      <w:tcPr>
        <w:tcBorders>
          <w:top w:val="nil"/>
          <w:left w:val="nil"/>
          <w:bottom w:val="single" w:sz="24" w:space="0" w:color="01216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74A8" w:themeFill="accent3" w:themeFillShade="99"/>
      </w:tcPr>
    </w:tblStylePr>
    <w:tblStylePr w:type="firstCol">
      <w:rPr>
        <w:color w:val="FFFFFF" w:themeColor="background1"/>
      </w:rPr>
      <w:tblPr/>
      <w:tcPr>
        <w:tcBorders>
          <w:top w:val="nil"/>
          <w:left w:val="nil"/>
          <w:bottom w:val="nil"/>
          <w:right w:val="nil"/>
          <w:insideH w:val="single" w:sz="4" w:space="0" w:color="1C74A8" w:themeColor="accent3" w:themeShade="99"/>
          <w:insideV w:val="nil"/>
        </w:tcBorders>
        <w:shd w:val="clear" w:color="auto" w:fill="1C74A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C74A8" w:themeFill="accent3" w:themeFillShade="99"/>
      </w:tcPr>
    </w:tblStylePr>
    <w:tblStylePr w:type="band1Vert">
      <w:tblPr/>
      <w:tcPr>
        <w:shd w:val="clear" w:color="auto" w:fill="C0E1F4" w:themeFill="accent3" w:themeFillTint="66"/>
      </w:tcPr>
    </w:tblStylePr>
    <w:tblStylePr w:type="band1Horz">
      <w:tblPr/>
      <w:tcPr>
        <w:shd w:val="clear" w:color="auto" w:fill="B0D9F2" w:themeFill="accent3" w:themeFillTint="7F"/>
      </w:tcPr>
    </w:tblStylePr>
  </w:style>
  <w:style w:type="table" w:styleId="ColorfulShading-Accent4">
    <w:name w:val="Colorful Shading Accent 4"/>
    <w:basedOn w:val="TableNormal"/>
    <w:uiPriority w:val="71"/>
    <w:rsid w:val="00F9113D"/>
    <w:pPr>
      <w:spacing w:line="240" w:lineRule="auto"/>
    </w:pPr>
    <w:rPr>
      <w:color w:val="000000" w:themeColor="text1"/>
    </w:rPr>
    <w:tblPr>
      <w:tblStyleRowBandSize w:val="1"/>
      <w:tblStyleColBandSize w:val="1"/>
      <w:tblBorders>
        <w:top w:val="single" w:sz="24" w:space="0" w:color="62B5E5" w:themeColor="accent3"/>
        <w:left w:val="single" w:sz="4" w:space="0" w:color="012169" w:themeColor="accent4"/>
        <w:bottom w:val="single" w:sz="4" w:space="0" w:color="012169" w:themeColor="accent4"/>
        <w:right w:val="single" w:sz="4" w:space="0" w:color="012169" w:themeColor="accent4"/>
        <w:insideH w:val="single" w:sz="4" w:space="0" w:color="FFFFFF" w:themeColor="background1"/>
        <w:insideV w:val="single" w:sz="4" w:space="0" w:color="FFFFFF" w:themeColor="background1"/>
      </w:tblBorders>
    </w:tblPr>
    <w:tcPr>
      <w:shd w:val="clear" w:color="auto" w:fill="D7E3FE" w:themeFill="accent4" w:themeFillTint="19"/>
    </w:tcPr>
    <w:tblStylePr w:type="firstRow">
      <w:rPr>
        <w:b/>
        <w:bCs/>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4" w:themeFillShade="99"/>
      </w:tcPr>
    </w:tblStylePr>
    <w:tblStylePr w:type="firstCol">
      <w:rPr>
        <w:color w:val="FFFFFF" w:themeColor="background1"/>
      </w:rPr>
      <w:tblPr/>
      <w:tcPr>
        <w:tcBorders>
          <w:top w:val="nil"/>
          <w:left w:val="nil"/>
          <w:bottom w:val="nil"/>
          <w:right w:val="nil"/>
          <w:insideH w:val="single" w:sz="4" w:space="0" w:color="00133E" w:themeColor="accent4" w:themeShade="99"/>
          <w:insideV w:val="nil"/>
        </w:tcBorders>
        <w:shd w:val="clear" w:color="auto" w:fill="00133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4" w:themeFillShade="99"/>
      </w:tcPr>
    </w:tblStylePr>
    <w:tblStylePr w:type="band1Vert">
      <w:tblPr/>
      <w:tcPr>
        <w:shd w:val="clear" w:color="auto" w:fill="5E8FFD" w:themeFill="accent4" w:themeFillTint="66"/>
      </w:tcPr>
    </w:tblStylePr>
    <w:tblStylePr w:type="band1Horz">
      <w:tblPr/>
      <w:tcPr>
        <w:shd w:val="clear" w:color="auto" w:fill="3773F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9113D"/>
    <w:pPr>
      <w:spacing w:line="240" w:lineRule="auto"/>
    </w:pPr>
    <w:rPr>
      <w:color w:val="000000" w:themeColor="text1"/>
    </w:rPr>
    <w:tblPr>
      <w:tblStyleRowBandSize w:val="1"/>
      <w:tblStyleColBandSize w:val="1"/>
      <w:tblBorders>
        <w:top w:val="single" w:sz="24" w:space="0" w:color="75787B" w:themeColor="accent6"/>
        <w:left w:val="single" w:sz="4" w:space="0" w:color="0097A9" w:themeColor="accent5"/>
        <w:bottom w:val="single" w:sz="4" w:space="0" w:color="0097A9" w:themeColor="accent5"/>
        <w:right w:val="single" w:sz="4" w:space="0" w:color="0097A9" w:themeColor="accent5"/>
        <w:insideH w:val="single" w:sz="4" w:space="0" w:color="FFFFFF" w:themeColor="background1"/>
        <w:insideV w:val="single" w:sz="4" w:space="0" w:color="FFFFFF" w:themeColor="background1"/>
      </w:tblBorders>
    </w:tblPr>
    <w:tcPr>
      <w:shd w:val="clear" w:color="auto" w:fill="DDFBFF" w:themeFill="accent5" w:themeFillTint="19"/>
    </w:tcPr>
    <w:tblStylePr w:type="firstRow">
      <w:rPr>
        <w:b/>
        <w:bCs/>
      </w:rPr>
      <w:tblPr/>
      <w:tcPr>
        <w:tcBorders>
          <w:top w:val="nil"/>
          <w:left w:val="nil"/>
          <w:bottom w:val="single" w:sz="24" w:space="0" w:color="75787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65" w:themeFill="accent5" w:themeFillShade="99"/>
      </w:tcPr>
    </w:tblStylePr>
    <w:tblStylePr w:type="firstCol">
      <w:rPr>
        <w:color w:val="FFFFFF" w:themeColor="background1"/>
      </w:rPr>
      <w:tblPr/>
      <w:tcPr>
        <w:tcBorders>
          <w:top w:val="nil"/>
          <w:left w:val="nil"/>
          <w:bottom w:val="nil"/>
          <w:right w:val="nil"/>
          <w:insideH w:val="single" w:sz="4" w:space="0" w:color="005A65" w:themeColor="accent5" w:themeShade="99"/>
          <w:insideV w:val="nil"/>
        </w:tcBorders>
        <w:shd w:val="clear" w:color="auto" w:fill="005A6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A65" w:themeFill="accent5" w:themeFillShade="99"/>
      </w:tcPr>
    </w:tblStylePr>
    <w:tblStylePr w:type="band1Vert">
      <w:tblPr/>
      <w:tcPr>
        <w:shd w:val="clear" w:color="auto" w:fill="76EFFF" w:themeFill="accent5" w:themeFillTint="66"/>
      </w:tcPr>
    </w:tblStylePr>
    <w:tblStylePr w:type="band1Horz">
      <w:tblPr/>
      <w:tcPr>
        <w:shd w:val="clear" w:color="auto" w:fill="55EC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9113D"/>
    <w:pPr>
      <w:spacing w:line="240" w:lineRule="auto"/>
    </w:pPr>
    <w:rPr>
      <w:color w:val="000000" w:themeColor="text1"/>
    </w:rPr>
    <w:tblPr>
      <w:tblStyleRowBandSize w:val="1"/>
      <w:tblStyleColBandSize w:val="1"/>
      <w:tblBorders>
        <w:top w:val="single" w:sz="24" w:space="0" w:color="0097A9" w:themeColor="accent5"/>
        <w:left w:val="single" w:sz="4" w:space="0" w:color="75787B" w:themeColor="accent6"/>
        <w:bottom w:val="single" w:sz="4" w:space="0" w:color="75787B" w:themeColor="accent6"/>
        <w:right w:val="single" w:sz="4" w:space="0" w:color="75787B" w:themeColor="accent6"/>
        <w:insideH w:val="single" w:sz="4" w:space="0" w:color="FFFFFF" w:themeColor="background1"/>
        <w:insideV w:val="single" w:sz="4" w:space="0" w:color="FFFFFF" w:themeColor="background1"/>
      </w:tblBorders>
    </w:tblPr>
    <w:tcPr>
      <w:shd w:val="clear" w:color="auto" w:fill="F1F1F2" w:themeFill="accent6" w:themeFillTint="19"/>
    </w:tcPr>
    <w:tblStylePr w:type="firstRow">
      <w:rPr>
        <w:b/>
        <w:bCs/>
      </w:rPr>
      <w:tblPr/>
      <w:tcPr>
        <w:tcBorders>
          <w:top w:val="nil"/>
          <w:left w:val="nil"/>
          <w:bottom w:val="single" w:sz="24" w:space="0" w:color="0097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4749" w:themeFill="accent6" w:themeFillShade="99"/>
      </w:tcPr>
    </w:tblStylePr>
    <w:tblStylePr w:type="firstCol">
      <w:rPr>
        <w:color w:val="FFFFFF" w:themeColor="background1"/>
      </w:rPr>
      <w:tblPr/>
      <w:tcPr>
        <w:tcBorders>
          <w:top w:val="nil"/>
          <w:left w:val="nil"/>
          <w:bottom w:val="nil"/>
          <w:right w:val="nil"/>
          <w:insideH w:val="single" w:sz="4" w:space="0" w:color="464749" w:themeColor="accent6" w:themeShade="99"/>
          <w:insideV w:val="nil"/>
        </w:tcBorders>
        <w:shd w:val="clear" w:color="auto" w:fill="46474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64749" w:themeFill="accent6" w:themeFillShade="99"/>
      </w:tcPr>
    </w:tblStylePr>
    <w:tblStylePr w:type="band1Vert">
      <w:tblPr/>
      <w:tcPr>
        <w:shd w:val="clear" w:color="auto" w:fill="C7C8CA" w:themeFill="accent6" w:themeFillTint="66"/>
      </w:tcPr>
    </w:tblStylePr>
    <w:tblStylePr w:type="band1Horz">
      <w:tblPr/>
      <w:tcPr>
        <w:shd w:val="clear" w:color="auto" w:fill="B9BBB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F9113D"/>
    <w:rPr>
      <w:sz w:val="16"/>
      <w:szCs w:val="16"/>
      <w:lang w:val="en-AU"/>
    </w:rPr>
  </w:style>
  <w:style w:type="paragraph" w:styleId="CommentText">
    <w:name w:val="annotation text"/>
    <w:basedOn w:val="Normal"/>
    <w:link w:val="CommentTextChar"/>
    <w:uiPriority w:val="99"/>
    <w:semiHidden/>
    <w:rsid w:val="00F9113D"/>
    <w:pPr>
      <w:spacing w:line="240" w:lineRule="auto"/>
    </w:pPr>
    <w:rPr>
      <w:sz w:val="20"/>
      <w:szCs w:val="20"/>
    </w:rPr>
  </w:style>
  <w:style w:type="character" w:customStyle="1" w:styleId="CommentTextChar">
    <w:name w:val="Comment Text Char"/>
    <w:basedOn w:val="DefaultParagraphFont"/>
    <w:link w:val="CommentText"/>
    <w:uiPriority w:val="99"/>
    <w:semiHidden/>
    <w:rsid w:val="00F9113D"/>
    <w:rPr>
      <w:sz w:val="20"/>
      <w:szCs w:val="20"/>
    </w:rPr>
  </w:style>
  <w:style w:type="paragraph" w:styleId="CommentSubject">
    <w:name w:val="annotation subject"/>
    <w:basedOn w:val="CommentText"/>
    <w:next w:val="CommentText"/>
    <w:link w:val="CommentSubjectChar"/>
    <w:uiPriority w:val="99"/>
    <w:semiHidden/>
    <w:rsid w:val="00F9113D"/>
    <w:rPr>
      <w:b/>
      <w:bCs/>
    </w:rPr>
  </w:style>
  <w:style w:type="character" w:customStyle="1" w:styleId="CommentSubjectChar">
    <w:name w:val="Comment Subject Char"/>
    <w:basedOn w:val="CommentTextChar"/>
    <w:link w:val="CommentSubject"/>
    <w:uiPriority w:val="99"/>
    <w:semiHidden/>
    <w:rsid w:val="00F9113D"/>
    <w:rPr>
      <w:b/>
      <w:bCs/>
      <w:sz w:val="20"/>
      <w:szCs w:val="20"/>
    </w:rPr>
  </w:style>
  <w:style w:type="table" w:styleId="DarkList">
    <w:name w:val="Dark List"/>
    <w:basedOn w:val="TableNormal"/>
    <w:uiPriority w:val="70"/>
    <w:rsid w:val="00F9113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9113D"/>
    <w:pPr>
      <w:spacing w:line="240" w:lineRule="auto"/>
    </w:pPr>
    <w:rPr>
      <w:color w:val="FFFFFF" w:themeColor="background1"/>
    </w:rPr>
    <w:tblPr>
      <w:tblStyleRowBandSize w:val="1"/>
      <w:tblStyleColBandSize w:val="1"/>
    </w:tblPr>
    <w:tcPr>
      <w:shd w:val="clear" w:color="auto" w:fill="86BC2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D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38C1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38C1B" w:themeFill="accent1" w:themeFillShade="BF"/>
      </w:tcPr>
    </w:tblStylePr>
    <w:tblStylePr w:type="band1Vert">
      <w:tblPr/>
      <w:tcPr>
        <w:tcBorders>
          <w:top w:val="nil"/>
          <w:left w:val="nil"/>
          <w:bottom w:val="nil"/>
          <w:right w:val="nil"/>
          <w:insideH w:val="nil"/>
          <w:insideV w:val="nil"/>
        </w:tcBorders>
        <w:shd w:val="clear" w:color="auto" w:fill="638C1B" w:themeFill="accent1" w:themeFillShade="BF"/>
      </w:tcPr>
    </w:tblStylePr>
    <w:tblStylePr w:type="band1Horz">
      <w:tblPr/>
      <w:tcPr>
        <w:tcBorders>
          <w:top w:val="nil"/>
          <w:left w:val="nil"/>
          <w:bottom w:val="nil"/>
          <w:right w:val="nil"/>
          <w:insideH w:val="nil"/>
          <w:insideV w:val="nil"/>
        </w:tcBorders>
        <w:shd w:val="clear" w:color="auto" w:fill="638C1B" w:themeFill="accent1" w:themeFillShade="BF"/>
      </w:tcPr>
    </w:tblStylePr>
  </w:style>
  <w:style w:type="table" w:styleId="DarkList-Accent2">
    <w:name w:val="Dark List Accent 2"/>
    <w:basedOn w:val="TableNormal"/>
    <w:uiPriority w:val="70"/>
    <w:rsid w:val="00F9113D"/>
    <w:pPr>
      <w:spacing w:line="240" w:lineRule="auto"/>
    </w:pPr>
    <w:rPr>
      <w:color w:val="FFFFFF" w:themeColor="background1"/>
    </w:rPr>
    <w:tblPr>
      <w:tblStyleRowBandSize w:val="1"/>
      <w:tblStyleColBandSize w:val="1"/>
    </w:tblPr>
    <w:tcPr>
      <w:shd w:val="clear" w:color="auto" w:fill="046A3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341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34F2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34F29" w:themeFill="accent2" w:themeFillShade="BF"/>
      </w:tcPr>
    </w:tblStylePr>
    <w:tblStylePr w:type="band1Vert">
      <w:tblPr/>
      <w:tcPr>
        <w:tcBorders>
          <w:top w:val="nil"/>
          <w:left w:val="nil"/>
          <w:bottom w:val="nil"/>
          <w:right w:val="nil"/>
          <w:insideH w:val="nil"/>
          <w:insideV w:val="nil"/>
        </w:tcBorders>
        <w:shd w:val="clear" w:color="auto" w:fill="034F29" w:themeFill="accent2" w:themeFillShade="BF"/>
      </w:tcPr>
    </w:tblStylePr>
    <w:tblStylePr w:type="band1Horz">
      <w:tblPr/>
      <w:tcPr>
        <w:tcBorders>
          <w:top w:val="nil"/>
          <w:left w:val="nil"/>
          <w:bottom w:val="nil"/>
          <w:right w:val="nil"/>
          <w:insideH w:val="nil"/>
          <w:insideV w:val="nil"/>
        </w:tcBorders>
        <w:shd w:val="clear" w:color="auto" w:fill="034F29" w:themeFill="accent2" w:themeFillShade="BF"/>
      </w:tcPr>
    </w:tblStylePr>
  </w:style>
  <w:style w:type="table" w:styleId="DarkList-Accent3">
    <w:name w:val="Dark List Accent 3"/>
    <w:basedOn w:val="TableNormal"/>
    <w:uiPriority w:val="70"/>
    <w:rsid w:val="00F9113D"/>
    <w:pPr>
      <w:spacing w:line="240" w:lineRule="auto"/>
    </w:pPr>
    <w:rPr>
      <w:color w:val="FFFFFF" w:themeColor="background1"/>
    </w:rPr>
    <w:tblPr>
      <w:tblStyleRowBandSize w:val="1"/>
      <w:tblStyleColBandSize w:val="1"/>
    </w:tblPr>
    <w:tcPr>
      <w:shd w:val="clear" w:color="auto" w:fill="62B5E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608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291D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291D1" w:themeFill="accent3" w:themeFillShade="BF"/>
      </w:tcPr>
    </w:tblStylePr>
    <w:tblStylePr w:type="band1Vert">
      <w:tblPr/>
      <w:tcPr>
        <w:tcBorders>
          <w:top w:val="nil"/>
          <w:left w:val="nil"/>
          <w:bottom w:val="nil"/>
          <w:right w:val="nil"/>
          <w:insideH w:val="nil"/>
          <w:insideV w:val="nil"/>
        </w:tcBorders>
        <w:shd w:val="clear" w:color="auto" w:fill="2291D1" w:themeFill="accent3" w:themeFillShade="BF"/>
      </w:tcPr>
    </w:tblStylePr>
    <w:tblStylePr w:type="band1Horz">
      <w:tblPr/>
      <w:tcPr>
        <w:tcBorders>
          <w:top w:val="nil"/>
          <w:left w:val="nil"/>
          <w:bottom w:val="nil"/>
          <w:right w:val="nil"/>
          <w:insideH w:val="nil"/>
          <w:insideV w:val="nil"/>
        </w:tcBorders>
        <w:shd w:val="clear" w:color="auto" w:fill="2291D1" w:themeFill="accent3" w:themeFillShade="BF"/>
      </w:tcPr>
    </w:tblStylePr>
  </w:style>
  <w:style w:type="table" w:styleId="DarkList-Accent4">
    <w:name w:val="Dark List Accent 4"/>
    <w:basedOn w:val="TableNormal"/>
    <w:uiPriority w:val="70"/>
    <w:rsid w:val="00F9113D"/>
    <w:pPr>
      <w:spacing w:line="240" w:lineRule="auto"/>
    </w:pPr>
    <w:rPr>
      <w:color w:val="FFFFFF" w:themeColor="background1"/>
    </w:rPr>
    <w:tblPr>
      <w:tblStyleRowBandSize w:val="1"/>
      <w:tblStyleColBandSize w:val="1"/>
    </w:tblPr>
    <w:tcPr>
      <w:shd w:val="clear" w:color="auto" w:fill="01216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4" w:themeFillShade="BF"/>
      </w:tcPr>
    </w:tblStylePr>
    <w:tblStylePr w:type="band1Vert">
      <w:tblPr/>
      <w:tcPr>
        <w:tcBorders>
          <w:top w:val="nil"/>
          <w:left w:val="nil"/>
          <w:bottom w:val="nil"/>
          <w:right w:val="nil"/>
          <w:insideH w:val="nil"/>
          <w:insideV w:val="nil"/>
        </w:tcBorders>
        <w:shd w:val="clear" w:color="auto" w:fill="00184E" w:themeFill="accent4" w:themeFillShade="BF"/>
      </w:tcPr>
    </w:tblStylePr>
    <w:tblStylePr w:type="band1Horz">
      <w:tblPr/>
      <w:tcPr>
        <w:tcBorders>
          <w:top w:val="nil"/>
          <w:left w:val="nil"/>
          <w:bottom w:val="nil"/>
          <w:right w:val="nil"/>
          <w:insideH w:val="nil"/>
          <w:insideV w:val="nil"/>
        </w:tcBorders>
        <w:shd w:val="clear" w:color="auto" w:fill="00184E" w:themeFill="accent4" w:themeFillShade="BF"/>
      </w:tcPr>
    </w:tblStylePr>
  </w:style>
  <w:style w:type="table" w:styleId="DarkList-Accent5">
    <w:name w:val="Dark List Accent 5"/>
    <w:basedOn w:val="TableNormal"/>
    <w:uiPriority w:val="70"/>
    <w:rsid w:val="00F9113D"/>
    <w:pPr>
      <w:spacing w:line="240" w:lineRule="auto"/>
    </w:pPr>
    <w:rPr>
      <w:color w:val="FFFFFF" w:themeColor="background1"/>
    </w:rPr>
    <w:tblPr>
      <w:tblStyleRowBandSize w:val="1"/>
      <w:tblStyleColBandSize w:val="1"/>
    </w:tblPr>
    <w:tcPr>
      <w:shd w:val="clear" w:color="auto" w:fill="0097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5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07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07E" w:themeFill="accent5" w:themeFillShade="BF"/>
      </w:tcPr>
    </w:tblStylePr>
    <w:tblStylePr w:type="band1Vert">
      <w:tblPr/>
      <w:tcPr>
        <w:tcBorders>
          <w:top w:val="nil"/>
          <w:left w:val="nil"/>
          <w:bottom w:val="nil"/>
          <w:right w:val="nil"/>
          <w:insideH w:val="nil"/>
          <w:insideV w:val="nil"/>
        </w:tcBorders>
        <w:shd w:val="clear" w:color="auto" w:fill="00707E" w:themeFill="accent5" w:themeFillShade="BF"/>
      </w:tcPr>
    </w:tblStylePr>
    <w:tblStylePr w:type="band1Horz">
      <w:tblPr/>
      <w:tcPr>
        <w:tcBorders>
          <w:top w:val="nil"/>
          <w:left w:val="nil"/>
          <w:bottom w:val="nil"/>
          <w:right w:val="nil"/>
          <w:insideH w:val="nil"/>
          <w:insideV w:val="nil"/>
        </w:tcBorders>
        <w:shd w:val="clear" w:color="auto" w:fill="00707E" w:themeFill="accent5" w:themeFillShade="BF"/>
      </w:tcPr>
    </w:tblStylePr>
  </w:style>
  <w:style w:type="table" w:styleId="DarkList-Accent6">
    <w:name w:val="Dark List Accent 6"/>
    <w:basedOn w:val="TableNormal"/>
    <w:uiPriority w:val="70"/>
    <w:rsid w:val="00F9113D"/>
    <w:pPr>
      <w:spacing w:line="240" w:lineRule="auto"/>
    </w:pPr>
    <w:rPr>
      <w:color w:val="FFFFFF" w:themeColor="background1"/>
    </w:rPr>
    <w:tblPr>
      <w:tblStyleRowBandSize w:val="1"/>
      <w:tblStyleColBandSize w:val="1"/>
    </w:tblPr>
    <w:tcPr>
      <w:shd w:val="clear" w:color="auto" w:fill="75787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3B3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7595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7595C" w:themeFill="accent6" w:themeFillShade="BF"/>
      </w:tcPr>
    </w:tblStylePr>
    <w:tblStylePr w:type="band1Vert">
      <w:tblPr/>
      <w:tcPr>
        <w:tcBorders>
          <w:top w:val="nil"/>
          <w:left w:val="nil"/>
          <w:bottom w:val="nil"/>
          <w:right w:val="nil"/>
          <w:insideH w:val="nil"/>
          <w:insideV w:val="nil"/>
        </w:tcBorders>
        <w:shd w:val="clear" w:color="auto" w:fill="57595C" w:themeFill="accent6" w:themeFillShade="BF"/>
      </w:tcPr>
    </w:tblStylePr>
    <w:tblStylePr w:type="band1Horz">
      <w:tblPr/>
      <w:tcPr>
        <w:tcBorders>
          <w:top w:val="nil"/>
          <w:left w:val="nil"/>
          <w:bottom w:val="nil"/>
          <w:right w:val="nil"/>
          <w:insideH w:val="nil"/>
          <w:insideV w:val="nil"/>
        </w:tcBorders>
        <w:shd w:val="clear" w:color="auto" w:fill="57595C" w:themeFill="accent6" w:themeFillShade="BF"/>
      </w:tcPr>
    </w:tblStylePr>
  </w:style>
  <w:style w:type="paragraph" w:styleId="Date">
    <w:name w:val="Date"/>
    <w:basedOn w:val="Normal"/>
    <w:next w:val="Normal"/>
    <w:link w:val="DateChar"/>
    <w:uiPriority w:val="99"/>
    <w:semiHidden/>
    <w:rsid w:val="00F9113D"/>
  </w:style>
  <w:style w:type="character" w:customStyle="1" w:styleId="DateChar">
    <w:name w:val="Date Char"/>
    <w:basedOn w:val="DefaultParagraphFont"/>
    <w:link w:val="Date"/>
    <w:uiPriority w:val="99"/>
    <w:semiHidden/>
    <w:rsid w:val="00F9113D"/>
  </w:style>
  <w:style w:type="paragraph" w:styleId="DocumentMap">
    <w:name w:val="Document Map"/>
    <w:basedOn w:val="Normal"/>
    <w:link w:val="DocumentMapChar"/>
    <w:uiPriority w:val="99"/>
    <w:semiHidden/>
    <w:rsid w:val="00F9113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113D"/>
    <w:rPr>
      <w:rFonts w:ascii="Tahoma" w:hAnsi="Tahoma" w:cs="Tahoma"/>
      <w:sz w:val="16"/>
      <w:szCs w:val="16"/>
    </w:rPr>
  </w:style>
  <w:style w:type="paragraph" w:styleId="E-mailSignature">
    <w:name w:val="E-mail Signature"/>
    <w:basedOn w:val="Normal"/>
    <w:link w:val="E-mailSignatureChar"/>
    <w:uiPriority w:val="99"/>
    <w:semiHidden/>
    <w:rsid w:val="00F9113D"/>
    <w:pPr>
      <w:spacing w:line="240" w:lineRule="auto"/>
    </w:pPr>
  </w:style>
  <w:style w:type="character" w:customStyle="1" w:styleId="E-mailSignatureChar">
    <w:name w:val="E-mail Signature Char"/>
    <w:basedOn w:val="DefaultParagraphFont"/>
    <w:link w:val="E-mailSignature"/>
    <w:uiPriority w:val="99"/>
    <w:semiHidden/>
    <w:rsid w:val="00F9113D"/>
  </w:style>
  <w:style w:type="character" w:styleId="Emphasis">
    <w:name w:val="Emphasis"/>
    <w:basedOn w:val="DefaultParagraphFont"/>
    <w:uiPriority w:val="20"/>
    <w:qFormat/>
    <w:rsid w:val="00DF06E9"/>
    <w:rPr>
      <w:b/>
      <w:i w:val="0"/>
      <w:iCs/>
      <w:color w:val="44546A" w:themeColor="text2"/>
      <w:lang w:val="en-AU"/>
    </w:rPr>
  </w:style>
  <w:style w:type="character" w:styleId="EndnoteReference">
    <w:name w:val="endnote reference"/>
    <w:basedOn w:val="DefaultParagraphFont"/>
    <w:uiPriority w:val="99"/>
    <w:semiHidden/>
    <w:rsid w:val="00F9113D"/>
    <w:rPr>
      <w:vertAlign w:val="superscript"/>
      <w:lang w:val="en-AU"/>
    </w:rPr>
  </w:style>
  <w:style w:type="paragraph" w:styleId="EndnoteText">
    <w:name w:val="endnote text"/>
    <w:basedOn w:val="Normal"/>
    <w:link w:val="EndnoteTextChar"/>
    <w:uiPriority w:val="99"/>
    <w:semiHidden/>
    <w:rsid w:val="00A32309"/>
    <w:pPr>
      <w:spacing w:line="240" w:lineRule="auto"/>
    </w:pPr>
    <w:rPr>
      <w:szCs w:val="20"/>
    </w:rPr>
  </w:style>
  <w:style w:type="character" w:customStyle="1" w:styleId="EndnoteTextChar">
    <w:name w:val="Endnote Text Char"/>
    <w:basedOn w:val="DefaultParagraphFont"/>
    <w:link w:val="EndnoteText"/>
    <w:uiPriority w:val="99"/>
    <w:semiHidden/>
    <w:rsid w:val="00A32309"/>
    <w:rPr>
      <w:szCs w:val="20"/>
      <w:lang w:val="en-AU"/>
    </w:rPr>
  </w:style>
  <w:style w:type="paragraph" w:styleId="EnvelopeAddress">
    <w:name w:val="envelope address"/>
    <w:basedOn w:val="Normal"/>
    <w:uiPriority w:val="99"/>
    <w:semiHidden/>
    <w:rsid w:val="00F9113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F9113D"/>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F9113D"/>
    <w:rPr>
      <w:color w:val="53565A"/>
      <w:u w:val="single"/>
      <w:lang w:val="en-AU"/>
    </w:rPr>
  </w:style>
  <w:style w:type="character" w:customStyle="1" w:styleId="Heading5Char">
    <w:name w:val="Heading 5 Char"/>
    <w:basedOn w:val="DefaultParagraphFont"/>
    <w:link w:val="Heading5"/>
    <w:uiPriority w:val="1"/>
    <w:rsid w:val="00C50447"/>
    <w:rPr>
      <w:rFonts w:eastAsiaTheme="majorEastAsia" w:cstheme="majorBidi"/>
      <w:b/>
      <w:lang w:val="en-AU"/>
    </w:rPr>
  </w:style>
  <w:style w:type="character" w:customStyle="1" w:styleId="Heading6Char">
    <w:name w:val="Heading 6 Char"/>
    <w:basedOn w:val="DefaultParagraphFont"/>
    <w:link w:val="Heading6"/>
    <w:uiPriority w:val="1"/>
    <w:rsid w:val="00F9113D"/>
    <w:rPr>
      <w:rFonts w:eastAsiaTheme="majorEastAsia" w:cstheme="majorBidi"/>
      <w:b/>
      <w:iCs/>
      <w:lang w:val="en-AU"/>
    </w:rPr>
  </w:style>
  <w:style w:type="character" w:customStyle="1" w:styleId="Heading7Char">
    <w:name w:val="Heading 7 Char"/>
    <w:basedOn w:val="DefaultParagraphFont"/>
    <w:link w:val="Heading7"/>
    <w:uiPriority w:val="1"/>
    <w:semiHidden/>
    <w:rsid w:val="00F9113D"/>
    <w:rPr>
      <w:rFonts w:eastAsiaTheme="majorEastAsia" w:cstheme="majorBidi"/>
      <w:b/>
      <w:iCs/>
    </w:rPr>
  </w:style>
  <w:style w:type="character" w:customStyle="1" w:styleId="Heading8Char">
    <w:name w:val="Heading 8 Char"/>
    <w:basedOn w:val="DefaultParagraphFont"/>
    <w:link w:val="Heading8"/>
    <w:uiPriority w:val="1"/>
    <w:semiHidden/>
    <w:rsid w:val="00F9113D"/>
    <w:rPr>
      <w:rFonts w:eastAsiaTheme="majorEastAsia" w:cstheme="majorBidi"/>
      <w:b/>
      <w:szCs w:val="20"/>
    </w:rPr>
  </w:style>
  <w:style w:type="character" w:customStyle="1" w:styleId="Heading9Char">
    <w:name w:val="Heading 9 Char"/>
    <w:basedOn w:val="DefaultParagraphFont"/>
    <w:link w:val="Heading9"/>
    <w:uiPriority w:val="1"/>
    <w:semiHidden/>
    <w:rsid w:val="00F9113D"/>
    <w:rPr>
      <w:rFonts w:eastAsiaTheme="majorEastAsia" w:cstheme="majorBidi"/>
      <w:b/>
      <w:iCs/>
      <w:szCs w:val="20"/>
    </w:rPr>
  </w:style>
  <w:style w:type="character" w:styleId="HTMLAcronym">
    <w:name w:val="HTML Acronym"/>
    <w:basedOn w:val="DefaultParagraphFont"/>
    <w:uiPriority w:val="99"/>
    <w:semiHidden/>
    <w:rsid w:val="00F9113D"/>
    <w:rPr>
      <w:lang w:val="en-AU"/>
    </w:rPr>
  </w:style>
  <w:style w:type="paragraph" w:styleId="HTMLAddress">
    <w:name w:val="HTML Address"/>
    <w:basedOn w:val="Normal"/>
    <w:link w:val="HTMLAddressChar"/>
    <w:uiPriority w:val="99"/>
    <w:semiHidden/>
    <w:rsid w:val="00F9113D"/>
    <w:pPr>
      <w:spacing w:line="240" w:lineRule="auto"/>
    </w:pPr>
    <w:rPr>
      <w:i/>
      <w:iCs/>
    </w:rPr>
  </w:style>
  <w:style w:type="character" w:customStyle="1" w:styleId="HTMLAddressChar">
    <w:name w:val="HTML Address Char"/>
    <w:basedOn w:val="DefaultParagraphFont"/>
    <w:link w:val="HTMLAddress"/>
    <w:uiPriority w:val="99"/>
    <w:semiHidden/>
    <w:rsid w:val="00F9113D"/>
    <w:rPr>
      <w:i/>
      <w:iCs/>
    </w:rPr>
  </w:style>
  <w:style w:type="character" w:styleId="HTMLCite">
    <w:name w:val="HTML Cite"/>
    <w:basedOn w:val="DefaultParagraphFont"/>
    <w:uiPriority w:val="99"/>
    <w:semiHidden/>
    <w:rsid w:val="00F9113D"/>
    <w:rPr>
      <w:i/>
      <w:iCs/>
      <w:lang w:val="en-AU"/>
    </w:rPr>
  </w:style>
  <w:style w:type="character" w:styleId="HTMLCode">
    <w:name w:val="HTML Code"/>
    <w:basedOn w:val="DefaultParagraphFont"/>
    <w:uiPriority w:val="99"/>
    <w:semiHidden/>
    <w:rsid w:val="00F9113D"/>
    <w:rPr>
      <w:rFonts w:ascii="Consolas" w:hAnsi="Consolas"/>
      <w:sz w:val="20"/>
      <w:szCs w:val="20"/>
      <w:lang w:val="en-AU"/>
    </w:rPr>
  </w:style>
  <w:style w:type="character" w:styleId="HTMLDefinition">
    <w:name w:val="HTML Definition"/>
    <w:basedOn w:val="DefaultParagraphFont"/>
    <w:uiPriority w:val="99"/>
    <w:semiHidden/>
    <w:rsid w:val="00F9113D"/>
    <w:rPr>
      <w:i/>
      <w:iCs/>
      <w:lang w:val="en-AU"/>
    </w:rPr>
  </w:style>
  <w:style w:type="character" w:styleId="HTMLKeyboard">
    <w:name w:val="HTML Keyboard"/>
    <w:basedOn w:val="DefaultParagraphFont"/>
    <w:uiPriority w:val="99"/>
    <w:semiHidden/>
    <w:rsid w:val="00F9113D"/>
    <w:rPr>
      <w:rFonts w:ascii="Consolas" w:hAnsi="Consolas"/>
      <w:sz w:val="20"/>
      <w:szCs w:val="20"/>
      <w:lang w:val="en-AU"/>
    </w:rPr>
  </w:style>
  <w:style w:type="paragraph" w:styleId="HTMLPreformatted">
    <w:name w:val="HTML Preformatted"/>
    <w:basedOn w:val="Normal"/>
    <w:link w:val="HTMLPreformattedChar"/>
    <w:uiPriority w:val="99"/>
    <w:semiHidden/>
    <w:rsid w:val="00F9113D"/>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113D"/>
    <w:rPr>
      <w:rFonts w:ascii="Consolas" w:hAnsi="Consolas"/>
      <w:sz w:val="20"/>
      <w:szCs w:val="20"/>
    </w:rPr>
  </w:style>
  <w:style w:type="character" w:styleId="HTMLSample">
    <w:name w:val="HTML Sample"/>
    <w:basedOn w:val="DefaultParagraphFont"/>
    <w:uiPriority w:val="99"/>
    <w:semiHidden/>
    <w:rsid w:val="00F9113D"/>
    <w:rPr>
      <w:rFonts w:ascii="Consolas" w:hAnsi="Consolas"/>
      <w:sz w:val="24"/>
      <w:szCs w:val="24"/>
      <w:lang w:val="en-AU"/>
    </w:rPr>
  </w:style>
  <w:style w:type="character" w:styleId="HTMLTypewriter">
    <w:name w:val="HTML Typewriter"/>
    <w:basedOn w:val="DefaultParagraphFont"/>
    <w:uiPriority w:val="99"/>
    <w:semiHidden/>
    <w:rsid w:val="00F9113D"/>
    <w:rPr>
      <w:rFonts w:ascii="Consolas" w:hAnsi="Consolas"/>
      <w:sz w:val="20"/>
      <w:szCs w:val="20"/>
      <w:lang w:val="en-AU"/>
    </w:rPr>
  </w:style>
  <w:style w:type="character" w:styleId="HTMLVariable">
    <w:name w:val="HTML Variable"/>
    <w:basedOn w:val="DefaultParagraphFont"/>
    <w:uiPriority w:val="99"/>
    <w:semiHidden/>
    <w:rsid w:val="00F9113D"/>
    <w:rPr>
      <w:i/>
      <w:iCs/>
      <w:lang w:val="en-AU"/>
    </w:rPr>
  </w:style>
  <w:style w:type="paragraph" w:styleId="Index1">
    <w:name w:val="index 1"/>
    <w:basedOn w:val="Normal"/>
    <w:next w:val="Normal"/>
    <w:autoRedefine/>
    <w:uiPriority w:val="99"/>
    <w:semiHidden/>
    <w:rsid w:val="00F9113D"/>
    <w:pPr>
      <w:spacing w:line="240" w:lineRule="auto"/>
      <w:ind w:left="180" w:hanging="180"/>
    </w:pPr>
  </w:style>
  <w:style w:type="paragraph" w:styleId="Index2">
    <w:name w:val="index 2"/>
    <w:basedOn w:val="Normal"/>
    <w:next w:val="Normal"/>
    <w:autoRedefine/>
    <w:uiPriority w:val="99"/>
    <w:semiHidden/>
    <w:rsid w:val="00F9113D"/>
    <w:pPr>
      <w:spacing w:line="240" w:lineRule="auto"/>
      <w:ind w:left="360" w:hanging="180"/>
    </w:pPr>
  </w:style>
  <w:style w:type="paragraph" w:styleId="Index3">
    <w:name w:val="index 3"/>
    <w:basedOn w:val="Normal"/>
    <w:next w:val="Normal"/>
    <w:autoRedefine/>
    <w:uiPriority w:val="99"/>
    <w:semiHidden/>
    <w:rsid w:val="00F9113D"/>
    <w:pPr>
      <w:spacing w:line="240" w:lineRule="auto"/>
      <w:ind w:left="540" w:hanging="180"/>
    </w:pPr>
  </w:style>
  <w:style w:type="paragraph" w:styleId="Index4">
    <w:name w:val="index 4"/>
    <w:basedOn w:val="Normal"/>
    <w:next w:val="Normal"/>
    <w:autoRedefine/>
    <w:uiPriority w:val="99"/>
    <w:semiHidden/>
    <w:rsid w:val="00F9113D"/>
    <w:pPr>
      <w:spacing w:line="240" w:lineRule="auto"/>
      <w:ind w:left="720" w:hanging="180"/>
    </w:pPr>
  </w:style>
  <w:style w:type="paragraph" w:styleId="Index5">
    <w:name w:val="index 5"/>
    <w:basedOn w:val="Normal"/>
    <w:next w:val="Normal"/>
    <w:autoRedefine/>
    <w:uiPriority w:val="99"/>
    <w:semiHidden/>
    <w:rsid w:val="00F9113D"/>
    <w:pPr>
      <w:spacing w:line="240" w:lineRule="auto"/>
      <w:ind w:left="900" w:hanging="180"/>
    </w:pPr>
  </w:style>
  <w:style w:type="paragraph" w:styleId="Index6">
    <w:name w:val="index 6"/>
    <w:basedOn w:val="Normal"/>
    <w:next w:val="Normal"/>
    <w:autoRedefine/>
    <w:uiPriority w:val="99"/>
    <w:semiHidden/>
    <w:rsid w:val="00F9113D"/>
    <w:pPr>
      <w:spacing w:line="240" w:lineRule="auto"/>
      <w:ind w:left="1080" w:hanging="180"/>
    </w:pPr>
  </w:style>
  <w:style w:type="paragraph" w:styleId="Index7">
    <w:name w:val="index 7"/>
    <w:basedOn w:val="Normal"/>
    <w:next w:val="Normal"/>
    <w:autoRedefine/>
    <w:uiPriority w:val="99"/>
    <w:semiHidden/>
    <w:rsid w:val="00F9113D"/>
    <w:pPr>
      <w:spacing w:line="240" w:lineRule="auto"/>
      <w:ind w:left="1260" w:hanging="180"/>
    </w:pPr>
  </w:style>
  <w:style w:type="paragraph" w:styleId="Index8">
    <w:name w:val="index 8"/>
    <w:basedOn w:val="Normal"/>
    <w:next w:val="Normal"/>
    <w:autoRedefine/>
    <w:uiPriority w:val="99"/>
    <w:semiHidden/>
    <w:rsid w:val="00F9113D"/>
    <w:pPr>
      <w:spacing w:line="240" w:lineRule="auto"/>
      <w:ind w:left="1440" w:hanging="180"/>
    </w:pPr>
  </w:style>
  <w:style w:type="paragraph" w:styleId="Index9">
    <w:name w:val="index 9"/>
    <w:basedOn w:val="Normal"/>
    <w:next w:val="Normal"/>
    <w:autoRedefine/>
    <w:uiPriority w:val="99"/>
    <w:semiHidden/>
    <w:rsid w:val="00F9113D"/>
    <w:pPr>
      <w:spacing w:line="240" w:lineRule="auto"/>
      <w:ind w:left="1620" w:hanging="180"/>
    </w:pPr>
  </w:style>
  <w:style w:type="paragraph" w:styleId="IndexHeading">
    <w:name w:val="index heading"/>
    <w:basedOn w:val="Normal"/>
    <w:next w:val="Index1"/>
    <w:uiPriority w:val="99"/>
    <w:semiHidden/>
    <w:rsid w:val="00F9113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9113D"/>
    <w:rPr>
      <w:b/>
      <w:bCs/>
      <w:i/>
      <w:iCs/>
      <w:color w:val="86BC25" w:themeColor="accent1"/>
      <w:lang w:val="en-AU"/>
    </w:rPr>
  </w:style>
  <w:style w:type="paragraph" w:styleId="IntenseQuote">
    <w:name w:val="Intense Quote"/>
    <w:basedOn w:val="Normal"/>
    <w:next w:val="Normal"/>
    <w:link w:val="IntenseQuoteChar"/>
    <w:uiPriority w:val="30"/>
    <w:semiHidden/>
    <w:rsid w:val="00F9113D"/>
    <w:pPr>
      <w:pBdr>
        <w:bottom w:val="single" w:sz="4" w:space="4" w:color="86BC25" w:themeColor="accent1"/>
      </w:pBdr>
      <w:spacing w:before="200" w:after="280"/>
      <w:ind w:left="936" w:right="936"/>
    </w:pPr>
    <w:rPr>
      <w:b/>
      <w:bCs/>
      <w:i/>
      <w:iCs/>
      <w:color w:val="86BC25" w:themeColor="accent1"/>
    </w:rPr>
  </w:style>
  <w:style w:type="character" w:customStyle="1" w:styleId="IntenseQuoteChar">
    <w:name w:val="Intense Quote Char"/>
    <w:basedOn w:val="DefaultParagraphFont"/>
    <w:link w:val="IntenseQuote"/>
    <w:uiPriority w:val="30"/>
    <w:semiHidden/>
    <w:rsid w:val="00F9113D"/>
    <w:rPr>
      <w:b/>
      <w:bCs/>
      <w:i/>
      <w:iCs/>
      <w:color w:val="86BC25" w:themeColor="accent1"/>
    </w:rPr>
  </w:style>
  <w:style w:type="character" w:styleId="IntenseReference">
    <w:name w:val="Intense Reference"/>
    <w:basedOn w:val="DefaultParagraphFont"/>
    <w:uiPriority w:val="99"/>
    <w:semiHidden/>
    <w:qFormat/>
    <w:rsid w:val="00F9113D"/>
    <w:rPr>
      <w:b/>
      <w:bCs/>
      <w:smallCaps/>
      <w:color w:val="046A38" w:themeColor="accent2"/>
      <w:spacing w:val="5"/>
      <w:u w:val="single"/>
      <w:lang w:val="en-AU"/>
    </w:rPr>
  </w:style>
  <w:style w:type="table" w:styleId="LightGrid">
    <w:name w:val="Light Grid"/>
    <w:basedOn w:val="TableNormal"/>
    <w:uiPriority w:val="62"/>
    <w:rsid w:val="00F9113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9113D"/>
    <w:pPr>
      <w:spacing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ightGrid-Accent2">
    <w:name w:val="Light Grid Accent 2"/>
    <w:basedOn w:val="TableNormal"/>
    <w:uiPriority w:val="62"/>
    <w:rsid w:val="00F9113D"/>
    <w:pPr>
      <w:spacing w:line="240" w:lineRule="auto"/>
    </w:p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insideH w:val="single" w:sz="8" w:space="0" w:color="046A38" w:themeColor="accent2"/>
        <w:insideV w:val="single" w:sz="8" w:space="0" w:color="046A3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6A38" w:themeColor="accent2"/>
          <w:left w:val="single" w:sz="8" w:space="0" w:color="046A38" w:themeColor="accent2"/>
          <w:bottom w:val="single" w:sz="18" w:space="0" w:color="046A38" w:themeColor="accent2"/>
          <w:right w:val="single" w:sz="8" w:space="0" w:color="046A38" w:themeColor="accent2"/>
          <w:insideH w:val="nil"/>
          <w:insideV w:val="single" w:sz="8" w:space="0" w:color="046A3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6A38" w:themeColor="accent2"/>
          <w:left w:val="single" w:sz="8" w:space="0" w:color="046A38" w:themeColor="accent2"/>
          <w:bottom w:val="single" w:sz="8" w:space="0" w:color="046A38" w:themeColor="accent2"/>
          <w:right w:val="single" w:sz="8" w:space="0" w:color="046A38" w:themeColor="accent2"/>
          <w:insideH w:val="nil"/>
          <w:insideV w:val="single" w:sz="8" w:space="0" w:color="046A3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tblStylePr w:type="band1Vert">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shd w:val="clear" w:color="auto" w:fill="9FFBCE" w:themeFill="accent2" w:themeFillTint="3F"/>
      </w:tcPr>
    </w:tblStylePr>
    <w:tblStylePr w:type="band1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insideV w:val="single" w:sz="8" w:space="0" w:color="046A38" w:themeColor="accent2"/>
        </w:tcBorders>
        <w:shd w:val="clear" w:color="auto" w:fill="9FFBCE" w:themeFill="accent2" w:themeFillTint="3F"/>
      </w:tcPr>
    </w:tblStylePr>
    <w:tblStylePr w:type="band2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insideV w:val="single" w:sz="8" w:space="0" w:color="046A38" w:themeColor="accent2"/>
        </w:tcBorders>
      </w:tcPr>
    </w:tblStylePr>
  </w:style>
  <w:style w:type="table" w:styleId="LightGrid-Accent3">
    <w:name w:val="Light Grid Accent 3"/>
    <w:basedOn w:val="TableNormal"/>
    <w:uiPriority w:val="62"/>
    <w:rsid w:val="00F9113D"/>
    <w:pPr>
      <w:spacing w:line="240" w:lineRule="auto"/>
    </w:p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B5E5" w:themeColor="accent3"/>
          <w:left w:val="single" w:sz="8" w:space="0" w:color="62B5E5" w:themeColor="accent3"/>
          <w:bottom w:val="single" w:sz="18" w:space="0" w:color="62B5E5" w:themeColor="accent3"/>
          <w:right w:val="single" w:sz="8" w:space="0" w:color="62B5E5" w:themeColor="accent3"/>
          <w:insideH w:val="nil"/>
          <w:insideV w:val="single" w:sz="8" w:space="0" w:color="62B5E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insideH w:val="nil"/>
          <w:insideV w:val="single" w:sz="8" w:space="0" w:color="62B5E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shd w:val="clear" w:color="auto" w:fill="D8ECF8" w:themeFill="accent3" w:themeFillTint="3F"/>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shd w:val="clear" w:color="auto" w:fill="D8ECF8" w:themeFill="accent3" w:themeFillTint="3F"/>
      </w:tcPr>
    </w:tblStylePr>
    <w:tblStylePr w:type="band2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tcPr>
    </w:tblStylePr>
  </w:style>
  <w:style w:type="table" w:styleId="LightGrid-Accent4">
    <w:name w:val="Light Grid Accent 4"/>
    <w:basedOn w:val="TableNormal"/>
    <w:uiPriority w:val="62"/>
    <w:rsid w:val="00F9113D"/>
    <w:pPr>
      <w:spacing w:line="240" w:lineRule="auto"/>
    </w:p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insideH w:val="single" w:sz="8" w:space="0" w:color="012169" w:themeColor="accent4"/>
        <w:insideV w:val="single" w:sz="8" w:space="0" w:color="01216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4"/>
          <w:left w:val="single" w:sz="8" w:space="0" w:color="012169" w:themeColor="accent4"/>
          <w:bottom w:val="single" w:sz="18" w:space="0" w:color="012169" w:themeColor="accent4"/>
          <w:right w:val="single" w:sz="8" w:space="0" w:color="012169" w:themeColor="accent4"/>
          <w:insideH w:val="nil"/>
          <w:insideV w:val="single" w:sz="8" w:space="0" w:color="01216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4"/>
          <w:left w:val="single" w:sz="8" w:space="0" w:color="012169" w:themeColor="accent4"/>
          <w:bottom w:val="single" w:sz="8" w:space="0" w:color="012169" w:themeColor="accent4"/>
          <w:right w:val="single" w:sz="8" w:space="0" w:color="012169" w:themeColor="accent4"/>
          <w:insideH w:val="nil"/>
          <w:insideV w:val="single" w:sz="8" w:space="0" w:color="01216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tblStylePr w:type="band1Vert">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shd w:val="clear" w:color="auto" w:fill="9BB9FE" w:themeFill="accent4" w:themeFillTint="3F"/>
      </w:tcPr>
    </w:tblStylePr>
    <w:tblStylePr w:type="band1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insideV w:val="single" w:sz="8" w:space="0" w:color="012169" w:themeColor="accent4"/>
        </w:tcBorders>
        <w:shd w:val="clear" w:color="auto" w:fill="9BB9FE" w:themeFill="accent4" w:themeFillTint="3F"/>
      </w:tcPr>
    </w:tblStylePr>
    <w:tblStylePr w:type="band2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insideV w:val="single" w:sz="8" w:space="0" w:color="012169" w:themeColor="accent4"/>
        </w:tcBorders>
      </w:tcPr>
    </w:tblStylePr>
  </w:style>
  <w:style w:type="table" w:styleId="LightGrid-Accent5">
    <w:name w:val="Light Grid Accent 5"/>
    <w:basedOn w:val="TableNormal"/>
    <w:uiPriority w:val="62"/>
    <w:rsid w:val="00F9113D"/>
    <w:pPr>
      <w:spacing w:line="240" w:lineRule="auto"/>
    </w:p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insideH w:val="single" w:sz="8" w:space="0" w:color="0097A9" w:themeColor="accent5"/>
        <w:insideV w:val="single" w:sz="8" w:space="0" w:color="0097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7A9" w:themeColor="accent5"/>
          <w:left w:val="single" w:sz="8" w:space="0" w:color="0097A9" w:themeColor="accent5"/>
          <w:bottom w:val="single" w:sz="18" w:space="0" w:color="0097A9" w:themeColor="accent5"/>
          <w:right w:val="single" w:sz="8" w:space="0" w:color="0097A9" w:themeColor="accent5"/>
          <w:insideH w:val="nil"/>
          <w:insideV w:val="single" w:sz="8" w:space="0" w:color="0097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7A9" w:themeColor="accent5"/>
          <w:left w:val="single" w:sz="8" w:space="0" w:color="0097A9" w:themeColor="accent5"/>
          <w:bottom w:val="single" w:sz="8" w:space="0" w:color="0097A9" w:themeColor="accent5"/>
          <w:right w:val="single" w:sz="8" w:space="0" w:color="0097A9" w:themeColor="accent5"/>
          <w:insideH w:val="nil"/>
          <w:insideV w:val="single" w:sz="8" w:space="0" w:color="0097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tblStylePr w:type="band1Vert">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shd w:val="clear" w:color="auto" w:fill="AAF5FF" w:themeFill="accent5" w:themeFillTint="3F"/>
      </w:tcPr>
    </w:tblStylePr>
    <w:tblStylePr w:type="band1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insideV w:val="single" w:sz="8" w:space="0" w:color="0097A9" w:themeColor="accent5"/>
        </w:tcBorders>
        <w:shd w:val="clear" w:color="auto" w:fill="AAF5FF" w:themeFill="accent5" w:themeFillTint="3F"/>
      </w:tcPr>
    </w:tblStylePr>
    <w:tblStylePr w:type="band2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insideV w:val="single" w:sz="8" w:space="0" w:color="0097A9" w:themeColor="accent5"/>
        </w:tcBorders>
      </w:tcPr>
    </w:tblStylePr>
  </w:style>
  <w:style w:type="table" w:styleId="LightGrid-Accent6">
    <w:name w:val="Light Grid Accent 6"/>
    <w:basedOn w:val="TableNormal"/>
    <w:uiPriority w:val="62"/>
    <w:rsid w:val="00F9113D"/>
    <w:pPr>
      <w:spacing w:line="240" w:lineRule="auto"/>
    </w:p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insideH w:val="single" w:sz="8" w:space="0" w:color="75787B" w:themeColor="accent6"/>
        <w:insideV w:val="single" w:sz="8" w:space="0" w:color="75787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787B" w:themeColor="accent6"/>
          <w:left w:val="single" w:sz="8" w:space="0" w:color="75787B" w:themeColor="accent6"/>
          <w:bottom w:val="single" w:sz="18" w:space="0" w:color="75787B" w:themeColor="accent6"/>
          <w:right w:val="single" w:sz="8" w:space="0" w:color="75787B" w:themeColor="accent6"/>
          <w:insideH w:val="nil"/>
          <w:insideV w:val="single" w:sz="8" w:space="0" w:color="75787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787B" w:themeColor="accent6"/>
          <w:left w:val="single" w:sz="8" w:space="0" w:color="75787B" w:themeColor="accent6"/>
          <w:bottom w:val="single" w:sz="8" w:space="0" w:color="75787B" w:themeColor="accent6"/>
          <w:right w:val="single" w:sz="8" w:space="0" w:color="75787B" w:themeColor="accent6"/>
          <w:insideH w:val="nil"/>
          <w:insideV w:val="single" w:sz="8" w:space="0" w:color="75787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tblStylePr w:type="band1Vert">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shd w:val="clear" w:color="auto" w:fill="DCDDDE" w:themeFill="accent6" w:themeFillTint="3F"/>
      </w:tcPr>
    </w:tblStylePr>
    <w:tblStylePr w:type="band1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insideV w:val="single" w:sz="8" w:space="0" w:color="75787B" w:themeColor="accent6"/>
        </w:tcBorders>
        <w:shd w:val="clear" w:color="auto" w:fill="DCDDDE" w:themeFill="accent6" w:themeFillTint="3F"/>
      </w:tcPr>
    </w:tblStylePr>
    <w:tblStylePr w:type="band2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insideV w:val="single" w:sz="8" w:space="0" w:color="75787B" w:themeColor="accent6"/>
        </w:tcBorders>
      </w:tcPr>
    </w:tblStylePr>
  </w:style>
  <w:style w:type="table" w:styleId="LightList">
    <w:name w:val="Light List"/>
    <w:basedOn w:val="TableNormal"/>
    <w:uiPriority w:val="61"/>
    <w:rsid w:val="00F9113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9113D"/>
    <w:pPr>
      <w:spacing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ightList-Accent2">
    <w:name w:val="Light List Accent 2"/>
    <w:basedOn w:val="TableNormal"/>
    <w:uiPriority w:val="61"/>
    <w:rsid w:val="00F9113D"/>
    <w:pPr>
      <w:spacing w:line="240" w:lineRule="auto"/>
    </w:p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tblBorders>
    </w:tblPr>
    <w:tblStylePr w:type="firstRow">
      <w:pPr>
        <w:spacing w:before="0" w:after="0" w:line="240" w:lineRule="auto"/>
      </w:pPr>
      <w:rPr>
        <w:b/>
        <w:bCs/>
        <w:color w:val="FFFFFF" w:themeColor="background1"/>
      </w:rPr>
      <w:tblPr/>
      <w:tcPr>
        <w:shd w:val="clear" w:color="auto" w:fill="046A38" w:themeFill="accent2"/>
      </w:tcPr>
    </w:tblStylePr>
    <w:tblStylePr w:type="lastRow">
      <w:pPr>
        <w:spacing w:before="0" w:after="0" w:line="240" w:lineRule="auto"/>
      </w:pPr>
      <w:rPr>
        <w:b/>
        <w:bCs/>
      </w:rPr>
      <w:tblPr/>
      <w:tcPr>
        <w:tcBorders>
          <w:top w:val="double" w:sz="6" w:space="0" w:color="046A38" w:themeColor="accent2"/>
          <w:left w:val="single" w:sz="8" w:space="0" w:color="046A38" w:themeColor="accent2"/>
          <w:bottom w:val="single" w:sz="8" w:space="0" w:color="046A38" w:themeColor="accent2"/>
          <w:right w:val="single" w:sz="8" w:space="0" w:color="046A38" w:themeColor="accent2"/>
        </w:tcBorders>
      </w:tcPr>
    </w:tblStylePr>
    <w:tblStylePr w:type="firstCol">
      <w:rPr>
        <w:b/>
        <w:bCs/>
      </w:rPr>
    </w:tblStylePr>
    <w:tblStylePr w:type="lastCol">
      <w:rPr>
        <w:b/>
        <w:bCs/>
      </w:rPr>
    </w:tblStylePr>
    <w:tblStylePr w:type="band1Vert">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tblStylePr w:type="band1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style>
  <w:style w:type="table" w:styleId="LightList-Accent3">
    <w:name w:val="Light List Accent 3"/>
    <w:basedOn w:val="TableNormal"/>
    <w:uiPriority w:val="61"/>
    <w:rsid w:val="00F9113D"/>
    <w:pPr>
      <w:spacing w:line="240" w:lineRule="auto"/>
    </w:p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blStylePr w:type="firstRow">
      <w:pPr>
        <w:spacing w:before="0" w:after="0" w:line="240" w:lineRule="auto"/>
      </w:pPr>
      <w:rPr>
        <w:b/>
        <w:bCs/>
        <w:color w:val="FFFFFF" w:themeColor="background1"/>
      </w:rPr>
      <w:tblPr/>
      <w:tcPr>
        <w:shd w:val="clear" w:color="auto" w:fill="62B5E5" w:themeFill="accent3"/>
      </w:tcPr>
    </w:tblStylePr>
    <w:tblStylePr w:type="lastRow">
      <w:pPr>
        <w:spacing w:before="0" w:after="0" w:line="240" w:lineRule="auto"/>
      </w:pPr>
      <w:rPr>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tcBorders>
      </w:tcPr>
    </w:tblStylePr>
    <w:tblStylePr w:type="firstCol">
      <w:rPr>
        <w:b/>
        <w:bCs/>
      </w:rPr>
    </w:tblStylePr>
    <w:tblStylePr w:type="lastCol">
      <w:rPr>
        <w:b/>
        <w:bCs/>
      </w:r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style>
  <w:style w:type="table" w:styleId="LightList-Accent4">
    <w:name w:val="Light List Accent 4"/>
    <w:basedOn w:val="TableNormal"/>
    <w:uiPriority w:val="61"/>
    <w:rsid w:val="00F9113D"/>
    <w:pPr>
      <w:spacing w:line="240" w:lineRule="auto"/>
    </w:p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tblBorders>
    </w:tblPr>
    <w:tblStylePr w:type="firstRow">
      <w:pPr>
        <w:spacing w:before="0" w:after="0" w:line="240" w:lineRule="auto"/>
      </w:pPr>
      <w:rPr>
        <w:b/>
        <w:bCs/>
        <w:color w:val="FFFFFF" w:themeColor="background1"/>
      </w:rPr>
      <w:tblPr/>
      <w:tcPr>
        <w:shd w:val="clear" w:color="auto" w:fill="012169" w:themeFill="accent4"/>
      </w:tcPr>
    </w:tblStylePr>
    <w:tblStylePr w:type="lastRow">
      <w:pPr>
        <w:spacing w:before="0" w:after="0" w:line="240" w:lineRule="auto"/>
      </w:pPr>
      <w:rPr>
        <w:b/>
        <w:bCs/>
      </w:rPr>
      <w:tblPr/>
      <w:tcPr>
        <w:tcBorders>
          <w:top w:val="double" w:sz="6" w:space="0" w:color="012169" w:themeColor="accent4"/>
          <w:left w:val="single" w:sz="8" w:space="0" w:color="012169" w:themeColor="accent4"/>
          <w:bottom w:val="single" w:sz="8" w:space="0" w:color="012169" w:themeColor="accent4"/>
          <w:right w:val="single" w:sz="8" w:space="0" w:color="012169" w:themeColor="accent4"/>
        </w:tcBorders>
      </w:tcPr>
    </w:tblStylePr>
    <w:tblStylePr w:type="firstCol">
      <w:rPr>
        <w:b/>
        <w:bCs/>
      </w:rPr>
    </w:tblStylePr>
    <w:tblStylePr w:type="lastCol">
      <w:rPr>
        <w:b/>
        <w:bCs/>
      </w:rPr>
    </w:tblStylePr>
    <w:tblStylePr w:type="band1Vert">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tblStylePr w:type="band1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style>
  <w:style w:type="table" w:styleId="LightList-Accent5">
    <w:name w:val="Light List Accent 5"/>
    <w:basedOn w:val="TableNormal"/>
    <w:uiPriority w:val="61"/>
    <w:rsid w:val="00F9113D"/>
    <w:pPr>
      <w:spacing w:line="240" w:lineRule="auto"/>
    </w:p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tblBorders>
    </w:tblPr>
    <w:tblStylePr w:type="firstRow">
      <w:pPr>
        <w:spacing w:before="0" w:after="0" w:line="240" w:lineRule="auto"/>
      </w:pPr>
      <w:rPr>
        <w:b/>
        <w:bCs/>
        <w:color w:val="FFFFFF" w:themeColor="background1"/>
      </w:rPr>
      <w:tblPr/>
      <w:tcPr>
        <w:shd w:val="clear" w:color="auto" w:fill="0097A9" w:themeFill="accent5"/>
      </w:tcPr>
    </w:tblStylePr>
    <w:tblStylePr w:type="lastRow">
      <w:pPr>
        <w:spacing w:before="0" w:after="0" w:line="240" w:lineRule="auto"/>
      </w:pPr>
      <w:rPr>
        <w:b/>
        <w:bCs/>
      </w:rPr>
      <w:tblPr/>
      <w:tcPr>
        <w:tcBorders>
          <w:top w:val="double" w:sz="6" w:space="0" w:color="0097A9" w:themeColor="accent5"/>
          <w:left w:val="single" w:sz="8" w:space="0" w:color="0097A9" w:themeColor="accent5"/>
          <w:bottom w:val="single" w:sz="8" w:space="0" w:color="0097A9" w:themeColor="accent5"/>
          <w:right w:val="single" w:sz="8" w:space="0" w:color="0097A9" w:themeColor="accent5"/>
        </w:tcBorders>
      </w:tcPr>
    </w:tblStylePr>
    <w:tblStylePr w:type="firstCol">
      <w:rPr>
        <w:b/>
        <w:bCs/>
      </w:rPr>
    </w:tblStylePr>
    <w:tblStylePr w:type="lastCol">
      <w:rPr>
        <w:b/>
        <w:bCs/>
      </w:rPr>
    </w:tblStylePr>
    <w:tblStylePr w:type="band1Vert">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tblStylePr w:type="band1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style>
  <w:style w:type="table" w:styleId="LightList-Accent6">
    <w:name w:val="Light List Accent 6"/>
    <w:basedOn w:val="TableNormal"/>
    <w:uiPriority w:val="61"/>
    <w:rsid w:val="00F9113D"/>
    <w:pPr>
      <w:spacing w:line="240" w:lineRule="auto"/>
    </w:p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tblBorders>
    </w:tblPr>
    <w:tblStylePr w:type="firstRow">
      <w:pPr>
        <w:spacing w:before="0" w:after="0" w:line="240" w:lineRule="auto"/>
      </w:pPr>
      <w:rPr>
        <w:b/>
        <w:bCs/>
        <w:color w:val="FFFFFF" w:themeColor="background1"/>
      </w:rPr>
      <w:tblPr/>
      <w:tcPr>
        <w:shd w:val="clear" w:color="auto" w:fill="75787B" w:themeFill="accent6"/>
      </w:tcPr>
    </w:tblStylePr>
    <w:tblStylePr w:type="lastRow">
      <w:pPr>
        <w:spacing w:before="0" w:after="0" w:line="240" w:lineRule="auto"/>
      </w:pPr>
      <w:rPr>
        <w:b/>
        <w:bCs/>
      </w:rPr>
      <w:tblPr/>
      <w:tcPr>
        <w:tcBorders>
          <w:top w:val="double" w:sz="6" w:space="0" w:color="75787B" w:themeColor="accent6"/>
          <w:left w:val="single" w:sz="8" w:space="0" w:color="75787B" w:themeColor="accent6"/>
          <w:bottom w:val="single" w:sz="8" w:space="0" w:color="75787B" w:themeColor="accent6"/>
          <w:right w:val="single" w:sz="8" w:space="0" w:color="75787B" w:themeColor="accent6"/>
        </w:tcBorders>
      </w:tcPr>
    </w:tblStylePr>
    <w:tblStylePr w:type="firstCol">
      <w:rPr>
        <w:b/>
        <w:bCs/>
      </w:rPr>
    </w:tblStylePr>
    <w:tblStylePr w:type="lastCol">
      <w:rPr>
        <w:b/>
        <w:bCs/>
      </w:rPr>
    </w:tblStylePr>
    <w:tblStylePr w:type="band1Vert">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tblStylePr w:type="band1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style>
  <w:style w:type="table" w:styleId="LightShading">
    <w:name w:val="Light Shading"/>
    <w:basedOn w:val="TableNormal"/>
    <w:uiPriority w:val="60"/>
    <w:rsid w:val="00F9113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9113D"/>
    <w:pPr>
      <w:spacing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LightShading-Accent2">
    <w:name w:val="Light Shading Accent 2"/>
    <w:basedOn w:val="TableNormal"/>
    <w:uiPriority w:val="60"/>
    <w:rsid w:val="00F9113D"/>
    <w:pPr>
      <w:spacing w:line="240" w:lineRule="auto"/>
    </w:pPr>
    <w:rPr>
      <w:color w:val="034F29" w:themeColor="accent2" w:themeShade="BF"/>
    </w:rPr>
    <w:tblPr>
      <w:tblStyleRowBandSize w:val="1"/>
      <w:tblStyleColBandSize w:val="1"/>
      <w:tblBorders>
        <w:top w:val="single" w:sz="8" w:space="0" w:color="046A38" w:themeColor="accent2"/>
        <w:bottom w:val="single" w:sz="8" w:space="0" w:color="046A38" w:themeColor="accent2"/>
      </w:tblBorders>
    </w:tblPr>
    <w:tblStylePr w:type="firstRow">
      <w:pPr>
        <w:spacing w:before="0" w:after="0" w:line="240" w:lineRule="auto"/>
      </w:pPr>
      <w:rPr>
        <w:b/>
        <w:bCs/>
      </w:rPr>
      <w:tblPr/>
      <w:tcPr>
        <w:tcBorders>
          <w:top w:val="single" w:sz="8" w:space="0" w:color="046A38" w:themeColor="accent2"/>
          <w:left w:val="nil"/>
          <w:bottom w:val="single" w:sz="8" w:space="0" w:color="046A38" w:themeColor="accent2"/>
          <w:right w:val="nil"/>
          <w:insideH w:val="nil"/>
          <w:insideV w:val="nil"/>
        </w:tcBorders>
      </w:tcPr>
    </w:tblStylePr>
    <w:tblStylePr w:type="lastRow">
      <w:pPr>
        <w:spacing w:before="0" w:after="0" w:line="240" w:lineRule="auto"/>
      </w:pPr>
      <w:rPr>
        <w:b/>
        <w:bCs/>
      </w:rPr>
      <w:tblPr/>
      <w:tcPr>
        <w:tcBorders>
          <w:top w:val="single" w:sz="8" w:space="0" w:color="046A38" w:themeColor="accent2"/>
          <w:left w:val="nil"/>
          <w:bottom w:val="single" w:sz="8" w:space="0" w:color="046A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BCE" w:themeFill="accent2" w:themeFillTint="3F"/>
      </w:tcPr>
    </w:tblStylePr>
    <w:tblStylePr w:type="band1Horz">
      <w:tblPr/>
      <w:tcPr>
        <w:tcBorders>
          <w:left w:val="nil"/>
          <w:right w:val="nil"/>
          <w:insideH w:val="nil"/>
          <w:insideV w:val="nil"/>
        </w:tcBorders>
        <w:shd w:val="clear" w:color="auto" w:fill="9FFBCE" w:themeFill="accent2" w:themeFillTint="3F"/>
      </w:tcPr>
    </w:tblStylePr>
  </w:style>
  <w:style w:type="table" w:styleId="LightShading-Accent3">
    <w:name w:val="Light Shading Accent 3"/>
    <w:basedOn w:val="TableNormal"/>
    <w:uiPriority w:val="60"/>
    <w:rsid w:val="00F9113D"/>
    <w:pPr>
      <w:spacing w:line="240" w:lineRule="auto"/>
    </w:pPr>
    <w:rPr>
      <w:color w:val="2291D1" w:themeColor="accent3" w:themeShade="BF"/>
    </w:rPr>
    <w:tblPr>
      <w:tblStyleRowBandSize w:val="1"/>
      <w:tblStyleColBandSize w:val="1"/>
      <w:tblBorders>
        <w:top w:val="single" w:sz="8" w:space="0" w:color="62B5E5" w:themeColor="accent3"/>
        <w:bottom w:val="single" w:sz="8" w:space="0" w:color="62B5E5" w:themeColor="accent3"/>
      </w:tblBorders>
    </w:tblPr>
    <w:tblStylePr w:type="firstRow">
      <w:pPr>
        <w:spacing w:before="0" w:after="0" w:line="240" w:lineRule="auto"/>
      </w:pPr>
      <w:rPr>
        <w:b/>
        <w:bCs/>
      </w:rPr>
      <w:tblPr/>
      <w:tcPr>
        <w:tcBorders>
          <w:top w:val="single" w:sz="8" w:space="0" w:color="62B5E5" w:themeColor="accent3"/>
          <w:left w:val="nil"/>
          <w:bottom w:val="single" w:sz="8" w:space="0" w:color="62B5E5" w:themeColor="accent3"/>
          <w:right w:val="nil"/>
          <w:insideH w:val="nil"/>
          <w:insideV w:val="nil"/>
        </w:tcBorders>
      </w:tcPr>
    </w:tblStylePr>
    <w:tblStylePr w:type="lastRow">
      <w:pPr>
        <w:spacing w:before="0" w:after="0" w:line="240" w:lineRule="auto"/>
      </w:pPr>
      <w:rPr>
        <w:b/>
        <w:bCs/>
      </w:rPr>
      <w:tblPr/>
      <w:tcPr>
        <w:tcBorders>
          <w:top w:val="single" w:sz="8" w:space="0" w:color="62B5E5" w:themeColor="accent3"/>
          <w:left w:val="nil"/>
          <w:bottom w:val="single" w:sz="8" w:space="0" w:color="62B5E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left w:val="nil"/>
          <w:right w:val="nil"/>
          <w:insideH w:val="nil"/>
          <w:insideV w:val="nil"/>
        </w:tcBorders>
        <w:shd w:val="clear" w:color="auto" w:fill="D8ECF8" w:themeFill="accent3" w:themeFillTint="3F"/>
      </w:tcPr>
    </w:tblStylePr>
  </w:style>
  <w:style w:type="table" w:styleId="LightShading-Accent4">
    <w:name w:val="Light Shading Accent 4"/>
    <w:basedOn w:val="TableNormal"/>
    <w:uiPriority w:val="60"/>
    <w:rsid w:val="00F9113D"/>
    <w:pPr>
      <w:spacing w:line="240" w:lineRule="auto"/>
    </w:pPr>
    <w:rPr>
      <w:color w:val="00184E" w:themeColor="accent4" w:themeShade="BF"/>
    </w:rPr>
    <w:tblPr>
      <w:tblStyleRowBandSize w:val="1"/>
      <w:tblStyleColBandSize w:val="1"/>
      <w:tblBorders>
        <w:top w:val="single" w:sz="8" w:space="0" w:color="012169" w:themeColor="accent4"/>
        <w:bottom w:val="single" w:sz="8" w:space="0" w:color="012169" w:themeColor="accent4"/>
      </w:tblBorders>
    </w:tblPr>
    <w:tblStylePr w:type="firstRow">
      <w:pPr>
        <w:spacing w:before="0" w:after="0" w:line="240" w:lineRule="auto"/>
      </w:pPr>
      <w:rPr>
        <w:b/>
        <w:bCs/>
      </w:rPr>
      <w:tblPr/>
      <w:tcPr>
        <w:tcBorders>
          <w:top w:val="single" w:sz="8" w:space="0" w:color="012169" w:themeColor="accent4"/>
          <w:left w:val="nil"/>
          <w:bottom w:val="single" w:sz="8" w:space="0" w:color="012169" w:themeColor="accent4"/>
          <w:right w:val="nil"/>
          <w:insideH w:val="nil"/>
          <w:insideV w:val="nil"/>
        </w:tcBorders>
      </w:tcPr>
    </w:tblStylePr>
    <w:tblStylePr w:type="lastRow">
      <w:pPr>
        <w:spacing w:before="0" w:after="0" w:line="240" w:lineRule="auto"/>
      </w:pPr>
      <w:rPr>
        <w:b/>
        <w:bCs/>
      </w:rPr>
      <w:tblPr/>
      <w:tcPr>
        <w:tcBorders>
          <w:top w:val="single" w:sz="8" w:space="0" w:color="012169" w:themeColor="accent4"/>
          <w:left w:val="nil"/>
          <w:bottom w:val="single" w:sz="8" w:space="0" w:color="01216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4" w:themeFillTint="3F"/>
      </w:tcPr>
    </w:tblStylePr>
    <w:tblStylePr w:type="band1Horz">
      <w:tblPr/>
      <w:tcPr>
        <w:tcBorders>
          <w:left w:val="nil"/>
          <w:right w:val="nil"/>
          <w:insideH w:val="nil"/>
          <w:insideV w:val="nil"/>
        </w:tcBorders>
        <w:shd w:val="clear" w:color="auto" w:fill="9BB9FE" w:themeFill="accent4" w:themeFillTint="3F"/>
      </w:tcPr>
    </w:tblStylePr>
  </w:style>
  <w:style w:type="table" w:styleId="LightShading-Accent5">
    <w:name w:val="Light Shading Accent 5"/>
    <w:basedOn w:val="TableNormal"/>
    <w:uiPriority w:val="60"/>
    <w:rsid w:val="00F9113D"/>
    <w:pPr>
      <w:spacing w:line="240" w:lineRule="auto"/>
    </w:pPr>
    <w:rPr>
      <w:color w:val="00707E" w:themeColor="accent5" w:themeShade="BF"/>
    </w:rPr>
    <w:tblPr>
      <w:tblStyleRowBandSize w:val="1"/>
      <w:tblStyleColBandSize w:val="1"/>
      <w:tblBorders>
        <w:top w:val="single" w:sz="8" w:space="0" w:color="0097A9" w:themeColor="accent5"/>
        <w:bottom w:val="single" w:sz="8" w:space="0" w:color="0097A9" w:themeColor="accent5"/>
      </w:tblBorders>
    </w:tblPr>
    <w:tblStylePr w:type="firstRow">
      <w:pPr>
        <w:spacing w:before="0" w:after="0" w:line="240" w:lineRule="auto"/>
      </w:pPr>
      <w:rPr>
        <w:b/>
        <w:bCs/>
      </w:rPr>
      <w:tblPr/>
      <w:tcPr>
        <w:tcBorders>
          <w:top w:val="single" w:sz="8" w:space="0" w:color="0097A9" w:themeColor="accent5"/>
          <w:left w:val="nil"/>
          <w:bottom w:val="single" w:sz="8" w:space="0" w:color="0097A9" w:themeColor="accent5"/>
          <w:right w:val="nil"/>
          <w:insideH w:val="nil"/>
          <w:insideV w:val="nil"/>
        </w:tcBorders>
      </w:tcPr>
    </w:tblStylePr>
    <w:tblStylePr w:type="lastRow">
      <w:pPr>
        <w:spacing w:before="0" w:after="0" w:line="240" w:lineRule="auto"/>
      </w:pPr>
      <w:rPr>
        <w:b/>
        <w:bCs/>
      </w:rPr>
      <w:tblPr/>
      <w:tcPr>
        <w:tcBorders>
          <w:top w:val="single" w:sz="8" w:space="0" w:color="0097A9" w:themeColor="accent5"/>
          <w:left w:val="nil"/>
          <w:bottom w:val="single" w:sz="8" w:space="0" w:color="0097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5FF" w:themeFill="accent5" w:themeFillTint="3F"/>
      </w:tcPr>
    </w:tblStylePr>
    <w:tblStylePr w:type="band1Horz">
      <w:tblPr/>
      <w:tcPr>
        <w:tcBorders>
          <w:left w:val="nil"/>
          <w:right w:val="nil"/>
          <w:insideH w:val="nil"/>
          <w:insideV w:val="nil"/>
        </w:tcBorders>
        <w:shd w:val="clear" w:color="auto" w:fill="AAF5FF" w:themeFill="accent5" w:themeFillTint="3F"/>
      </w:tcPr>
    </w:tblStylePr>
  </w:style>
  <w:style w:type="table" w:styleId="LightShading-Accent6">
    <w:name w:val="Light Shading Accent 6"/>
    <w:basedOn w:val="TableNormal"/>
    <w:uiPriority w:val="60"/>
    <w:rsid w:val="00F9113D"/>
    <w:pPr>
      <w:spacing w:line="240" w:lineRule="auto"/>
    </w:pPr>
    <w:rPr>
      <w:color w:val="57595C" w:themeColor="accent6" w:themeShade="BF"/>
    </w:rPr>
    <w:tblPr>
      <w:tblStyleRowBandSize w:val="1"/>
      <w:tblStyleColBandSize w:val="1"/>
      <w:tblBorders>
        <w:top w:val="single" w:sz="8" w:space="0" w:color="75787B" w:themeColor="accent6"/>
        <w:bottom w:val="single" w:sz="8" w:space="0" w:color="75787B" w:themeColor="accent6"/>
      </w:tblBorders>
    </w:tblPr>
    <w:tblStylePr w:type="firstRow">
      <w:pPr>
        <w:spacing w:before="0" w:after="0" w:line="240" w:lineRule="auto"/>
      </w:pPr>
      <w:rPr>
        <w:b/>
        <w:bCs/>
      </w:rPr>
      <w:tblPr/>
      <w:tcPr>
        <w:tcBorders>
          <w:top w:val="single" w:sz="8" w:space="0" w:color="75787B" w:themeColor="accent6"/>
          <w:left w:val="nil"/>
          <w:bottom w:val="single" w:sz="8" w:space="0" w:color="75787B" w:themeColor="accent6"/>
          <w:right w:val="nil"/>
          <w:insideH w:val="nil"/>
          <w:insideV w:val="nil"/>
        </w:tcBorders>
      </w:tcPr>
    </w:tblStylePr>
    <w:tblStylePr w:type="lastRow">
      <w:pPr>
        <w:spacing w:before="0" w:after="0" w:line="240" w:lineRule="auto"/>
      </w:pPr>
      <w:rPr>
        <w:b/>
        <w:bCs/>
      </w:rPr>
      <w:tblPr/>
      <w:tcPr>
        <w:tcBorders>
          <w:top w:val="single" w:sz="8" w:space="0" w:color="75787B" w:themeColor="accent6"/>
          <w:left w:val="nil"/>
          <w:bottom w:val="single" w:sz="8" w:space="0" w:color="75787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left w:val="nil"/>
          <w:right w:val="nil"/>
          <w:insideH w:val="nil"/>
          <w:insideV w:val="nil"/>
        </w:tcBorders>
        <w:shd w:val="clear" w:color="auto" w:fill="DCDDDE" w:themeFill="accent6" w:themeFillTint="3F"/>
      </w:tcPr>
    </w:tblStylePr>
  </w:style>
  <w:style w:type="character" w:styleId="LineNumber">
    <w:name w:val="line number"/>
    <w:basedOn w:val="DefaultParagraphFont"/>
    <w:uiPriority w:val="99"/>
    <w:semiHidden/>
    <w:rsid w:val="00F9113D"/>
    <w:rPr>
      <w:lang w:val="en-AU"/>
    </w:rPr>
  </w:style>
  <w:style w:type="paragraph" w:styleId="List">
    <w:name w:val="List"/>
    <w:basedOn w:val="Normal"/>
    <w:uiPriority w:val="99"/>
    <w:semiHidden/>
    <w:rsid w:val="00F9113D"/>
    <w:pPr>
      <w:ind w:left="283" w:hanging="283"/>
      <w:contextualSpacing/>
    </w:pPr>
  </w:style>
  <w:style w:type="paragraph" w:styleId="List2">
    <w:name w:val="List 2"/>
    <w:basedOn w:val="Normal"/>
    <w:uiPriority w:val="99"/>
    <w:semiHidden/>
    <w:rsid w:val="00F9113D"/>
    <w:pPr>
      <w:ind w:left="566" w:hanging="283"/>
      <w:contextualSpacing/>
    </w:pPr>
  </w:style>
  <w:style w:type="paragraph" w:styleId="List3">
    <w:name w:val="List 3"/>
    <w:basedOn w:val="Normal"/>
    <w:uiPriority w:val="99"/>
    <w:semiHidden/>
    <w:rsid w:val="00F9113D"/>
    <w:pPr>
      <w:ind w:left="849" w:hanging="283"/>
      <w:contextualSpacing/>
    </w:pPr>
  </w:style>
  <w:style w:type="paragraph" w:styleId="List4">
    <w:name w:val="List 4"/>
    <w:basedOn w:val="Normal"/>
    <w:uiPriority w:val="99"/>
    <w:semiHidden/>
    <w:rsid w:val="00F9113D"/>
    <w:pPr>
      <w:ind w:left="1132" w:hanging="283"/>
      <w:contextualSpacing/>
    </w:pPr>
  </w:style>
  <w:style w:type="paragraph" w:styleId="List5">
    <w:name w:val="List 5"/>
    <w:basedOn w:val="Normal"/>
    <w:uiPriority w:val="99"/>
    <w:semiHidden/>
    <w:rsid w:val="00F9113D"/>
    <w:pPr>
      <w:ind w:left="1415" w:hanging="283"/>
      <w:contextualSpacing/>
    </w:pPr>
  </w:style>
  <w:style w:type="paragraph" w:styleId="ListBullet3">
    <w:name w:val="List Bullet 3"/>
    <w:basedOn w:val="Normal"/>
    <w:uiPriority w:val="3"/>
    <w:rsid w:val="00DF7819"/>
    <w:pPr>
      <w:numPr>
        <w:numId w:val="16"/>
      </w:numPr>
      <w:spacing w:after="0"/>
      <w:ind w:left="1020"/>
      <w:contextualSpacing/>
    </w:pPr>
  </w:style>
  <w:style w:type="paragraph" w:styleId="ListBullet4">
    <w:name w:val="List Bullet 4"/>
    <w:basedOn w:val="Normal"/>
    <w:uiPriority w:val="99"/>
    <w:semiHidden/>
    <w:rsid w:val="00F9113D"/>
    <w:pPr>
      <w:numPr>
        <w:numId w:val="3"/>
      </w:numPr>
      <w:contextualSpacing/>
    </w:pPr>
  </w:style>
  <w:style w:type="paragraph" w:styleId="ListBullet5">
    <w:name w:val="List Bullet 5"/>
    <w:basedOn w:val="Normal"/>
    <w:uiPriority w:val="99"/>
    <w:semiHidden/>
    <w:rsid w:val="00F9113D"/>
    <w:pPr>
      <w:numPr>
        <w:numId w:val="4"/>
      </w:numPr>
      <w:contextualSpacing/>
    </w:pPr>
  </w:style>
  <w:style w:type="paragraph" w:styleId="ListContinue">
    <w:name w:val="List Continue"/>
    <w:basedOn w:val="Normal"/>
    <w:uiPriority w:val="99"/>
    <w:semiHidden/>
    <w:rsid w:val="00F9113D"/>
    <w:pPr>
      <w:spacing w:after="120"/>
      <w:ind w:left="283"/>
      <w:contextualSpacing/>
    </w:pPr>
  </w:style>
  <w:style w:type="paragraph" w:styleId="ListContinue2">
    <w:name w:val="List Continue 2"/>
    <w:basedOn w:val="Normal"/>
    <w:uiPriority w:val="99"/>
    <w:semiHidden/>
    <w:rsid w:val="00F9113D"/>
    <w:pPr>
      <w:spacing w:after="120"/>
      <w:ind w:left="566"/>
      <w:contextualSpacing/>
    </w:pPr>
  </w:style>
  <w:style w:type="paragraph" w:styleId="ListContinue3">
    <w:name w:val="List Continue 3"/>
    <w:basedOn w:val="Normal"/>
    <w:uiPriority w:val="99"/>
    <w:semiHidden/>
    <w:rsid w:val="00F9113D"/>
    <w:pPr>
      <w:spacing w:after="120"/>
      <w:ind w:left="849"/>
      <w:contextualSpacing/>
    </w:pPr>
  </w:style>
  <w:style w:type="paragraph" w:styleId="ListContinue4">
    <w:name w:val="List Continue 4"/>
    <w:basedOn w:val="Normal"/>
    <w:uiPriority w:val="99"/>
    <w:semiHidden/>
    <w:rsid w:val="00F9113D"/>
    <w:pPr>
      <w:spacing w:after="120"/>
      <w:ind w:left="1132"/>
      <w:contextualSpacing/>
    </w:pPr>
  </w:style>
  <w:style w:type="paragraph" w:styleId="ListContinue5">
    <w:name w:val="List Continue 5"/>
    <w:basedOn w:val="Normal"/>
    <w:uiPriority w:val="99"/>
    <w:semiHidden/>
    <w:rsid w:val="00F9113D"/>
    <w:pPr>
      <w:spacing w:after="120"/>
      <w:ind w:left="1415"/>
      <w:contextualSpacing/>
    </w:pPr>
  </w:style>
  <w:style w:type="paragraph" w:styleId="ListNumber3">
    <w:name w:val="List Number 3"/>
    <w:basedOn w:val="Normal"/>
    <w:uiPriority w:val="99"/>
    <w:semiHidden/>
    <w:rsid w:val="00F9113D"/>
    <w:pPr>
      <w:numPr>
        <w:ilvl w:val="2"/>
        <w:numId w:val="17"/>
      </w:numPr>
      <w:contextualSpacing/>
    </w:pPr>
  </w:style>
  <w:style w:type="paragraph" w:styleId="ListNumber4">
    <w:name w:val="List Number 4"/>
    <w:basedOn w:val="Normal"/>
    <w:uiPriority w:val="99"/>
    <w:semiHidden/>
    <w:rsid w:val="00F9113D"/>
    <w:pPr>
      <w:numPr>
        <w:numId w:val="5"/>
      </w:numPr>
      <w:contextualSpacing/>
    </w:pPr>
  </w:style>
  <w:style w:type="paragraph" w:styleId="ListNumber5">
    <w:name w:val="List Number 5"/>
    <w:basedOn w:val="Normal"/>
    <w:uiPriority w:val="99"/>
    <w:semiHidden/>
    <w:rsid w:val="00F9113D"/>
    <w:pPr>
      <w:numPr>
        <w:numId w:val="6"/>
      </w:numPr>
      <w:contextualSpacing/>
    </w:pPr>
  </w:style>
  <w:style w:type="paragraph" w:styleId="ListParagraph">
    <w:name w:val="List Paragraph"/>
    <w:aliases w:val="Use Case List Paragraph,List Paragraph - bullets,standard lewis,Numbered Para 1,Dot pt,No Spacing1,List Paragraph Char Char Char,Indicator Text,List Paragraph1,Bullet Points,Bullet (1st level),First level bullet point,Recommendation,B1,L"/>
    <w:basedOn w:val="Normal"/>
    <w:link w:val="ListParagraphChar"/>
    <w:uiPriority w:val="34"/>
    <w:qFormat/>
    <w:rsid w:val="00F9113D"/>
    <w:pPr>
      <w:ind w:left="720"/>
      <w:contextualSpacing/>
    </w:pPr>
  </w:style>
  <w:style w:type="paragraph" w:styleId="MacroText">
    <w:name w:val="macro"/>
    <w:link w:val="MacroTextChar"/>
    <w:uiPriority w:val="99"/>
    <w:semiHidden/>
    <w:rsid w:val="00F9113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AU"/>
    </w:rPr>
  </w:style>
  <w:style w:type="character" w:customStyle="1" w:styleId="MacroTextChar">
    <w:name w:val="Macro Text Char"/>
    <w:basedOn w:val="DefaultParagraphFont"/>
    <w:link w:val="MacroText"/>
    <w:uiPriority w:val="99"/>
    <w:semiHidden/>
    <w:rsid w:val="00F9113D"/>
    <w:rPr>
      <w:rFonts w:ascii="Consolas" w:hAnsi="Consolas"/>
      <w:sz w:val="20"/>
      <w:szCs w:val="20"/>
      <w:lang w:val="en-AU"/>
    </w:rPr>
  </w:style>
  <w:style w:type="table" w:styleId="MediumGrid1">
    <w:name w:val="Medium Grid 1"/>
    <w:basedOn w:val="TableNormal"/>
    <w:uiPriority w:val="67"/>
    <w:rsid w:val="00F9113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9113D"/>
    <w:pPr>
      <w:spacing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insideV w:val="single" w:sz="8" w:space="0" w:color="A8DB4C" w:themeColor="accent1" w:themeTint="BF"/>
      </w:tblBorders>
    </w:tblPr>
    <w:tcPr>
      <w:shd w:val="clear" w:color="auto" w:fill="E2F3C3" w:themeFill="accent1" w:themeFillTint="3F"/>
    </w:tcPr>
    <w:tblStylePr w:type="firstRow">
      <w:rPr>
        <w:b/>
        <w:bCs/>
      </w:rPr>
    </w:tblStylePr>
    <w:tblStylePr w:type="lastRow">
      <w:rPr>
        <w:b/>
        <w:bCs/>
      </w:rPr>
      <w:tblPr/>
      <w:tcPr>
        <w:tcBorders>
          <w:top w:val="single" w:sz="18" w:space="0" w:color="A8DB4C" w:themeColor="accent1" w:themeTint="BF"/>
        </w:tcBorders>
      </w:tcPr>
    </w:tblStylePr>
    <w:tblStylePr w:type="firstCol">
      <w:rPr>
        <w:b/>
        <w:bCs/>
      </w:rPr>
    </w:tblStylePr>
    <w:tblStylePr w:type="lastCol">
      <w:rPr>
        <w:b/>
        <w:bCs/>
      </w:rPr>
    </w:tblStylePr>
    <w:tblStylePr w:type="band1Vert">
      <w:tblPr/>
      <w:tcPr>
        <w:shd w:val="clear" w:color="auto" w:fill="C5E788" w:themeFill="accent1" w:themeFillTint="7F"/>
      </w:tcPr>
    </w:tblStylePr>
    <w:tblStylePr w:type="band1Horz">
      <w:tblPr/>
      <w:tcPr>
        <w:shd w:val="clear" w:color="auto" w:fill="C5E788" w:themeFill="accent1" w:themeFillTint="7F"/>
      </w:tcPr>
    </w:tblStylePr>
  </w:style>
  <w:style w:type="table" w:styleId="MediumGrid1-Accent2">
    <w:name w:val="Medium Grid 1 Accent 2"/>
    <w:basedOn w:val="TableNormal"/>
    <w:uiPriority w:val="67"/>
    <w:rsid w:val="00F9113D"/>
    <w:pPr>
      <w:spacing w:line="240" w:lineRule="auto"/>
    </w:pPr>
    <w:tblPr>
      <w:tblStyleRowBandSize w:val="1"/>
      <w:tblStyleColBandSize w:val="1"/>
      <w:tbl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single" w:sz="8" w:space="0" w:color="07CA6B" w:themeColor="accent2" w:themeTint="BF"/>
        <w:insideV w:val="single" w:sz="8" w:space="0" w:color="07CA6B" w:themeColor="accent2" w:themeTint="BF"/>
      </w:tblBorders>
    </w:tblPr>
    <w:tcPr>
      <w:shd w:val="clear" w:color="auto" w:fill="9FFBCE" w:themeFill="accent2" w:themeFillTint="3F"/>
    </w:tcPr>
    <w:tblStylePr w:type="firstRow">
      <w:rPr>
        <w:b/>
        <w:bCs/>
      </w:rPr>
    </w:tblStylePr>
    <w:tblStylePr w:type="lastRow">
      <w:rPr>
        <w:b/>
        <w:bCs/>
      </w:rPr>
      <w:tblPr/>
      <w:tcPr>
        <w:tcBorders>
          <w:top w:val="single" w:sz="18" w:space="0" w:color="07CA6B" w:themeColor="accent2" w:themeTint="BF"/>
        </w:tcBorders>
      </w:tcPr>
    </w:tblStylePr>
    <w:tblStylePr w:type="firstCol">
      <w:rPr>
        <w:b/>
        <w:bCs/>
      </w:rPr>
    </w:tblStylePr>
    <w:tblStylePr w:type="lastCol">
      <w:rPr>
        <w:b/>
        <w:bCs/>
      </w:rPr>
    </w:tblStylePr>
    <w:tblStylePr w:type="band1Vert">
      <w:tblPr/>
      <w:tcPr>
        <w:shd w:val="clear" w:color="auto" w:fill="3EF79D" w:themeFill="accent2" w:themeFillTint="7F"/>
      </w:tcPr>
    </w:tblStylePr>
    <w:tblStylePr w:type="band1Horz">
      <w:tblPr/>
      <w:tcPr>
        <w:shd w:val="clear" w:color="auto" w:fill="3EF79D" w:themeFill="accent2" w:themeFillTint="7F"/>
      </w:tcPr>
    </w:tblStylePr>
  </w:style>
  <w:style w:type="table" w:styleId="MediumGrid1-Accent3">
    <w:name w:val="Medium Grid 1 Accent 3"/>
    <w:basedOn w:val="TableNormal"/>
    <w:uiPriority w:val="67"/>
    <w:rsid w:val="00F9113D"/>
    <w:pPr>
      <w:spacing w:line="240" w:lineRule="auto"/>
    </w:p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insideV w:val="single" w:sz="8" w:space="0" w:color="89C7EB" w:themeColor="accent3" w:themeTint="BF"/>
      </w:tblBorders>
    </w:tblPr>
    <w:tcPr>
      <w:shd w:val="clear" w:color="auto" w:fill="D8ECF8" w:themeFill="accent3" w:themeFillTint="3F"/>
    </w:tcPr>
    <w:tblStylePr w:type="firstRow">
      <w:rPr>
        <w:b/>
        <w:bCs/>
      </w:rPr>
    </w:tblStylePr>
    <w:tblStylePr w:type="lastRow">
      <w:rPr>
        <w:b/>
        <w:bCs/>
      </w:rPr>
      <w:tblPr/>
      <w:tcPr>
        <w:tcBorders>
          <w:top w:val="single" w:sz="18" w:space="0" w:color="89C7EB" w:themeColor="accent3" w:themeTint="BF"/>
        </w:tcBorders>
      </w:tcPr>
    </w:tblStylePr>
    <w:tblStylePr w:type="firstCol">
      <w:rPr>
        <w:b/>
        <w:bCs/>
      </w:rPr>
    </w:tblStylePr>
    <w:tblStylePr w:type="lastCol">
      <w:rPr>
        <w:b/>
        <w:bCs/>
      </w:r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MediumGrid1-Accent4">
    <w:name w:val="Medium Grid 1 Accent 4"/>
    <w:basedOn w:val="TableNormal"/>
    <w:uiPriority w:val="67"/>
    <w:rsid w:val="00F9113D"/>
    <w:pPr>
      <w:spacing w:line="240" w:lineRule="auto"/>
    </w:pPr>
    <w:tblPr>
      <w:tblStyleRowBandSize w:val="1"/>
      <w:tblStyleColBandSize w:val="1"/>
      <w:tbl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single" w:sz="8" w:space="0" w:color="0240CD" w:themeColor="accent4" w:themeTint="BF"/>
        <w:insideV w:val="single" w:sz="8" w:space="0" w:color="0240CD" w:themeColor="accent4" w:themeTint="BF"/>
      </w:tblBorders>
    </w:tblPr>
    <w:tcPr>
      <w:shd w:val="clear" w:color="auto" w:fill="9BB9FE" w:themeFill="accent4" w:themeFillTint="3F"/>
    </w:tcPr>
    <w:tblStylePr w:type="firstRow">
      <w:rPr>
        <w:b/>
        <w:bCs/>
      </w:rPr>
    </w:tblStylePr>
    <w:tblStylePr w:type="lastRow">
      <w:rPr>
        <w:b/>
        <w:bCs/>
      </w:rPr>
      <w:tblPr/>
      <w:tcPr>
        <w:tcBorders>
          <w:top w:val="single" w:sz="18" w:space="0" w:color="0240CD" w:themeColor="accent4" w:themeTint="BF"/>
        </w:tcBorders>
      </w:tcPr>
    </w:tblStylePr>
    <w:tblStylePr w:type="firstCol">
      <w:rPr>
        <w:b/>
        <w:bCs/>
      </w:rPr>
    </w:tblStylePr>
    <w:tblStylePr w:type="lastCol">
      <w:rPr>
        <w:b/>
        <w:bCs/>
      </w:rPr>
    </w:tblStylePr>
    <w:tblStylePr w:type="band1Vert">
      <w:tblPr/>
      <w:tcPr>
        <w:shd w:val="clear" w:color="auto" w:fill="3773FD" w:themeFill="accent4" w:themeFillTint="7F"/>
      </w:tcPr>
    </w:tblStylePr>
    <w:tblStylePr w:type="band1Horz">
      <w:tblPr/>
      <w:tcPr>
        <w:shd w:val="clear" w:color="auto" w:fill="3773FD" w:themeFill="accent4" w:themeFillTint="7F"/>
      </w:tcPr>
    </w:tblStylePr>
  </w:style>
  <w:style w:type="table" w:styleId="MediumGrid1-Accent5">
    <w:name w:val="Medium Grid 1 Accent 5"/>
    <w:basedOn w:val="TableNormal"/>
    <w:uiPriority w:val="67"/>
    <w:rsid w:val="00F9113D"/>
    <w:pPr>
      <w:spacing w:line="240" w:lineRule="auto"/>
    </w:pPr>
    <w:tblPr>
      <w:tblStyleRowBandSize w:val="1"/>
      <w:tblStyleColBandSize w:val="1"/>
      <w:tbl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single" w:sz="8" w:space="0" w:color="00E2FE" w:themeColor="accent5" w:themeTint="BF"/>
        <w:insideV w:val="single" w:sz="8" w:space="0" w:color="00E2FE" w:themeColor="accent5" w:themeTint="BF"/>
      </w:tblBorders>
    </w:tblPr>
    <w:tcPr>
      <w:shd w:val="clear" w:color="auto" w:fill="AAF5FF" w:themeFill="accent5" w:themeFillTint="3F"/>
    </w:tcPr>
    <w:tblStylePr w:type="firstRow">
      <w:rPr>
        <w:b/>
        <w:bCs/>
      </w:rPr>
    </w:tblStylePr>
    <w:tblStylePr w:type="lastRow">
      <w:rPr>
        <w:b/>
        <w:bCs/>
      </w:rPr>
      <w:tblPr/>
      <w:tcPr>
        <w:tcBorders>
          <w:top w:val="single" w:sz="18" w:space="0" w:color="00E2FE" w:themeColor="accent5" w:themeTint="BF"/>
        </w:tcBorders>
      </w:tcPr>
    </w:tblStylePr>
    <w:tblStylePr w:type="firstCol">
      <w:rPr>
        <w:b/>
        <w:bCs/>
      </w:rPr>
    </w:tblStylePr>
    <w:tblStylePr w:type="lastCol">
      <w:rPr>
        <w:b/>
        <w:bCs/>
      </w:rPr>
    </w:tblStylePr>
    <w:tblStylePr w:type="band1Vert">
      <w:tblPr/>
      <w:tcPr>
        <w:shd w:val="clear" w:color="auto" w:fill="55ECFF" w:themeFill="accent5" w:themeFillTint="7F"/>
      </w:tcPr>
    </w:tblStylePr>
    <w:tblStylePr w:type="band1Horz">
      <w:tblPr/>
      <w:tcPr>
        <w:shd w:val="clear" w:color="auto" w:fill="55ECFF" w:themeFill="accent5" w:themeFillTint="7F"/>
      </w:tcPr>
    </w:tblStylePr>
  </w:style>
  <w:style w:type="table" w:styleId="MediumGrid1-Accent6">
    <w:name w:val="Medium Grid 1 Accent 6"/>
    <w:basedOn w:val="TableNormal"/>
    <w:uiPriority w:val="67"/>
    <w:rsid w:val="00F9113D"/>
    <w:pPr>
      <w:spacing w:line="240" w:lineRule="auto"/>
    </w:pPr>
    <w:tblPr>
      <w:tblStyleRowBandSize w:val="1"/>
      <w:tblStyleColBandSize w:val="1"/>
      <w:tbl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single" w:sz="8" w:space="0" w:color="97999C" w:themeColor="accent6" w:themeTint="BF"/>
        <w:insideV w:val="single" w:sz="8" w:space="0" w:color="97999C" w:themeColor="accent6" w:themeTint="BF"/>
      </w:tblBorders>
    </w:tblPr>
    <w:tcPr>
      <w:shd w:val="clear" w:color="auto" w:fill="DCDDDE" w:themeFill="accent6" w:themeFillTint="3F"/>
    </w:tcPr>
    <w:tblStylePr w:type="firstRow">
      <w:rPr>
        <w:b/>
        <w:bCs/>
      </w:rPr>
    </w:tblStylePr>
    <w:tblStylePr w:type="lastRow">
      <w:rPr>
        <w:b/>
        <w:bCs/>
      </w:rPr>
      <w:tblPr/>
      <w:tcPr>
        <w:tcBorders>
          <w:top w:val="single" w:sz="18" w:space="0" w:color="97999C" w:themeColor="accent6" w:themeTint="BF"/>
        </w:tcBorders>
      </w:tcPr>
    </w:tblStylePr>
    <w:tblStylePr w:type="firstCol">
      <w:rPr>
        <w:b/>
        <w:bCs/>
      </w:rPr>
    </w:tblStylePr>
    <w:tblStylePr w:type="lastCol">
      <w:rPr>
        <w:b/>
        <w:bCs/>
      </w:rPr>
    </w:tblStylePr>
    <w:tblStylePr w:type="band1Vert">
      <w:tblPr/>
      <w:tcPr>
        <w:shd w:val="clear" w:color="auto" w:fill="B9BBBD" w:themeFill="accent6" w:themeFillTint="7F"/>
      </w:tcPr>
    </w:tblStylePr>
    <w:tblStylePr w:type="band1Horz">
      <w:tblPr/>
      <w:tcPr>
        <w:shd w:val="clear" w:color="auto" w:fill="B9BBBD" w:themeFill="accent6" w:themeFillTint="7F"/>
      </w:tcPr>
    </w:tblStylePr>
  </w:style>
  <w:style w:type="table" w:styleId="MediumGrid2">
    <w:name w:val="Medium Grid 2"/>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cPr>
      <w:shd w:val="clear" w:color="auto" w:fill="E2F3C3" w:themeFill="accent1" w:themeFillTint="3F"/>
    </w:tcPr>
    <w:tblStylePr w:type="firstRow">
      <w:rPr>
        <w:b/>
        <w:bCs/>
        <w:color w:val="000000" w:themeColor="text1"/>
      </w:rPr>
      <w:tblPr/>
      <w:tcPr>
        <w:shd w:val="clear" w:color="auto" w:fill="F3FA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CF" w:themeFill="accent1" w:themeFillTint="33"/>
      </w:tcPr>
    </w:tblStylePr>
    <w:tblStylePr w:type="band1Vert">
      <w:tblPr/>
      <w:tcPr>
        <w:shd w:val="clear" w:color="auto" w:fill="C5E788" w:themeFill="accent1" w:themeFillTint="7F"/>
      </w:tcPr>
    </w:tblStylePr>
    <w:tblStylePr w:type="band1Horz">
      <w:tblPr/>
      <w:tcPr>
        <w:tcBorders>
          <w:insideH w:val="single" w:sz="6" w:space="0" w:color="86BC25" w:themeColor="accent1"/>
          <w:insideV w:val="single" w:sz="6" w:space="0" w:color="86BC25" w:themeColor="accent1"/>
        </w:tcBorders>
        <w:shd w:val="clear" w:color="auto" w:fill="C5E7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insideH w:val="single" w:sz="8" w:space="0" w:color="046A38" w:themeColor="accent2"/>
        <w:insideV w:val="single" w:sz="8" w:space="0" w:color="046A38" w:themeColor="accent2"/>
      </w:tblBorders>
    </w:tblPr>
    <w:tcPr>
      <w:shd w:val="clear" w:color="auto" w:fill="9FFBCE" w:themeFill="accent2" w:themeFillTint="3F"/>
    </w:tcPr>
    <w:tblStylePr w:type="firstRow">
      <w:rPr>
        <w:b/>
        <w:bCs/>
        <w:color w:val="000000" w:themeColor="text1"/>
      </w:rPr>
      <w:tblPr/>
      <w:tcPr>
        <w:shd w:val="clear" w:color="auto" w:fill="D9F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CD7" w:themeFill="accent2" w:themeFillTint="33"/>
      </w:tcPr>
    </w:tblStylePr>
    <w:tblStylePr w:type="band1Vert">
      <w:tblPr/>
      <w:tcPr>
        <w:shd w:val="clear" w:color="auto" w:fill="3EF79D" w:themeFill="accent2" w:themeFillTint="7F"/>
      </w:tcPr>
    </w:tblStylePr>
    <w:tblStylePr w:type="band1Horz">
      <w:tblPr/>
      <w:tcPr>
        <w:tcBorders>
          <w:insideH w:val="single" w:sz="6" w:space="0" w:color="046A38" w:themeColor="accent2"/>
          <w:insideV w:val="single" w:sz="6" w:space="0" w:color="046A38" w:themeColor="accent2"/>
        </w:tcBorders>
        <w:shd w:val="clear" w:color="auto" w:fill="3EF7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cPr>
      <w:shd w:val="clear" w:color="auto" w:fill="D8ECF8" w:themeFill="accent3" w:themeFillTint="3F"/>
    </w:tcPr>
    <w:tblStylePr w:type="firstRow">
      <w:rPr>
        <w:b/>
        <w:bCs/>
        <w:color w:val="000000" w:themeColor="text1"/>
      </w:rPr>
      <w:tblPr/>
      <w:tcPr>
        <w:shd w:val="clear" w:color="auto" w:fill="EFF7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0F9" w:themeFill="accent3" w:themeFillTint="33"/>
      </w:tcPr>
    </w:tblStylePr>
    <w:tblStylePr w:type="band1Vert">
      <w:tblPr/>
      <w:tcPr>
        <w:shd w:val="clear" w:color="auto" w:fill="B0D9F2" w:themeFill="accent3" w:themeFillTint="7F"/>
      </w:tcPr>
    </w:tblStylePr>
    <w:tblStylePr w:type="band1Horz">
      <w:tblPr/>
      <w:tcPr>
        <w:tcBorders>
          <w:insideH w:val="single" w:sz="6" w:space="0" w:color="62B5E5" w:themeColor="accent3"/>
          <w:insideV w:val="single" w:sz="6" w:space="0" w:color="62B5E5" w:themeColor="accent3"/>
        </w:tcBorders>
        <w:shd w:val="clear" w:color="auto" w:fill="B0D9F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insideH w:val="single" w:sz="8" w:space="0" w:color="012169" w:themeColor="accent4"/>
        <w:insideV w:val="single" w:sz="8" w:space="0" w:color="012169" w:themeColor="accent4"/>
      </w:tblBorders>
    </w:tblPr>
    <w:tcPr>
      <w:shd w:val="clear" w:color="auto" w:fill="9BB9FE" w:themeFill="accent4" w:themeFillTint="3F"/>
    </w:tcPr>
    <w:tblStylePr w:type="firstRow">
      <w:rPr>
        <w:b/>
        <w:bCs/>
        <w:color w:val="000000" w:themeColor="text1"/>
      </w:rPr>
      <w:tblPr/>
      <w:tcPr>
        <w:shd w:val="clear" w:color="auto" w:fill="D7E3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4" w:themeFillTint="33"/>
      </w:tcPr>
    </w:tblStylePr>
    <w:tblStylePr w:type="band1Vert">
      <w:tblPr/>
      <w:tcPr>
        <w:shd w:val="clear" w:color="auto" w:fill="3773FD" w:themeFill="accent4" w:themeFillTint="7F"/>
      </w:tcPr>
    </w:tblStylePr>
    <w:tblStylePr w:type="band1Horz">
      <w:tblPr/>
      <w:tcPr>
        <w:tcBorders>
          <w:insideH w:val="single" w:sz="6" w:space="0" w:color="012169" w:themeColor="accent4"/>
          <w:insideV w:val="single" w:sz="6" w:space="0" w:color="012169" w:themeColor="accent4"/>
        </w:tcBorders>
        <w:shd w:val="clear" w:color="auto" w:fill="3773F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insideH w:val="single" w:sz="8" w:space="0" w:color="0097A9" w:themeColor="accent5"/>
        <w:insideV w:val="single" w:sz="8" w:space="0" w:color="0097A9" w:themeColor="accent5"/>
      </w:tblBorders>
    </w:tblPr>
    <w:tcPr>
      <w:shd w:val="clear" w:color="auto" w:fill="AAF5FF" w:themeFill="accent5" w:themeFillTint="3F"/>
    </w:tcPr>
    <w:tblStylePr w:type="firstRow">
      <w:rPr>
        <w:b/>
        <w:bCs/>
        <w:color w:val="000000" w:themeColor="text1"/>
      </w:rPr>
      <w:tblPr/>
      <w:tcPr>
        <w:shd w:val="clear" w:color="auto" w:fill="DD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7FF" w:themeFill="accent5" w:themeFillTint="33"/>
      </w:tcPr>
    </w:tblStylePr>
    <w:tblStylePr w:type="band1Vert">
      <w:tblPr/>
      <w:tcPr>
        <w:shd w:val="clear" w:color="auto" w:fill="55ECFF" w:themeFill="accent5" w:themeFillTint="7F"/>
      </w:tcPr>
    </w:tblStylePr>
    <w:tblStylePr w:type="band1Horz">
      <w:tblPr/>
      <w:tcPr>
        <w:tcBorders>
          <w:insideH w:val="single" w:sz="6" w:space="0" w:color="0097A9" w:themeColor="accent5"/>
          <w:insideV w:val="single" w:sz="6" w:space="0" w:color="0097A9" w:themeColor="accent5"/>
        </w:tcBorders>
        <w:shd w:val="clear" w:color="auto" w:fill="55EC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insideH w:val="single" w:sz="8" w:space="0" w:color="75787B" w:themeColor="accent6"/>
        <w:insideV w:val="single" w:sz="8" w:space="0" w:color="75787B" w:themeColor="accent6"/>
      </w:tblBorders>
    </w:tblPr>
    <w:tcPr>
      <w:shd w:val="clear" w:color="auto" w:fill="DCDDDE" w:themeFill="accent6" w:themeFillTint="3F"/>
    </w:tcPr>
    <w:tblStylePr w:type="firstRow">
      <w:rPr>
        <w:b/>
        <w:bCs/>
        <w:color w:val="000000" w:themeColor="text1"/>
      </w:rPr>
      <w:tblPr/>
      <w:tcPr>
        <w:shd w:val="clear" w:color="auto" w:fill="F1F1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3E4" w:themeFill="accent6" w:themeFillTint="33"/>
      </w:tcPr>
    </w:tblStylePr>
    <w:tblStylePr w:type="band1Vert">
      <w:tblPr/>
      <w:tcPr>
        <w:shd w:val="clear" w:color="auto" w:fill="B9BBBD" w:themeFill="accent6" w:themeFillTint="7F"/>
      </w:tcPr>
    </w:tblStylePr>
    <w:tblStylePr w:type="band1Horz">
      <w:tblPr/>
      <w:tcPr>
        <w:tcBorders>
          <w:insideH w:val="single" w:sz="6" w:space="0" w:color="75787B" w:themeColor="accent6"/>
          <w:insideV w:val="single" w:sz="6" w:space="0" w:color="75787B" w:themeColor="accent6"/>
        </w:tcBorders>
        <w:shd w:val="clear" w:color="auto" w:fill="B9BBB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3C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C2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C2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C2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C2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7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788" w:themeFill="accent1" w:themeFillTint="7F"/>
      </w:tcPr>
    </w:tblStylePr>
  </w:style>
  <w:style w:type="table" w:styleId="MediumGrid3-Accent2">
    <w:name w:val="Medium Grid 3 Accent 2"/>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6A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6A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6A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6A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EF7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EF79D" w:themeFill="accent2" w:themeFillTint="7F"/>
      </w:tcPr>
    </w:tblStylePr>
  </w:style>
  <w:style w:type="table" w:styleId="MediumGrid3-Accent3">
    <w:name w:val="Medium Grid 3 Accent 3"/>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C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B5E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B5E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9F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9F2" w:themeFill="accent3" w:themeFillTint="7F"/>
      </w:tcPr>
    </w:tblStylePr>
  </w:style>
  <w:style w:type="table" w:styleId="MediumGrid3-Accent4">
    <w:name w:val="Medium Grid 3 Accent 4"/>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4" w:themeFillTint="7F"/>
      </w:tcPr>
    </w:tblStylePr>
  </w:style>
  <w:style w:type="table" w:styleId="MediumGrid3-Accent5">
    <w:name w:val="Medium Grid 3 Accent 5"/>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5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7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7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7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7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E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ECFF" w:themeFill="accent5" w:themeFillTint="7F"/>
      </w:tcPr>
    </w:tblStylePr>
  </w:style>
  <w:style w:type="table" w:styleId="MediumGrid3-Accent6">
    <w:name w:val="Medium Grid 3 Accent 6"/>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DD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787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787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787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787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BBB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BBBD" w:themeFill="accent6" w:themeFillTint="7F"/>
      </w:tcPr>
    </w:tblStylePr>
  </w:style>
  <w:style w:type="table" w:styleId="MediumList1">
    <w:name w:val="Medium List 1"/>
    <w:basedOn w:val="TableNormal"/>
    <w:uiPriority w:val="65"/>
    <w:rsid w:val="00F9113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9113D"/>
    <w:pPr>
      <w:spacing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44546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ediumList1-Accent2">
    <w:name w:val="Medium List 1 Accent 2"/>
    <w:basedOn w:val="TableNormal"/>
    <w:uiPriority w:val="65"/>
    <w:rsid w:val="00F9113D"/>
    <w:pPr>
      <w:spacing w:line="240" w:lineRule="auto"/>
    </w:pPr>
    <w:rPr>
      <w:color w:val="000000" w:themeColor="text1"/>
    </w:rPr>
    <w:tblPr>
      <w:tblStyleRowBandSize w:val="1"/>
      <w:tblStyleColBandSize w:val="1"/>
      <w:tblBorders>
        <w:top w:val="single" w:sz="8" w:space="0" w:color="046A38" w:themeColor="accent2"/>
        <w:bottom w:val="single" w:sz="8" w:space="0" w:color="046A38" w:themeColor="accent2"/>
      </w:tblBorders>
    </w:tblPr>
    <w:tblStylePr w:type="firstRow">
      <w:rPr>
        <w:rFonts w:asciiTheme="majorHAnsi" w:eastAsiaTheme="majorEastAsia" w:hAnsiTheme="majorHAnsi" w:cstheme="majorBidi"/>
      </w:rPr>
      <w:tblPr/>
      <w:tcPr>
        <w:tcBorders>
          <w:top w:val="nil"/>
          <w:bottom w:val="single" w:sz="8" w:space="0" w:color="046A38" w:themeColor="accent2"/>
        </w:tcBorders>
      </w:tcPr>
    </w:tblStylePr>
    <w:tblStylePr w:type="lastRow">
      <w:rPr>
        <w:b/>
        <w:bCs/>
        <w:color w:val="44546A" w:themeColor="text2"/>
      </w:rPr>
      <w:tblPr/>
      <w:tcPr>
        <w:tcBorders>
          <w:top w:val="single" w:sz="8" w:space="0" w:color="046A38" w:themeColor="accent2"/>
          <w:bottom w:val="single" w:sz="8" w:space="0" w:color="046A38" w:themeColor="accent2"/>
        </w:tcBorders>
      </w:tcPr>
    </w:tblStylePr>
    <w:tblStylePr w:type="firstCol">
      <w:rPr>
        <w:b/>
        <w:bCs/>
      </w:rPr>
    </w:tblStylePr>
    <w:tblStylePr w:type="lastCol">
      <w:rPr>
        <w:b/>
        <w:bCs/>
      </w:rPr>
      <w:tblPr/>
      <w:tcPr>
        <w:tcBorders>
          <w:top w:val="single" w:sz="8" w:space="0" w:color="046A38" w:themeColor="accent2"/>
          <w:bottom w:val="single" w:sz="8" w:space="0" w:color="046A38" w:themeColor="accent2"/>
        </w:tcBorders>
      </w:tcPr>
    </w:tblStylePr>
    <w:tblStylePr w:type="band1Vert">
      <w:tblPr/>
      <w:tcPr>
        <w:shd w:val="clear" w:color="auto" w:fill="9FFBCE" w:themeFill="accent2" w:themeFillTint="3F"/>
      </w:tcPr>
    </w:tblStylePr>
    <w:tblStylePr w:type="band1Horz">
      <w:tblPr/>
      <w:tcPr>
        <w:shd w:val="clear" w:color="auto" w:fill="9FFBCE" w:themeFill="accent2" w:themeFillTint="3F"/>
      </w:tcPr>
    </w:tblStylePr>
  </w:style>
  <w:style w:type="table" w:styleId="MediumList1-Accent3">
    <w:name w:val="Medium List 1 Accent 3"/>
    <w:basedOn w:val="TableNormal"/>
    <w:uiPriority w:val="65"/>
    <w:rsid w:val="00F9113D"/>
    <w:pPr>
      <w:spacing w:line="240" w:lineRule="auto"/>
    </w:pPr>
    <w:rPr>
      <w:color w:val="000000" w:themeColor="text1"/>
    </w:rPr>
    <w:tblPr>
      <w:tblStyleRowBandSize w:val="1"/>
      <w:tblStyleColBandSize w:val="1"/>
      <w:tblBorders>
        <w:top w:val="single" w:sz="8" w:space="0" w:color="62B5E5" w:themeColor="accent3"/>
        <w:bottom w:val="single" w:sz="8" w:space="0" w:color="62B5E5" w:themeColor="accent3"/>
      </w:tblBorders>
    </w:tblPr>
    <w:tblStylePr w:type="firstRow">
      <w:rPr>
        <w:rFonts w:asciiTheme="majorHAnsi" w:eastAsiaTheme="majorEastAsia" w:hAnsiTheme="majorHAnsi" w:cstheme="majorBidi"/>
      </w:rPr>
      <w:tblPr/>
      <w:tcPr>
        <w:tcBorders>
          <w:top w:val="nil"/>
          <w:bottom w:val="single" w:sz="8" w:space="0" w:color="62B5E5" w:themeColor="accent3"/>
        </w:tcBorders>
      </w:tcPr>
    </w:tblStylePr>
    <w:tblStylePr w:type="lastRow">
      <w:rPr>
        <w:b/>
        <w:bCs/>
        <w:color w:val="44546A" w:themeColor="text2"/>
      </w:rPr>
      <w:tblPr/>
      <w:tcPr>
        <w:tcBorders>
          <w:top w:val="single" w:sz="8" w:space="0" w:color="62B5E5" w:themeColor="accent3"/>
          <w:bottom w:val="single" w:sz="8" w:space="0" w:color="62B5E5" w:themeColor="accent3"/>
        </w:tcBorders>
      </w:tcPr>
    </w:tblStylePr>
    <w:tblStylePr w:type="firstCol">
      <w:rPr>
        <w:b/>
        <w:bCs/>
      </w:rPr>
    </w:tblStylePr>
    <w:tblStylePr w:type="lastCol">
      <w:rPr>
        <w:b/>
        <w:bCs/>
      </w:rPr>
      <w:tblPr/>
      <w:tcPr>
        <w:tcBorders>
          <w:top w:val="single" w:sz="8" w:space="0" w:color="62B5E5" w:themeColor="accent3"/>
          <w:bottom w:val="single" w:sz="8" w:space="0" w:color="62B5E5" w:themeColor="accent3"/>
        </w:tcBorders>
      </w:tcPr>
    </w:tblStylePr>
    <w:tblStylePr w:type="band1Vert">
      <w:tblPr/>
      <w:tcPr>
        <w:shd w:val="clear" w:color="auto" w:fill="D8ECF8" w:themeFill="accent3" w:themeFillTint="3F"/>
      </w:tcPr>
    </w:tblStylePr>
    <w:tblStylePr w:type="band1Horz">
      <w:tblPr/>
      <w:tcPr>
        <w:shd w:val="clear" w:color="auto" w:fill="D8ECF8" w:themeFill="accent3" w:themeFillTint="3F"/>
      </w:tcPr>
    </w:tblStylePr>
  </w:style>
  <w:style w:type="table" w:styleId="MediumList1-Accent4">
    <w:name w:val="Medium List 1 Accent 4"/>
    <w:basedOn w:val="TableNormal"/>
    <w:uiPriority w:val="65"/>
    <w:rsid w:val="00F9113D"/>
    <w:pPr>
      <w:spacing w:line="240" w:lineRule="auto"/>
    </w:pPr>
    <w:rPr>
      <w:color w:val="000000" w:themeColor="text1"/>
    </w:rPr>
    <w:tblPr>
      <w:tblStyleRowBandSize w:val="1"/>
      <w:tblStyleColBandSize w:val="1"/>
      <w:tblBorders>
        <w:top w:val="single" w:sz="8" w:space="0" w:color="012169" w:themeColor="accent4"/>
        <w:bottom w:val="single" w:sz="8" w:space="0" w:color="012169" w:themeColor="accent4"/>
      </w:tblBorders>
    </w:tblPr>
    <w:tblStylePr w:type="firstRow">
      <w:rPr>
        <w:rFonts w:asciiTheme="majorHAnsi" w:eastAsiaTheme="majorEastAsia" w:hAnsiTheme="majorHAnsi" w:cstheme="majorBidi"/>
      </w:rPr>
      <w:tblPr/>
      <w:tcPr>
        <w:tcBorders>
          <w:top w:val="nil"/>
          <w:bottom w:val="single" w:sz="8" w:space="0" w:color="012169" w:themeColor="accent4"/>
        </w:tcBorders>
      </w:tcPr>
    </w:tblStylePr>
    <w:tblStylePr w:type="lastRow">
      <w:rPr>
        <w:b/>
        <w:bCs/>
        <w:color w:val="44546A" w:themeColor="text2"/>
      </w:rPr>
      <w:tblPr/>
      <w:tcPr>
        <w:tcBorders>
          <w:top w:val="single" w:sz="8" w:space="0" w:color="012169" w:themeColor="accent4"/>
          <w:bottom w:val="single" w:sz="8" w:space="0" w:color="012169" w:themeColor="accent4"/>
        </w:tcBorders>
      </w:tcPr>
    </w:tblStylePr>
    <w:tblStylePr w:type="firstCol">
      <w:rPr>
        <w:b/>
        <w:bCs/>
      </w:rPr>
    </w:tblStylePr>
    <w:tblStylePr w:type="lastCol">
      <w:rPr>
        <w:b/>
        <w:bCs/>
      </w:rPr>
      <w:tblPr/>
      <w:tcPr>
        <w:tcBorders>
          <w:top w:val="single" w:sz="8" w:space="0" w:color="012169" w:themeColor="accent4"/>
          <w:bottom w:val="single" w:sz="8" w:space="0" w:color="012169" w:themeColor="accent4"/>
        </w:tcBorders>
      </w:tcPr>
    </w:tblStylePr>
    <w:tblStylePr w:type="band1Vert">
      <w:tblPr/>
      <w:tcPr>
        <w:shd w:val="clear" w:color="auto" w:fill="9BB9FE" w:themeFill="accent4" w:themeFillTint="3F"/>
      </w:tcPr>
    </w:tblStylePr>
    <w:tblStylePr w:type="band1Horz">
      <w:tblPr/>
      <w:tcPr>
        <w:shd w:val="clear" w:color="auto" w:fill="9BB9FE" w:themeFill="accent4" w:themeFillTint="3F"/>
      </w:tcPr>
    </w:tblStylePr>
  </w:style>
  <w:style w:type="table" w:styleId="MediumList1-Accent5">
    <w:name w:val="Medium List 1 Accent 5"/>
    <w:basedOn w:val="TableNormal"/>
    <w:uiPriority w:val="65"/>
    <w:rsid w:val="00F9113D"/>
    <w:pPr>
      <w:spacing w:line="240" w:lineRule="auto"/>
    </w:pPr>
    <w:rPr>
      <w:color w:val="000000" w:themeColor="text1"/>
    </w:rPr>
    <w:tblPr>
      <w:tblStyleRowBandSize w:val="1"/>
      <w:tblStyleColBandSize w:val="1"/>
      <w:tblBorders>
        <w:top w:val="single" w:sz="8" w:space="0" w:color="0097A9" w:themeColor="accent5"/>
        <w:bottom w:val="single" w:sz="8" w:space="0" w:color="0097A9" w:themeColor="accent5"/>
      </w:tblBorders>
    </w:tblPr>
    <w:tblStylePr w:type="firstRow">
      <w:rPr>
        <w:rFonts w:asciiTheme="majorHAnsi" w:eastAsiaTheme="majorEastAsia" w:hAnsiTheme="majorHAnsi" w:cstheme="majorBidi"/>
      </w:rPr>
      <w:tblPr/>
      <w:tcPr>
        <w:tcBorders>
          <w:top w:val="nil"/>
          <w:bottom w:val="single" w:sz="8" w:space="0" w:color="0097A9" w:themeColor="accent5"/>
        </w:tcBorders>
      </w:tcPr>
    </w:tblStylePr>
    <w:tblStylePr w:type="lastRow">
      <w:rPr>
        <w:b/>
        <w:bCs/>
        <w:color w:val="44546A" w:themeColor="text2"/>
      </w:rPr>
      <w:tblPr/>
      <w:tcPr>
        <w:tcBorders>
          <w:top w:val="single" w:sz="8" w:space="0" w:color="0097A9" w:themeColor="accent5"/>
          <w:bottom w:val="single" w:sz="8" w:space="0" w:color="0097A9" w:themeColor="accent5"/>
        </w:tcBorders>
      </w:tcPr>
    </w:tblStylePr>
    <w:tblStylePr w:type="firstCol">
      <w:rPr>
        <w:b/>
        <w:bCs/>
      </w:rPr>
    </w:tblStylePr>
    <w:tblStylePr w:type="lastCol">
      <w:rPr>
        <w:b/>
        <w:bCs/>
      </w:rPr>
      <w:tblPr/>
      <w:tcPr>
        <w:tcBorders>
          <w:top w:val="single" w:sz="8" w:space="0" w:color="0097A9" w:themeColor="accent5"/>
          <w:bottom w:val="single" w:sz="8" w:space="0" w:color="0097A9" w:themeColor="accent5"/>
        </w:tcBorders>
      </w:tcPr>
    </w:tblStylePr>
    <w:tblStylePr w:type="band1Vert">
      <w:tblPr/>
      <w:tcPr>
        <w:shd w:val="clear" w:color="auto" w:fill="AAF5FF" w:themeFill="accent5" w:themeFillTint="3F"/>
      </w:tcPr>
    </w:tblStylePr>
    <w:tblStylePr w:type="band1Horz">
      <w:tblPr/>
      <w:tcPr>
        <w:shd w:val="clear" w:color="auto" w:fill="AAF5FF" w:themeFill="accent5" w:themeFillTint="3F"/>
      </w:tcPr>
    </w:tblStylePr>
  </w:style>
  <w:style w:type="table" w:styleId="MediumList1-Accent6">
    <w:name w:val="Medium List 1 Accent 6"/>
    <w:basedOn w:val="TableNormal"/>
    <w:uiPriority w:val="65"/>
    <w:rsid w:val="00F9113D"/>
    <w:pPr>
      <w:spacing w:line="240" w:lineRule="auto"/>
    </w:pPr>
    <w:rPr>
      <w:color w:val="000000" w:themeColor="text1"/>
    </w:rPr>
    <w:tblPr>
      <w:tblStyleRowBandSize w:val="1"/>
      <w:tblStyleColBandSize w:val="1"/>
      <w:tblBorders>
        <w:top w:val="single" w:sz="8" w:space="0" w:color="75787B" w:themeColor="accent6"/>
        <w:bottom w:val="single" w:sz="8" w:space="0" w:color="75787B" w:themeColor="accent6"/>
      </w:tblBorders>
    </w:tblPr>
    <w:tblStylePr w:type="firstRow">
      <w:rPr>
        <w:rFonts w:asciiTheme="majorHAnsi" w:eastAsiaTheme="majorEastAsia" w:hAnsiTheme="majorHAnsi" w:cstheme="majorBidi"/>
      </w:rPr>
      <w:tblPr/>
      <w:tcPr>
        <w:tcBorders>
          <w:top w:val="nil"/>
          <w:bottom w:val="single" w:sz="8" w:space="0" w:color="75787B" w:themeColor="accent6"/>
        </w:tcBorders>
      </w:tcPr>
    </w:tblStylePr>
    <w:tblStylePr w:type="lastRow">
      <w:rPr>
        <w:b/>
        <w:bCs/>
        <w:color w:val="44546A" w:themeColor="text2"/>
      </w:rPr>
      <w:tblPr/>
      <w:tcPr>
        <w:tcBorders>
          <w:top w:val="single" w:sz="8" w:space="0" w:color="75787B" w:themeColor="accent6"/>
          <w:bottom w:val="single" w:sz="8" w:space="0" w:color="75787B" w:themeColor="accent6"/>
        </w:tcBorders>
      </w:tcPr>
    </w:tblStylePr>
    <w:tblStylePr w:type="firstCol">
      <w:rPr>
        <w:b/>
        <w:bCs/>
      </w:rPr>
    </w:tblStylePr>
    <w:tblStylePr w:type="lastCol">
      <w:rPr>
        <w:b/>
        <w:bCs/>
      </w:rPr>
      <w:tblPr/>
      <w:tcPr>
        <w:tcBorders>
          <w:top w:val="single" w:sz="8" w:space="0" w:color="75787B" w:themeColor="accent6"/>
          <w:bottom w:val="single" w:sz="8" w:space="0" w:color="75787B" w:themeColor="accent6"/>
        </w:tcBorders>
      </w:tcPr>
    </w:tblStylePr>
    <w:tblStylePr w:type="band1Vert">
      <w:tblPr/>
      <w:tcPr>
        <w:shd w:val="clear" w:color="auto" w:fill="DCDDDE" w:themeFill="accent6" w:themeFillTint="3F"/>
      </w:tcPr>
    </w:tblStylePr>
    <w:tblStylePr w:type="band1Horz">
      <w:tblPr/>
      <w:tcPr>
        <w:shd w:val="clear" w:color="auto" w:fill="DCDDDE" w:themeFill="accent6" w:themeFillTint="3F"/>
      </w:tcPr>
    </w:tblStylePr>
  </w:style>
  <w:style w:type="table" w:styleId="MediumList2">
    <w:name w:val="Medium List 2"/>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rPr>
        <w:sz w:val="24"/>
        <w:szCs w:val="24"/>
      </w:rPr>
      <w:tblPr/>
      <w:tcPr>
        <w:tcBorders>
          <w:top w:val="nil"/>
          <w:left w:val="nil"/>
          <w:bottom w:val="single" w:sz="24" w:space="0" w:color="86BC25" w:themeColor="accent1"/>
          <w:right w:val="nil"/>
          <w:insideH w:val="nil"/>
          <w:insideV w:val="nil"/>
        </w:tcBorders>
        <w:shd w:val="clear" w:color="auto" w:fill="FFFFFF" w:themeFill="background1"/>
      </w:tcPr>
    </w:tblStylePr>
    <w:tblStylePr w:type="lastRow">
      <w:tblPr/>
      <w:tcPr>
        <w:tcBorders>
          <w:top w:val="single" w:sz="8" w:space="0" w:color="86BC2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C25" w:themeColor="accent1"/>
          <w:insideH w:val="nil"/>
          <w:insideV w:val="nil"/>
        </w:tcBorders>
        <w:shd w:val="clear" w:color="auto" w:fill="FFFFFF" w:themeFill="background1"/>
      </w:tcPr>
    </w:tblStylePr>
    <w:tblStylePr w:type="lastCol">
      <w:tblPr/>
      <w:tcPr>
        <w:tcBorders>
          <w:top w:val="nil"/>
          <w:left w:val="single" w:sz="8" w:space="0" w:color="86BC2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top w:val="nil"/>
          <w:bottom w:val="nil"/>
          <w:insideH w:val="nil"/>
          <w:insideV w:val="nil"/>
        </w:tcBorders>
        <w:shd w:val="clear" w:color="auto" w:fill="E2F3C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tblBorders>
    </w:tblPr>
    <w:tblStylePr w:type="firstRow">
      <w:rPr>
        <w:sz w:val="24"/>
        <w:szCs w:val="24"/>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tblPr/>
      <w:tcPr>
        <w:tcBorders>
          <w:top w:val="single" w:sz="8" w:space="0" w:color="046A3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6A38" w:themeColor="accent2"/>
          <w:insideH w:val="nil"/>
          <w:insideV w:val="nil"/>
        </w:tcBorders>
        <w:shd w:val="clear" w:color="auto" w:fill="FFFFFF" w:themeFill="background1"/>
      </w:tcPr>
    </w:tblStylePr>
    <w:tblStylePr w:type="lastCol">
      <w:tblPr/>
      <w:tcPr>
        <w:tcBorders>
          <w:top w:val="nil"/>
          <w:left w:val="single" w:sz="8" w:space="0" w:color="046A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BCE" w:themeFill="accent2" w:themeFillTint="3F"/>
      </w:tcPr>
    </w:tblStylePr>
    <w:tblStylePr w:type="band1Horz">
      <w:tblPr/>
      <w:tcPr>
        <w:tcBorders>
          <w:top w:val="nil"/>
          <w:bottom w:val="nil"/>
          <w:insideH w:val="nil"/>
          <w:insideV w:val="nil"/>
        </w:tcBorders>
        <w:shd w:val="clear" w:color="auto" w:fill="9FF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blStylePr w:type="firstRow">
      <w:rPr>
        <w:sz w:val="24"/>
        <w:szCs w:val="24"/>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tblPr/>
      <w:tcPr>
        <w:tcBorders>
          <w:top w:val="single" w:sz="8" w:space="0" w:color="62B5E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B5E5" w:themeColor="accent3"/>
          <w:insideH w:val="nil"/>
          <w:insideV w:val="nil"/>
        </w:tcBorders>
        <w:shd w:val="clear" w:color="auto" w:fill="FFFFFF" w:themeFill="background1"/>
      </w:tcPr>
    </w:tblStylePr>
    <w:tblStylePr w:type="lastCol">
      <w:tblPr/>
      <w:tcPr>
        <w:tcBorders>
          <w:top w:val="nil"/>
          <w:left w:val="single" w:sz="8" w:space="0" w:color="62B5E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top w:val="nil"/>
          <w:bottom w:val="nil"/>
          <w:insideH w:val="nil"/>
          <w:insideV w:val="nil"/>
        </w:tcBorders>
        <w:shd w:val="clear" w:color="auto" w:fill="D8EC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tblBorders>
    </w:tblPr>
    <w:tblStylePr w:type="firstRow">
      <w:rPr>
        <w:sz w:val="24"/>
        <w:szCs w:val="24"/>
      </w:rPr>
      <w:tblPr/>
      <w:tcPr>
        <w:tcBorders>
          <w:top w:val="nil"/>
          <w:left w:val="nil"/>
          <w:bottom w:val="single" w:sz="24" w:space="0" w:color="012169" w:themeColor="accent4"/>
          <w:right w:val="nil"/>
          <w:insideH w:val="nil"/>
          <w:insideV w:val="nil"/>
        </w:tcBorders>
        <w:shd w:val="clear" w:color="auto" w:fill="FFFFFF" w:themeFill="background1"/>
      </w:tcPr>
    </w:tblStylePr>
    <w:tblStylePr w:type="lastRow">
      <w:tblPr/>
      <w:tcPr>
        <w:tcBorders>
          <w:top w:val="single" w:sz="8" w:space="0" w:color="01216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4"/>
          <w:insideH w:val="nil"/>
          <w:insideV w:val="nil"/>
        </w:tcBorders>
        <w:shd w:val="clear" w:color="auto" w:fill="FFFFFF" w:themeFill="background1"/>
      </w:tcPr>
    </w:tblStylePr>
    <w:tblStylePr w:type="lastCol">
      <w:tblPr/>
      <w:tcPr>
        <w:tcBorders>
          <w:top w:val="nil"/>
          <w:left w:val="single" w:sz="8" w:space="0" w:color="01216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4" w:themeFillTint="3F"/>
      </w:tcPr>
    </w:tblStylePr>
    <w:tblStylePr w:type="band1Horz">
      <w:tblPr/>
      <w:tcPr>
        <w:tcBorders>
          <w:top w:val="nil"/>
          <w:bottom w:val="nil"/>
          <w:insideH w:val="nil"/>
          <w:insideV w:val="nil"/>
        </w:tcBorders>
        <w:shd w:val="clear" w:color="auto" w:fill="9BB9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tblBorders>
    </w:tblPr>
    <w:tblStylePr w:type="firstRow">
      <w:rPr>
        <w:sz w:val="24"/>
        <w:szCs w:val="24"/>
      </w:rPr>
      <w:tblPr/>
      <w:tcPr>
        <w:tcBorders>
          <w:top w:val="nil"/>
          <w:left w:val="nil"/>
          <w:bottom w:val="single" w:sz="24" w:space="0" w:color="0097A9" w:themeColor="accent5"/>
          <w:right w:val="nil"/>
          <w:insideH w:val="nil"/>
          <w:insideV w:val="nil"/>
        </w:tcBorders>
        <w:shd w:val="clear" w:color="auto" w:fill="FFFFFF" w:themeFill="background1"/>
      </w:tcPr>
    </w:tblStylePr>
    <w:tblStylePr w:type="lastRow">
      <w:tblPr/>
      <w:tcPr>
        <w:tcBorders>
          <w:top w:val="single" w:sz="8" w:space="0" w:color="0097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7A9" w:themeColor="accent5"/>
          <w:insideH w:val="nil"/>
          <w:insideV w:val="nil"/>
        </w:tcBorders>
        <w:shd w:val="clear" w:color="auto" w:fill="FFFFFF" w:themeFill="background1"/>
      </w:tcPr>
    </w:tblStylePr>
    <w:tblStylePr w:type="lastCol">
      <w:tblPr/>
      <w:tcPr>
        <w:tcBorders>
          <w:top w:val="nil"/>
          <w:left w:val="single" w:sz="8" w:space="0" w:color="0097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5FF" w:themeFill="accent5" w:themeFillTint="3F"/>
      </w:tcPr>
    </w:tblStylePr>
    <w:tblStylePr w:type="band1Horz">
      <w:tblPr/>
      <w:tcPr>
        <w:tcBorders>
          <w:top w:val="nil"/>
          <w:bottom w:val="nil"/>
          <w:insideH w:val="nil"/>
          <w:insideV w:val="nil"/>
        </w:tcBorders>
        <w:shd w:val="clear" w:color="auto" w:fill="AAF5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tblBorders>
    </w:tblPr>
    <w:tblStylePr w:type="firstRow">
      <w:rPr>
        <w:sz w:val="24"/>
        <w:szCs w:val="24"/>
      </w:rPr>
      <w:tblPr/>
      <w:tcPr>
        <w:tcBorders>
          <w:top w:val="nil"/>
          <w:left w:val="nil"/>
          <w:bottom w:val="single" w:sz="24" w:space="0" w:color="75787B" w:themeColor="accent6"/>
          <w:right w:val="nil"/>
          <w:insideH w:val="nil"/>
          <w:insideV w:val="nil"/>
        </w:tcBorders>
        <w:shd w:val="clear" w:color="auto" w:fill="FFFFFF" w:themeFill="background1"/>
      </w:tcPr>
    </w:tblStylePr>
    <w:tblStylePr w:type="lastRow">
      <w:tblPr/>
      <w:tcPr>
        <w:tcBorders>
          <w:top w:val="single" w:sz="8" w:space="0" w:color="75787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787B" w:themeColor="accent6"/>
          <w:insideH w:val="nil"/>
          <w:insideV w:val="nil"/>
        </w:tcBorders>
        <w:shd w:val="clear" w:color="auto" w:fill="FFFFFF" w:themeFill="background1"/>
      </w:tcPr>
    </w:tblStylePr>
    <w:tblStylePr w:type="lastCol">
      <w:tblPr/>
      <w:tcPr>
        <w:tcBorders>
          <w:top w:val="nil"/>
          <w:left w:val="single" w:sz="8" w:space="0" w:color="75787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top w:val="nil"/>
          <w:bottom w:val="nil"/>
          <w:insideH w:val="nil"/>
          <w:insideV w:val="nil"/>
        </w:tcBorders>
        <w:shd w:val="clear" w:color="auto" w:fill="DCDDD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9113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9113D"/>
    <w:pPr>
      <w:spacing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9113D"/>
    <w:pPr>
      <w:spacing w:line="240" w:lineRule="auto"/>
    </w:pPr>
    <w:tblPr>
      <w:tblStyleRowBandSize w:val="1"/>
      <w:tblStyleColBandSize w:val="1"/>
      <w:tbl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single" w:sz="8" w:space="0" w:color="07CA6B" w:themeColor="accent2" w:themeTint="BF"/>
      </w:tblBorders>
    </w:tblPr>
    <w:tblStylePr w:type="firstRow">
      <w:pPr>
        <w:spacing w:before="0" w:after="0" w:line="240" w:lineRule="auto"/>
      </w:pPr>
      <w:rPr>
        <w:b/>
        <w:bCs/>
        <w:color w:val="FFFFFF" w:themeColor="background1"/>
      </w:rPr>
      <w:tblPr/>
      <w:tcPr>
        <w:tc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nil"/>
          <w:insideV w:val="nil"/>
        </w:tcBorders>
        <w:shd w:val="clear" w:color="auto" w:fill="046A38" w:themeFill="accent2"/>
      </w:tcPr>
    </w:tblStylePr>
    <w:tblStylePr w:type="lastRow">
      <w:pPr>
        <w:spacing w:before="0" w:after="0" w:line="240" w:lineRule="auto"/>
      </w:pPr>
      <w:rPr>
        <w:b/>
        <w:bCs/>
      </w:rPr>
      <w:tblPr/>
      <w:tcPr>
        <w:tcBorders>
          <w:top w:val="double" w:sz="6"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nil"/>
          <w:insideV w:val="nil"/>
        </w:tcBorders>
      </w:tcPr>
    </w:tblStylePr>
    <w:tblStylePr w:type="firstCol">
      <w:rPr>
        <w:b/>
        <w:bCs/>
      </w:rPr>
    </w:tblStylePr>
    <w:tblStylePr w:type="lastCol">
      <w:rPr>
        <w:b/>
        <w:bCs/>
      </w:rPr>
    </w:tblStylePr>
    <w:tblStylePr w:type="band1Vert">
      <w:tblPr/>
      <w:tcPr>
        <w:shd w:val="clear" w:color="auto" w:fill="9FFBCE" w:themeFill="accent2" w:themeFillTint="3F"/>
      </w:tcPr>
    </w:tblStylePr>
    <w:tblStylePr w:type="band1Horz">
      <w:tblPr/>
      <w:tcPr>
        <w:tcBorders>
          <w:insideH w:val="nil"/>
          <w:insideV w:val="nil"/>
        </w:tcBorders>
        <w:shd w:val="clear" w:color="auto" w:fill="9FF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9113D"/>
    <w:pPr>
      <w:spacing w:line="240" w:lineRule="auto"/>
    </w:p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tblBorders>
    </w:tblPr>
    <w:tblStylePr w:type="firstRow">
      <w:pPr>
        <w:spacing w:before="0" w:after="0" w:line="240" w:lineRule="auto"/>
      </w:pPr>
      <w:rPr>
        <w:b/>
        <w:bCs/>
        <w:color w:val="FFFFFF" w:themeColor="background1"/>
      </w:rPr>
      <w:tblPr/>
      <w:tcPr>
        <w:tc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shd w:val="clear" w:color="auto" w:fill="62B5E5" w:themeFill="accent3"/>
      </w:tcPr>
    </w:tblStylePr>
    <w:tblStylePr w:type="lastRow">
      <w:pPr>
        <w:spacing w:before="0" w:after="0" w:line="240" w:lineRule="auto"/>
      </w:pPr>
      <w:rPr>
        <w:b/>
        <w:bCs/>
      </w:rPr>
      <w:tblPr/>
      <w:tcPr>
        <w:tcBorders>
          <w:top w:val="double" w:sz="6"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CF8" w:themeFill="accent3" w:themeFillTint="3F"/>
      </w:tcPr>
    </w:tblStylePr>
    <w:tblStylePr w:type="band1Horz">
      <w:tblPr/>
      <w:tcPr>
        <w:tcBorders>
          <w:insideH w:val="nil"/>
          <w:insideV w:val="nil"/>
        </w:tcBorders>
        <w:shd w:val="clear" w:color="auto" w:fill="D8EC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9113D"/>
    <w:pPr>
      <w:spacing w:line="240" w:lineRule="auto"/>
    </w:pPr>
    <w:tblPr>
      <w:tblStyleRowBandSize w:val="1"/>
      <w:tblStyleColBandSize w:val="1"/>
      <w:tbl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single" w:sz="8" w:space="0" w:color="0240CD" w:themeColor="accent4" w:themeTint="BF"/>
      </w:tblBorders>
    </w:tblPr>
    <w:tblStylePr w:type="firstRow">
      <w:pPr>
        <w:spacing w:before="0" w:after="0" w:line="240" w:lineRule="auto"/>
      </w:pPr>
      <w:rPr>
        <w:b/>
        <w:bCs/>
        <w:color w:val="FFFFFF" w:themeColor="background1"/>
      </w:rPr>
      <w:tblPr/>
      <w:tcPr>
        <w:tc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nil"/>
          <w:insideV w:val="nil"/>
        </w:tcBorders>
        <w:shd w:val="clear" w:color="auto" w:fill="012169" w:themeFill="accent4"/>
      </w:tcPr>
    </w:tblStylePr>
    <w:tblStylePr w:type="lastRow">
      <w:pPr>
        <w:spacing w:before="0" w:after="0" w:line="240" w:lineRule="auto"/>
      </w:pPr>
      <w:rPr>
        <w:b/>
        <w:bCs/>
      </w:rPr>
      <w:tblPr/>
      <w:tcPr>
        <w:tcBorders>
          <w:top w:val="double" w:sz="6"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4" w:themeFillTint="3F"/>
      </w:tcPr>
    </w:tblStylePr>
    <w:tblStylePr w:type="band1Horz">
      <w:tblPr/>
      <w:tcPr>
        <w:tcBorders>
          <w:insideH w:val="nil"/>
          <w:insideV w:val="nil"/>
        </w:tcBorders>
        <w:shd w:val="clear" w:color="auto" w:fill="9BB9F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9113D"/>
    <w:pPr>
      <w:spacing w:line="240" w:lineRule="auto"/>
    </w:pPr>
    <w:tblPr>
      <w:tblStyleRowBandSize w:val="1"/>
      <w:tblStyleColBandSize w:val="1"/>
      <w:tbl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single" w:sz="8" w:space="0" w:color="00E2FE" w:themeColor="accent5" w:themeTint="BF"/>
      </w:tblBorders>
    </w:tblPr>
    <w:tblStylePr w:type="firstRow">
      <w:pPr>
        <w:spacing w:before="0" w:after="0" w:line="240" w:lineRule="auto"/>
      </w:pPr>
      <w:rPr>
        <w:b/>
        <w:bCs/>
        <w:color w:val="FFFFFF" w:themeColor="background1"/>
      </w:rPr>
      <w:tblPr/>
      <w:tcPr>
        <w:tc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nil"/>
          <w:insideV w:val="nil"/>
        </w:tcBorders>
        <w:shd w:val="clear" w:color="auto" w:fill="0097A9" w:themeFill="accent5"/>
      </w:tcPr>
    </w:tblStylePr>
    <w:tblStylePr w:type="lastRow">
      <w:pPr>
        <w:spacing w:before="0" w:after="0" w:line="240" w:lineRule="auto"/>
      </w:pPr>
      <w:rPr>
        <w:b/>
        <w:bCs/>
      </w:rPr>
      <w:tblPr/>
      <w:tcPr>
        <w:tcBorders>
          <w:top w:val="double" w:sz="6"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5FF" w:themeFill="accent5" w:themeFillTint="3F"/>
      </w:tcPr>
    </w:tblStylePr>
    <w:tblStylePr w:type="band1Horz">
      <w:tblPr/>
      <w:tcPr>
        <w:tcBorders>
          <w:insideH w:val="nil"/>
          <w:insideV w:val="nil"/>
        </w:tcBorders>
        <w:shd w:val="clear" w:color="auto" w:fill="AAF5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9113D"/>
    <w:pPr>
      <w:spacing w:line="240" w:lineRule="auto"/>
    </w:pPr>
    <w:tblPr>
      <w:tblStyleRowBandSize w:val="1"/>
      <w:tblStyleColBandSize w:val="1"/>
      <w:tbl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single" w:sz="8" w:space="0" w:color="97999C" w:themeColor="accent6" w:themeTint="BF"/>
      </w:tblBorders>
    </w:tblPr>
    <w:tblStylePr w:type="firstRow">
      <w:pPr>
        <w:spacing w:before="0" w:after="0" w:line="240" w:lineRule="auto"/>
      </w:pPr>
      <w:rPr>
        <w:b/>
        <w:bCs/>
        <w:color w:val="FFFFFF" w:themeColor="background1"/>
      </w:rPr>
      <w:tblPr/>
      <w:tcPr>
        <w:tc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nil"/>
          <w:insideV w:val="nil"/>
        </w:tcBorders>
        <w:shd w:val="clear" w:color="auto" w:fill="75787B" w:themeFill="accent6"/>
      </w:tcPr>
    </w:tblStylePr>
    <w:tblStylePr w:type="lastRow">
      <w:pPr>
        <w:spacing w:before="0" w:after="0" w:line="240" w:lineRule="auto"/>
      </w:pPr>
      <w:rPr>
        <w:b/>
        <w:bCs/>
      </w:rPr>
      <w:tblPr/>
      <w:tcPr>
        <w:tcBorders>
          <w:top w:val="double" w:sz="6"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DDDE" w:themeFill="accent6" w:themeFillTint="3F"/>
      </w:tcPr>
    </w:tblStylePr>
    <w:tblStylePr w:type="band1Horz">
      <w:tblPr/>
      <w:tcPr>
        <w:tcBorders>
          <w:insideH w:val="nil"/>
          <w:insideV w:val="nil"/>
        </w:tcBorders>
        <w:shd w:val="clear" w:color="auto" w:fill="DCDDD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6A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46A38" w:themeFill="accent2"/>
      </w:tcPr>
    </w:tblStylePr>
    <w:tblStylePr w:type="lastCol">
      <w:rPr>
        <w:b/>
        <w:bCs/>
        <w:color w:val="FFFFFF" w:themeColor="background1"/>
      </w:rPr>
      <w:tblPr/>
      <w:tcPr>
        <w:tcBorders>
          <w:left w:val="nil"/>
          <w:right w:val="nil"/>
          <w:insideH w:val="nil"/>
          <w:insideV w:val="nil"/>
        </w:tcBorders>
        <w:shd w:val="clear" w:color="auto" w:fill="046A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B5E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B5E5" w:themeFill="accent3"/>
      </w:tcPr>
    </w:tblStylePr>
    <w:tblStylePr w:type="lastCol">
      <w:rPr>
        <w:b/>
        <w:bCs/>
        <w:color w:val="FFFFFF" w:themeColor="background1"/>
      </w:rPr>
      <w:tblPr/>
      <w:tcPr>
        <w:tcBorders>
          <w:left w:val="nil"/>
          <w:right w:val="nil"/>
          <w:insideH w:val="nil"/>
          <w:insideV w:val="nil"/>
        </w:tcBorders>
        <w:shd w:val="clear" w:color="auto" w:fill="62B5E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4"/>
      </w:tcPr>
    </w:tblStylePr>
    <w:tblStylePr w:type="lastCol">
      <w:rPr>
        <w:b/>
        <w:bCs/>
        <w:color w:val="FFFFFF" w:themeColor="background1"/>
      </w:rPr>
      <w:tblPr/>
      <w:tcPr>
        <w:tcBorders>
          <w:left w:val="nil"/>
          <w:right w:val="nil"/>
          <w:insideH w:val="nil"/>
          <w:insideV w:val="nil"/>
        </w:tcBorders>
        <w:shd w:val="clear" w:color="auto" w:fill="01216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7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7A9" w:themeFill="accent5"/>
      </w:tcPr>
    </w:tblStylePr>
    <w:tblStylePr w:type="lastCol">
      <w:rPr>
        <w:b/>
        <w:bCs/>
        <w:color w:val="FFFFFF" w:themeColor="background1"/>
      </w:rPr>
      <w:tblPr/>
      <w:tcPr>
        <w:tcBorders>
          <w:left w:val="nil"/>
          <w:right w:val="nil"/>
          <w:insideH w:val="nil"/>
          <w:insideV w:val="nil"/>
        </w:tcBorders>
        <w:shd w:val="clear" w:color="auto" w:fill="0097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787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787B" w:themeFill="accent6"/>
      </w:tcPr>
    </w:tblStylePr>
    <w:tblStylePr w:type="lastCol">
      <w:rPr>
        <w:b/>
        <w:bCs/>
        <w:color w:val="FFFFFF" w:themeColor="background1"/>
      </w:rPr>
      <w:tblPr/>
      <w:tcPr>
        <w:tcBorders>
          <w:left w:val="nil"/>
          <w:right w:val="nil"/>
          <w:insideH w:val="nil"/>
          <w:insideV w:val="nil"/>
        </w:tcBorders>
        <w:shd w:val="clear" w:color="auto" w:fill="75787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F911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9113D"/>
    <w:rPr>
      <w:rFonts w:asciiTheme="majorHAnsi" w:eastAsiaTheme="majorEastAsia" w:hAnsiTheme="majorHAnsi" w:cstheme="majorBidi"/>
      <w:sz w:val="24"/>
      <w:szCs w:val="24"/>
      <w:shd w:val="pct20" w:color="auto" w:fill="auto"/>
    </w:rPr>
  </w:style>
  <w:style w:type="paragraph" w:styleId="NoSpacing">
    <w:name w:val="No Spacing"/>
    <w:qFormat/>
    <w:rsid w:val="00DA30BF"/>
    <w:rPr>
      <w:lang w:val="en-AU"/>
    </w:rPr>
  </w:style>
  <w:style w:type="paragraph" w:styleId="NormalWeb">
    <w:name w:val="Normal (Web)"/>
    <w:basedOn w:val="Normal"/>
    <w:uiPriority w:val="99"/>
    <w:semiHidden/>
    <w:rsid w:val="00F9113D"/>
    <w:rPr>
      <w:rFonts w:ascii="Times New Roman" w:hAnsi="Times New Roman" w:cs="Times New Roman"/>
      <w:sz w:val="24"/>
      <w:szCs w:val="24"/>
    </w:rPr>
  </w:style>
  <w:style w:type="paragraph" w:styleId="NormalIndent">
    <w:name w:val="Normal Indent"/>
    <w:basedOn w:val="Normal"/>
    <w:uiPriority w:val="99"/>
    <w:semiHidden/>
    <w:rsid w:val="00F9113D"/>
    <w:pPr>
      <w:ind w:left="1304"/>
    </w:pPr>
  </w:style>
  <w:style w:type="paragraph" w:styleId="NoteHeading">
    <w:name w:val="Note Heading"/>
    <w:basedOn w:val="Normal"/>
    <w:next w:val="Normal"/>
    <w:link w:val="NoteHeadingChar"/>
    <w:uiPriority w:val="99"/>
    <w:semiHidden/>
    <w:rsid w:val="00F9113D"/>
    <w:pPr>
      <w:spacing w:line="240" w:lineRule="auto"/>
    </w:pPr>
  </w:style>
  <w:style w:type="character" w:customStyle="1" w:styleId="NoteHeadingChar">
    <w:name w:val="Note Heading Char"/>
    <w:basedOn w:val="DefaultParagraphFont"/>
    <w:link w:val="NoteHeading"/>
    <w:uiPriority w:val="99"/>
    <w:semiHidden/>
    <w:rsid w:val="00F9113D"/>
  </w:style>
  <w:style w:type="character" w:styleId="PageNumber">
    <w:name w:val="page number"/>
    <w:basedOn w:val="DefaultParagraphFont"/>
    <w:uiPriority w:val="10"/>
    <w:semiHidden/>
    <w:rsid w:val="00F9113D"/>
    <w:rPr>
      <w:lang w:val="en-AU"/>
    </w:rPr>
  </w:style>
  <w:style w:type="paragraph" w:styleId="PlainText">
    <w:name w:val="Plain Text"/>
    <w:basedOn w:val="Normal"/>
    <w:link w:val="PlainTextChar"/>
    <w:uiPriority w:val="99"/>
    <w:semiHidden/>
    <w:rsid w:val="00F9113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9113D"/>
    <w:rPr>
      <w:rFonts w:ascii="Consolas" w:hAnsi="Consolas"/>
      <w:sz w:val="21"/>
      <w:szCs w:val="21"/>
    </w:rPr>
  </w:style>
  <w:style w:type="paragraph" w:styleId="Quote">
    <w:name w:val="Quote"/>
    <w:basedOn w:val="Normal"/>
    <w:next w:val="Normal"/>
    <w:link w:val="QuoteChar"/>
    <w:uiPriority w:val="29"/>
    <w:semiHidden/>
    <w:qFormat/>
    <w:rsid w:val="00F9113D"/>
    <w:pPr>
      <w:spacing w:after="0"/>
    </w:pPr>
    <w:rPr>
      <w:i/>
      <w:iCs/>
      <w:color w:val="000000" w:themeColor="text1"/>
    </w:rPr>
  </w:style>
  <w:style w:type="character" w:customStyle="1" w:styleId="QuoteChar">
    <w:name w:val="Quote Char"/>
    <w:basedOn w:val="DefaultParagraphFont"/>
    <w:link w:val="Quote"/>
    <w:uiPriority w:val="29"/>
    <w:semiHidden/>
    <w:rsid w:val="00F9113D"/>
    <w:rPr>
      <w:i/>
      <w:iCs/>
      <w:color w:val="000000" w:themeColor="text1"/>
    </w:rPr>
  </w:style>
  <w:style w:type="paragraph" w:styleId="Salutation">
    <w:name w:val="Salutation"/>
    <w:basedOn w:val="Normal"/>
    <w:next w:val="Normal"/>
    <w:link w:val="SalutationChar"/>
    <w:uiPriority w:val="99"/>
    <w:semiHidden/>
    <w:rsid w:val="00F9113D"/>
  </w:style>
  <w:style w:type="character" w:customStyle="1" w:styleId="SalutationChar">
    <w:name w:val="Salutation Char"/>
    <w:basedOn w:val="DefaultParagraphFont"/>
    <w:link w:val="Salutation"/>
    <w:uiPriority w:val="99"/>
    <w:semiHidden/>
    <w:rsid w:val="00F9113D"/>
  </w:style>
  <w:style w:type="paragraph" w:styleId="Signature">
    <w:name w:val="Signature"/>
    <w:basedOn w:val="Normal"/>
    <w:link w:val="SignatureChar"/>
    <w:uiPriority w:val="99"/>
    <w:semiHidden/>
    <w:rsid w:val="00F9113D"/>
    <w:pPr>
      <w:keepNext/>
      <w:keepLines/>
    </w:pPr>
  </w:style>
  <w:style w:type="character" w:customStyle="1" w:styleId="SignatureChar">
    <w:name w:val="Signature Char"/>
    <w:basedOn w:val="DefaultParagraphFont"/>
    <w:link w:val="Signature"/>
    <w:uiPriority w:val="99"/>
    <w:semiHidden/>
    <w:rsid w:val="00F9113D"/>
  </w:style>
  <w:style w:type="character" w:styleId="Strong">
    <w:name w:val="Strong"/>
    <w:basedOn w:val="DefaultParagraphFont"/>
    <w:uiPriority w:val="22"/>
    <w:qFormat/>
    <w:rsid w:val="00F9113D"/>
    <w:rPr>
      <w:b/>
      <w:bCs/>
      <w:lang w:val="en-AU"/>
    </w:rPr>
  </w:style>
  <w:style w:type="paragraph" w:styleId="Subtitle">
    <w:name w:val="Subtitle"/>
    <w:basedOn w:val="Normal"/>
    <w:next w:val="Normal"/>
    <w:link w:val="SubtitleChar"/>
    <w:uiPriority w:val="11"/>
    <w:semiHidden/>
    <w:qFormat/>
    <w:rsid w:val="00F9113D"/>
    <w:pPr>
      <w:numPr>
        <w:ilvl w:val="1"/>
      </w:numPr>
      <w:spacing w:after="0"/>
    </w:pPr>
    <w:rPr>
      <w:rFonts w:eastAsiaTheme="majorEastAsia" w:cstheme="majorBidi"/>
      <w:i/>
      <w:iCs/>
      <w:color w:val="86BC25" w:themeColor="accent1"/>
      <w:spacing w:val="15"/>
      <w:sz w:val="24"/>
      <w:szCs w:val="24"/>
    </w:rPr>
  </w:style>
  <w:style w:type="character" w:customStyle="1" w:styleId="SubtitleChar">
    <w:name w:val="Subtitle Char"/>
    <w:basedOn w:val="DefaultParagraphFont"/>
    <w:link w:val="Subtitle"/>
    <w:uiPriority w:val="11"/>
    <w:semiHidden/>
    <w:rsid w:val="00F9113D"/>
    <w:rPr>
      <w:rFonts w:eastAsiaTheme="majorEastAsia" w:cstheme="majorBidi"/>
      <w:i/>
      <w:iCs/>
      <w:color w:val="86BC25" w:themeColor="accent1"/>
      <w:spacing w:val="15"/>
      <w:sz w:val="24"/>
      <w:szCs w:val="24"/>
    </w:rPr>
  </w:style>
  <w:style w:type="character" w:styleId="SubtleEmphasis">
    <w:name w:val="Subtle Emphasis"/>
    <w:basedOn w:val="DefaultParagraphFont"/>
    <w:uiPriority w:val="99"/>
    <w:semiHidden/>
    <w:qFormat/>
    <w:rsid w:val="00F9113D"/>
    <w:rPr>
      <w:i/>
      <w:iCs/>
      <w:color w:val="808080" w:themeColor="text1" w:themeTint="7F"/>
      <w:lang w:val="en-AU"/>
    </w:rPr>
  </w:style>
  <w:style w:type="character" w:styleId="SubtleReference">
    <w:name w:val="Subtle Reference"/>
    <w:basedOn w:val="DefaultParagraphFont"/>
    <w:uiPriority w:val="99"/>
    <w:semiHidden/>
    <w:qFormat/>
    <w:rsid w:val="00F9113D"/>
    <w:rPr>
      <w:smallCaps/>
      <w:color w:val="046A38" w:themeColor="accent2"/>
      <w:u w:val="single"/>
      <w:lang w:val="en-AU"/>
    </w:rPr>
  </w:style>
  <w:style w:type="table" w:styleId="Table3Deffects1">
    <w:name w:val="Table 3D effects 1"/>
    <w:basedOn w:val="TableNormal"/>
    <w:uiPriority w:val="99"/>
    <w:semiHidden/>
    <w:unhideWhenUsed/>
    <w:rsid w:val="00F9113D"/>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9113D"/>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9113D"/>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9113D"/>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9113D"/>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9113D"/>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9113D"/>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9113D"/>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9113D"/>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9113D"/>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9113D"/>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9113D"/>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9113D"/>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9113D"/>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9113D"/>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9113D"/>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9113D"/>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9113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9113D"/>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9113D"/>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9113D"/>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9113D"/>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9113D"/>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9113D"/>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9113D"/>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9113D"/>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9113D"/>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9113D"/>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9113D"/>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9113D"/>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F9113D"/>
    <w:pPr>
      <w:ind w:left="180" w:hanging="180"/>
    </w:pPr>
  </w:style>
  <w:style w:type="paragraph" w:styleId="TableofFigures">
    <w:name w:val="table of figures"/>
    <w:basedOn w:val="Normal"/>
    <w:next w:val="Normal"/>
    <w:uiPriority w:val="99"/>
    <w:semiHidden/>
    <w:rsid w:val="00F9113D"/>
  </w:style>
  <w:style w:type="table" w:styleId="TableProfessional">
    <w:name w:val="Table Professional"/>
    <w:basedOn w:val="TableNormal"/>
    <w:uiPriority w:val="99"/>
    <w:semiHidden/>
    <w:unhideWhenUsed/>
    <w:rsid w:val="00F9113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9113D"/>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9113D"/>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9113D"/>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9113D"/>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9113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9113D"/>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9113D"/>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9113D"/>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F9113D"/>
    <w:pPr>
      <w:pBdr>
        <w:bottom w:val="single" w:sz="8" w:space="4" w:color="86BC25" w:themeColor="accent1"/>
      </w:pBd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semiHidden/>
    <w:rsid w:val="00F9113D"/>
    <w:rPr>
      <w:rFonts w:eastAsiaTheme="majorEastAsia" w:cstheme="majorBidi"/>
      <w:color w:val="323E4F" w:themeColor="text2" w:themeShade="BF"/>
      <w:spacing w:val="5"/>
      <w:kern w:val="28"/>
      <w:sz w:val="52"/>
      <w:szCs w:val="52"/>
    </w:rPr>
  </w:style>
  <w:style w:type="paragraph" w:styleId="TOAHeading">
    <w:name w:val="toa heading"/>
    <w:basedOn w:val="Normal"/>
    <w:next w:val="Normal"/>
    <w:uiPriority w:val="99"/>
    <w:semiHidden/>
    <w:rsid w:val="00F9113D"/>
    <w:pPr>
      <w:spacing w:before="120"/>
    </w:pPr>
    <w:rPr>
      <w:rFonts w:asciiTheme="majorHAnsi" w:eastAsiaTheme="majorEastAsia" w:hAnsiTheme="majorHAnsi" w:cstheme="majorBidi"/>
      <w:b/>
      <w:bCs/>
      <w:sz w:val="24"/>
      <w:szCs w:val="24"/>
    </w:rPr>
  </w:style>
  <w:style w:type="paragraph" w:styleId="TOC2">
    <w:name w:val="toc 2"/>
    <w:basedOn w:val="Normal"/>
    <w:next w:val="Normal"/>
    <w:uiPriority w:val="39"/>
    <w:rsid w:val="00271D10"/>
    <w:pPr>
      <w:tabs>
        <w:tab w:val="left" w:pos="567"/>
        <w:tab w:val="right" w:pos="8959"/>
      </w:tabs>
      <w:spacing w:after="100"/>
      <w:ind w:left="1134" w:right="567" w:hanging="567"/>
      <w:contextualSpacing/>
    </w:pPr>
  </w:style>
  <w:style w:type="paragraph" w:styleId="TOC3">
    <w:name w:val="toc 3"/>
    <w:basedOn w:val="Normal"/>
    <w:next w:val="Normal"/>
    <w:uiPriority w:val="39"/>
    <w:rsid w:val="00271D10"/>
    <w:pPr>
      <w:tabs>
        <w:tab w:val="left" w:pos="1021"/>
        <w:tab w:val="right" w:pos="8959"/>
      </w:tabs>
      <w:spacing w:after="100"/>
      <w:ind w:left="567" w:right="567"/>
      <w:contextualSpacing/>
    </w:pPr>
  </w:style>
  <w:style w:type="paragraph" w:styleId="TOC4">
    <w:name w:val="toc 4"/>
    <w:basedOn w:val="Normal"/>
    <w:next w:val="Normal"/>
    <w:uiPriority w:val="39"/>
    <w:rsid w:val="007854F9"/>
    <w:pPr>
      <w:tabs>
        <w:tab w:val="right" w:pos="8959"/>
      </w:tabs>
      <w:spacing w:after="100"/>
      <w:ind w:right="567"/>
      <w:contextualSpacing/>
    </w:pPr>
  </w:style>
  <w:style w:type="paragraph" w:styleId="TOC5">
    <w:name w:val="toc 5"/>
    <w:basedOn w:val="Normal"/>
    <w:next w:val="Normal"/>
    <w:uiPriority w:val="39"/>
    <w:semiHidden/>
    <w:rsid w:val="00F9113D"/>
    <w:pPr>
      <w:spacing w:after="100"/>
      <w:ind w:left="567" w:right="567"/>
      <w:contextualSpacing/>
    </w:pPr>
  </w:style>
  <w:style w:type="paragraph" w:styleId="TOC6">
    <w:name w:val="toc 6"/>
    <w:basedOn w:val="Normal"/>
    <w:next w:val="Normal"/>
    <w:uiPriority w:val="39"/>
    <w:rsid w:val="006704D4"/>
    <w:pPr>
      <w:tabs>
        <w:tab w:val="right" w:pos="8959"/>
      </w:tabs>
      <w:spacing w:after="100"/>
      <w:ind w:right="567"/>
      <w:contextualSpacing/>
    </w:pPr>
  </w:style>
  <w:style w:type="paragraph" w:styleId="TOC7">
    <w:name w:val="toc 7"/>
    <w:basedOn w:val="Normal"/>
    <w:next w:val="Normal"/>
    <w:uiPriority w:val="39"/>
    <w:rsid w:val="00271D10"/>
    <w:pPr>
      <w:tabs>
        <w:tab w:val="right" w:pos="8959"/>
      </w:tabs>
      <w:spacing w:after="100"/>
      <w:ind w:right="567"/>
      <w:contextualSpacing/>
    </w:pPr>
  </w:style>
  <w:style w:type="paragraph" w:styleId="TOC8">
    <w:name w:val="toc 8"/>
    <w:basedOn w:val="Normal"/>
    <w:next w:val="Normal"/>
    <w:uiPriority w:val="39"/>
    <w:rsid w:val="007854F9"/>
    <w:pPr>
      <w:tabs>
        <w:tab w:val="right" w:pos="8959"/>
      </w:tabs>
      <w:spacing w:after="100"/>
      <w:ind w:right="567"/>
      <w:contextualSpacing/>
    </w:pPr>
  </w:style>
  <w:style w:type="paragraph" w:styleId="TOC9">
    <w:name w:val="toc 9"/>
    <w:basedOn w:val="Normal"/>
    <w:next w:val="Normal"/>
    <w:uiPriority w:val="39"/>
    <w:semiHidden/>
    <w:rsid w:val="00F9113D"/>
    <w:pPr>
      <w:spacing w:after="100"/>
      <w:ind w:left="567" w:right="567"/>
      <w:contextualSpacing/>
    </w:pPr>
  </w:style>
  <w:style w:type="paragraph" w:styleId="TOCHeading">
    <w:name w:val="TOC Heading"/>
    <w:next w:val="Normal"/>
    <w:uiPriority w:val="39"/>
    <w:semiHidden/>
    <w:rsid w:val="00F9113D"/>
    <w:pPr>
      <w:spacing w:after="480" w:line="720" w:lineRule="atLeast"/>
    </w:pPr>
    <w:rPr>
      <w:rFonts w:eastAsiaTheme="majorEastAsia" w:cstheme="majorBidi"/>
      <w:bCs/>
      <w:sz w:val="60"/>
      <w:szCs w:val="28"/>
      <w:lang w:val="en-AU"/>
    </w:rPr>
  </w:style>
  <w:style w:type="paragraph" w:customStyle="1" w:styleId="Template-Adresse">
    <w:name w:val="Template - Adresse"/>
    <w:basedOn w:val="Normal"/>
    <w:uiPriority w:val="9"/>
    <w:semiHidden/>
    <w:rsid w:val="00F9113D"/>
    <w:pPr>
      <w:tabs>
        <w:tab w:val="left" w:pos="567"/>
      </w:tabs>
      <w:spacing w:after="0" w:line="280" w:lineRule="atLeast"/>
    </w:pPr>
    <w:rPr>
      <w:noProof/>
      <w:sz w:val="16"/>
    </w:rPr>
  </w:style>
  <w:style w:type="paragraph" w:customStyle="1" w:styleId="Template-Dato">
    <w:name w:val="Template - Dato"/>
    <w:basedOn w:val="Normal"/>
    <w:uiPriority w:val="9"/>
    <w:semiHidden/>
    <w:rsid w:val="00F9113D"/>
    <w:pPr>
      <w:spacing w:after="0" w:line="280" w:lineRule="atLeast"/>
    </w:pPr>
    <w:rPr>
      <w:noProof/>
      <w:sz w:val="16"/>
    </w:rPr>
  </w:style>
  <w:style w:type="paragraph" w:customStyle="1" w:styleId="Letterheadaddressnospacing">
    <w:name w:val="Letterhead address (no spacing)"/>
    <w:uiPriority w:val="99"/>
    <w:semiHidden/>
    <w:qFormat/>
    <w:rsid w:val="001D0641"/>
    <w:pPr>
      <w:framePr w:wrap="around" w:vAnchor="page" w:hAnchor="page" w:x="1" w:y="1"/>
      <w:spacing w:line="240" w:lineRule="auto"/>
      <w:suppressOverlap/>
    </w:pPr>
    <w:rPr>
      <w:rFonts w:eastAsia="Times New Roman" w:cs="Times New Roman"/>
      <w:noProof/>
      <w:color w:val="7F7F7F" w:themeColor="text1" w:themeTint="80"/>
      <w:sz w:val="14"/>
      <w:lang w:val="en-AU" w:bidi="en-US"/>
    </w:rPr>
  </w:style>
  <w:style w:type="paragraph" w:customStyle="1" w:styleId="DocumentHeading">
    <w:name w:val="Document Heading"/>
    <w:basedOn w:val="Normal"/>
    <w:next w:val="BodyText"/>
    <w:uiPriority w:val="99"/>
    <w:semiHidden/>
    <w:rsid w:val="00F9113D"/>
    <w:pPr>
      <w:suppressAutoHyphens/>
      <w:spacing w:before="240" w:after="240"/>
    </w:pPr>
    <w:rPr>
      <w:b/>
    </w:rPr>
  </w:style>
  <w:style w:type="paragraph" w:customStyle="1" w:styleId="Disclaimer">
    <w:name w:val="Disclaimer"/>
    <w:basedOn w:val="Footer"/>
    <w:uiPriority w:val="11"/>
    <w:semiHidden/>
    <w:rsid w:val="00F9113D"/>
    <w:pPr>
      <w:tabs>
        <w:tab w:val="clear" w:pos="7371"/>
      </w:tabs>
      <w:spacing w:line="130" w:lineRule="atLeast"/>
      <w:suppressOverlap/>
    </w:pPr>
    <w:rPr>
      <w:rFonts w:eastAsia="Times New Roman" w:cs="Arial"/>
      <w:sz w:val="11"/>
      <w:szCs w:val="17"/>
      <w:lang w:eastAsia="en-GB"/>
    </w:rPr>
  </w:style>
  <w:style w:type="paragraph" w:customStyle="1" w:styleId="SenderName">
    <w:name w:val="Sender Name"/>
    <w:basedOn w:val="Normal"/>
    <w:uiPriority w:val="8"/>
    <w:rsid w:val="00F9113D"/>
    <w:pPr>
      <w:keepNext/>
      <w:keepLines/>
      <w:spacing w:after="0"/>
    </w:pPr>
    <w:rPr>
      <w:b/>
      <w:szCs w:val="17"/>
    </w:rPr>
  </w:style>
  <w:style w:type="paragraph" w:customStyle="1" w:styleId="SignatureName">
    <w:name w:val="Signature Name"/>
    <w:basedOn w:val="Normal"/>
    <w:next w:val="SignatureTitle"/>
    <w:uiPriority w:val="7"/>
    <w:semiHidden/>
    <w:rsid w:val="00F9113D"/>
    <w:pPr>
      <w:keepNext/>
      <w:keepLines/>
      <w:spacing w:after="0"/>
    </w:pPr>
    <w:rPr>
      <w:b/>
      <w:color w:val="62B5E5" w:themeColor="accent3"/>
    </w:rPr>
  </w:style>
  <w:style w:type="paragraph" w:customStyle="1" w:styleId="SignatureTitle">
    <w:name w:val="Signature Title"/>
    <w:basedOn w:val="Normal"/>
    <w:next w:val="BodyText"/>
    <w:uiPriority w:val="7"/>
    <w:semiHidden/>
    <w:rsid w:val="00F9113D"/>
    <w:pPr>
      <w:spacing w:after="0"/>
    </w:pPr>
    <w:rPr>
      <w:b/>
    </w:rPr>
  </w:style>
  <w:style w:type="paragraph" w:customStyle="1" w:styleId="Heading2un-numbered">
    <w:name w:val="Heading 2 (un-numbered)"/>
    <w:basedOn w:val="Heading2"/>
    <w:next w:val="Normal"/>
    <w:uiPriority w:val="2"/>
    <w:qFormat/>
    <w:rsid w:val="007F276A"/>
    <w:pPr>
      <w:numPr>
        <w:ilvl w:val="0"/>
        <w:numId w:val="0"/>
      </w:numPr>
    </w:pPr>
  </w:style>
  <w:style w:type="paragraph" w:customStyle="1" w:styleId="Heading3un-numbered">
    <w:name w:val="Heading 3 (un-numbered)"/>
    <w:basedOn w:val="Heading3"/>
    <w:next w:val="Normal"/>
    <w:uiPriority w:val="2"/>
    <w:qFormat/>
    <w:rsid w:val="00F9113D"/>
    <w:pPr>
      <w:numPr>
        <w:ilvl w:val="0"/>
        <w:numId w:val="0"/>
      </w:numPr>
    </w:pPr>
  </w:style>
  <w:style w:type="paragraph" w:customStyle="1" w:styleId="Heading4un-numbered">
    <w:name w:val="Heading 4 (un-numbered)"/>
    <w:basedOn w:val="Heading4"/>
    <w:next w:val="Normal"/>
    <w:uiPriority w:val="2"/>
    <w:qFormat/>
    <w:rsid w:val="00F9113D"/>
    <w:pPr>
      <w:numPr>
        <w:ilvl w:val="0"/>
        <w:numId w:val="0"/>
      </w:numPr>
    </w:pPr>
  </w:style>
  <w:style w:type="paragraph" w:customStyle="1" w:styleId="BulletedText1">
    <w:name w:val="Bulleted Text 1"/>
    <w:basedOn w:val="Normal"/>
    <w:uiPriority w:val="4"/>
    <w:semiHidden/>
    <w:qFormat/>
    <w:rsid w:val="00F9113D"/>
    <w:pPr>
      <w:numPr>
        <w:numId w:val="2"/>
      </w:numPr>
      <w:suppressAutoHyphens/>
      <w:spacing w:after="0" w:line="250" w:lineRule="atLeast"/>
    </w:pPr>
  </w:style>
  <w:style w:type="paragraph" w:customStyle="1" w:styleId="BulletedText2">
    <w:name w:val="Bulleted Text 2"/>
    <w:basedOn w:val="Normal"/>
    <w:uiPriority w:val="4"/>
    <w:semiHidden/>
    <w:rsid w:val="00F9113D"/>
    <w:pPr>
      <w:numPr>
        <w:ilvl w:val="1"/>
        <w:numId w:val="2"/>
      </w:numPr>
      <w:suppressAutoHyphens/>
      <w:spacing w:after="0" w:line="250" w:lineRule="atLeast"/>
    </w:pPr>
  </w:style>
  <w:style w:type="paragraph" w:customStyle="1" w:styleId="Numberslevel1">
    <w:name w:val="Numbers level 1"/>
    <w:basedOn w:val="Normal"/>
    <w:uiPriority w:val="4"/>
    <w:semiHidden/>
    <w:qFormat/>
    <w:rsid w:val="00F9113D"/>
    <w:pPr>
      <w:numPr>
        <w:numId w:val="7"/>
      </w:numPr>
      <w:suppressAutoHyphens/>
      <w:spacing w:after="0" w:line="250" w:lineRule="atLeast"/>
    </w:pPr>
  </w:style>
  <w:style w:type="paragraph" w:customStyle="1" w:styleId="Numberslevel2">
    <w:name w:val="Numbers level 2"/>
    <w:basedOn w:val="Normal"/>
    <w:uiPriority w:val="4"/>
    <w:semiHidden/>
    <w:rsid w:val="00F9113D"/>
    <w:pPr>
      <w:numPr>
        <w:ilvl w:val="1"/>
        <w:numId w:val="7"/>
      </w:numPr>
      <w:suppressAutoHyphens/>
      <w:spacing w:after="0" w:line="250" w:lineRule="atLeast"/>
    </w:pPr>
  </w:style>
  <w:style w:type="paragraph" w:customStyle="1" w:styleId="Numberslevel3">
    <w:name w:val="Numbers level 3"/>
    <w:basedOn w:val="Normal"/>
    <w:uiPriority w:val="4"/>
    <w:semiHidden/>
    <w:rsid w:val="00F9113D"/>
    <w:pPr>
      <w:numPr>
        <w:ilvl w:val="2"/>
        <w:numId w:val="7"/>
      </w:numPr>
      <w:suppressAutoHyphens/>
      <w:spacing w:after="0" w:line="250" w:lineRule="atLeast"/>
    </w:pPr>
  </w:style>
  <w:style w:type="paragraph" w:customStyle="1" w:styleId="TabletextLeftTotal">
    <w:name w:val="Table text Left Total"/>
    <w:basedOn w:val="TabletextLeft"/>
    <w:uiPriority w:val="5"/>
    <w:rsid w:val="004A4474"/>
    <w:rPr>
      <w:b/>
    </w:rPr>
  </w:style>
  <w:style w:type="paragraph" w:customStyle="1" w:styleId="TabletextRightTotal">
    <w:name w:val="Table text Right Total"/>
    <w:basedOn w:val="TabletextRight"/>
    <w:uiPriority w:val="5"/>
    <w:rsid w:val="00625BDB"/>
    <w:rPr>
      <w:b/>
    </w:rPr>
  </w:style>
  <w:style w:type="table" w:customStyle="1" w:styleId="DeloitteBandedrows">
    <w:name w:val="Deloitte Banded rows"/>
    <w:basedOn w:val="TableNormal"/>
    <w:uiPriority w:val="99"/>
    <w:rsid w:val="005C6F31"/>
    <w:pPr>
      <w:spacing w:line="200" w:lineRule="atLeast"/>
      <w:ind w:left="57" w:right="57"/>
    </w:pPr>
    <w:rPr>
      <w:sz w:val="17"/>
    </w:rPr>
    <w:tblPr>
      <w:tblStyleRowBandSize w:val="1"/>
      <w:tblBorders>
        <w:bottom w:val="single" w:sz="4" w:space="0" w:color="62B5E5" w:themeColor="accent3"/>
      </w:tblBorders>
      <w:tblCellMar>
        <w:top w:w="85" w:type="dxa"/>
        <w:left w:w="0" w:type="dxa"/>
        <w:bottom w:w="85" w:type="dxa"/>
        <w:right w:w="0" w:type="dxa"/>
      </w:tblCellMar>
    </w:tblPr>
    <w:tblStylePr w:type="firstRow">
      <w:tblPr/>
      <w:tcPr>
        <w:tcBorders>
          <w:top w:val="single" w:sz="24" w:space="0" w:color="62B5E5" w:themeColor="accent3"/>
          <w:bottom w:val="single" w:sz="4" w:space="0" w:color="62B5E5" w:themeColor="accent3"/>
        </w:tcBorders>
      </w:tcPr>
    </w:tblStylePr>
    <w:tblStylePr w:type="lastRow">
      <w:tblPr/>
      <w:tcPr>
        <w:tcBorders>
          <w:top w:val="nil"/>
          <w:left w:val="nil"/>
          <w:bottom w:val="nil"/>
          <w:right w:val="nil"/>
          <w:insideH w:val="nil"/>
          <w:insideV w:val="nil"/>
          <w:tl2br w:val="nil"/>
          <w:tr2bl w:val="nil"/>
        </w:tcBorders>
      </w:tcPr>
    </w:tblStylePr>
    <w:tblStylePr w:type="band2Horz">
      <w:tblPr/>
      <w:tcPr>
        <w:shd w:val="clear" w:color="auto" w:fill="62B5E5" w:themeFill="accent3"/>
      </w:tcPr>
    </w:tblStylePr>
  </w:style>
  <w:style w:type="paragraph" w:customStyle="1" w:styleId="FPPicture">
    <w:name w:val="FP Picture"/>
    <w:basedOn w:val="Normal"/>
    <w:uiPriority w:val="9"/>
    <w:semiHidden/>
    <w:rsid w:val="00F9113D"/>
    <w:pPr>
      <w:spacing w:after="0"/>
      <w:ind w:left="-57"/>
    </w:pPr>
    <w:rPr>
      <w:color w:val="FF0000"/>
      <w:sz w:val="36"/>
    </w:rPr>
  </w:style>
  <w:style w:type="paragraph" w:customStyle="1" w:styleId="CV-Name">
    <w:name w:val="CV - Name"/>
    <w:basedOn w:val="Normal"/>
    <w:uiPriority w:val="7"/>
    <w:rsid w:val="005B00B8"/>
    <w:pPr>
      <w:spacing w:after="240"/>
      <w:contextualSpacing/>
    </w:pPr>
    <w:rPr>
      <w:b/>
      <w:color w:val="62B5E5" w:themeColor="accent3"/>
    </w:rPr>
  </w:style>
  <w:style w:type="paragraph" w:customStyle="1" w:styleId="HeadingA">
    <w:name w:val="Heading A"/>
    <w:next w:val="Normal"/>
    <w:uiPriority w:val="3"/>
    <w:rsid w:val="007F276A"/>
    <w:pPr>
      <w:keepNext/>
      <w:keepLines/>
      <w:spacing w:before="240" w:line="280" w:lineRule="atLeast"/>
    </w:pPr>
    <w:rPr>
      <w:rFonts w:eastAsia="Times New Roman" w:cs="Times New Roman"/>
      <w:b/>
      <w:color w:val="62B5E5" w:themeColor="accent3"/>
      <w:sz w:val="22"/>
      <w:szCs w:val="28"/>
      <w:lang w:val="en-AU"/>
    </w:rPr>
  </w:style>
  <w:style w:type="paragraph" w:customStyle="1" w:styleId="HeadingB">
    <w:name w:val="Heading B"/>
    <w:basedOn w:val="HeadingA"/>
    <w:next w:val="Normal"/>
    <w:uiPriority w:val="3"/>
    <w:rsid w:val="005E5001"/>
    <w:pPr>
      <w:spacing w:before="0"/>
    </w:pPr>
    <w:rPr>
      <w:color w:val="auto"/>
      <w:szCs w:val="26"/>
    </w:rPr>
  </w:style>
  <w:style w:type="paragraph" w:customStyle="1" w:styleId="HeadingC">
    <w:name w:val="Heading C"/>
    <w:basedOn w:val="Normal"/>
    <w:next w:val="Normal"/>
    <w:uiPriority w:val="3"/>
    <w:rsid w:val="00F84828"/>
    <w:pPr>
      <w:keepNext/>
      <w:keepLines/>
      <w:spacing w:after="0"/>
    </w:pPr>
    <w:rPr>
      <w:rFonts w:eastAsia="Times New Roman" w:cs="Times New Roman"/>
      <w:b/>
      <w:color w:val="75787B" w:themeColor="accent6"/>
      <w:szCs w:val="28"/>
    </w:rPr>
  </w:style>
  <w:style w:type="paragraph" w:customStyle="1" w:styleId="CaptionTable">
    <w:name w:val="Caption_Table"/>
    <w:basedOn w:val="Normal"/>
    <w:next w:val="Normal"/>
    <w:uiPriority w:val="4"/>
    <w:qFormat/>
    <w:rsid w:val="006C74B8"/>
    <w:pPr>
      <w:keepNext/>
      <w:keepLines/>
      <w:numPr>
        <w:ilvl w:val="6"/>
        <w:numId w:val="39"/>
      </w:numPr>
      <w:spacing w:before="240" w:after="240"/>
    </w:pPr>
    <w:rPr>
      <w:rFonts w:eastAsia="Times New Roman" w:cs="Times New Roman"/>
      <w:color w:val="75787B" w:themeColor="accent6"/>
      <w:sz w:val="17"/>
      <w:szCs w:val="20"/>
    </w:rPr>
  </w:style>
  <w:style w:type="paragraph" w:customStyle="1" w:styleId="CaptionFigure">
    <w:name w:val="Caption_Figure"/>
    <w:basedOn w:val="Normal"/>
    <w:next w:val="Normal"/>
    <w:uiPriority w:val="4"/>
    <w:qFormat/>
    <w:rsid w:val="006C74B8"/>
    <w:pPr>
      <w:keepNext/>
      <w:keepLines/>
      <w:numPr>
        <w:ilvl w:val="8"/>
        <w:numId w:val="39"/>
      </w:numPr>
    </w:pPr>
    <w:rPr>
      <w:bCs/>
      <w:color w:val="75787B" w:themeColor="accent6"/>
      <w:sz w:val="17"/>
      <w:szCs w:val="22"/>
    </w:rPr>
  </w:style>
  <w:style w:type="paragraph" w:customStyle="1" w:styleId="CaptionChart">
    <w:name w:val="Caption_Chart"/>
    <w:basedOn w:val="Normal"/>
    <w:next w:val="Normal"/>
    <w:uiPriority w:val="4"/>
    <w:qFormat/>
    <w:rsid w:val="006C74B8"/>
    <w:pPr>
      <w:keepNext/>
      <w:keepLines/>
      <w:numPr>
        <w:ilvl w:val="7"/>
        <w:numId w:val="39"/>
      </w:numPr>
    </w:pPr>
    <w:rPr>
      <w:color w:val="75787B" w:themeColor="accent6"/>
      <w:sz w:val="17"/>
    </w:rPr>
  </w:style>
  <w:style w:type="paragraph" w:customStyle="1" w:styleId="ExecutiveHeading">
    <w:name w:val="Executive Heading"/>
    <w:basedOn w:val="Heading1un-numbered"/>
    <w:next w:val="Normal"/>
    <w:uiPriority w:val="3"/>
    <w:rsid w:val="005E5001"/>
    <w:pPr>
      <w:numPr>
        <w:numId w:val="10"/>
      </w:numPr>
    </w:pPr>
  </w:style>
  <w:style w:type="paragraph" w:customStyle="1" w:styleId="Reference">
    <w:name w:val="Reference"/>
    <w:basedOn w:val="Normal"/>
    <w:uiPriority w:val="4"/>
    <w:rsid w:val="002C1140"/>
    <w:pPr>
      <w:spacing w:before="240" w:after="240"/>
      <w:ind w:left="567" w:hanging="567"/>
    </w:pPr>
    <w:rPr>
      <w:rFonts w:eastAsia="Times New Roman" w:cs="Times New Roman"/>
      <w:szCs w:val="20"/>
    </w:rPr>
  </w:style>
  <w:style w:type="paragraph" w:customStyle="1" w:styleId="ExecChartCaption">
    <w:name w:val="Exec Chart Caption"/>
    <w:basedOn w:val="Caption"/>
    <w:next w:val="Normal"/>
    <w:uiPriority w:val="4"/>
    <w:rsid w:val="00CA0756"/>
    <w:pPr>
      <w:numPr>
        <w:ilvl w:val="2"/>
        <w:numId w:val="10"/>
      </w:numPr>
    </w:pPr>
    <w:rPr>
      <w:rFonts w:eastAsia="Times New Roman" w:cs="Times New Roman"/>
      <w:szCs w:val="20"/>
    </w:rPr>
  </w:style>
  <w:style w:type="paragraph" w:customStyle="1" w:styleId="ExecFigureCaption">
    <w:name w:val="Exec Figure Caption"/>
    <w:basedOn w:val="Caption"/>
    <w:next w:val="Normal"/>
    <w:uiPriority w:val="4"/>
    <w:rsid w:val="00CA0756"/>
    <w:pPr>
      <w:numPr>
        <w:ilvl w:val="3"/>
        <w:numId w:val="10"/>
      </w:numPr>
    </w:pPr>
    <w:rPr>
      <w:rFonts w:eastAsia="Times New Roman" w:cs="Times New Roman"/>
      <w:szCs w:val="20"/>
    </w:rPr>
  </w:style>
  <w:style w:type="paragraph" w:customStyle="1" w:styleId="ExecTableCaption">
    <w:name w:val="Exec Table Caption"/>
    <w:basedOn w:val="Caption"/>
    <w:next w:val="Normal"/>
    <w:uiPriority w:val="4"/>
    <w:rsid w:val="005D6648"/>
    <w:pPr>
      <w:numPr>
        <w:ilvl w:val="1"/>
        <w:numId w:val="10"/>
      </w:numPr>
    </w:pPr>
    <w:rPr>
      <w:rFonts w:eastAsia="Times New Roman" w:cs="Times New Roman"/>
      <w:szCs w:val="20"/>
    </w:rPr>
  </w:style>
  <w:style w:type="paragraph" w:customStyle="1" w:styleId="Appendixhead2">
    <w:name w:val="Appendix_head_2"/>
    <w:basedOn w:val="Heading2"/>
    <w:next w:val="Normal"/>
    <w:link w:val="Appendixhead2Char"/>
    <w:uiPriority w:val="3"/>
    <w:rsid w:val="007F276A"/>
    <w:pPr>
      <w:numPr>
        <w:numId w:val="11"/>
      </w:numPr>
      <w:tabs>
        <w:tab w:val="left" w:pos="851"/>
      </w:tabs>
      <w:outlineLvl w:val="9"/>
    </w:pPr>
    <w:rPr>
      <w:rFonts w:eastAsia="Times New Roman" w:cs="Times New Roman"/>
      <w:bCs w:val="0"/>
      <w:szCs w:val="28"/>
      <w:lang w:eastAsia="en-AU"/>
    </w:rPr>
  </w:style>
  <w:style w:type="paragraph" w:customStyle="1" w:styleId="Appendixhead3">
    <w:name w:val="Appendix_head_3"/>
    <w:basedOn w:val="Heading3"/>
    <w:next w:val="Normal"/>
    <w:link w:val="Appendixhead3Char"/>
    <w:uiPriority w:val="3"/>
    <w:rsid w:val="00E06F2E"/>
    <w:pPr>
      <w:numPr>
        <w:numId w:val="11"/>
      </w:numPr>
      <w:outlineLvl w:val="9"/>
    </w:pPr>
    <w:rPr>
      <w:rFonts w:eastAsia="Times New Roman" w:cs="Times New Roman"/>
      <w:bCs w:val="0"/>
      <w:szCs w:val="20"/>
    </w:rPr>
  </w:style>
  <w:style w:type="paragraph" w:customStyle="1" w:styleId="Appendixhead4">
    <w:name w:val="Appendix_head_4"/>
    <w:basedOn w:val="Heading4"/>
    <w:next w:val="Normal"/>
    <w:uiPriority w:val="3"/>
    <w:rsid w:val="00F84828"/>
    <w:pPr>
      <w:numPr>
        <w:numId w:val="11"/>
      </w:numPr>
      <w:tabs>
        <w:tab w:val="clear" w:pos="340"/>
      </w:tabs>
      <w:outlineLvl w:val="9"/>
    </w:pPr>
    <w:rPr>
      <w:rFonts w:eastAsia="Times New Roman" w:cs="Times New Roman"/>
      <w:bCs w:val="0"/>
      <w:iCs w:val="0"/>
      <w:szCs w:val="24"/>
      <w:lang w:eastAsia="en-AU"/>
    </w:rPr>
  </w:style>
  <w:style w:type="paragraph" w:customStyle="1" w:styleId="Appendixhead1">
    <w:name w:val="Appendix_head_1"/>
    <w:basedOn w:val="Normal"/>
    <w:next w:val="Normal"/>
    <w:link w:val="Appendixhead1Char"/>
    <w:uiPriority w:val="3"/>
    <w:rsid w:val="009E2F33"/>
    <w:pPr>
      <w:keepNext/>
      <w:keepLines/>
      <w:pageBreakBefore/>
      <w:numPr>
        <w:numId w:val="11"/>
      </w:numPr>
      <w:spacing w:after="480" w:line="720" w:lineRule="atLeast"/>
    </w:pPr>
    <w:rPr>
      <w:rFonts w:eastAsia="Times New Roman" w:cs="Arial"/>
      <w:sz w:val="60"/>
      <w:szCs w:val="20"/>
    </w:rPr>
  </w:style>
  <w:style w:type="character" w:customStyle="1" w:styleId="Appendixhead1Char">
    <w:name w:val="Appendix_head_1 Char"/>
    <w:basedOn w:val="DefaultParagraphFont"/>
    <w:link w:val="Appendixhead1"/>
    <w:uiPriority w:val="3"/>
    <w:rsid w:val="009E2F33"/>
    <w:rPr>
      <w:rFonts w:eastAsia="Times New Roman" w:cs="Arial"/>
      <w:sz w:val="60"/>
      <w:szCs w:val="20"/>
      <w:lang w:val="en-AU"/>
    </w:rPr>
  </w:style>
  <w:style w:type="paragraph" w:customStyle="1" w:styleId="AppendixTableCaption">
    <w:name w:val="Appendix Table Caption"/>
    <w:basedOn w:val="Appendixhead4"/>
    <w:next w:val="Normal"/>
    <w:link w:val="AppendixTableCaptionChar"/>
    <w:uiPriority w:val="4"/>
    <w:rsid w:val="00CA0756"/>
    <w:pPr>
      <w:numPr>
        <w:ilvl w:val="6"/>
      </w:numPr>
      <w:spacing w:after="240"/>
      <w:outlineLvl w:val="7"/>
    </w:pPr>
    <w:rPr>
      <w:b w:val="0"/>
      <w:sz w:val="17"/>
      <w:szCs w:val="22"/>
    </w:rPr>
  </w:style>
  <w:style w:type="paragraph" w:customStyle="1" w:styleId="AppendixChartCaption">
    <w:name w:val="Appendix Chart Caption"/>
    <w:basedOn w:val="AppendixTableCaption"/>
    <w:next w:val="Normal"/>
    <w:link w:val="AppendixChartCaptionChar"/>
    <w:uiPriority w:val="4"/>
    <w:rsid w:val="00CA0756"/>
    <w:pPr>
      <w:numPr>
        <w:ilvl w:val="7"/>
      </w:numPr>
      <w:outlineLvl w:val="5"/>
    </w:pPr>
  </w:style>
  <w:style w:type="paragraph" w:customStyle="1" w:styleId="AppendixFigureCaption">
    <w:name w:val="Appendix Figure Caption"/>
    <w:basedOn w:val="AppendixChartCaption"/>
    <w:next w:val="Normal"/>
    <w:link w:val="AppendixFigureCaptionChar"/>
    <w:uiPriority w:val="4"/>
    <w:rsid w:val="00CA0756"/>
    <w:pPr>
      <w:numPr>
        <w:ilvl w:val="8"/>
      </w:numPr>
      <w:outlineLvl w:val="6"/>
    </w:pPr>
  </w:style>
  <w:style w:type="character" w:customStyle="1" w:styleId="Appendixhead2Char">
    <w:name w:val="Appendix_head_2 Char"/>
    <w:basedOn w:val="DefaultParagraphFont"/>
    <w:link w:val="Appendixhead2"/>
    <w:uiPriority w:val="3"/>
    <w:rsid w:val="007F276A"/>
    <w:rPr>
      <w:rFonts w:eastAsia="Times New Roman" w:cs="Times New Roman"/>
      <w:b/>
      <w:color w:val="62B5E5" w:themeColor="accent3"/>
      <w:sz w:val="22"/>
      <w:szCs w:val="28"/>
      <w:lang w:val="en-AU" w:eastAsia="en-AU"/>
    </w:rPr>
  </w:style>
  <w:style w:type="character" w:customStyle="1" w:styleId="AppendixTableCaptionChar">
    <w:name w:val="Appendix Table Caption Char"/>
    <w:basedOn w:val="DefaultParagraphFont"/>
    <w:link w:val="AppendixTableCaption"/>
    <w:uiPriority w:val="4"/>
    <w:rsid w:val="00CA0756"/>
    <w:rPr>
      <w:rFonts w:eastAsia="Times New Roman" w:cs="Times New Roman"/>
      <w:color w:val="75787B" w:themeColor="accent6"/>
      <w:sz w:val="17"/>
      <w:szCs w:val="22"/>
      <w:lang w:val="en-AU" w:eastAsia="en-AU"/>
    </w:rPr>
  </w:style>
  <w:style w:type="character" w:customStyle="1" w:styleId="Appendixhead3Char">
    <w:name w:val="Appendix_head_3 Char"/>
    <w:basedOn w:val="DefaultParagraphFont"/>
    <w:link w:val="Appendixhead3"/>
    <w:uiPriority w:val="3"/>
    <w:rsid w:val="00E06F2E"/>
    <w:rPr>
      <w:rFonts w:eastAsia="Times New Roman" w:cs="Times New Roman"/>
      <w:b/>
      <w:szCs w:val="20"/>
      <w:lang w:val="en-AU"/>
    </w:rPr>
  </w:style>
  <w:style w:type="character" w:customStyle="1" w:styleId="AppendixFigureCaptionChar">
    <w:name w:val="Appendix Figure Caption Char"/>
    <w:basedOn w:val="DefaultParagraphFont"/>
    <w:link w:val="AppendixFigureCaption"/>
    <w:uiPriority w:val="4"/>
    <w:rsid w:val="00CA0756"/>
    <w:rPr>
      <w:rFonts w:eastAsia="Times New Roman" w:cs="Times New Roman"/>
      <w:color w:val="75787B" w:themeColor="accent6"/>
      <w:sz w:val="17"/>
      <w:szCs w:val="22"/>
      <w:lang w:val="en-AU" w:eastAsia="en-AU"/>
    </w:rPr>
  </w:style>
  <w:style w:type="character" w:customStyle="1" w:styleId="AppendixChartCaptionChar">
    <w:name w:val="Appendix Chart Caption Char"/>
    <w:basedOn w:val="AppendixTableCaptionChar"/>
    <w:link w:val="AppendixChartCaption"/>
    <w:uiPriority w:val="4"/>
    <w:rsid w:val="00CA0756"/>
    <w:rPr>
      <w:rFonts w:eastAsia="Times New Roman" w:cs="Times New Roman"/>
      <w:color w:val="75787B" w:themeColor="accent6"/>
      <w:sz w:val="17"/>
      <w:szCs w:val="22"/>
      <w:lang w:val="en-AU" w:eastAsia="en-AU"/>
    </w:rPr>
  </w:style>
  <w:style w:type="paragraph" w:customStyle="1" w:styleId="SourcetextTableorChart">
    <w:name w:val="Source text Table or Chart"/>
    <w:basedOn w:val="Caption"/>
    <w:next w:val="Normal"/>
    <w:uiPriority w:val="6"/>
    <w:semiHidden/>
    <w:rsid w:val="00B5479F"/>
    <w:pPr>
      <w:keepNext w:val="0"/>
      <w:keepLines w:val="0"/>
      <w:spacing w:before="120"/>
    </w:pPr>
    <w:rPr>
      <w:sz w:val="14"/>
    </w:rPr>
  </w:style>
  <w:style w:type="paragraph" w:customStyle="1" w:styleId="AlphabeticList">
    <w:name w:val="Alphabetic List"/>
    <w:basedOn w:val="Normal"/>
    <w:uiPriority w:val="4"/>
    <w:qFormat/>
    <w:rsid w:val="007F7A8C"/>
    <w:pPr>
      <w:numPr>
        <w:numId w:val="12"/>
      </w:numPr>
      <w:spacing w:after="0"/>
      <w:contextualSpacing/>
    </w:pPr>
    <w:rPr>
      <w:rFonts w:eastAsia="Times New Roman" w:cs="Times New Roman"/>
      <w:szCs w:val="20"/>
    </w:rPr>
  </w:style>
  <w:style w:type="paragraph" w:customStyle="1" w:styleId="CV-Heading">
    <w:name w:val="CV - Heading"/>
    <w:basedOn w:val="Normal"/>
    <w:uiPriority w:val="7"/>
    <w:rsid w:val="005B00B8"/>
    <w:pPr>
      <w:spacing w:before="240" w:after="0"/>
      <w:contextualSpacing/>
    </w:pPr>
    <w:rPr>
      <w:b/>
    </w:rPr>
  </w:style>
  <w:style w:type="paragraph" w:customStyle="1" w:styleId="TableHeadingCentre">
    <w:name w:val="Table Heading Centre"/>
    <w:basedOn w:val="TableHeadingLeft"/>
    <w:uiPriority w:val="5"/>
    <w:rsid w:val="00625BDB"/>
    <w:pPr>
      <w:jc w:val="center"/>
    </w:pPr>
  </w:style>
  <w:style w:type="paragraph" w:customStyle="1" w:styleId="TableHeadingRight">
    <w:name w:val="Table Heading Right"/>
    <w:basedOn w:val="TableHeadingCentre"/>
    <w:uiPriority w:val="5"/>
    <w:rsid w:val="00625BDB"/>
    <w:pPr>
      <w:jc w:val="right"/>
    </w:pPr>
  </w:style>
  <w:style w:type="paragraph" w:customStyle="1" w:styleId="TabletextRight">
    <w:name w:val="Table text Right"/>
    <w:basedOn w:val="TabletextLeft"/>
    <w:uiPriority w:val="5"/>
    <w:rsid w:val="004A4474"/>
    <w:pPr>
      <w:jc w:val="right"/>
    </w:pPr>
  </w:style>
  <w:style w:type="paragraph" w:customStyle="1" w:styleId="TabletextCentre">
    <w:name w:val="Table text Centre"/>
    <w:basedOn w:val="TabletextRight"/>
    <w:uiPriority w:val="5"/>
    <w:rsid w:val="004A4474"/>
    <w:pPr>
      <w:jc w:val="center"/>
    </w:pPr>
  </w:style>
  <w:style w:type="paragraph" w:customStyle="1" w:styleId="TableNote">
    <w:name w:val="Table Note"/>
    <w:basedOn w:val="TabletextLeft"/>
    <w:uiPriority w:val="5"/>
    <w:semiHidden/>
    <w:rsid w:val="002E67BC"/>
    <w:rPr>
      <w:sz w:val="15"/>
    </w:rPr>
  </w:style>
  <w:style w:type="paragraph" w:customStyle="1" w:styleId="TabletextCentreTotal">
    <w:name w:val="Table text Centre Total"/>
    <w:basedOn w:val="TabletextCentre"/>
    <w:uiPriority w:val="5"/>
    <w:rsid w:val="004A4474"/>
    <w:rPr>
      <w:b/>
    </w:rPr>
  </w:style>
  <w:style w:type="paragraph" w:customStyle="1" w:styleId="AlphabeticList2">
    <w:name w:val="Alphabetic List 2"/>
    <w:basedOn w:val="AlphabeticList"/>
    <w:uiPriority w:val="4"/>
    <w:qFormat/>
    <w:rsid w:val="000A0317"/>
    <w:pPr>
      <w:numPr>
        <w:ilvl w:val="1"/>
      </w:numPr>
    </w:pPr>
  </w:style>
  <w:style w:type="table" w:styleId="GridTable1Light">
    <w:name w:val="Grid Table 1 Light"/>
    <w:basedOn w:val="TableNormal"/>
    <w:uiPriority w:val="46"/>
    <w:rsid w:val="000116B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16B0"/>
    <w:pPr>
      <w:spacing w:line="240" w:lineRule="auto"/>
    </w:pPr>
    <w:tblPr>
      <w:tblStyleRowBandSize w:val="1"/>
      <w:tblStyleColBandSize w:val="1"/>
      <w:tblBorders>
        <w:top w:val="single" w:sz="4" w:space="0" w:color="D0EC9F" w:themeColor="accent1" w:themeTint="66"/>
        <w:left w:val="single" w:sz="4" w:space="0" w:color="D0EC9F" w:themeColor="accent1" w:themeTint="66"/>
        <w:bottom w:val="single" w:sz="4" w:space="0" w:color="D0EC9F" w:themeColor="accent1" w:themeTint="66"/>
        <w:right w:val="single" w:sz="4" w:space="0" w:color="D0EC9F" w:themeColor="accent1" w:themeTint="66"/>
        <w:insideH w:val="single" w:sz="4" w:space="0" w:color="D0EC9F" w:themeColor="accent1" w:themeTint="66"/>
        <w:insideV w:val="single" w:sz="4" w:space="0" w:color="D0EC9F" w:themeColor="accent1" w:themeTint="66"/>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2" w:space="0" w:color="B9E3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16B0"/>
    <w:pPr>
      <w:spacing w:line="240" w:lineRule="auto"/>
    </w:pPr>
    <w:tblPr>
      <w:tblStyleRowBandSize w:val="1"/>
      <w:tblStyleColBandSize w:val="1"/>
      <w:tblBorders>
        <w:top w:val="single" w:sz="4" w:space="0" w:color="64F9B0" w:themeColor="accent2" w:themeTint="66"/>
        <w:left w:val="single" w:sz="4" w:space="0" w:color="64F9B0" w:themeColor="accent2" w:themeTint="66"/>
        <w:bottom w:val="single" w:sz="4" w:space="0" w:color="64F9B0" w:themeColor="accent2" w:themeTint="66"/>
        <w:right w:val="single" w:sz="4" w:space="0" w:color="64F9B0" w:themeColor="accent2" w:themeTint="66"/>
        <w:insideH w:val="single" w:sz="4" w:space="0" w:color="64F9B0" w:themeColor="accent2" w:themeTint="66"/>
        <w:insideV w:val="single" w:sz="4" w:space="0" w:color="64F9B0" w:themeColor="accent2" w:themeTint="66"/>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2" w:space="0" w:color="17F68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16B0"/>
    <w:pPr>
      <w:spacing w:line="240" w:lineRule="auto"/>
    </w:pPr>
    <w:tblPr>
      <w:tblStyleRowBandSize w:val="1"/>
      <w:tblStyleColBandSize w:val="1"/>
      <w:tblBorders>
        <w:top w:val="single" w:sz="4" w:space="0" w:color="C0E1F4" w:themeColor="accent3" w:themeTint="66"/>
        <w:left w:val="single" w:sz="4" w:space="0" w:color="C0E1F4" w:themeColor="accent3" w:themeTint="66"/>
        <w:bottom w:val="single" w:sz="4" w:space="0" w:color="C0E1F4" w:themeColor="accent3" w:themeTint="66"/>
        <w:right w:val="single" w:sz="4" w:space="0" w:color="C0E1F4" w:themeColor="accent3" w:themeTint="66"/>
        <w:insideH w:val="single" w:sz="4" w:space="0" w:color="C0E1F4" w:themeColor="accent3" w:themeTint="66"/>
        <w:insideV w:val="single" w:sz="4" w:space="0" w:color="C0E1F4" w:themeColor="accent3" w:themeTint="66"/>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2" w:space="0" w:color="A0D2E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16B0"/>
    <w:pPr>
      <w:spacing w:line="240" w:lineRule="auto"/>
    </w:pPr>
    <w:tblPr>
      <w:tblStyleRowBandSize w:val="1"/>
      <w:tblStyleColBandSize w:val="1"/>
      <w:tblBorders>
        <w:top w:val="single" w:sz="4" w:space="0" w:color="5E8FFD" w:themeColor="accent4" w:themeTint="66"/>
        <w:left w:val="single" w:sz="4" w:space="0" w:color="5E8FFD" w:themeColor="accent4" w:themeTint="66"/>
        <w:bottom w:val="single" w:sz="4" w:space="0" w:color="5E8FFD" w:themeColor="accent4" w:themeTint="66"/>
        <w:right w:val="single" w:sz="4" w:space="0" w:color="5E8FFD" w:themeColor="accent4" w:themeTint="66"/>
        <w:insideH w:val="single" w:sz="4" w:space="0" w:color="5E8FFD" w:themeColor="accent4" w:themeTint="66"/>
        <w:insideV w:val="single" w:sz="4" w:space="0" w:color="5E8FFD" w:themeColor="accent4" w:themeTint="66"/>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2" w:space="0" w:color="0E57F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16B0"/>
    <w:pPr>
      <w:spacing w:line="240" w:lineRule="auto"/>
    </w:pPr>
    <w:tblPr>
      <w:tblStyleRowBandSize w:val="1"/>
      <w:tblStyleColBandSize w:val="1"/>
      <w:tblBorders>
        <w:top w:val="single" w:sz="4" w:space="0" w:color="76EFFF" w:themeColor="accent5" w:themeTint="66"/>
        <w:left w:val="single" w:sz="4" w:space="0" w:color="76EFFF" w:themeColor="accent5" w:themeTint="66"/>
        <w:bottom w:val="single" w:sz="4" w:space="0" w:color="76EFFF" w:themeColor="accent5" w:themeTint="66"/>
        <w:right w:val="single" w:sz="4" w:space="0" w:color="76EFFF" w:themeColor="accent5" w:themeTint="66"/>
        <w:insideH w:val="single" w:sz="4" w:space="0" w:color="76EFFF" w:themeColor="accent5" w:themeTint="66"/>
        <w:insideV w:val="single" w:sz="4" w:space="0" w:color="76EFFF" w:themeColor="accent5" w:themeTint="66"/>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2" w:space="0" w:color="32E8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16B0"/>
    <w:pPr>
      <w:spacing w:line="240" w:lineRule="auto"/>
    </w:pPr>
    <w:tblPr>
      <w:tblStyleRowBandSize w:val="1"/>
      <w:tblStyleColBandSize w:val="1"/>
      <w:tblBorders>
        <w:top w:val="single" w:sz="4" w:space="0" w:color="C7C8CA" w:themeColor="accent6" w:themeTint="66"/>
        <w:left w:val="single" w:sz="4" w:space="0" w:color="C7C8CA" w:themeColor="accent6" w:themeTint="66"/>
        <w:bottom w:val="single" w:sz="4" w:space="0" w:color="C7C8CA" w:themeColor="accent6" w:themeTint="66"/>
        <w:right w:val="single" w:sz="4" w:space="0" w:color="C7C8CA" w:themeColor="accent6" w:themeTint="66"/>
        <w:insideH w:val="single" w:sz="4" w:space="0" w:color="C7C8CA" w:themeColor="accent6" w:themeTint="66"/>
        <w:insideV w:val="single" w:sz="4" w:space="0" w:color="C7C8CA" w:themeColor="accent6" w:themeTint="66"/>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2" w:space="0" w:color="ABADB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116B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116B0"/>
    <w:pPr>
      <w:spacing w:line="240" w:lineRule="auto"/>
    </w:pPr>
    <w:tblPr>
      <w:tblStyleRowBandSize w:val="1"/>
      <w:tblStyleColBandSize w:val="1"/>
      <w:tblBorders>
        <w:top w:val="single" w:sz="2" w:space="0" w:color="B9E370" w:themeColor="accent1" w:themeTint="99"/>
        <w:bottom w:val="single" w:sz="2" w:space="0" w:color="B9E370" w:themeColor="accent1" w:themeTint="99"/>
        <w:insideH w:val="single" w:sz="2" w:space="0" w:color="B9E370" w:themeColor="accent1" w:themeTint="99"/>
        <w:insideV w:val="single" w:sz="2" w:space="0" w:color="B9E370" w:themeColor="accent1" w:themeTint="99"/>
      </w:tblBorders>
    </w:tblPr>
    <w:tblStylePr w:type="firstRow">
      <w:rPr>
        <w:b/>
        <w:bCs/>
      </w:rPr>
      <w:tblPr/>
      <w:tcPr>
        <w:tcBorders>
          <w:top w:val="nil"/>
          <w:bottom w:val="single" w:sz="12" w:space="0" w:color="B9E370" w:themeColor="accent1" w:themeTint="99"/>
          <w:insideH w:val="nil"/>
          <w:insideV w:val="nil"/>
        </w:tcBorders>
        <w:shd w:val="clear" w:color="auto" w:fill="FFFFFF" w:themeFill="background1"/>
      </w:tcPr>
    </w:tblStylePr>
    <w:tblStylePr w:type="lastRow">
      <w:rPr>
        <w:b/>
        <w:bCs/>
      </w:rPr>
      <w:tblPr/>
      <w:tcPr>
        <w:tcBorders>
          <w:top w:val="double" w:sz="2" w:space="0" w:color="B9E3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GridTable2-Accent2">
    <w:name w:val="Grid Table 2 Accent 2"/>
    <w:basedOn w:val="TableNormal"/>
    <w:uiPriority w:val="47"/>
    <w:rsid w:val="000116B0"/>
    <w:pPr>
      <w:spacing w:line="240" w:lineRule="auto"/>
    </w:pPr>
    <w:tblPr>
      <w:tblStyleRowBandSize w:val="1"/>
      <w:tblStyleColBandSize w:val="1"/>
      <w:tblBorders>
        <w:top w:val="single" w:sz="2" w:space="0" w:color="17F689" w:themeColor="accent2" w:themeTint="99"/>
        <w:bottom w:val="single" w:sz="2" w:space="0" w:color="17F689" w:themeColor="accent2" w:themeTint="99"/>
        <w:insideH w:val="single" w:sz="2" w:space="0" w:color="17F689" w:themeColor="accent2" w:themeTint="99"/>
        <w:insideV w:val="single" w:sz="2" w:space="0" w:color="17F689" w:themeColor="accent2" w:themeTint="99"/>
      </w:tblBorders>
    </w:tblPr>
    <w:tblStylePr w:type="firstRow">
      <w:rPr>
        <w:b/>
        <w:bCs/>
      </w:rPr>
      <w:tblPr/>
      <w:tcPr>
        <w:tcBorders>
          <w:top w:val="nil"/>
          <w:bottom w:val="single" w:sz="12" w:space="0" w:color="17F689" w:themeColor="accent2" w:themeTint="99"/>
          <w:insideH w:val="nil"/>
          <w:insideV w:val="nil"/>
        </w:tcBorders>
        <w:shd w:val="clear" w:color="auto" w:fill="FFFFFF" w:themeFill="background1"/>
      </w:tcPr>
    </w:tblStylePr>
    <w:tblStylePr w:type="lastRow">
      <w:rPr>
        <w:b/>
        <w:bCs/>
      </w:rPr>
      <w:tblPr/>
      <w:tcPr>
        <w:tcBorders>
          <w:top w:val="double" w:sz="2" w:space="0" w:color="17F6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GridTable2-Accent3">
    <w:name w:val="Grid Table 2 Accent 3"/>
    <w:basedOn w:val="TableNormal"/>
    <w:uiPriority w:val="47"/>
    <w:rsid w:val="000116B0"/>
    <w:pPr>
      <w:spacing w:line="240" w:lineRule="auto"/>
    </w:pPr>
    <w:tblPr>
      <w:tblStyleRowBandSize w:val="1"/>
      <w:tblStyleColBandSize w:val="1"/>
      <w:tblBorders>
        <w:top w:val="single" w:sz="2" w:space="0" w:color="A0D2EF" w:themeColor="accent3" w:themeTint="99"/>
        <w:bottom w:val="single" w:sz="2" w:space="0" w:color="A0D2EF" w:themeColor="accent3" w:themeTint="99"/>
        <w:insideH w:val="single" w:sz="2" w:space="0" w:color="A0D2EF" w:themeColor="accent3" w:themeTint="99"/>
        <w:insideV w:val="single" w:sz="2" w:space="0" w:color="A0D2EF" w:themeColor="accent3" w:themeTint="99"/>
      </w:tblBorders>
    </w:tblPr>
    <w:tblStylePr w:type="firstRow">
      <w:rPr>
        <w:b/>
        <w:bCs/>
      </w:rPr>
      <w:tblPr/>
      <w:tcPr>
        <w:tcBorders>
          <w:top w:val="nil"/>
          <w:bottom w:val="single" w:sz="12" w:space="0" w:color="A0D2EF" w:themeColor="accent3" w:themeTint="99"/>
          <w:insideH w:val="nil"/>
          <w:insideV w:val="nil"/>
        </w:tcBorders>
        <w:shd w:val="clear" w:color="auto" w:fill="FFFFFF" w:themeFill="background1"/>
      </w:tcPr>
    </w:tblStylePr>
    <w:tblStylePr w:type="lastRow">
      <w:rPr>
        <w:b/>
        <w:bCs/>
      </w:rPr>
      <w:tblPr/>
      <w:tcPr>
        <w:tcBorders>
          <w:top w:val="double" w:sz="2" w:space="0" w:color="A0D2E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GridTable2-Accent4">
    <w:name w:val="Grid Table 2 Accent 4"/>
    <w:basedOn w:val="TableNormal"/>
    <w:uiPriority w:val="47"/>
    <w:rsid w:val="000116B0"/>
    <w:pPr>
      <w:spacing w:line="240" w:lineRule="auto"/>
    </w:pPr>
    <w:tblPr>
      <w:tblStyleRowBandSize w:val="1"/>
      <w:tblStyleColBandSize w:val="1"/>
      <w:tblBorders>
        <w:top w:val="single" w:sz="2" w:space="0" w:color="0E57FC" w:themeColor="accent4" w:themeTint="99"/>
        <w:bottom w:val="single" w:sz="2" w:space="0" w:color="0E57FC" w:themeColor="accent4" w:themeTint="99"/>
        <w:insideH w:val="single" w:sz="2" w:space="0" w:color="0E57FC" w:themeColor="accent4" w:themeTint="99"/>
        <w:insideV w:val="single" w:sz="2" w:space="0" w:color="0E57FC" w:themeColor="accent4" w:themeTint="99"/>
      </w:tblBorders>
    </w:tblPr>
    <w:tblStylePr w:type="firstRow">
      <w:rPr>
        <w:b/>
        <w:bCs/>
      </w:rPr>
      <w:tblPr/>
      <w:tcPr>
        <w:tcBorders>
          <w:top w:val="nil"/>
          <w:bottom w:val="single" w:sz="12" w:space="0" w:color="0E57FC" w:themeColor="accent4" w:themeTint="99"/>
          <w:insideH w:val="nil"/>
          <w:insideV w:val="nil"/>
        </w:tcBorders>
        <w:shd w:val="clear" w:color="auto" w:fill="FFFFFF" w:themeFill="background1"/>
      </w:tcPr>
    </w:tblStylePr>
    <w:tblStylePr w:type="lastRow">
      <w:rPr>
        <w:b/>
        <w:bCs/>
      </w:rPr>
      <w:tblPr/>
      <w:tcPr>
        <w:tcBorders>
          <w:top w:val="double" w:sz="2" w:space="0" w:color="0E57F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GridTable2-Accent5">
    <w:name w:val="Grid Table 2 Accent 5"/>
    <w:basedOn w:val="TableNormal"/>
    <w:uiPriority w:val="47"/>
    <w:rsid w:val="000116B0"/>
    <w:pPr>
      <w:spacing w:line="240" w:lineRule="auto"/>
    </w:pPr>
    <w:tblPr>
      <w:tblStyleRowBandSize w:val="1"/>
      <w:tblStyleColBandSize w:val="1"/>
      <w:tblBorders>
        <w:top w:val="single" w:sz="2" w:space="0" w:color="32E8FF" w:themeColor="accent5" w:themeTint="99"/>
        <w:bottom w:val="single" w:sz="2" w:space="0" w:color="32E8FF" w:themeColor="accent5" w:themeTint="99"/>
        <w:insideH w:val="single" w:sz="2" w:space="0" w:color="32E8FF" w:themeColor="accent5" w:themeTint="99"/>
        <w:insideV w:val="single" w:sz="2" w:space="0" w:color="32E8FF" w:themeColor="accent5" w:themeTint="99"/>
      </w:tblBorders>
    </w:tblPr>
    <w:tblStylePr w:type="firstRow">
      <w:rPr>
        <w:b/>
        <w:bCs/>
      </w:rPr>
      <w:tblPr/>
      <w:tcPr>
        <w:tcBorders>
          <w:top w:val="nil"/>
          <w:bottom w:val="single" w:sz="12" w:space="0" w:color="32E8FF" w:themeColor="accent5" w:themeTint="99"/>
          <w:insideH w:val="nil"/>
          <w:insideV w:val="nil"/>
        </w:tcBorders>
        <w:shd w:val="clear" w:color="auto" w:fill="FFFFFF" w:themeFill="background1"/>
      </w:tcPr>
    </w:tblStylePr>
    <w:tblStylePr w:type="lastRow">
      <w:rPr>
        <w:b/>
        <w:bCs/>
      </w:rPr>
      <w:tblPr/>
      <w:tcPr>
        <w:tcBorders>
          <w:top w:val="double" w:sz="2" w:space="0" w:color="32E8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GridTable2-Accent6">
    <w:name w:val="Grid Table 2 Accent 6"/>
    <w:basedOn w:val="TableNormal"/>
    <w:uiPriority w:val="47"/>
    <w:rsid w:val="000116B0"/>
    <w:pPr>
      <w:spacing w:line="240" w:lineRule="auto"/>
    </w:pPr>
    <w:tblPr>
      <w:tblStyleRowBandSize w:val="1"/>
      <w:tblStyleColBandSize w:val="1"/>
      <w:tblBorders>
        <w:top w:val="single" w:sz="2" w:space="0" w:color="ABADB0" w:themeColor="accent6" w:themeTint="99"/>
        <w:bottom w:val="single" w:sz="2" w:space="0" w:color="ABADB0" w:themeColor="accent6" w:themeTint="99"/>
        <w:insideH w:val="single" w:sz="2" w:space="0" w:color="ABADB0" w:themeColor="accent6" w:themeTint="99"/>
        <w:insideV w:val="single" w:sz="2" w:space="0" w:color="ABADB0" w:themeColor="accent6" w:themeTint="99"/>
      </w:tblBorders>
    </w:tblPr>
    <w:tblStylePr w:type="firstRow">
      <w:rPr>
        <w:b/>
        <w:bCs/>
      </w:rPr>
      <w:tblPr/>
      <w:tcPr>
        <w:tcBorders>
          <w:top w:val="nil"/>
          <w:bottom w:val="single" w:sz="12" w:space="0" w:color="ABADB0" w:themeColor="accent6" w:themeTint="99"/>
          <w:insideH w:val="nil"/>
          <w:insideV w:val="nil"/>
        </w:tcBorders>
        <w:shd w:val="clear" w:color="auto" w:fill="FFFFFF" w:themeFill="background1"/>
      </w:tcPr>
    </w:tblStylePr>
    <w:tblStylePr w:type="lastRow">
      <w:rPr>
        <w:b/>
        <w:bCs/>
      </w:rPr>
      <w:tblPr/>
      <w:tcPr>
        <w:tcBorders>
          <w:top w:val="double" w:sz="2" w:space="0" w:color="ABADB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GridTable3">
    <w:name w:val="Grid Table 3"/>
    <w:basedOn w:val="TableNormal"/>
    <w:uiPriority w:val="48"/>
    <w:rsid w:val="000116B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116B0"/>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styleId="GridTable3-Accent2">
    <w:name w:val="Grid Table 3 Accent 2"/>
    <w:basedOn w:val="TableNormal"/>
    <w:uiPriority w:val="48"/>
    <w:rsid w:val="000116B0"/>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styleId="GridTable3-Accent3">
    <w:name w:val="Grid Table 3 Accent 3"/>
    <w:basedOn w:val="TableNormal"/>
    <w:uiPriority w:val="48"/>
    <w:rsid w:val="000116B0"/>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styleId="GridTable3-Accent4">
    <w:name w:val="Grid Table 3 Accent 4"/>
    <w:basedOn w:val="TableNormal"/>
    <w:uiPriority w:val="48"/>
    <w:rsid w:val="000116B0"/>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styleId="GridTable3-Accent5">
    <w:name w:val="Grid Table 3 Accent 5"/>
    <w:basedOn w:val="TableNormal"/>
    <w:uiPriority w:val="48"/>
    <w:rsid w:val="000116B0"/>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styleId="GridTable3-Accent6">
    <w:name w:val="Grid Table 3 Accent 6"/>
    <w:basedOn w:val="TableNormal"/>
    <w:uiPriority w:val="48"/>
    <w:rsid w:val="000116B0"/>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styleId="GridTable4">
    <w:name w:val="Grid Table 4"/>
    <w:basedOn w:val="TableNormal"/>
    <w:uiPriority w:val="49"/>
    <w:rsid w:val="000116B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16B0"/>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insideV w:val="nil"/>
        </w:tcBorders>
        <w:shd w:val="clear" w:color="auto" w:fill="86BC25" w:themeFill="accent1"/>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GridTable4-Accent2">
    <w:name w:val="Grid Table 4 Accent 2"/>
    <w:basedOn w:val="TableNormal"/>
    <w:uiPriority w:val="49"/>
    <w:rsid w:val="000116B0"/>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insideV w:val="nil"/>
        </w:tcBorders>
        <w:shd w:val="clear" w:color="auto" w:fill="046A38" w:themeFill="accent2"/>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GridTable4-Accent3">
    <w:name w:val="Grid Table 4 Accent 3"/>
    <w:basedOn w:val="TableNormal"/>
    <w:uiPriority w:val="49"/>
    <w:rsid w:val="000116B0"/>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insideV w:val="nil"/>
        </w:tcBorders>
        <w:shd w:val="clear" w:color="auto" w:fill="62B5E5" w:themeFill="accent3"/>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GridTable4-Accent4">
    <w:name w:val="Grid Table 4 Accent 4"/>
    <w:basedOn w:val="TableNormal"/>
    <w:uiPriority w:val="49"/>
    <w:rsid w:val="000116B0"/>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insideV w:val="nil"/>
        </w:tcBorders>
        <w:shd w:val="clear" w:color="auto" w:fill="012169" w:themeFill="accent4"/>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GridTable4-Accent5">
    <w:name w:val="Grid Table 4 Accent 5"/>
    <w:basedOn w:val="TableNormal"/>
    <w:uiPriority w:val="49"/>
    <w:rsid w:val="000116B0"/>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insideV w:val="nil"/>
        </w:tcBorders>
        <w:shd w:val="clear" w:color="auto" w:fill="0097A9" w:themeFill="accent5"/>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GridTable4-Accent6">
    <w:name w:val="Grid Table 4 Accent 6"/>
    <w:basedOn w:val="TableNormal"/>
    <w:uiPriority w:val="49"/>
    <w:rsid w:val="000116B0"/>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insideV w:val="nil"/>
        </w:tcBorders>
        <w:shd w:val="clear" w:color="auto" w:fill="75787B" w:themeFill="accent6"/>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GridTable5Dark">
    <w:name w:val="Grid Table 5 Dark"/>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C2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C2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C2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C25" w:themeFill="accent1"/>
      </w:tcPr>
    </w:tblStylePr>
    <w:tblStylePr w:type="band1Vert">
      <w:tblPr/>
      <w:tcPr>
        <w:shd w:val="clear" w:color="auto" w:fill="D0EC9F" w:themeFill="accent1" w:themeFillTint="66"/>
      </w:tcPr>
    </w:tblStylePr>
    <w:tblStylePr w:type="band1Horz">
      <w:tblPr/>
      <w:tcPr>
        <w:shd w:val="clear" w:color="auto" w:fill="D0EC9F" w:themeFill="accent1" w:themeFillTint="66"/>
      </w:tcPr>
    </w:tblStylePr>
  </w:style>
  <w:style w:type="table" w:styleId="GridTable5Dark-Accent2">
    <w:name w:val="Grid Table 5 Dark Accent 2"/>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C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6A3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6A3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6A3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6A38" w:themeFill="accent2"/>
      </w:tcPr>
    </w:tblStylePr>
    <w:tblStylePr w:type="band1Vert">
      <w:tblPr/>
      <w:tcPr>
        <w:shd w:val="clear" w:color="auto" w:fill="64F9B0" w:themeFill="accent2" w:themeFillTint="66"/>
      </w:tcPr>
    </w:tblStylePr>
    <w:tblStylePr w:type="band1Horz">
      <w:tblPr/>
      <w:tcPr>
        <w:shd w:val="clear" w:color="auto" w:fill="64F9B0" w:themeFill="accent2" w:themeFillTint="66"/>
      </w:tcPr>
    </w:tblStylePr>
  </w:style>
  <w:style w:type="table" w:styleId="GridTable5Dark-Accent3">
    <w:name w:val="Grid Table 5 Dark Accent 3"/>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B5E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B5E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B5E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B5E5" w:themeFill="accent3"/>
      </w:tcPr>
    </w:tblStylePr>
    <w:tblStylePr w:type="band1Vert">
      <w:tblPr/>
      <w:tcPr>
        <w:shd w:val="clear" w:color="auto" w:fill="C0E1F4" w:themeFill="accent3" w:themeFillTint="66"/>
      </w:tcPr>
    </w:tblStylePr>
    <w:tblStylePr w:type="band1Horz">
      <w:tblPr/>
      <w:tcPr>
        <w:shd w:val="clear" w:color="auto" w:fill="C0E1F4" w:themeFill="accent3" w:themeFillTint="66"/>
      </w:tcPr>
    </w:tblStylePr>
  </w:style>
  <w:style w:type="table" w:styleId="GridTable5Dark-Accent4">
    <w:name w:val="Grid Table 5 Dark Accent 4"/>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C7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216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216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216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2169" w:themeFill="accent4"/>
      </w:tcPr>
    </w:tblStylePr>
    <w:tblStylePr w:type="band1Vert">
      <w:tblPr/>
      <w:tcPr>
        <w:shd w:val="clear" w:color="auto" w:fill="5E8FFD" w:themeFill="accent4" w:themeFillTint="66"/>
      </w:tcPr>
    </w:tblStylePr>
    <w:tblStylePr w:type="band1Horz">
      <w:tblPr/>
      <w:tcPr>
        <w:shd w:val="clear" w:color="auto" w:fill="5E8FFD" w:themeFill="accent4" w:themeFillTint="66"/>
      </w:tcPr>
    </w:tblStylePr>
  </w:style>
  <w:style w:type="table" w:styleId="GridTable5Dark-Accent5">
    <w:name w:val="Grid Table 5 Dark Accent 5"/>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7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A9" w:themeFill="accent5"/>
      </w:tcPr>
    </w:tblStylePr>
    <w:tblStylePr w:type="band1Vert">
      <w:tblPr/>
      <w:tcPr>
        <w:shd w:val="clear" w:color="auto" w:fill="76EFFF" w:themeFill="accent5" w:themeFillTint="66"/>
      </w:tcPr>
    </w:tblStylePr>
    <w:tblStylePr w:type="band1Horz">
      <w:tblPr/>
      <w:tcPr>
        <w:shd w:val="clear" w:color="auto" w:fill="76EFFF" w:themeFill="accent5" w:themeFillTint="66"/>
      </w:tcPr>
    </w:tblStylePr>
  </w:style>
  <w:style w:type="table" w:styleId="GridTable5Dark-Accent6">
    <w:name w:val="Grid Table 5 Dark Accent 6"/>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787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787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787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787B" w:themeFill="accent6"/>
      </w:tcPr>
    </w:tblStylePr>
    <w:tblStylePr w:type="band1Vert">
      <w:tblPr/>
      <w:tcPr>
        <w:shd w:val="clear" w:color="auto" w:fill="C7C8CA" w:themeFill="accent6" w:themeFillTint="66"/>
      </w:tcPr>
    </w:tblStylePr>
    <w:tblStylePr w:type="band1Horz">
      <w:tblPr/>
      <w:tcPr>
        <w:shd w:val="clear" w:color="auto" w:fill="C7C8CA" w:themeFill="accent6" w:themeFillTint="66"/>
      </w:tcPr>
    </w:tblStylePr>
  </w:style>
  <w:style w:type="table" w:styleId="GridTable6Colorful">
    <w:name w:val="Grid Table 6 Colorful"/>
    <w:basedOn w:val="TableNormal"/>
    <w:uiPriority w:val="51"/>
    <w:rsid w:val="000116B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116B0"/>
    <w:pPr>
      <w:spacing w:line="240" w:lineRule="auto"/>
    </w:pPr>
    <w:rPr>
      <w:color w:val="638C1B" w:themeColor="accent1" w:themeShade="BF"/>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GridTable6Colorful-Accent2">
    <w:name w:val="Grid Table 6 Colorful Accent 2"/>
    <w:basedOn w:val="TableNormal"/>
    <w:uiPriority w:val="51"/>
    <w:rsid w:val="000116B0"/>
    <w:pPr>
      <w:spacing w:line="240" w:lineRule="auto"/>
    </w:pPr>
    <w:rPr>
      <w:color w:val="034F29" w:themeColor="accent2" w:themeShade="BF"/>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GridTable6Colorful-Accent3">
    <w:name w:val="Grid Table 6 Colorful Accent 3"/>
    <w:basedOn w:val="TableNormal"/>
    <w:uiPriority w:val="51"/>
    <w:rsid w:val="000116B0"/>
    <w:pPr>
      <w:spacing w:line="240" w:lineRule="auto"/>
    </w:pPr>
    <w:rPr>
      <w:color w:val="2291D1" w:themeColor="accent3" w:themeShade="BF"/>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GridTable6Colorful-Accent4">
    <w:name w:val="Grid Table 6 Colorful Accent 4"/>
    <w:basedOn w:val="TableNormal"/>
    <w:uiPriority w:val="51"/>
    <w:rsid w:val="000116B0"/>
    <w:pPr>
      <w:spacing w:line="240" w:lineRule="auto"/>
    </w:pPr>
    <w:rPr>
      <w:color w:val="00184E" w:themeColor="accent4" w:themeShade="BF"/>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GridTable6Colorful-Accent5">
    <w:name w:val="Grid Table 6 Colorful Accent 5"/>
    <w:basedOn w:val="TableNormal"/>
    <w:uiPriority w:val="51"/>
    <w:rsid w:val="000116B0"/>
    <w:pPr>
      <w:spacing w:line="240" w:lineRule="auto"/>
    </w:pPr>
    <w:rPr>
      <w:color w:val="00707E" w:themeColor="accent5" w:themeShade="BF"/>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GridTable6Colorful-Accent6">
    <w:name w:val="Grid Table 6 Colorful Accent 6"/>
    <w:basedOn w:val="TableNormal"/>
    <w:uiPriority w:val="51"/>
    <w:rsid w:val="000116B0"/>
    <w:pPr>
      <w:spacing w:line="240" w:lineRule="auto"/>
    </w:pPr>
    <w:rPr>
      <w:color w:val="57595C" w:themeColor="accent6" w:themeShade="BF"/>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GridTable7Colorful">
    <w:name w:val="Grid Table 7 Colorful"/>
    <w:basedOn w:val="TableNormal"/>
    <w:uiPriority w:val="52"/>
    <w:rsid w:val="000116B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116B0"/>
    <w:pPr>
      <w:spacing w:line="240" w:lineRule="auto"/>
    </w:pPr>
    <w:rPr>
      <w:color w:val="638C1B" w:themeColor="accent1" w:themeShade="BF"/>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styleId="GridTable7Colorful-Accent2">
    <w:name w:val="Grid Table 7 Colorful Accent 2"/>
    <w:basedOn w:val="TableNormal"/>
    <w:uiPriority w:val="52"/>
    <w:rsid w:val="000116B0"/>
    <w:pPr>
      <w:spacing w:line="240" w:lineRule="auto"/>
    </w:pPr>
    <w:rPr>
      <w:color w:val="034F29" w:themeColor="accent2" w:themeShade="BF"/>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styleId="GridTable7Colorful-Accent3">
    <w:name w:val="Grid Table 7 Colorful Accent 3"/>
    <w:basedOn w:val="TableNormal"/>
    <w:uiPriority w:val="52"/>
    <w:rsid w:val="000116B0"/>
    <w:pPr>
      <w:spacing w:line="240" w:lineRule="auto"/>
    </w:pPr>
    <w:rPr>
      <w:color w:val="2291D1" w:themeColor="accent3" w:themeShade="BF"/>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styleId="GridTable7Colorful-Accent4">
    <w:name w:val="Grid Table 7 Colorful Accent 4"/>
    <w:basedOn w:val="TableNormal"/>
    <w:uiPriority w:val="52"/>
    <w:rsid w:val="000116B0"/>
    <w:pPr>
      <w:spacing w:line="240" w:lineRule="auto"/>
    </w:pPr>
    <w:rPr>
      <w:color w:val="00184E" w:themeColor="accent4" w:themeShade="BF"/>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styleId="GridTable7Colorful-Accent5">
    <w:name w:val="Grid Table 7 Colorful Accent 5"/>
    <w:basedOn w:val="TableNormal"/>
    <w:uiPriority w:val="52"/>
    <w:rsid w:val="000116B0"/>
    <w:pPr>
      <w:spacing w:line="240" w:lineRule="auto"/>
    </w:pPr>
    <w:rPr>
      <w:color w:val="00707E" w:themeColor="accent5" w:themeShade="BF"/>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styleId="GridTable7Colorful-Accent6">
    <w:name w:val="Grid Table 7 Colorful Accent 6"/>
    <w:basedOn w:val="TableNormal"/>
    <w:uiPriority w:val="52"/>
    <w:rsid w:val="000116B0"/>
    <w:pPr>
      <w:spacing w:line="240" w:lineRule="auto"/>
    </w:pPr>
    <w:rPr>
      <w:color w:val="57595C" w:themeColor="accent6" w:themeShade="BF"/>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styleId="ListTable1Light">
    <w:name w:val="List Table 1 Light"/>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B9E370" w:themeColor="accent1" w:themeTint="99"/>
        </w:tcBorders>
      </w:tcPr>
    </w:tblStylePr>
    <w:tblStylePr w:type="lastRow">
      <w:rPr>
        <w:b/>
        <w:bCs/>
      </w:rPr>
      <w:tblPr/>
      <w:tcPr>
        <w:tcBorders>
          <w:top w:val="sing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1Light-Accent2">
    <w:name w:val="List Table 1 Light Accent 2"/>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17F689" w:themeColor="accent2" w:themeTint="99"/>
        </w:tcBorders>
      </w:tcPr>
    </w:tblStylePr>
    <w:tblStylePr w:type="lastRow">
      <w:rPr>
        <w:b/>
        <w:bCs/>
      </w:rPr>
      <w:tblPr/>
      <w:tcPr>
        <w:tcBorders>
          <w:top w:val="sing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ListTable1Light-Accent3">
    <w:name w:val="List Table 1 Light Accent 3"/>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A0D2EF" w:themeColor="accent3" w:themeTint="99"/>
        </w:tcBorders>
      </w:tcPr>
    </w:tblStylePr>
    <w:tblStylePr w:type="lastRow">
      <w:rPr>
        <w:b/>
        <w:bCs/>
      </w:rPr>
      <w:tblPr/>
      <w:tcPr>
        <w:tcBorders>
          <w:top w:val="sing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ListTable1Light-Accent4">
    <w:name w:val="List Table 1 Light Accent 4"/>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0E57FC" w:themeColor="accent4" w:themeTint="99"/>
        </w:tcBorders>
      </w:tcPr>
    </w:tblStylePr>
    <w:tblStylePr w:type="lastRow">
      <w:rPr>
        <w:b/>
        <w:bCs/>
      </w:rPr>
      <w:tblPr/>
      <w:tcPr>
        <w:tcBorders>
          <w:top w:val="sing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ListTable1Light-Accent5">
    <w:name w:val="List Table 1 Light Accent 5"/>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32E8FF" w:themeColor="accent5" w:themeTint="99"/>
        </w:tcBorders>
      </w:tcPr>
    </w:tblStylePr>
    <w:tblStylePr w:type="lastRow">
      <w:rPr>
        <w:b/>
        <w:bCs/>
      </w:rPr>
      <w:tblPr/>
      <w:tcPr>
        <w:tcBorders>
          <w:top w:val="sing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ListTable1Light-Accent6">
    <w:name w:val="List Table 1 Light Accent 6"/>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ABADB0" w:themeColor="accent6" w:themeTint="99"/>
        </w:tcBorders>
      </w:tcPr>
    </w:tblStylePr>
    <w:tblStylePr w:type="lastRow">
      <w:rPr>
        <w:b/>
        <w:bCs/>
      </w:rPr>
      <w:tblPr/>
      <w:tcPr>
        <w:tcBorders>
          <w:top w:val="sing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ListTable2">
    <w:name w:val="List Table 2"/>
    <w:basedOn w:val="TableNormal"/>
    <w:uiPriority w:val="47"/>
    <w:rsid w:val="000116B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116B0"/>
    <w:pPr>
      <w:spacing w:line="240" w:lineRule="auto"/>
    </w:pPr>
    <w:tblPr>
      <w:tblStyleRowBandSize w:val="1"/>
      <w:tblStyleColBandSize w:val="1"/>
      <w:tblBorders>
        <w:top w:val="single" w:sz="4" w:space="0" w:color="B9E370" w:themeColor="accent1" w:themeTint="99"/>
        <w:bottom w:val="single" w:sz="4" w:space="0" w:color="B9E370" w:themeColor="accent1" w:themeTint="99"/>
        <w:insideH w:val="single" w:sz="4" w:space="0" w:color="B9E3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2-Accent2">
    <w:name w:val="List Table 2 Accent 2"/>
    <w:basedOn w:val="TableNormal"/>
    <w:uiPriority w:val="47"/>
    <w:rsid w:val="000116B0"/>
    <w:pPr>
      <w:spacing w:line="240" w:lineRule="auto"/>
    </w:pPr>
    <w:tblPr>
      <w:tblStyleRowBandSize w:val="1"/>
      <w:tblStyleColBandSize w:val="1"/>
      <w:tblBorders>
        <w:top w:val="single" w:sz="4" w:space="0" w:color="17F689" w:themeColor="accent2" w:themeTint="99"/>
        <w:bottom w:val="single" w:sz="4" w:space="0" w:color="17F689" w:themeColor="accent2" w:themeTint="99"/>
        <w:insideH w:val="single" w:sz="4" w:space="0" w:color="17F6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ListTable2-Accent3">
    <w:name w:val="List Table 2 Accent 3"/>
    <w:basedOn w:val="TableNormal"/>
    <w:uiPriority w:val="47"/>
    <w:rsid w:val="000116B0"/>
    <w:pPr>
      <w:spacing w:line="240" w:lineRule="auto"/>
    </w:pPr>
    <w:tblPr>
      <w:tblStyleRowBandSize w:val="1"/>
      <w:tblStyleColBandSize w:val="1"/>
      <w:tblBorders>
        <w:top w:val="single" w:sz="4" w:space="0" w:color="A0D2EF" w:themeColor="accent3" w:themeTint="99"/>
        <w:bottom w:val="single" w:sz="4" w:space="0" w:color="A0D2EF" w:themeColor="accent3" w:themeTint="99"/>
        <w:insideH w:val="single" w:sz="4" w:space="0" w:color="A0D2E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ListTable2-Accent4">
    <w:name w:val="List Table 2 Accent 4"/>
    <w:basedOn w:val="TableNormal"/>
    <w:uiPriority w:val="47"/>
    <w:rsid w:val="000116B0"/>
    <w:pPr>
      <w:spacing w:line="240" w:lineRule="auto"/>
    </w:pPr>
    <w:tblPr>
      <w:tblStyleRowBandSize w:val="1"/>
      <w:tblStyleColBandSize w:val="1"/>
      <w:tblBorders>
        <w:top w:val="single" w:sz="4" w:space="0" w:color="0E57FC" w:themeColor="accent4" w:themeTint="99"/>
        <w:bottom w:val="single" w:sz="4" w:space="0" w:color="0E57FC" w:themeColor="accent4" w:themeTint="99"/>
        <w:insideH w:val="single" w:sz="4" w:space="0" w:color="0E57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ListTable2-Accent5">
    <w:name w:val="List Table 2 Accent 5"/>
    <w:basedOn w:val="TableNormal"/>
    <w:uiPriority w:val="47"/>
    <w:rsid w:val="000116B0"/>
    <w:pPr>
      <w:spacing w:line="240" w:lineRule="auto"/>
    </w:pPr>
    <w:tblPr>
      <w:tblStyleRowBandSize w:val="1"/>
      <w:tblStyleColBandSize w:val="1"/>
      <w:tblBorders>
        <w:top w:val="single" w:sz="4" w:space="0" w:color="32E8FF" w:themeColor="accent5" w:themeTint="99"/>
        <w:bottom w:val="single" w:sz="4" w:space="0" w:color="32E8FF" w:themeColor="accent5" w:themeTint="99"/>
        <w:insideH w:val="single" w:sz="4" w:space="0" w:color="32E8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ListTable2-Accent6">
    <w:name w:val="List Table 2 Accent 6"/>
    <w:basedOn w:val="TableNormal"/>
    <w:uiPriority w:val="47"/>
    <w:rsid w:val="000116B0"/>
    <w:pPr>
      <w:spacing w:line="240" w:lineRule="auto"/>
    </w:pPr>
    <w:tblPr>
      <w:tblStyleRowBandSize w:val="1"/>
      <w:tblStyleColBandSize w:val="1"/>
      <w:tblBorders>
        <w:top w:val="single" w:sz="4" w:space="0" w:color="ABADB0" w:themeColor="accent6" w:themeTint="99"/>
        <w:bottom w:val="single" w:sz="4" w:space="0" w:color="ABADB0" w:themeColor="accent6" w:themeTint="99"/>
        <w:insideH w:val="single" w:sz="4" w:space="0" w:color="ABADB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ListTable3">
    <w:name w:val="List Table 3"/>
    <w:basedOn w:val="TableNormal"/>
    <w:uiPriority w:val="48"/>
    <w:rsid w:val="000116B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116B0"/>
    <w:pPr>
      <w:spacing w:line="240" w:lineRule="auto"/>
    </w:pPr>
    <w:tblPr>
      <w:tblStyleRowBandSize w:val="1"/>
      <w:tblStyleColBandSize w:val="1"/>
      <w:tblBorders>
        <w:top w:val="single" w:sz="4" w:space="0" w:color="86BC25" w:themeColor="accent1"/>
        <w:left w:val="single" w:sz="4" w:space="0" w:color="86BC25" w:themeColor="accent1"/>
        <w:bottom w:val="single" w:sz="4" w:space="0" w:color="86BC25" w:themeColor="accent1"/>
        <w:right w:val="single" w:sz="4" w:space="0" w:color="86BC25" w:themeColor="accent1"/>
      </w:tblBorders>
    </w:tblPr>
    <w:tblStylePr w:type="firstRow">
      <w:rPr>
        <w:b/>
        <w:bCs/>
        <w:color w:val="FFFFFF" w:themeColor="background1"/>
      </w:rPr>
      <w:tblPr/>
      <w:tcPr>
        <w:shd w:val="clear" w:color="auto" w:fill="86BC25" w:themeFill="accent1"/>
      </w:tcPr>
    </w:tblStylePr>
    <w:tblStylePr w:type="lastRow">
      <w:rPr>
        <w:b/>
        <w:bCs/>
      </w:rPr>
      <w:tblPr/>
      <w:tcPr>
        <w:tcBorders>
          <w:top w:val="double" w:sz="4" w:space="0" w:color="86BC2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C25" w:themeColor="accent1"/>
          <w:right w:val="single" w:sz="4" w:space="0" w:color="86BC25" w:themeColor="accent1"/>
        </w:tcBorders>
      </w:tcPr>
    </w:tblStylePr>
    <w:tblStylePr w:type="band1Horz">
      <w:tblPr/>
      <w:tcPr>
        <w:tcBorders>
          <w:top w:val="single" w:sz="4" w:space="0" w:color="86BC25" w:themeColor="accent1"/>
          <w:bottom w:val="single" w:sz="4" w:space="0" w:color="86BC2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C25" w:themeColor="accent1"/>
          <w:left w:val="nil"/>
        </w:tcBorders>
      </w:tcPr>
    </w:tblStylePr>
    <w:tblStylePr w:type="swCell">
      <w:tblPr/>
      <w:tcPr>
        <w:tcBorders>
          <w:top w:val="double" w:sz="4" w:space="0" w:color="86BC25" w:themeColor="accent1"/>
          <w:right w:val="nil"/>
        </w:tcBorders>
      </w:tcPr>
    </w:tblStylePr>
  </w:style>
  <w:style w:type="table" w:styleId="ListTable3-Accent2">
    <w:name w:val="List Table 3 Accent 2"/>
    <w:basedOn w:val="TableNormal"/>
    <w:uiPriority w:val="48"/>
    <w:rsid w:val="000116B0"/>
    <w:pPr>
      <w:spacing w:line="240" w:lineRule="auto"/>
    </w:pPr>
    <w:tblPr>
      <w:tblStyleRowBandSize w:val="1"/>
      <w:tblStyleColBandSize w:val="1"/>
      <w:tblBorders>
        <w:top w:val="single" w:sz="4" w:space="0" w:color="046A38" w:themeColor="accent2"/>
        <w:left w:val="single" w:sz="4" w:space="0" w:color="046A38" w:themeColor="accent2"/>
        <w:bottom w:val="single" w:sz="4" w:space="0" w:color="046A38" w:themeColor="accent2"/>
        <w:right w:val="single" w:sz="4" w:space="0" w:color="046A38" w:themeColor="accent2"/>
      </w:tblBorders>
    </w:tblPr>
    <w:tblStylePr w:type="firstRow">
      <w:rPr>
        <w:b/>
        <w:bCs/>
        <w:color w:val="FFFFFF" w:themeColor="background1"/>
      </w:rPr>
      <w:tblPr/>
      <w:tcPr>
        <w:shd w:val="clear" w:color="auto" w:fill="046A38" w:themeFill="accent2"/>
      </w:tcPr>
    </w:tblStylePr>
    <w:tblStylePr w:type="lastRow">
      <w:rPr>
        <w:b/>
        <w:bCs/>
      </w:rPr>
      <w:tblPr/>
      <w:tcPr>
        <w:tcBorders>
          <w:top w:val="double" w:sz="4" w:space="0" w:color="046A3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6A38" w:themeColor="accent2"/>
          <w:right w:val="single" w:sz="4" w:space="0" w:color="046A38" w:themeColor="accent2"/>
        </w:tcBorders>
      </w:tcPr>
    </w:tblStylePr>
    <w:tblStylePr w:type="band1Horz">
      <w:tblPr/>
      <w:tcPr>
        <w:tcBorders>
          <w:top w:val="single" w:sz="4" w:space="0" w:color="046A38" w:themeColor="accent2"/>
          <w:bottom w:val="single" w:sz="4" w:space="0" w:color="046A3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6A38" w:themeColor="accent2"/>
          <w:left w:val="nil"/>
        </w:tcBorders>
      </w:tcPr>
    </w:tblStylePr>
    <w:tblStylePr w:type="swCell">
      <w:tblPr/>
      <w:tcPr>
        <w:tcBorders>
          <w:top w:val="double" w:sz="4" w:space="0" w:color="046A38" w:themeColor="accent2"/>
          <w:right w:val="nil"/>
        </w:tcBorders>
      </w:tcPr>
    </w:tblStylePr>
  </w:style>
  <w:style w:type="table" w:styleId="ListTable3-Accent3">
    <w:name w:val="List Table 3 Accent 3"/>
    <w:basedOn w:val="TableNormal"/>
    <w:uiPriority w:val="48"/>
    <w:rsid w:val="000116B0"/>
    <w:pPr>
      <w:spacing w:line="240" w:lineRule="auto"/>
    </w:pPr>
    <w:tblPr>
      <w:tblStyleRowBandSize w:val="1"/>
      <w:tblStyleColBandSize w:val="1"/>
      <w:tblBorders>
        <w:top w:val="single" w:sz="4" w:space="0" w:color="62B5E5" w:themeColor="accent3"/>
        <w:left w:val="single" w:sz="4" w:space="0" w:color="62B5E5" w:themeColor="accent3"/>
        <w:bottom w:val="single" w:sz="4" w:space="0" w:color="62B5E5" w:themeColor="accent3"/>
        <w:right w:val="single" w:sz="4" w:space="0" w:color="62B5E5" w:themeColor="accent3"/>
      </w:tblBorders>
    </w:tblPr>
    <w:tblStylePr w:type="firstRow">
      <w:rPr>
        <w:b/>
        <w:bCs/>
        <w:color w:val="FFFFFF" w:themeColor="background1"/>
      </w:rPr>
      <w:tblPr/>
      <w:tcPr>
        <w:shd w:val="clear" w:color="auto" w:fill="62B5E5" w:themeFill="accent3"/>
      </w:tcPr>
    </w:tblStylePr>
    <w:tblStylePr w:type="lastRow">
      <w:rPr>
        <w:b/>
        <w:bCs/>
      </w:rPr>
      <w:tblPr/>
      <w:tcPr>
        <w:tcBorders>
          <w:top w:val="double" w:sz="4" w:space="0" w:color="62B5E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B5E5" w:themeColor="accent3"/>
          <w:right w:val="single" w:sz="4" w:space="0" w:color="62B5E5" w:themeColor="accent3"/>
        </w:tcBorders>
      </w:tcPr>
    </w:tblStylePr>
    <w:tblStylePr w:type="band1Horz">
      <w:tblPr/>
      <w:tcPr>
        <w:tcBorders>
          <w:top w:val="single" w:sz="4" w:space="0" w:color="62B5E5" w:themeColor="accent3"/>
          <w:bottom w:val="single" w:sz="4" w:space="0" w:color="62B5E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B5E5" w:themeColor="accent3"/>
          <w:left w:val="nil"/>
        </w:tcBorders>
      </w:tcPr>
    </w:tblStylePr>
    <w:tblStylePr w:type="swCell">
      <w:tblPr/>
      <w:tcPr>
        <w:tcBorders>
          <w:top w:val="double" w:sz="4" w:space="0" w:color="62B5E5" w:themeColor="accent3"/>
          <w:right w:val="nil"/>
        </w:tcBorders>
      </w:tcPr>
    </w:tblStylePr>
  </w:style>
  <w:style w:type="table" w:styleId="ListTable3-Accent4">
    <w:name w:val="List Table 3 Accent 4"/>
    <w:basedOn w:val="TableNormal"/>
    <w:uiPriority w:val="48"/>
    <w:rsid w:val="000116B0"/>
    <w:pPr>
      <w:spacing w:line="240" w:lineRule="auto"/>
    </w:pPr>
    <w:tblPr>
      <w:tblStyleRowBandSize w:val="1"/>
      <w:tblStyleColBandSize w:val="1"/>
      <w:tblBorders>
        <w:top w:val="single" w:sz="4" w:space="0" w:color="012169" w:themeColor="accent4"/>
        <w:left w:val="single" w:sz="4" w:space="0" w:color="012169" w:themeColor="accent4"/>
        <w:bottom w:val="single" w:sz="4" w:space="0" w:color="012169" w:themeColor="accent4"/>
        <w:right w:val="single" w:sz="4" w:space="0" w:color="012169" w:themeColor="accent4"/>
      </w:tblBorders>
    </w:tblPr>
    <w:tblStylePr w:type="firstRow">
      <w:rPr>
        <w:b/>
        <w:bCs/>
        <w:color w:val="FFFFFF" w:themeColor="background1"/>
      </w:rPr>
      <w:tblPr/>
      <w:tcPr>
        <w:shd w:val="clear" w:color="auto" w:fill="012169" w:themeFill="accent4"/>
      </w:tcPr>
    </w:tblStylePr>
    <w:tblStylePr w:type="lastRow">
      <w:rPr>
        <w:b/>
        <w:bCs/>
      </w:rPr>
      <w:tblPr/>
      <w:tcPr>
        <w:tcBorders>
          <w:top w:val="double" w:sz="4" w:space="0" w:color="01216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2169" w:themeColor="accent4"/>
          <w:right w:val="single" w:sz="4" w:space="0" w:color="012169" w:themeColor="accent4"/>
        </w:tcBorders>
      </w:tcPr>
    </w:tblStylePr>
    <w:tblStylePr w:type="band1Horz">
      <w:tblPr/>
      <w:tcPr>
        <w:tcBorders>
          <w:top w:val="single" w:sz="4" w:space="0" w:color="012169" w:themeColor="accent4"/>
          <w:bottom w:val="single" w:sz="4" w:space="0" w:color="01216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2169" w:themeColor="accent4"/>
          <w:left w:val="nil"/>
        </w:tcBorders>
      </w:tcPr>
    </w:tblStylePr>
    <w:tblStylePr w:type="swCell">
      <w:tblPr/>
      <w:tcPr>
        <w:tcBorders>
          <w:top w:val="double" w:sz="4" w:space="0" w:color="012169" w:themeColor="accent4"/>
          <w:right w:val="nil"/>
        </w:tcBorders>
      </w:tcPr>
    </w:tblStylePr>
  </w:style>
  <w:style w:type="table" w:styleId="ListTable3-Accent5">
    <w:name w:val="List Table 3 Accent 5"/>
    <w:basedOn w:val="TableNormal"/>
    <w:uiPriority w:val="48"/>
    <w:rsid w:val="000116B0"/>
    <w:pPr>
      <w:spacing w:line="240" w:lineRule="auto"/>
    </w:pPr>
    <w:tblPr>
      <w:tblStyleRowBandSize w:val="1"/>
      <w:tblStyleColBandSize w:val="1"/>
      <w:tblBorders>
        <w:top w:val="single" w:sz="4" w:space="0" w:color="0097A9" w:themeColor="accent5"/>
        <w:left w:val="single" w:sz="4" w:space="0" w:color="0097A9" w:themeColor="accent5"/>
        <w:bottom w:val="single" w:sz="4" w:space="0" w:color="0097A9" w:themeColor="accent5"/>
        <w:right w:val="single" w:sz="4" w:space="0" w:color="0097A9" w:themeColor="accent5"/>
      </w:tblBorders>
    </w:tblPr>
    <w:tblStylePr w:type="firstRow">
      <w:rPr>
        <w:b/>
        <w:bCs/>
        <w:color w:val="FFFFFF" w:themeColor="background1"/>
      </w:rPr>
      <w:tblPr/>
      <w:tcPr>
        <w:shd w:val="clear" w:color="auto" w:fill="0097A9" w:themeFill="accent5"/>
      </w:tcPr>
    </w:tblStylePr>
    <w:tblStylePr w:type="lastRow">
      <w:rPr>
        <w:b/>
        <w:bCs/>
      </w:rPr>
      <w:tblPr/>
      <w:tcPr>
        <w:tcBorders>
          <w:top w:val="double" w:sz="4" w:space="0" w:color="0097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7A9" w:themeColor="accent5"/>
          <w:right w:val="single" w:sz="4" w:space="0" w:color="0097A9" w:themeColor="accent5"/>
        </w:tcBorders>
      </w:tcPr>
    </w:tblStylePr>
    <w:tblStylePr w:type="band1Horz">
      <w:tblPr/>
      <w:tcPr>
        <w:tcBorders>
          <w:top w:val="single" w:sz="4" w:space="0" w:color="0097A9" w:themeColor="accent5"/>
          <w:bottom w:val="single" w:sz="4" w:space="0" w:color="0097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7A9" w:themeColor="accent5"/>
          <w:left w:val="nil"/>
        </w:tcBorders>
      </w:tcPr>
    </w:tblStylePr>
    <w:tblStylePr w:type="swCell">
      <w:tblPr/>
      <w:tcPr>
        <w:tcBorders>
          <w:top w:val="double" w:sz="4" w:space="0" w:color="0097A9" w:themeColor="accent5"/>
          <w:right w:val="nil"/>
        </w:tcBorders>
      </w:tcPr>
    </w:tblStylePr>
  </w:style>
  <w:style w:type="table" w:styleId="ListTable3-Accent6">
    <w:name w:val="List Table 3 Accent 6"/>
    <w:basedOn w:val="TableNormal"/>
    <w:uiPriority w:val="48"/>
    <w:rsid w:val="000116B0"/>
    <w:pPr>
      <w:spacing w:line="240" w:lineRule="auto"/>
    </w:pPr>
    <w:tblPr>
      <w:tblStyleRowBandSize w:val="1"/>
      <w:tblStyleColBandSize w:val="1"/>
      <w:tblBorders>
        <w:top w:val="single" w:sz="4" w:space="0" w:color="75787B" w:themeColor="accent6"/>
        <w:left w:val="single" w:sz="4" w:space="0" w:color="75787B" w:themeColor="accent6"/>
        <w:bottom w:val="single" w:sz="4" w:space="0" w:color="75787B" w:themeColor="accent6"/>
        <w:right w:val="single" w:sz="4" w:space="0" w:color="75787B" w:themeColor="accent6"/>
      </w:tblBorders>
    </w:tblPr>
    <w:tblStylePr w:type="firstRow">
      <w:rPr>
        <w:b/>
        <w:bCs/>
        <w:color w:val="FFFFFF" w:themeColor="background1"/>
      </w:rPr>
      <w:tblPr/>
      <w:tcPr>
        <w:shd w:val="clear" w:color="auto" w:fill="75787B" w:themeFill="accent6"/>
      </w:tcPr>
    </w:tblStylePr>
    <w:tblStylePr w:type="lastRow">
      <w:rPr>
        <w:b/>
        <w:bCs/>
      </w:rPr>
      <w:tblPr/>
      <w:tcPr>
        <w:tcBorders>
          <w:top w:val="double" w:sz="4" w:space="0" w:color="75787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787B" w:themeColor="accent6"/>
          <w:right w:val="single" w:sz="4" w:space="0" w:color="75787B" w:themeColor="accent6"/>
        </w:tcBorders>
      </w:tcPr>
    </w:tblStylePr>
    <w:tblStylePr w:type="band1Horz">
      <w:tblPr/>
      <w:tcPr>
        <w:tcBorders>
          <w:top w:val="single" w:sz="4" w:space="0" w:color="75787B" w:themeColor="accent6"/>
          <w:bottom w:val="single" w:sz="4" w:space="0" w:color="75787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787B" w:themeColor="accent6"/>
          <w:left w:val="nil"/>
        </w:tcBorders>
      </w:tcPr>
    </w:tblStylePr>
    <w:tblStylePr w:type="swCell">
      <w:tblPr/>
      <w:tcPr>
        <w:tcBorders>
          <w:top w:val="double" w:sz="4" w:space="0" w:color="75787B" w:themeColor="accent6"/>
          <w:right w:val="nil"/>
        </w:tcBorders>
      </w:tcPr>
    </w:tblStylePr>
  </w:style>
  <w:style w:type="table" w:styleId="ListTable4">
    <w:name w:val="List Table 4"/>
    <w:basedOn w:val="TableNormal"/>
    <w:uiPriority w:val="49"/>
    <w:rsid w:val="000116B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116B0"/>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tcBorders>
        <w:shd w:val="clear" w:color="auto" w:fill="86BC25" w:themeFill="accent1"/>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4-Accent2">
    <w:name w:val="List Table 4 Accent 2"/>
    <w:basedOn w:val="TableNormal"/>
    <w:uiPriority w:val="49"/>
    <w:rsid w:val="000116B0"/>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tcBorders>
        <w:shd w:val="clear" w:color="auto" w:fill="046A38" w:themeFill="accent2"/>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ListTable4-Accent3">
    <w:name w:val="List Table 4 Accent 3"/>
    <w:basedOn w:val="TableNormal"/>
    <w:uiPriority w:val="49"/>
    <w:rsid w:val="000116B0"/>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tcBorders>
        <w:shd w:val="clear" w:color="auto" w:fill="62B5E5" w:themeFill="accent3"/>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ListTable4-Accent4">
    <w:name w:val="List Table 4 Accent 4"/>
    <w:basedOn w:val="TableNormal"/>
    <w:uiPriority w:val="49"/>
    <w:rsid w:val="000116B0"/>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tcBorders>
        <w:shd w:val="clear" w:color="auto" w:fill="012169" w:themeFill="accent4"/>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ListTable4-Accent5">
    <w:name w:val="List Table 4 Accent 5"/>
    <w:basedOn w:val="TableNormal"/>
    <w:uiPriority w:val="49"/>
    <w:rsid w:val="000116B0"/>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tcBorders>
        <w:shd w:val="clear" w:color="auto" w:fill="0097A9" w:themeFill="accent5"/>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ListTable4-Accent6">
    <w:name w:val="List Table 4 Accent 6"/>
    <w:basedOn w:val="TableNormal"/>
    <w:uiPriority w:val="49"/>
    <w:rsid w:val="000116B0"/>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tcBorders>
        <w:shd w:val="clear" w:color="auto" w:fill="75787B" w:themeFill="accent6"/>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ListTable5Dark">
    <w:name w:val="List Table 5 Dark"/>
    <w:basedOn w:val="TableNormal"/>
    <w:uiPriority w:val="50"/>
    <w:rsid w:val="000116B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116B0"/>
    <w:pPr>
      <w:spacing w:line="240" w:lineRule="auto"/>
    </w:pPr>
    <w:rPr>
      <w:color w:val="FFFFFF" w:themeColor="background1"/>
    </w:rPr>
    <w:tblPr>
      <w:tblStyleRowBandSize w:val="1"/>
      <w:tblStyleColBandSize w:val="1"/>
      <w:tblBorders>
        <w:top w:val="single" w:sz="24" w:space="0" w:color="86BC25" w:themeColor="accent1"/>
        <w:left w:val="single" w:sz="24" w:space="0" w:color="86BC25" w:themeColor="accent1"/>
        <w:bottom w:val="single" w:sz="24" w:space="0" w:color="86BC25" w:themeColor="accent1"/>
        <w:right w:val="single" w:sz="24" w:space="0" w:color="86BC25" w:themeColor="accent1"/>
      </w:tblBorders>
    </w:tblPr>
    <w:tcPr>
      <w:shd w:val="clear" w:color="auto" w:fill="86BC2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116B0"/>
    <w:pPr>
      <w:spacing w:line="240" w:lineRule="auto"/>
    </w:pPr>
    <w:rPr>
      <w:color w:val="FFFFFF" w:themeColor="background1"/>
    </w:rPr>
    <w:tblPr>
      <w:tblStyleRowBandSize w:val="1"/>
      <w:tblStyleColBandSize w:val="1"/>
      <w:tblBorders>
        <w:top w:val="single" w:sz="24" w:space="0" w:color="046A38" w:themeColor="accent2"/>
        <w:left w:val="single" w:sz="24" w:space="0" w:color="046A38" w:themeColor="accent2"/>
        <w:bottom w:val="single" w:sz="24" w:space="0" w:color="046A38" w:themeColor="accent2"/>
        <w:right w:val="single" w:sz="24" w:space="0" w:color="046A38" w:themeColor="accent2"/>
      </w:tblBorders>
    </w:tblPr>
    <w:tcPr>
      <w:shd w:val="clear" w:color="auto" w:fill="046A3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116B0"/>
    <w:pPr>
      <w:spacing w:line="240" w:lineRule="auto"/>
    </w:pPr>
    <w:rPr>
      <w:color w:val="FFFFFF" w:themeColor="background1"/>
    </w:rPr>
    <w:tblPr>
      <w:tblStyleRowBandSize w:val="1"/>
      <w:tblStyleColBandSize w:val="1"/>
      <w:tblBorders>
        <w:top w:val="single" w:sz="24" w:space="0" w:color="62B5E5" w:themeColor="accent3"/>
        <w:left w:val="single" w:sz="24" w:space="0" w:color="62B5E5" w:themeColor="accent3"/>
        <w:bottom w:val="single" w:sz="24" w:space="0" w:color="62B5E5" w:themeColor="accent3"/>
        <w:right w:val="single" w:sz="24" w:space="0" w:color="62B5E5" w:themeColor="accent3"/>
      </w:tblBorders>
    </w:tblPr>
    <w:tcPr>
      <w:shd w:val="clear" w:color="auto" w:fill="62B5E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116B0"/>
    <w:pPr>
      <w:spacing w:line="240" w:lineRule="auto"/>
    </w:pPr>
    <w:rPr>
      <w:color w:val="FFFFFF" w:themeColor="background1"/>
    </w:rPr>
    <w:tblPr>
      <w:tblStyleRowBandSize w:val="1"/>
      <w:tblStyleColBandSize w:val="1"/>
      <w:tblBorders>
        <w:top w:val="single" w:sz="24" w:space="0" w:color="012169" w:themeColor="accent4"/>
        <w:left w:val="single" w:sz="24" w:space="0" w:color="012169" w:themeColor="accent4"/>
        <w:bottom w:val="single" w:sz="24" w:space="0" w:color="012169" w:themeColor="accent4"/>
        <w:right w:val="single" w:sz="24" w:space="0" w:color="012169" w:themeColor="accent4"/>
      </w:tblBorders>
    </w:tblPr>
    <w:tcPr>
      <w:shd w:val="clear" w:color="auto" w:fill="01216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116B0"/>
    <w:pPr>
      <w:spacing w:line="240" w:lineRule="auto"/>
    </w:pPr>
    <w:rPr>
      <w:color w:val="FFFFFF" w:themeColor="background1"/>
    </w:rPr>
    <w:tblPr>
      <w:tblStyleRowBandSize w:val="1"/>
      <w:tblStyleColBandSize w:val="1"/>
      <w:tblBorders>
        <w:top w:val="single" w:sz="24" w:space="0" w:color="0097A9" w:themeColor="accent5"/>
        <w:left w:val="single" w:sz="24" w:space="0" w:color="0097A9" w:themeColor="accent5"/>
        <w:bottom w:val="single" w:sz="24" w:space="0" w:color="0097A9" w:themeColor="accent5"/>
        <w:right w:val="single" w:sz="24" w:space="0" w:color="0097A9" w:themeColor="accent5"/>
      </w:tblBorders>
    </w:tblPr>
    <w:tcPr>
      <w:shd w:val="clear" w:color="auto" w:fill="0097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116B0"/>
    <w:pPr>
      <w:spacing w:line="240" w:lineRule="auto"/>
    </w:pPr>
    <w:rPr>
      <w:color w:val="FFFFFF" w:themeColor="background1"/>
    </w:rPr>
    <w:tblPr>
      <w:tblStyleRowBandSize w:val="1"/>
      <w:tblStyleColBandSize w:val="1"/>
      <w:tblBorders>
        <w:top w:val="single" w:sz="24" w:space="0" w:color="75787B" w:themeColor="accent6"/>
        <w:left w:val="single" w:sz="24" w:space="0" w:color="75787B" w:themeColor="accent6"/>
        <w:bottom w:val="single" w:sz="24" w:space="0" w:color="75787B" w:themeColor="accent6"/>
        <w:right w:val="single" w:sz="24" w:space="0" w:color="75787B" w:themeColor="accent6"/>
      </w:tblBorders>
    </w:tblPr>
    <w:tcPr>
      <w:shd w:val="clear" w:color="auto" w:fill="75787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116B0"/>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116B0"/>
    <w:pPr>
      <w:spacing w:line="240" w:lineRule="auto"/>
    </w:pPr>
    <w:rPr>
      <w:color w:val="638C1B" w:themeColor="accent1" w:themeShade="BF"/>
    </w:rPr>
    <w:tblPr>
      <w:tblStyleRowBandSize w:val="1"/>
      <w:tblStyleColBandSize w:val="1"/>
      <w:tblBorders>
        <w:top w:val="single" w:sz="4" w:space="0" w:color="86BC25" w:themeColor="accent1"/>
        <w:bottom w:val="single" w:sz="4" w:space="0" w:color="86BC25" w:themeColor="accent1"/>
      </w:tblBorders>
    </w:tblPr>
    <w:tblStylePr w:type="firstRow">
      <w:rPr>
        <w:b/>
        <w:bCs/>
      </w:rPr>
      <w:tblPr/>
      <w:tcPr>
        <w:tcBorders>
          <w:bottom w:val="single" w:sz="4" w:space="0" w:color="86BC25" w:themeColor="accent1"/>
        </w:tcBorders>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6Colorful-Accent2">
    <w:name w:val="List Table 6 Colorful Accent 2"/>
    <w:basedOn w:val="TableNormal"/>
    <w:uiPriority w:val="51"/>
    <w:rsid w:val="000116B0"/>
    <w:pPr>
      <w:spacing w:line="240" w:lineRule="auto"/>
    </w:pPr>
    <w:rPr>
      <w:color w:val="034F29" w:themeColor="accent2" w:themeShade="BF"/>
    </w:rPr>
    <w:tblPr>
      <w:tblStyleRowBandSize w:val="1"/>
      <w:tblStyleColBandSize w:val="1"/>
      <w:tblBorders>
        <w:top w:val="single" w:sz="4" w:space="0" w:color="046A38" w:themeColor="accent2"/>
        <w:bottom w:val="single" w:sz="4" w:space="0" w:color="046A38" w:themeColor="accent2"/>
      </w:tblBorders>
    </w:tblPr>
    <w:tblStylePr w:type="firstRow">
      <w:rPr>
        <w:b/>
        <w:bCs/>
      </w:rPr>
      <w:tblPr/>
      <w:tcPr>
        <w:tcBorders>
          <w:bottom w:val="single" w:sz="4" w:space="0" w:color="046A38" w:themeColor="accent2"/>
        </w:tcBorders>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ListTable6Colorful-Accent3">
    <w:name w:val="List Table 6 Colorful Accent 3"/>
    <w:basedOn w:val="TableNormal"/>
    <w:uiPriority w:val="51"/>
    <w:rsid w:val="000116B0"/>
    <w:pPr>
      <w:spacing w:line="240" w:lineRule="auto"/>
    </w:pPr>
    <w:rPr>
      <w:color w:val="2291D1" w:themeColor="accent3" w:themeShade="BF"/>
    </w:rPr>
    <w:tblPr>
      <w:tblStyleRowBandSize w:val="1"/>
      <w:tblStyleColBandSize w:val="1"/>
      <w:tblBorders>
        <w:top w:val="single" w:sz="4" w:space="0" w:color="62B5E5" w:themeColor="accent3"/>
        <w:bottom w:val="single" w:sz="4" w:space="0" w:color="62B5E5" w:themeColor="accent3"/>
      </w:tblBorders>
    </w:tblPr>
    <w:tblStylePr w:type="firstRow">
      <w:rPr>
        <w:b/>
        <w:bCs/>
      </w:rPr>
      <w:tblPr/>
      <w:tcPr>
        <w:tcBorders>
          <w:bottom w:val="single" w:sz="4" w:space="0" w:color="62B5E5" w:themeColor="accent3"/>
        </w:tcBorders>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ListTable6Colorful-Accent4">
    <w:name w:val="List Table 6 Colorful Accent 4"/>
    <w:basedOn w:val="TableNormal"/>
    <w:uiPriority w:val="51"/>
    <w:rsid w:val="000116B0"/>
    <w:pPr>
      <w:spacing w:line="240" w:lineRule="auto"/>
    </w:pPr>
    <w:rPr>
      <w:color w:val="00184E" w:themeColor="accent4" w:themeShade="BF"/>
    </w:rPr>
    <w:tblPr>
      <w:tblStyleRowBandSize w:val="1"/>
      <w:tblStyleColBandSize w:val="1"/>
      <w:tblBorders>
        <w:top w:val="single" w:sz="4" w:space="0" w:color="012169" w:themeColor="accent4"/>
        <w:bottom w:val="single" w:sz="4" w:space="0" w:color="012169" w:themeColor="accent4"/>
      </w:tblBorders>
    </w:tblPr>
    <w:tblStylePr w:type="firstRow">
      <w:rPr>
        <w:b/>
        <w:bCs/>
      </w:rPr>
      <w:tblPr/>
      <w:tcPr>
        <w:tcBorders>
          <w:bottom w:val="single" w:sz="4" w:space="0" w:color="012169" w:themeColor="accent4"/>
        </w:tcBorders>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ListTable6Colorful-Accent5">
    <w:name w:val="List Table 6 Colorful Accent 5"/>
    <w:basedOn w:val="TableNormal"/>
    <w:uiPriority w:val="51"/>
    <w:rsid w:val="000116B0"/>
    <w:pPr>
      <w:spacing w:line="240" w:lineRule="auto"/>
    </w:pPr>
    <w:rPr>
      <w:color w:val="00707E" w:themeColor="accent5" w:themeShade="BF"/>
    </w:rPr>
    <w:tblPr>
      <w:tblStyleRowBandSize w:val="1"/>
      <w:tblStyleColBandSize w:val="1"/>
      <w:tblBorders>
        <w:top w:val="single" w:sz="4" w:space="0" w:color="0097A9" w:themeColor="accent5"/>
        <w:bottom w:val="single" w:sz="4" w:space="0" w:color="0097A9" w:themeColor="accent5"/>
      </w:tblBorders>
    </w:tblPr>
    <w:tblStylePr w:type="firstRow">
      <w:rPr>
        <w:b/>
        <w:bCs/>
      </w:rPr>
      <w:tblPr/>
      <w:tcPr>
        <w:tcBorders>
          <w:bottom w:val="single" w:sz="4" w:space="0" w:color="0097A9" w:themeColor="accent5"/>
        </w:tcBorders>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ListTable6Colorful-Accent6">
    <w:name w:val="List Table 6 Colorful Accent 6"/>
    <w:basedOn w:val="TableNormal"/>
    <w:uiPriority w:val="51"/>
    <w:rsid w:val="000116B0"/>
    <w:pPr>
      <w:spacing w:line="240" w:lineRule="auto"/>
    </w:pPr>
    <w:rPr>
      <w:color w:val="57595C" w:themeColor="accent6" w:themeShade="BF"/>
    </w:rPr>
    <w:tblPr>
      <w:tblStyleRowBandSize w:val="1"/>
      <w:tblStyleColBandSize w:val="1"/>
      <w:tblBorders>
        <w:top w:val="single" w:sz="4" w:space="0" w:color="75787B" w:themeColor="accent6"/>
        <w:bottom w:val="single" w:sz="4" w:space="0" w:color="75787B" w:themeColor="accent6"/>
      </w:tblBorders>
    </w:tblPr>
    <w:tblStylePr w:type="firstRow">
      <w:rPr>
        <w:b/>
        <w:bCs/>
      </w:rPr>
      <w:tblPr/>
      <w:tcPr>
        <w:tcBorders>
          <w:bottom w:val="single" w:sz="4" w:space="0" w:color="75787B" w:themeColor="accent6"/>
        </w:tcBorders>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ListTable7Colorful">
    <w:name w:val="List Table 7 Colorful"/>
    <w:basedOn w:val="TableNormal"/>
    <w:uiPriority w:val="52"/>
    <w:rsid w:val="000116B0"/>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116B0"/>
    <w:pPr>
      <w:spacing w:line="240" w:lineRule="auto"/>
    </w:pPr>
    <w:rPr>
      <w:color w:val="638C1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C2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C2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C2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C25" w:themeColor="accent1"/>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116B0"/>
    <w:pPr>
      <w:spacing w:line="240" w:lineRule="auto"/>
    </w:pPr>
    <w:rPr>
      <w:color w:val="034F2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6A3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6A3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6A3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6A38" w:themeColor="accent2"/>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116B0"/>
    <w:pPr>
      <w:spacing w:line="240" w:lineRule="auto"/>
    </w:pPr>
    <w:rPr>
      <w:color w:val="2291D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B5E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B5E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B5E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B5E5" w:themeColor="accent3"/>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116B0"/>
    <w:pPr>
      <w:spacing w:line="240" w:lineRule="auto"/>
    </w:pPr>
    <w:rPr>
      <w:color w:val="00184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216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216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216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2169" w:themeColor="accent4"/>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116B0"/>
    <w:pPr>
      <w:spacing w:line="240" w:lineRule="auto"/>
    </w:pPr>
    <w:rPr>
      <w:color w:val="00707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7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7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7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7A9" w:themeColor="accent5"/>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116B0"/>
    <w:pPr>
      <w:spacing w:line="240" w:lineRule="auto"/>
    </w:pPr>
    <w:rPr>
      <w:color w:val="57595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787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787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787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787B" w:themeColor="accent6"/>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116B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116B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116B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16B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16B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0116B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Gitter1">
    <w:name w:val="Tabel - Gitter1"/>
    <w:basedOn w:val="TableNormal"/>
    <w:next w:val="TableGrid"/>
    <w:uiPriority w:val="59"/>
    <w:rsid w:val="001E349B"/>
    <w:pPr>
      <w:spacing w:line="240" w:lineRule="auto"/>
    </w:p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Pullout-QuoteBlue">
    <w:name w:val="Pullout - Quote Blue"/>
    <w:basedOn w:val="PulloutBlue"/>
    <w:uiPriority w:val="6"/>
    <w:rsid w:val="00D67839"/>
    <w:pPr>
      <w:ind w:left="227" w:right="227"/>
    </w:pPr>
    <w:rPr>
      <w:i/>
    </w:rPr>
  </w:style>
  <w:style w:type="paragraph" w:customStyle="1" w:styleId="Pullout-QuoteGreen">
    <w:name w:val="Pullout - Quote Green"/>
    <w:basedOn w:val="Pullout-QuoteBlue"/>
    <w:qFormat/>
    <w:rsid w:val="001D3B36"/>
    <w:rPr>
      <w:color w:val="86BC25" w:themeColor="accent1"/>
    </w:rPr>
  </w:style>
  <w:style w:type="paragraph" w:customStyle="1" w:styleId="paragraph">
    <w:name w:val="paragraph"/>
    <w:basedOn w:val="Normal"/>
    <w:rsid w:val="00541FB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41FB1"/>
  </w:style>
  <w:style w:type="character" w:customStyle="1" w:styleId="eop">
    <w:name w:val="eop"/>
    <w:basedOn w:val="DefaultParagraphFont"/>
    <w:rsid w:val="00541FB1"/>
  </w:style>
  <w:style w:type="character" w:customStyle="1" w:styleId="contextualspellingandgrammarerror">
    <w:name w:val="contextualspellingandgrammarerror"/>
    <w:basedOn w:val="DefaultParagraphFont"/>
    <w:rsid w:val="00541FB1"/>
  </w:style>
  <w:style w:type="character" w:customStyle="1" w:styleId="spellingerror">
    <w:name w:val="spellingerror"/>
    <w:basedOn w:val="DefaultParagraphFont"/>
    <w:rsid w:val="00541FB1"/>
  </w:style>
  <w:style w:type="character" w:customStyle="1" w:styleId="advancedproofingissue">
    <w:name w:val="advancedproofingissue"/>
    <w:basedOn w:val="DefaultParagraphFont"/>
    <w:rsid w:val="00541FB1"/>
  </w:style>
  <w:style w:type="character" w:customStyle="1" w:styleId="ListParagraphChar">
    <w:name w:val="List Paragraph Char"/>
    <w:aliases w:val="Use Case List Paragraph Char,List Paragraph - bullets Char,standard lewis Char,Numbered Para 1 Char,Dot pt Char,No Spacing1 Char,List Paragraph Char Char Char Char,Indicator Text Char,List Paragraph1 Char,Bullet Points Char,B1 Char"/>
    <w:basedOn w:val="DefaultParagraphFont"/>
    <w:link w:val="ListParagraph"/>
    <w:uiPriority w:val="34"/>
    <w:qFormat/>
    <w:rsid w:val="0053023B"/>
    <w:rPr>
      <w:lang w:val="en-AU"/>
    </w:rPr>
  </w:style>
  <w:style w:type="paragraph" w:styleId="Revision">
    <w:name w:val="Revision"/>
    <w:hidden/>
    <w:uiPriority w:val="99"/>
    <w:semiHidden/>
    <w:rsid w:val="003F3369"/>
    <w:pPr>
      <w:spacing w:line="240" w:lineRule="auto"/>
    </w:pPr>
    <w:rPr>
      <w:lang w:val="en-AU"/>
    </w:rPr>
  </w:style>
  <w:style w:type="character" w:styleId="Mention">
    <w:name w:val="Mention"/>
    <w:basedOn w:val="DefaultParagraphFont"/>
    <w:uiPriority w:val="99"/>
    <w:unhideWhenUsed/>
    <w:rsid w:val="00F7594C"/>
    <w:rPr>
      <w:color w:val="2B579A"/>
      <w:shd w:val="clear" w:color="auto" w:fill="E1DFDD"/>
    </w:rPr>
  </w:style>
  <w:style w:type="character" w:styleId="UnresolvedMention">
    <w:name w:val="Unresolved Mention"/>
    <w:basedOn w:val="DefaultParagraphFont"/>
    <w:uiPriority w:val="99"/>
    <w:semiHidden/>
    <w:unhideWhenUsed/>
    <w:rsid w:val="009A71C2"/>
    <w:rPr>
      <w:color w:val="605E5C"/>
      <w:shd w:val="clear" w:color="auto" w:fill="E1DFDD"/>
    </w:rPr>
  </w:style>
  <w:style w:type="character" w:customStyle="1" w:styleId="author">
    <w:name w:val="author"/>
    <w:basedOn w:val="DefaultParagraphFont"/>
    <w:rsid w:val="00A70906"/>
  </w:style>
  <w:style w:type="character" w:customStyle="1" w:styleId="nlmstring-name">
    <w:name w:val="nlm_string-name"/>
    <w:basedOn w:val="DefaultParagraphFont"/>
    <w:rsid w:val="00A10820"/>
  </w:style>
  <w:style w:type="character" w:customStyle="1" w:styleId="nlmgiven-names">
    <w:name w:val="nlm_given-names"/>
    <w:basedOn w:val="DefaultParagraphFont"/>
    <w:rsid w:val="00A10820"/>
  </w:style>
  <w:style w:type="character" w:customStyle="1" w:styleId="nlmpublisher-name">
    <w:name w:val="nlm_publisher-name"/>
    <w:basedOn w:val="DefaultParagraphFont"/>
    <w:rsid w:val="00A10820"/>
  </w:style>
  <w:style w:type="character" w:customStyle="1" w:styleId="nlmpublisher-loc">
    <w:name w:val="nlm_publisher-loc"/>
    <w:basedOn w:val="DefaultParagraphFont"/>
    <w:rsid w:val="00A10820"/>
  </w:style>
  <w:style w:type="character" w:customStyle="1" w:styleId="A6">
    <w:name w:val="A6"/>
    <w:uiPriority w:val="99"/>
    <w:rsid w:val="00C5554E"/>
    <w:rPr>
      <w:rFonts w:cs="Proxima Nova Light"/>
      <w:color w:val="000000"/>
      <w:sz w:val="19"/>
      <w:szCs w:val="1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60176">
      <w:bodyDiv w:val="1"/>
      <w:marLeft w:val="0"/>
      <w:marRight w:val="0"/>
      <w:marTop w:val="0"/>
      <w:marBottom w:val="0"/>
      <w:divBdr>
        <w:top w:val="none" w:sz="0" w:space="0" w:color="auto"/>
        <w:left w:val="none" w:sz="0" w:space="0" w:color="auto"/>
        <w:bottom w:val="none" w:sz="0" w:space="0" w:color="auto"/>
        <w:right w:val="none" w:sz="0" w:space="0" w:color="auto"/>
      </w:divBdr>
    </w:div>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247272703">
      <w:bodyDiv w:val="1"/>
      <w:marLeft w:val="0"/>
      <w:marRight w:val="0"/>
      <w:marTop w:val="0"/>
      <w:marBottom w:val="0"/>
      <w:divBdr>
        <w:top w:val="none" w:sz="0" w:space="0" w:color="auto"/>
        <w:left w:val="none" w:sz="0" w:space="0" w:color="auto"/>
        <w:bottom w:val="none" w:sz="0" w:space="0" w:color="auto"/>
        <w:right w:val="none" w:sz="0" w:space="0" w:color="auto"/>
      </w:divBdr>
    </w:div>
    <w:div w:id="257451620">
      <w:bodyDiv w:val="1"/>
      <w:marLeft w:val="0"/>
      <w:marRight w:val="0"/>
      <w:marTop w:val="0"/>
      <w:marBottom w:val="0"/>
      <w:divBdr>
        <w:top w:val="none" w:sz="0" w:space="0" w:color="auto"/>
        <w:left w:val="none" w:sz="0" w:space="0" w:color="auto"/>
        <w:bottom w:val="none" w:sz="0" w:space="0" w:color="auto"/>
        <w:right w:val="none" w:sz="0" w:space="0" w:color="auto"/>
      </w:divBdr>
      <w:divsChild>
        <w:div w:id="60718332">
          <w:marLeft w:val="274"/>
          <w:marRight w:val="0"/>
          <w:marTop w:val="0"/>
          <w:marBottom w:val="0"/>
          <w:divBdr>
            <w:top w:val="none" w:sz="0" w:space="0" w:color="auto"/>
            <w:left w:val="none" w:sz="0" w:space="0" w:color="auto"/>
            <w:bottom w:val="none" w:sz="0" w:space="0" w:color="auto"/>
            <w:right w:val="none" w:sz="0" w:space="0" w:color="auto"/>
          </w:divBdr>
        </w:div>
        <w:div w:id="246043168">
          <w:marLeft w:val="274"/>
          <w:marRight w:val="0"/>
          <w:marTop w:val="0"/>
          <w:marBottom w:val="0"/>
          <w:divBdr>
            <w:top w:val="none" w:sz="0" w:space="0" w:color="auto"/>
            <w:left w:val="none" w:sz="0" w:space="0" w:color="auto"/>
            <w:bottom w:val="none" w:sz="0" w:space="0" w:color="auto"/>
            <w:right w:val="none" w:sz="0" w:space="0" w:color="auto"/>
          </w:divBdr>
        </w:div>
        <w:div w:id="1023827855">
          <w:marLeft w:val="274"/>
          <w:marRight w:val="0"/>
          <w:marTop w:val="0"/>
          <w:marBottom w:val="0"/>
          <w:divBdr>
            <w:top w:val="none" w:sz="0" w:space="0" w:color="auto"/>
            <w:left w:val="none" w:sz="0" w:space="0" w:color="auto"/>
            <w:bottom w:val="none" w:sz="0" w:space="0" w:color="auto"/>
            <w:right w:val="none" w:sz="0" w:space="0" w:color="auto"/>
          </w:divBdr>
        </w:div>
        <w:div w:id="1254627829">
          <w:marLeft w:val="274"/>
          <w:marRight w:val="0"/>
          <w:marTop w:val="0"/>
          <w:marBottom w:val="0"/>
          <w:divBdr>
            <w:top w:val="none" w:sz="0" w:space="0" w:color="auto"/>
            <w:left w:val="none" w:sz="0" w:space="0" w:color="auto"/>
            <w:bottom w:val="none" w:sz="0" w:space="0" w:color="auto"/>
            <w:right w:val="none" w:sz="0" w:space="0" w:color="auto"/>
          </w:divBdr>
        </w:div>
        <w:div w:id="1291475676">
          <w:marLeft w:val="274"/>
          <w:marRight w:val="0"/>
          <w:marTop w:val="0"/>
          <w:marBottom w:val="0"/>
          <w:divBdr>
            <w:top w:val="none" w:sz="0" w:space="0" w:color="auto"/>
            <w:left w:val="none" w:sz="0" w:space="0" w:color="auto"/>
            <w:bottom w:val="none" w:sz="0" w:space="0" w:color="auto"/>
            <w:right w:val="none" w:sz="0" w:space="0" w:color="auto"/>
          </w:divBdr>
        </w:div>
        <w:div w:id="1665085196">
          <w:marLeft w:val="274"/>
          <w:marRight w:val="0"/>
          <w:marTop w:val="0"/>
          <w:marBottom w:val="0"/>
          <w:divBdr>
            <w:top w:val="none" w:sz="0" w:space="0" w:color="auto"/>
            <w:left w:val="none" w:sz="0" w:space="0" w:color="auto"/>
            <w:bottom w:val="none" w:sz="0" w:space="0" w:color="auto"/>
            <w:right w:val="none" w:sz="0" w:space="0" w:color="auto"/>
          </w:divBdr>
        </w:div>
        <w:div w:id="1923296915">
          <w:marLeft w:val="274"/>
          <w:marRight w:val="0"/>
          <w:marTop w:val="0"/>
          <w:marBottom w:val="0"/>
          <w:divBdr>
            <w:top w:val="none" w:sz="0" w:space="0" w:color="auto"/>
            <w:left w:val="none" w:sz="0" w:space="0" w:color="auto"/>
            <w:bottom w:val="none" w:sz="0" w:space="0" w:color="auto"/>
            <w:right w:val="none" w:sz="0" w:space="0" w:color="auto"/>
          </w:divBdr>
        </w:div>
      </w:divsChild>
    </w:div>
    <w:div w:id="282659900">
      <w:bodyDiv w:val="1"/>
      <w:marLeft w:val="0"/>
      <w:marRight w:val="0"/>
      <w:marTop w:val="0"/>
      <w:marBottom w:val="0"/>
      <w:divBdr>
        <w:top w:val="none" w:sz="0" w:space="0" w:color="auto"/>
        <w:left w:val="none" w:sz="0" w:space="0" w:color="auto"/>
        <w:bottom w:val="none" w:sz="0" w:space="0" w:color="auto"/>
        <w:right w:val="none" w:sz="0" w:space="0" w:color="auto"/>
      </w:divBdr>
    </w:div>
    <w:div w:id="306788579">
      <w:bodyDiv w:val="1"/>
      <w:marLeft w:val="0"/>
      <w:marRight w:val="0"/>
      <w:marTop w:val="0"/>
      <w:marBottom w:val="0"/>
      <w:divBdr>
        <w:top w:val="none" w:sz="0" w:space="0" w:color="auto"/>
        <w:left w:val="none" w:sz="0" w:space="0" w:color="auto"/>
        <w:bottom w:val="none" w:sz="0" w:space="0" w:color="auto"/>
        <w:right w:val="none" w:sz="0" w:space="0" w:color="auto"/>
      </w:divBdr>
    </w:div>
    <w:div w:id="327637080">
      <w:bodyDiv w:val="1"/>
      <w:marLeft w:val="0"/>
      <w:marRight w:val="0"/>
      <w:marTop w:val="0"/>
      <w:marBottom w:val="0"/>
      <w:divBdr>
        <w:top w:val="none" w:sz="0" w:space="0" w:color="auto"/>
        <w:left w:val="none" w:sz="0" w:space="0" w:color="auto"/>
        <w:bottom w:val="none" w:sz="0" w:space="0" w:color="auto"/>
        <w:right w:val="none" w:sz="0" w:space="0" w:color="auto"/>
      </w:divBdr>
    </w:div>
    <w:div w:id="337008067">
      <w:bodyDiv w:val="1"/>
      <w:marLeft w:val="0"/>
      <w:marRight w:val="0"/>
      <w:marTop w:val="0"/>
      <w:marBottom w:val="0"/>
      <w:divBdr>
        <w:top w:val="none" w:sz="0" w:space="0" w:color="auto"/>
        <w:left w:val="none" w:sz="0" w:space="0" w:color="auto"/>
        <w:bottom w:val="none" w:sz="0" w:space="0" w:color="auto"/>
        <w:right w:val="none" w:sz="0" w:space="0" w:color="auto"/>
      </w:divBdr>
    </w:div>
    <w:div w:id="355616005">
      <w:bodyDiv w:val="1"/>
      <w:marLeft w:val="0"/>
      <w:marRight w:val="0"/>
      <w:marTop w:val="0"/>
      <w:marBottom w:val="0"/>
      <w:divBdr>
        <w:top w:val="none" w:sz="0" w:space="0" w:color="auto"/>
        <w:left w:val="none" w:sz="0" w:space="0" w:color="auto"/>
        <w:bottom w:val="none" w:sz="0" w:space="0" w:color="auto"/>
        <w:right w:val="none" w:sz="0" w:space="0" w:color="auto"/>
      </w:divBdr>
      <w:divsChild>
        <w:div w:id="461730634">
          <w:marLeft w:val="0"/>
          <w:marRight w:val="0"/>
          <w:marTop w:val="0"/>
          <w:marBottom w:val="0"/>
          <w:divBdr>
            <w:top w:val="none" w:sz="0" w:space="0" w:color="auto"/>
            <w:left w:val="none" w:sz="0" w:space="0" w:color="auto"/>
            <w:bottom w:val="none" w:sz="0" w:space="0" w:color="auto"/>
            <w:right w:val="none" w:sz="0" w:space="0" w:color="auto"/>
          </w:divBdr>
          <w:divsChild>
            <w:div w:id="143861921">
              <w:marLeft w:val="0"/>
              <w:marRight w:val="0"/>
              <w:marTop w:val="0"/>
              <w:marBottom w:val="0"/>
              <w:divBdr>
                <w:top w:val="none" w:sz="0" w:space="0" w:color="auto"/>
                <w:left w:val="none" w:sz="0" w:space="0" w:color="auto"/>
                <w:bottom w:val="none" w:sz="0" w:space="0" w:color="auto"/>
                <w:right w:val="none" w:sz="0" w:space="0" w:color="auto"/>
              </w:divBdr>
              <w:divsChild>
                <w:div w:id="1814060893">
                  <w:marLeft w:val="0"/>
                  <w:marRight w:val="0"/>
                  <w:marTop w:val="0"/>
                  <w:marBottom w:val="0"/>
                  <w:divBdr>
                    <w:top w:val="none" w:sz="0" w:space="0" w:color="auto"/>
                    <w:left w:val="none" w:sz="0" w:space="0" w:color="auto"/>
                    <w:bottom w:val="none" w:sz="0" w:space="0" w:color="auto"/>
                    <w:right w:val="none" w:sz="0" w:space="0" w:color="auto"/>
                  </w:divBdr>
                </w:div>
              </w:divsChild>
            </w:div>
            <w:div w:id="218907712">
              <w:marLeft w:val="0"/>
              <w:marRight w:val="0"/>
              <w:marTop w:val="0"/>
              <w:marBottom w:val="0"/>
              <w:divBdr>
                <w:top w:val="none" w:sz="0" w:space="0" w:color="auto"/>
                <w:left w:val="none" w:sz="0" w:space="0" w:color="auto"/>
                <w:bottom w:val="none" w:sz="0" w:space="0" w:color="auto"/>
                <w:right w:val="none" w:sz="0" w:space="0" w:color="auto"/>
              </w:divBdr>
              <w:divsChild>
                <w:div w:id="1568763328">
                  <w:marLeft w:val="0"/>
                  <w:marRight w:val="0"/>
                  <w:marTop w:val="0"/>
                  <w:marBottom w:val="0"/>
                  <w:divBdr>
                    <w:top w:val="none" w:sz="0" w:space="0" w:color="auto"/>
                    <w:left w:val="none" w:sz="0" w:space="0" w:color="auto"/>
                    <w:bottom w:val="none" w:sz="0" w:space="0" w:color="auto"/>
                    <w:right w:val="none" w:sz="0" w:space="0" w:color="auto"/>
                  </w:divBdr>
                </w:div>
              </w:divsChild>
            </w:div>
            <w:div w:id="255554452">
              <w:marLeft w:val="0"/>
              <w:marRight w:val="0"/>
              <w:marTop w:val="0"/>
              <w:marBottom w:val="0"/>
              <w:divBdr>
                <w:top w:val="none" w:sz="0" w:space="0" w:color="auto"/>
                <w:left w:val="none" w:sz="0" w:space="0" w:color="auto"/>
                <w:bottom w:val="none" w:sz="0" w:space="0" w:color="auto"/>
                <w:right w:val="none" w:sz="0" w:space="0" w:color="auto"/>
              </w:divBdr>
              <w:divsChild>
                <w:div w:id="1895726643">
                  <w:marLeft w:val="0"/>
                  <w:marRight w:val="0"/>
                  <w:marTop w:val="0"/>
                  <w:marBottom w:val="0"/>
                  <w:divBdr>
                    <w:top w:val="none" w:sz="0" w:space="0" w:color="auto"/>
                    <w:left w:val="none" w:sz="0" w:space="0" w:color="auto"/>
                    <w:bottom w:val="none" w:sz="0" w:space="0" w:color="auto"/>
                    <w:right w:val="none" w:sz="0" w:space="0" w:color="auto"/>
                  </w:divBdr>
                </w:div>
              </w:divsChild>
            </w:div>
            <w:div w:id="287859625">
              <w:marLeft w:val="0"/>
              <w:marRight w:val="0"/>
              <w:marTop w:val="0"/>
              <w:marBottom w:val="0"/>
              <w:divBdr>
                <w:top w:val="none" w:sz="0" w:space="0" w:color="auto"/>
                <w:left w:val="none" w:sz="0" w:space="0" w:color="auto"/>
                <w:bottom w:val="none" w:sz="0" w:space="0" w:color="auto"/>
                <w:right w:val="none" w:sz="0" w:space="0" w:color="auto"/>
              </w:divBdr>
              <w:divsChild>
                <w:div w:id="2018846143">
                  <w:marLeft w:val="0"/>
                  <w:marRight w:val="0"/>
                  <w:marTop w:val="0"/>
                  <w:marBottom w:val="0"/>
                  <w:divBdr>
                    <w:top w:val="none" w:sz="0" w:space="0" w:color="auto"/>
                    <w:left w:val="none" w:sz="0" w:space="0" w:color="auto"/>
                    <w:bottom w:val="none" w:sz="0" w:space="0" w:color="auto"/>
                    <w:right w:val="none" w:sz="0" w:space="0" w:color="auto"/>
                  </w:divBdr>
                </w:div>
              </w:divsChild>
            </w:div>
            <w:div w:id="322123710">
              <w:marLeft w:val="0"/>
              <w:marRight w:val="0"/>
              <w:marTop w:val="0"/>
              <w:marBottom w:val="0"/>
              <w:divBdr>
                <w:top w:val="none" w:sz="0" w:space="0" w:color="auto"/>
                <w:left w:val="none" w:sz="0" w:space="0" w:color="auto"/>
                <w:bottom w:val="none" w:sz="0" w:space="0" w:color="auto"/>
                <w:right w:val="none" w:sz="0" w:space="0" w:color="auto"/>
              </w:divBdr>
              <w:divsChild>
                <w:div w:id="836071185">
                  <w:marLeft w:val="0"/>
                  <w:marRight w:val="0"/>
                  <w:marTop w:val="0"/>
                  <w:marBottom w:val="0"/>
                  <w:divBdr>
                    <w:top w:val="none" w:sz="0" w:space="0" w:color="auto"/>
                    <w:left w:val="none" w:sz="0" w:space="0" w:color="auto"/>
                    <w:bottom w:val="none" w:sz="0" w:space="0" w:color="auto"/>
                    <w:right w:val="none" w:sz="0" w:space="0" w:color="auto"/>
                  </w:divBdr>
                </w:div>
              </w:divsChild>
            </w:div>
            <w:div w:id="381253041">
              <w:marLeft w:val="0"/>
              <w:marRight w:val="0"/>
              <w:marTop w:val="0"/>
              <w:marBottom w:val="0"/>
              <w:divBdr>
                <w:top w:val="none" w:sz="0" w:space="0" w:color="auto"/>
                <w:left w:val="none" w:sz="0" w:space="0" w:color="auto"/>
                <w:bottom w:val="none" w:sz="0" w:space="0" w:color="auto"/>
                <w:right w:val="none" w:sz="0" w:space="0" w:color="auto"/>
              </w:divBdr>
              <w:divsChild>
                <w:div w:id="20791084">
                  <w:marLeft w:val="0"/>
                  <w:marRight w:val="0"/>
                  <w:marTop w:val="0"/>
                  <w:marBottom w:val="0"/>
                  <w:divBdr>
                    <w:top w:val="none" w:sz="0" w:space="0" w:color="auto"/>
                    <w:left w:val="none" w:sz="0" w:space="0" w:color="auto"/>
                    <w:bottom w:val="none" w:sz="0" w:space="0" w:color="auto"/>
                    <w:right w:val="none" w:sz="0" w:space="0" w:color="auto"/>
                  </w:divBdr>
                </w:div>
              </w:divsChild>
            </w:div>
            <w:div w:id="482043823">
              <w:marLeft w:val="0"/>
              <w:marRight w:val="0"/>
              <w:marTop w:val="0"/>
              <w:marBottom w:val="0"/>
              <w:divBdr>
                <w:top w:val="none" w:sz="0" w:space="0" w:color="auto"/>
                <w:left w:val="none" w:sz="0" w:space="0" w:color="auto"/>
                <w:bottom w:val="none" w:sz="0" w:space="0" w:color="auto"/>
                <w:right w:val="none" w:sz="0" w:space="0" w:color="auto"/>
              </w:divBdr>
              <w:divsChild>
                <w:div w:id="574046033">
                  <w:marLeft w:val="0"/>
                  <w:marRight w:val="0"/>
                  <w:marTop w:val="0"/>
                  <w:marBottom w:val="0"/>
                  <w:divBdr>
                    <w:top w:val="none" w:sz="0" w:space="0" w:color="auto"/>
                    <w:left w:val="none" w:sz="0" w:space="0" w:color="auto"/>
                    <w:bottom w:val="none" w:sz="0" w:space="0" w:color="auto"/>
                    <w:right w:val="none" w:sz="0" w:space="0" w:color="auto"/>
                  </w:divBdr>
                </w:div>
              </w:divsChild>
            </w:div>
            <w:div w:id="508910022">
              <w:marLeft w:val="0"/>
              <w:marRight w:val="0"/>
              <w:marTop w:val="0"/>
              <w:marBottom w:val="0"/>
              <w:divBdr>
                <w:top w:val="none" w:sz="0" w:space="0" w:color="auto"/>
                <w:left w:val="none" w:sz="0" w:space="0" w:color="auto"/>
                <w:bottom w:val="none" w:sz="0" w:space="0" w:color="auto"/>
                <w:right w:val="none" w:sz="0" w:space="0" w:color="auto"/>
              </w:divBdr>
              <w:divsChild>
                <w:div w:id="797337648">
                  <w:marLeft w:val="0"/>
                  <w:marRight w:val="0"/>
                  <w:marTop w:val="0"/>
                  <w:marBottom w:val="0"/>
                  <w:divBdr>
                    <w:top w:val="none" w:sz="0" w:space="0" w:color="auto"/>
                    <w:left w:val="none" w:sz="0" w:space="0" w:color="auto"/>
                    <w:bottom w:val="none" w:sz="0" w:space="0" w:color="auto"/>
                    <w:right w:val="none" w:sz="0" w:space="0" w:color="auto"/>
                  </w:divBdr>
                </w:div>
              </w:divsChild>
            </w:div>
            <w:div w:id="523790902">
              <w:marLeft w:val="0"/>
              <w:marRight w:val="0"/>
              <w:marTop w:val="0"/>
              <w:marBottom w:val="0"/>
              <w:divBdr>
                <w:top w:val="none" w:sz="0" w:space="0" w:color="auto"/>
                <w:left w:val="none" w:sz="0" w:space="0" w:color="auto"/>
                <w:bottom w:val="none" w:sz="0" w:space="0" w:color="auto"/>
                <w:right w:val="none" w:sz="0" w:space="0" w:color="auto"/>
              </w:divBdr>
              <w:divsChild>
                <w:div w:id="1164009913">
                  <w:marLeft w:val="0"/>
                  <w:marRight w:val="0"/>
                  <w:marTop w:val="0"/>
                  <w:marBottom w:val="0"/>
                  <w:divBdr>
                    <w:top w:val="none" w:sz="0" w:space="0" w:color="auto"/>
                    <w:left w:val="none" w:sz="0" w:space="0" w:color="auto"/>
                    <w:bottom w:val="none" w:sz="0" w:space="0" w:color="auto"/>
                    <w:right w:val="none" w:sz="0" w:space="0" w:color="auto"/>
                  </w:divBdr>
                </w:div>
              </w:divsChild>
            </w:div>
            <w:div w:id="557715930">
              <w:marLeft w:val="0"/>
              <w:marRight w:val="0"/>
              <w:marTop w:val="0"/>
              <w:marBottom w:val="0"/>
              <w:divBdr>
                <w:top w:val="none" w:sz="0" w:space="0" w:color="auto"/>
                <w:left w:val="none" w:sz="0" w:space="0" w:color="auto"/>
                <w:bottom w:val="none" w:sz="0" w:space="0" w:color="auto"/>
                <w:right w:val="none" w:sz="0" w:space="0" w:color="auto"/>
              </w:divBdr>
              <w:divsChild>
                <w:div w:id="294067156">
                  <w:marLeft w:val="0"/>
                  <w:marRight w:val="0"/>
                  <w:marTop w:val="0"/>
                  <w:marBottom w:val="0"/>
                  <w:divBdr>
                    <w:top w:val="none" w:sz="0" w:space="0" w:color="auto"/>
                    <w:left w:val="none" w:sz="0" w:space="0" w:color="auto"/>
                    <w:bottom w:val="none" w:sz="0" w:space="0" w:color="auto"/>
                    <w:right w:val="none" w:sz="0" w:space="0" w:color="auto"/>
                  </w:divBdr>
                </w:div>
              </w:divsChild>
            </w:div>
            <w:div w:id="569508323">
              <w:marLeft w:val="0"/>
              <w:marRight w:val="0"/>
              <w:marTop w:val="0"/>
              <w:marBottom w:val="0"/>
              <w:divBdr>
                <w:top w:val="none" w:sz="0" w:space="0" w:color="auto"/>
                <w:left w:val="none" w:sz="0" w:space="0" w:color="auto"/>
                <w:bottom w:val="none" w:sz="0" w:space="0" w:color="auto"/>
                <w:right w:val="none" w:sz="0" w:space="0" w:color="auto"/>
              </w:divBdr>
              <w:divsChild>
                <w:div w:id="1489200976">
                  <w:marLeft w:val="0"/>
                  <w:marRight w:val="0"/>
                  <w:marTop w:val="0"/>
                  <w:marBottom w:val="0"/>
                  <w:divBdr>
                    <w:top w:val="none" w:sz="0" w:space="0" w:color="auto"/>
                    <w:left w:val="none" w:sz="0" w:space="0" w:color="auto"/>
                    <w:bottom w:val="none" w:sz="0" w:space="0" w:color="auto"/>
                    <w:right w:val="none" w:sz="0" w:space="0" w:color="auto"/>
                  </w:divBdr>
                </w:div>
              </w:divsChild>
            </w:div>
            <w:div w:id="611009883">
              <w:marLeft w:val="0"/>
              <w:marRight w:val="0"/>
              <w:marTop w:val="0"/>
              <w:marBottom w:val="0"/>
              <w:divBdr>
                <w:top w:val="none" w:sz="0" w:space="0" w:color="auto"/>
                <w:left w:val="none" w:sz="0" w:space="0" w:color="auto"/>
                <w:bottom w:val="none" w:sz="0" w:space="0" w:color="auto"/>
                <w:right w:val="none" w:sz="0" w:space="0" w:color="auto"/>
              </w:divBdr>
              <w:divsChild>
                <w:div w:id="1456874369">
                  <w:marLeft w:val="0"/>
                  <w:marRight w:val="0"/>
                  <w:marTop w:val="0"/>
                  <w:marBottom w:val="0"/>
                  <w:divBdr>
                    <w:top w:val="none" w:sz="0" w:space="0" w:color="auto"/>
                    <w:left w:val="none" w:sz="0" w:space="0" w:color="auto"/>
                    <w:bottom w:val="none" w:sz="0" w:space="0" w:color="auto"/>
                    <w:right w:val="none" w:sz="0" w:space="0" w:color="auto"/>
                  </w:divBdr>
                </w:div>
              </w:divsChild>
            </w:div>
            <w:div w:id="735783320">
              <w:marLeft w:val="0"/>
              <w:marRight w:val="0"/>
              <w:marTop w:val="0"/>
              <w:marBottom w:val="0"/>
              <w:divBdr>
                <w:top w:val="none" w:sz="0" w:space="0" w:color="auto"/>
                <w:left w:val="none" w:sz="0" w:space="0" w:color="auto"/>
                <w:bottom w:val="none" w:sz="0" w:space="0" w:color="auto"/>
                <w:right w:val="none" w:sz="0" w:space="0" w:color="auto"/>
              </w:divBdr>
              <w:divsChild>
                <w:div w:id="286933148">
                  <w:marLeft w:val="0"/>
                  <w:marRight w:val="0"/>
                  <w:marTop w:val="0"/>
                  <w:marBottom w:val="0"/>
                  <w:divBdr>
                    <w:top w:val="none" w:sz="0" w:space="0" w:color="auto"/>
                    <w:left w:val="none" w:sz="0" w:space="0" w:color="auto"/>
                    <w:bottom w:val="none" w:sz="0" w:space="0" w:color="auto"/>
                    <w:right w:val="none" w:sz="0" w:space="0" w:color="auto"/>
                  </w:divBdr>
                </w:div>
              </w:divsChild>
            </w:div>
            <w:div w:id="738407355">
              <w:marLeft w:val="0"/>
              <w:marRight w:val="0"/>
              <w:marTop w:val="0"/>
              <w:marBottom w:val="0"/>
              <w:divBdr>
                <w:top w:val="none" w:sz="0" w:space="0" w:color="auto"/>
                <w:left w:val="none" w:sz="0" w:space="0" w:color="auto"/>
                <w:bottom w:val="none" w:sz="0" w:space="0" w:color="auto"/>
                <w:right w:val="none" w:sz="0" w:space="0" w:color="auto"/>
              </w:divBdr>
              <w:divsChild>
                <w:div w:id="1117409487">
                  <w:marLeft w:val="0"/>
                  <w:marRight w:val="0"/>
                  <w:marTop w:val="0"/>
                  <w:marBottom w:val="0"/>
                  <w:divBdr>
                    <w:top w:val="none" w:sz="0" w:space="0" w:color="auto"/>
                    <w:left w:val="none" w:sz="0" w:space="0" w:color="auto"/>
                    <w:bottom w:val="none" w:sz="0" w:space="0" w:color="auto"/>
                    <w:right w:val="none" w:sz="0" w:space="0" w:color="auto"/>
                  </w:divBdr>
                </w:div>
              </w:divsChild>
            </w:div>
            <w:div w:id="786699247">
              <w:marLeft w:val="0"/>
              <w:marRight w:val="0"/>
              <w:marTop w:val="0"/>
              <w:marBottom w:val="0"/>
              <w:divBdr>
                <w:top w:val="none" w:sz="0" w:space="0" w:color="auto"/>
                <w:left w:val="none" w:sz="0" w:space="0" w:color="auto"/>
                <w:bottom w:val="none" w:sz="0" w:space="0" w:color="auto"/>
                <w:right w:val="none" w:sz="0" w:space="0" w:color="auto"/>
              </w:divBdr>
              <w:divsChild>
                <w:div w:id="1958490210">
                  <w:marLeft w:val="0"/>
                  <w:marRight w:val="0"/>
                  <w:marTop w:val="0"/>
                  <w:marBottom w:val="0"/>
                  <w:divBdr>
                    <w:top w:val="none" w:sz="0" w:space="0" w:color="auto"/>
                    <w:left w:val="none" w:sz="0" w:space="0" w:color="auto"/>
                    <w:bottom w:val="none" w:sz="0" w:space="0" w:color="auto"/>
                    <w:right w:val="none" w:sz="0" w:space="0" w:color="auto"/>
                  </w:divBdr>
                </w:div>
              </w:divsChild>
            </w:div>
            <w:div w:id="848447409">
              <w:marLeft w:val="0"/>
              <w:marRight w:val="0"/>
              <w:marTop w:val="0"/>
              <w:marBottom w:val="0"/>
              <w:divBdr>
                <w:top w:val="none" w:sz="0" w:space="0" w:color="auto"/>
                <w:left w:val="none" w:sz="0" w:space="0" w:color="auto"/>
                <w:bottom w:val="none" w:sz="0" w:space="0" w:color="auto"/>
                <w:right w:val="none" w:sz="0" w:space="0" w:color="auto"/>
              </w:divBdr>
              <w:divsChild>
                <w:div w:id="221257364">
                  <w:marLeft w:val="0"/>
                  <w:marRight w:val="0"/>
                  <w:marTop w:val="0"/>
                  <w:marBottom w:val="0"/>
                  <w:divBdr>
                    <w:top w:val="none" w:sz="0" w:space="0" w:color="auto"/>
                    <w:left w:val="none" w:sz="0" w:space="0" w:color="auto"/>
                    <w:bottom w:val="none" w:sz="0" w:space="0" w:color="auto"/>
                    <w:right w:val="none" w:sz="0" w:space="0" w:color="auto"/>
                  </w:divBdr>
                </w:div>
              </w:divsChild>
            </w:div>
            <w:div w:id="920874899">
              <w:marLeft w:val="0"/>
              <w:marRight w:val="0"/>
              <w:marTop w:val="0"/>
              <w:marBottom w:val="0"/>
              <w:divBdr>
                <w:top w:val="none" w:sz="0" w:space="0" w:color="auto"/>
                <w:left w:val="none" w:sz="0" w:space="0" w:color="auto"/>
                <w:bottom w:val="none" w:sz="0" w:space="0" w:color="auto"/>
                <w:right w:val="none" w:sz="0" w:space="0" w:color="auto"/>
              </w:divBdr>
              <w:divsChild>
                <w:div w:id="1767654266">
                  <w:marLeft w:val="0"/>
                  <w:marRight w:val="0"/>
                  <w:marTop w:val="0"/>
                  <w:marBottom w:val="0"/>
                  <w:divBdr>
                    <w:top w:val="none" w:sz="0" w:space="0" w:color="auto"/>
                    <w:left w:val="none" w:sz="0" w:space="0" w:color="auto"/>
                    <w:bottom w:val="none" w:sz="0" w:space="0" w:color="auto"/>
                    <w:right w:val="none" w:sz="0" w:space="0" w:color="auto"/>
                  </w:divBdr>
                </w:div>
              </w:divsChild>
            </w:div>
            <w:div w:id="1041057139">
              <w:marLeft w:val="0"/>
              <w:marRight w:val="0"/>
              <w:marTop w:val="0"/>
              <w:marBottom w:val="0"/>
              <w:divBdr>
                <w:top w:val="none" w:sz="0" w:space="0" w:color="auto"/>
                <w:left w:val="none" w:sz="0" w:space="0" w:color="auto"/>
                <w:bottom w:val="none" w:sz="0" w:space="0" w:color="auto"/>
                <w:right w:val="none" w:sz="0" w:space="0" w:color="auto"/>
              </w:divBdr>
              <w:divsChild>
                <w:div w:id="1552620374">
                  <w:marLeft w:val="0"/>
                  <w:marRight w:val="0"/>
                  <w:marTop w:val="0"/>
                  <w:marBottom w:val="0"/>
                  <w:divBdr>
                    <w:top w:val="none" w:sz="0" w:space="0" w:color="auto"/>
                    <w:left w:val="none" w:sz="0" w:space="0" w:color="auto"/>
                    <w:bottom w:val="none" w:sz="0" w:space="0" w:color="auto"/>
                    <w:right w:val="none" w:sz="0" w:space="0" w:color="auto"/>
                  </w:divBdr>
                </w:div>
              </w:divsChild>
            </w:div>
            <w:div w:id="1129973461">
              <w:marLeft w:val="0"/>
              <w:marRight w:val="0"/>
              <w:marTop w:val="0"/>
              <w:marBottom w:val="0"/>
              <w:divBdr>
                <w:top w:val="none" w:sz="0" w:space="0" w:color="auto"/>
                <w:left w:val="none" w:sz="0" w:space="0" w:color="auto"/>
                <w:bottom w:val="none" w:sz="0" w:space="0" w:color="auto"/>
                <w:right w:val="none" w:sz="0" w:space="0" w:color="auto"/>
              </w:divBdr>
              <w:divsChild>
                <w:div w:id="647563299">
                  <w:marLeft w:val="0"/>
                  <w:marRight w:val="0"/>
                  <w:marTop w:val="0"/>
                  <w:marBottom w:val="0"/>
                  <w:divBdr>
                    <w:top w:val="none" w:sz="0" w:space="0" w:color="auto"/>
                    <w:left w:val="none" w:sz="0" w:space="0" w:color="auto"/>
                    <w:bottom w:val="none" w:sz="0" w:space="0" w:color="auto"/>
                    <w:right w:val="none" w:sz="0" w:space="0" w:color="auto"/>
                  </w:divBdr>
                </w:div>
              </w:divsChild>
            </w:div>
            <w:div w:id="1146358255">
              <w:marLeft w:val="0"/>
              <w:marRight w:val="0"/>
              <w:marTop w:val="0"/>
              <w:marBottom w:val="0"/>
              <w:divBdr>
                <w:top w:val="none" w:sz="0" w:space="0" w:color="auto"/>
                <w:left w:val="none" w:sz="0" w:space="0" w:color="auto"/>
                <w:bottom w:val="none" w:sz="0" w:space="0" w:color="auto"/>
                <w:right w:val="none" w:sz="0" w:space="0" w:color="auto"/>
              </w:divBdr>
              <w:divsChild>
                <w:div w:id="243729477">
                  <w:marLeft w:val="0"/>
                  <w:marRight w:val="0"/>
                  <w:marTop w:val="0"/>
                  <w:marBottom w:val="0"/>
                  <w:divBdr>
                    <w:top w:val="none" w:sz="0" w:space="0" w:color="auto"/>
                    <w:left w:val="none" w:sz="0" w:space="0" w:color="auto"/>
                    <w:bottom w:val="none" w:sz="0" w:space="0" w:color="auto"/>
                    <w:right w:val="none" w:sz="0" w:space="0" w:color="auto"/>
                  </w:divBdr>
                </w:div>
              </w:divsChild>
            </w:div>
            <w:div w:id="1165587695">
              <w:marLeft w:val="0"/>
              <w:marRight w:val="0"/>
              <w:marTop w:val="0"/>
              <w:marBottom w:val="0"/>
              <w:divBdr>
                <w:top w:val="none" w:sz="0" w:space="0" w:color="auto"/>
                <w:left w:val="none" w:sz="0" w:space="0" w:color="auto"/>
                <w:bottom w:val="none" w:sz="0" w:space="0" w:color="auto"/>
                <w:right w:val="none" w:sz="0" w:space="0" w:color="auto"/>
              </w:divBdr>
              <w:divsChild>
                <w:div w:id="876696113">
                  <w:marLeft w:val="0"/>
                  <w:marRight w:val="0"/>
                  <w:marTop w:val="0"/>
                  <w:marBottom w:val="0"/>
                  <w:divBdr>
                    <w:top w:val="none" w:sz="0" w:space="0" w:color="auto"/>
                    <w:left w:val="none" w:sz="0" w:space="0" w:color="auto"/>
                    <w:bottom w:val="none" w:sz="0" w:space="0" w:color="auto"/>
                    <w:right w:val="none" w:sz="0" w:space="0" w:color="auto"/>
                  </w:divBdr>
                </w:div>
              </w:divsChild>
            </w:div>
            <w:div w:id="1236551015">
              <w:marLeft w:val="0"/>
              <w:marRight w:val="0"/>
              <w:marTop w:val="0"/>
              <w:marBottom w:val="0"/>
              <w:divBdr>
                <w:top w:val="none" w:sz="0" w:space="0" w:color="auto"/>
                <w:left w:val="none" w:sz="0" w:space="0" w:color="auto"/>
                <w:bottom w:val="none" w:sz="0" w:space="0" w:color="auto"/>
                <w:right w:val="none" w:sz="0" w:space="0" w:color="auto"/>
              </w:divBdr>
              <w:divsChild>
                <w:div w:id="250747234">
                  <w:marLeft w:val="0"/>
                  <w:marRight w:val="0"/>
                  <w:marTop w:val="0"/>
                  <w:marBottom w:val="0"/>
                  <w:divBdr>
                    <w:top w:val="none" w:sz="0" w:space="0" w:color="auto"/>
                    <w:left w:val="none" w:sz="0" w:space="0" w:color="auto"/>
                    <w:bottom w:val="none" w:sz="0" w:space="0" w:color="auto"/>
                    <w:right w:val="none" w:sz="0" w:space="0" w:color="auto"/>
                  </w:divBdr>
                </w:div>
              </w:divsChild>
            </w:div>
            <w:div w:id="1312296134">
              <w:marLeft w:val="0"/>
              <w:marRight w:val="0"/>
              <w:marTop w:val="0"/>
              <w:marBottom w:val="0"/>
              <w:divBdr>
                <w:top w:val="none" w:sz="0" w:space="0" w:color="auto"/>
                <w:left w:val="none" w:sz="0" w:space="0" w:color="auto"/>
                <w:bottom w:val="none" w:sz="0" w:space="0" w:color="auto"/>
                <w:right w:val="none" w:sz="0" w:space="0" w:color="auto"/>
              </w:divBdr>
              <w:divsChild>
                <w:div w:id="958726700">
                  <w:marLeft w:val="0"/>
                  <w:marRight w:val="0"/>
                  <w:marTop w:val="0"/>
                  <w:marBottom w:val="0"/>
                  <w:divBdr>
                    <w:top w:val="none" w:sz="0" w:space="0" w:color="auto"/>
                    <w:left w:val="none" w:sz="0" w:space="0" w:color="auto"/>
                    <w:bottom w:val="none" w:sz="0" w:space="0" w:color="auto"/>
                    <w:right w:val="none" w:sz="0" w:space="0" w:color="auto"/>
                  </w:divBdr>
                </w:div>
              </w:divsChild>
            </w:div>
            <w:div w:id="1319654971">
              <w:marLeft w:val="0"/>
              <w:marRight w:val="0"/>
              <w:marTop w:val="0"/>
              <w:marBottom w:val="0"/>
              <w:divBdr>
                <w:top w:val="none" w:sz="0" w:space="0" w:color="auto"/>
                <w:left w:val="none" w:sz="0" w:space="0" w:color="auto"/>
                <w:bottom w:val="none" w:sz="0" w:space="0" w:color="auto"/>
                <w:right w:val="none" w:sz="0" w:space="0" w:color="auto"/>
              </w:divBdr>
              <w:divsChild>
                <w:div w:id="1391998872">
                  <w:marLeft w:val="0"/>
                  <w:marRight w:val="0"/>
                  <w:marTop w:val="0"/>
                  <w:marBottom w:val="0"/>
                  <w:divBdr>
                    <w:top w:val="none" w:sz="0" w:space="0" w:color="auto"/>
                    <w:left w:val="none" w:sz="0" w:space="0" w:color="auto"/>
                    <w:bottom w:val="none" w:sz="0" w:space="0" w:color="auto"/>
                    <w:right w:val="none" w:sz="0" w:space="0" w:color="auto"/>
                  </w:divBdr>
                </w:div>
              </w:divsChild>
            </w:div>
            <w:div w:id="1339192311">
              <w:marLeft w:val="0"/>
              <w:marRight w:val="0"/>
              <w:marTop w:val="0"/>
              <w:marBottom w:val="0"/>
              <w:divBdr>
                <w:top w:val="none" w:sz="0" w:space="0" w:color="auto"/>
                <w:left w:val="none" w:sz="0" w:space="0" w:color="auto"/>
                <w:bottom w:val="none" w:sz="0" w:space="0" w:color="auto"/>
                <w:right w:val="none" w:sz="0" w:space="0" w:color="auto"/>
              </w:divBdr>
              <w:divsChild>
                <w:div w:id="473252584">
                  <w:marLeft w:val="0"/>
                  <w:marRight w:val="0"/>
                  <w:marTop w:val="0"/>
                  <w:marBottom w:val="0"/>
                  <w:divBdr>
                    <w:top w:val="none" w:sz="0" w:space="0" w:color="auto"/>
                    <w:left w:val="none" w:sz="0" w:space="0" w:color="auto"/>
                    <w:bottom w:val="none" w:sz="0" w:space="0" w:color="auto"/>
                    <w:right w:val="none" w:sz="0" w:space="0" w:color="auto"/>
                  </w:divBdr>
                </w:div>
              </w:divsChild>
            </w:div>
            <w:div w:id="1435250927">
              <w:marLeft w:val="0"/>
              <w:marRight w:val="0"/>
              <w:marTop w:val="0"/>
              <w:marBottom w:val="0"/>
              <w:divBdr>
                <w:top w:val="none" w:sz="0" w:space="0" w:color="auto"/>
                <w:left w:val="none" w:sz="0" w:space="0" w:color="auto"/>
                <w:bottom w:val="none" w:sz="0" w:space="0" w:color="auto"/>
                <w:right w:val="none" w:sz="0" w:space="0" w:color="auto"/>
              </w:divBdr>
              <w:divsChild>
                <w:div w:id="124811551">
                  <w:marLeft w:val="0"/>
                  <w:marRight w:val="0"/>
                  <w:marTop w:val="0"/>
                  <w:marBottom w:val="0"/>
                  <w:divBdr>
                    <w:top w:val="none" w:sz="0" w:space="0" w:color="auto"/>
                    <w:left w:val="none" w:sz="0" w:space="0" w:color="auto"/>
                    <w:bottom w:val="none" w:sz="0" w:space="0" w:color="auto"/>
                    <w:right w:val="none" w:sz="0" w:space="0" w:color="auto"/>
                  </w:divBdr>
                </w:div>
                <w:div w:id="509150205">
                  <w:marLeft w:val="0"/>
                  <w:marRight w:val="0"/>
                  <w:marTop w:val="0"/>
                  <w:marBottom w:val="0"/>
                  <w:divBdr>
                    <w:top w:val="none" w:sz="0" w:space="0" w:color="auto"/>
                    <w:left w:val="none" w:sz="0" w:space="0" w:color="auto"/>
                    <w:bottom w:val="none" w:sz="0" w:space="0" w:color="auto"/>
                    <w:right w:val="none" w:sz="0" w:space="0" w:color="auto"/>
                  </w:divBdr>
                </w:div>
                <w:div w:id="1232345752">
                  <w:marLeft w:val="0"/>
                  <w:marRight w:val="0"/>
                  <w:marTop w:val="0"/>
                  <w:marBottom w:val="0"/>
                  <w:divBdr>
                    <w:top w:val="none" w:sz="0" w:space="0" w:color="auto"/>
                    <w:left w:val="none" w:sz="0" w:space="0" w:color="auto"/>
                    <w:bottom w:val="none" w:sz="0" w:space="0" w:color="auto"/>
                    <w:right w:val="none" w:sz="0" w:space="0" w:color="auto"/>
                  </w:divBdr>
                </w:div>
              </w:divsChild>
            </w:div>
            <w:div w:id="1628730612">
              <w:marLeft w:val="0"/>
              <w:marRight w:val="0"/>
              <w:marTop w:val="0"/>
              <w:marBottom w:val="0"/>
              <w:divBdr>
                <w:top w:val="none" w:sz="0" w:space="0" w:color="auto"/>
                <w:left w:val="none" w:sz="0" w:space="0" w:color="auto"/>
                <w:bottom w:val="none" w:sz="0" w:space="0" w:color="auto"/>
                <w:right w:val="none" w:sz="0" w:space="0" w:color="auto"/>
              </w:divBdr>
              <w:divsChild>
                <w:div w:id="910121819">
                  <w:marLeft w:val="0"/>
                  <w:marRight w:val="0"/>
                  <w:marTop w:val="0"/>
                  <w:marBottom w:val="0"/>
                  <w:divBdr>
                    <w:top w:val="none" w:sz="0" w:space="0" w:color="auto"/>
                    <w:left w:val="none" w:sz="0" w:space="0" w:color="auto"/>
                    <w:bottom w:val="none" w:sz="0" w:space="0" w:color="auto"/>
                    <w:right w:val="none" w:sz="0" w:space="0" w:color="auto"/>
                  </w:divBdr>
                </w:div>
              </w:divsChild>
            </w:div>
            <w:div w:id="1717193230">
              <w:marLeft w:val="0"/>
              <w:marRight w:val="0"/>
              <w:marTop w:val="0"/>
              <w:marBottom w:val="0"/>
              <w:divBdr>
                <w:top w:val="none" w:sz="0" w:space="0" w:color="auto"/>
                <w:left w:val="none" w:sz="0" w:space="0" w:color="auto"/>
                <w:bottom w:val="none" w:sz="0" w:space="0" w:color="auto"/>
                <w:right w:val="none" w:sz="0" w:space="0" w:color="auto"/>
              </w:divBdr>
              <w:divsChild>
                <w:div w:id="1204748684">
                  <w:marLeft w:val="0"/>
                  <w:marRight w:val="0"/>
                  <w:marTop w:val="0"/>
                  <w:marBottom w:val="0"/>
                  <w:divBdr>
                    <w:top w:val="none" w:sz="0" w:space="0" w:color="auto"/>
                    <w:left w:val="none" w:sz="0" w:space="0" w:color="auto"/>
                    <w:bottom w:val="none" w:sz="0" w:space="0" w:color="auto"/>
                    <w:right w:val="none" w:sz="0" w:space="0" w:color="auto"/>
                  </w:divBdr>
                </w:div>
              </w:divsChild>
            </w:div>
            <w:div w:id="1719819172">
              <w:marLeft w:val="0"/>
              <w:marRight w:val="0"/>
              <w:marTop w:val="0"/>
              <w:marBottom w:val="0"/>
              <w:divBdr>
                <w:top w:val="none" w:sz="0" w:space="0" w:color="auto"/>
                <w:left w:val="none" w:sz="0" w:space="0" w:color="auto"/>
                <w:bottom w:val="none" w:sz="0" w:space="0" w:color="auto"/>
                <w:right w:val="none" w:sz="0" w:space="0" w:color="auto"/>
              </w:divBdr>
              <w:divsChild>
                <w:div w:id="1114518020">
                  <w:marLeft w:val="0"/>
                  <w:marRight w:val="0"/>
                  <w:marTop w:val="0"/>
                  <w:marBottom w:val="0"/>
                  <w:divBdr>
                    <w:top w:val="none" w:sz="0" w:space="0" w:color="auto"/>
                    <w:left w:val="none" w:sz="0" w:space="0" w:color="auto"/>
                    <w:bottom w:val="none" w:sz="0" w:space="0" w:color="auto"/>
                    <w:right w:val="none" w:sz="0" w:space="0" w:color="auto"/>
                  </w:divBdr>
                </w:div>
              </w:divsChild>
            </w:div>
            <w:div w:id="1773160958">
              <w:marLeft w:val="0"/>
              <w:marRight w:val="0"/>
              <w:marTop w:val="0"/>
              <w:marBottom w:val="0"/>
              <w:divBdr>
                <w:top w:val="none" w:sz="0" w:space="0" w:color="auto"/>
                <w:left w:val="none" w:sz="0" w:space="0" w:color="auto"/>
                <w:bottom w:val="none" w:sz="0" w:space="0" w:color="auto"/>
                <w:right w:val="none" w:sz="0" w:space="0" w:color="auto"/>
              </w:divBdr>
            </w:div>
            <w:div w:id="1781559803">
              <w:marLeft w:val="0"/>
              <w:marRight w:val="0"/>
              <w:marTop w:val="0"/>
              <w:marBottom w:val="0"/>
              <w:divBdr>
                <w:top w:val="none" w:sz="0" w:space="0" w:color="auto"/>
                <w:left w:val="none" w:sz="0" w:space="0" w:color="auto"/>
                <w:bottom w:val="none" w:sz="0" w:space="0" w:color="auto"/>
                <w:right w:val="none" w:sz="0" w:space="0" w:color="auto"/>
              </w:divBdr>
              <w:divsChild>
                <w:div w:id="1761757038">
                  <w:marLeft w:val="0"/>
                  <w:marRight w:val="0"/>
                  <w:marTop w:val="0"/>
                  <w:marBottom w:val="0"/>
                  <w:divBdr>
                    <w:top w:val="none" w:sz="0" w:space="0" w:color="auto"/>
                    <w:left w:val="none" w:sz="0" w:space="0" w:color="auto"/>
                    <w:bottom w:val="none" w:sz="0" w:space="0" w:color="auto"/>
                    <w:right w:val="none" w:sz="0" w:space="0" w:color="auto"/>
                  </w:divBdr>
                </w:div>
              </w:divsChild>
            </w:div>
            <w:div w:id="1790321927">
              <w:marLeft w:val="0"/>
              <w:marRight w:val="0"/>
              <w:marTop w:val="0"/>
              <w:marBottom w:val="0"/>
              <w:divBdr>
                <w:top w:val="none" w:sz="0" w:space="0" w:color="auto"/>
                <w:left w:val="none" w:sz="0" w:space="0" w:color="auto"/>
                <w:bottom w:val="none" w:sz="0" w:space="0" w:color="auto"/>
                <w:right w:val="none" w:sz="0" w:space="0" w:color="auto"/>
              </w:divBdr>
            </w:div>
            <w:div w:id="1869833622">
              <w:marLeft w:val="0"/>
              <w:marRight w:val="0"/>
              <w:marTop w:val="0"/>
              <w:marBottom w:val="0"/>
              <w:divBdr>
                <w:top w:val="none" w:sz="0" w:space="0" w:color="auto"/>
                <w:left w:val="none" w:sz="0" w:space="0" w:color="auto"/>
                <w:bottom w:val="none" w:sz="0" w:space="0" w:color="auto"/>
                <w:right w:val="none" w:sz="0" w:space="0" w:color="auto"/>
              </w:divBdr>
            </w:div>
            <w:div w:id="2128311404">
              <w:marLeft w:val="0"/>
              <w:marRight w:val="0"/>
              <w:marTop w:val="0"/>
              <w:marBottom w:val="0"/>
              <w:divBdr>
                <w:top w:val="none" w:sz="0" w:space="0" w:color="auto"/>
                <w:left w:val="none" w:sz="0" w:space="0" w:color="auto"/>
                <w:bottom w:val="none" w:sz="0" w:space="0" w:color="auto"/>
                <w:right w:val="none" w:sz="0" w:space="0" w:color="auto"/>
              </w:divBdr>
              <w:divsChild>
                <w:div w:id="19373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79464">
      <w:bodyDiv w:val="1"/>
      <w:marLeft w:val="0"/>
      <w:marRight w:val="0"/>
      <w:marTop w:val="0"/>
      <w:marBottom w:val="0"/>
      <w:divBdr>
        <w:top w:val="none" w:sz="0" w:space="0" w:color="auto"/>
        <w:left w:val="none" w:sz="0" w:space="0" w:color="auto"/>
        <w:bottom w:val="none" w:sz="0" w:space="0" w:color="auto"/>
        <w:right w:val="none" w:sz="0" w:space="0" w:color="auto"/>
      </w:divBdr>
      <w:divsChild>
        <w:div w:id="620918402">
          <w:marLeft w:val="0"/>
          <w:marRight w:val="0"/>
          <w:marTop w:val="0"/>
          <w:marBottom w:val="0"/>
          <w:divBdr>
            <w:top w:val="none" w:sz="0" w:space="0" w:color="auto"/>
            <w:left w:val="none" w:sz="0" w:space="0" w:color="auto"/>
            <w:bottom w:val="none" w:sz="0" w:space="0" w:color="auto"/>
            <w:right w:val="none" w:sz="0" w:space="0" w:color="auto"/>
          </w:divBdr>
          <w:divsChild>
            <w:div w:id="95365678">
              <w:marLeft w:val="0"/>
              <w:marRight w:val="0"/>
              <w:marTop w:val="0"/>
              <w:marBottom w:val="0"/>
              <w:divBdr>
                <w:top w:val="none" w:sz="0" w:space="0" w:color="auto"/>
                <w:left w:val="none" w:sz="0" w:space="0" w:color="auto"/>
                <w:bottom w:val="none" w:sz="0" w:space="0" w:color="auto"/>
                <w:right w:val="none" w:sz="0" w:space="0" w:color="auto"/>
              </w:divBdr>
              <w:divsChild>
                <w:div w:id="983967527">
                  <w:marLeft w:val="0"/>
                  <w:marRight w:val="0"/>
                  <w:marTop w:val="0"/>
                  <w:marBottom w:val="0"/>
                  <w:divBdr>
                    <w:top w:val="none" w:sz="0" w:space="0" w:color="auto"/>
                    <w:left w:val="none" w:sz="0" w:space="0" w:color="auto"/>
                    <w:bottom w:val="none" w:sz="0" w:space="0" w:color="auto"/>
                    <w:right w:val="none" w:sz="0" w:space="0" w:color="auto"/>
                  </w:divBdr>
                </w:div>
              </w:divsChild>
            </w:div>
            <w:div w:id="109202077">
              <w:marLeft w:val="0"/>
              <w:marRight w:val="0"/>
              <w:marTop w:val="0"/>
              <w:marBottom w:val="0"/>
              <w:divBdr>
                <w:top w:val="none" w:sz="0" w:space="0" w:color="auto"/>
                <w:left w:val="none" w:sz="0" w:space="0" w:color="auto"/>
                <w:bottom w:val="none" w:sz="0" w:space="0" w:color="auto"/>
                <w:right w:val="none" w:sz="0" w:space="0" w:color="auto"/>
              </w:divBdr>
              <w:divsChild>
                <w:div w:id="405495428">
                  <w:marLeft w:val="0"/>
                  <w:marRight w:val="0"/>
                  <w:marTop w:val="0"/>
                  <w:marBottom w:val="0"/>
                  <w:divBdr>
                    <w:top w:val="none" w:sz="0" w:space="0" w:color="auto"/>
                    <w:left w:val="none" w:sz="0" w:space="0" w:color="auto"/>
                    <w:bottom w:val="none" w:sz="0" w:space="0" w:color="auto"/>
                    <w:right w:val="none" w:sz="0" w:space="0" w:color="auto"/>
                  </w:divBdr>
                </w:div>
              </w:divsChild>
            </w:div>
            <w:div w:id="111705766">
              <w:marLeft w:val="0"/>
              <w:marRight w:val="0"/>
              <w:marTop w:val="0"/>
              <w:marBottom w:val="0"/>
              <w:divBdr>
                <w:top w:val="none" w:sz="0" w:space="0" w:color="auto"/>
                <w:left w:val="none" w:sz="0" w:space="0" w:color="auto"/>
                <w:bottom w:val="none" w:sz="0" w:space="0" w:color="auto"/>
                <w:right w:val="none" w:sz="0" w:space="0" w:color="auto"/>
              </w:divBdr>
            </w:div>
            <w:div w:id="166021920">
              <w:marLeft w:val="0"/>
              <w:marRight w:val="0"/>
              <w:marTop w:val="0"/>
              <w:marBottom w:val="0"/>
              <w:divBdr>
                <w:top w:val="none" w:sz="0" w:space="0" w:color="auto"/>
                <w:left w:val="none" w:sz="0" w:space="0" w:color="auto"/>
                <w:bottom w:val="none" w:sz="0" w:space="0" w:color="auto"/>
                <w:right w:val="none" w:sz="0" w:space="0" w:color="auto"/>
              </w:divBdr>
              <w:divsChild>
                <w:div w:id="1498378752">
                  <w:marLeft w:val="0"/>
                  <w:marRight w:val="0"/>
                  <w:marTop w:val="0"/>
                  <w:marBottom w:val="0"/>
                  <w:divBdr>
                    <w:top w:val="none" w:sz="0" w:space="0" w:color="auto"/>
                    <w:left w:val="none" w:sz="0" w:space="0" w:color="auto"/>
                    <w:bottom w:val="none" w:sz="0" w:space="0" w:color="auto"/>
                    <w:right w:val="none" w:sz="0" w:space="0" w:color="auto"/>
                  </w:divBdr>
                </w:div>
              </w:divsChild>
            </w:div>
            <w:div w:id="199441638">
              <w:marLeft w:val="0"/>
              <w:marRight w:val="0"/>
              <w:marTop w:val="0"/>
              <w:marBottom w:val="0"/>
              <w:divBdr>
                <w:top w:val="none" w:sz="0" w:space="0" w:color="auto"/>
                <w:left w:val="none" w:sz="0" w:space="0" w:color="auto"/>
                <w:bottom w:val="none" w:sz="0" w:space="0" w:color="auto"/>
                <w:right w:val="none" w:sz="0" w:space="0" w:color="auto"/>
              </w:divBdr>
              <w:divsChild>
                <w:div w:id="974677246">
                  <w:marLeft w:val="0"/>
                  <w:marRight w:val="0"/>
                  <w:marTop w:val="0"/>
                  <w:marBottom w:val="0"/>
                  <w:divBdr>
                    <w:top w:val="none" w:sz="0" w:space="0" w:color="auto"/>
                    <w:left w:val="none" w:sz="0" w:space="0" w:color="auto"/>
                    <w:bottom w:val="none" w:sz="0" w:space="0" w:color="auto"/>
                    <w:right w:val="none" w:sz="0" w:space="0" w:color="auto"/>
                  </w:divBdr>
                </w:div>
              </w:divsChild>
            </w:div>
            <w:div w:id="221523984">
              <w:marLeft w:val="0"/>
              <w:marRight w:val="0"/>
              <w:marTop w:val="0"/>
              <w:marBottom w:val="0"/>
              <w:divBdr>
                <w:top w:val="none" w:sz="0" w:space="0" w:color="auto"/>
                <w:left w:val="none" w:sz="0" w:space="0" w:color="auto"/>
                <w:bottom w:val="none" w:sz="0" w:space="0" w:color="auto"/>
                <w:right w:val="none" w:sz="0" w:space="0" w:color="auto"/>
              </w:divBdr>
              <w:divsChild>
                <w:div w:id="279070155">
                  <w:marLeft w:val="0"/>
                  <w:marRight w:val="0"/>
                  <w:marTop w:val="0"/>
                  <w:marBottom w:val="0"/>
                  <w:divBdr>
                    <w:top w:val="none" w:sz="0" w:space="0" w:color="auto"/>
                    <w:left w:val="none" w:sz="0" w:space="0" w:color="auto"/>
                    <w:bottom w:val="none" w:sz="0" w:space="0" w:color="auto"/>
                    <w:right w:val="none" w:sz="0" w:space="0" w:color="auto"/>
                  </w:divBdr>
                </w:div>
              </w:divsChild>
            </w:div>
            <w:div w:id="330373937">
              <w:marLeft w:val="0"/>
              <w:marRight w:val="0"/>
              <w:marTop w:val="0"/>
              <w:marBottom w:val="0"/>
              <w:divBdr>
                <w:top w:val="none" w:sz="0" w:space="0" w:color="auto"/>
                <w:left w:val="none" w:sz="0" w:space="0" w:color="auto"/>
                <w:bottom w:val="none" w:sz="0" w:space="0" w:color="auto"/>
                <w:right w:val="none" w:sz="0" w:space="0" w:color="auto"/>
              </w:divBdr>
              <w:divsChild>
                <w:div w:id="707220353">
                  <w:marLeft w:val="0"/>
                  <w:marRight w:val="0"/>
                  <w:marTop w:val="0"/>
                  <w:marBottom w:val="0"/>
                  <w:divBdr>
                    <w:top w:val="none" w:sz="0" w:space="0" w:color="auto"/>
                    <w:left w:val="none" w:sz="0" w:space="0" w:color="auto"/>
                    <w:bottom w:val="none" w:sz="0" w:space="0" w:color="auto"/>
                    <w:right w:val="none" w:sz="0" w:space="0" w:color="auto"/>
                  </w:divBdr>
                </w:div>
              </w:divsChild>
            </w:div>
            <w:div w:id="346059736">
              <w:marLeft w:val="0"/>
              <w:marRight w:val="0"/>
              <w:marTop w:val="0"/>
              <w:marBottom w:val="0"/>
              <w:divBdr>
                <w:top w:val="none" w:sz="0" w:space="0" w:color="auto"/>
                <w:left w:val="none" w:sz="0" w:space="0" w:color="auto"/>
                <w:bottom w:val="none" w:sz="0" w:space="0" w:color="auto"/>
                <w:right w:val="none" w:sz="0" w:space="0" w:color="auto"/>
              </w:divBdr>
              <w:divsChild>
                <w:div w:id="135073213">
                  <w:marLeft w:val="0"/>
                  <w:marRight w:val="0"/>
                  <w:marTop w:val="0"/>
                  <w:marBottom w:val="0"/>
                  <w:divBdr>
                    <w:top w:val="none" w:sz="0" w:space="0" w:color="auto"/>
                    <w:left w:val="none" w:sz="0" w:space="0" w:color="auto"/>
                    <w:bottom w:val="none" w:sz="0" w:space="0" w:color="auto"/>
                    <w:right w:val="none" w:sz="0" w:space="0" w:color="auto"/>
                  </w:divBdr>
                </w:div>
              </w:divsChild>
            </w:div>
            <w:div w:id="503789898">
              <w:marLeft w:val="0"/>
              <w:marRight w:val="0"/>
              <w:marTop w:val="0"/>
              <w:marBottom w:val="0"/>
              <w:divBdr>
                <w:top w:val="none" w:sz="0" w:space="0" w:color="auto"/>
                <w:left w:val="none" w:sz="0" w:space="0" w:color="auto"/>
                <w:bottom w:val="none" w:sz="0" w:space="0" w:color="auto"/>
                <w:right w:val="none" w:sz="0" w:space="0" w:color="auto"/>
              </w:divBdr>
              <w:divsChild>
                <w:div w:id="1282615136">
                  <w:marLeft w:val="0"/>
                  <w:marRight w:val="0"/>
                  <w:marTop w:val="0"/>
                  <w:marBottom w:val="0"/>
                  <w:divBdr>
                    <w:top w:val="none" w:sz="0" w:space="0" w:color="auto"/>
                    <w:left w:val="none" w:sz="0" w:space="0" w:color="auto"/>
                    <w:bottom w:val="none" w:sz="0" w:space="0" w:color="auto"/>
                    <w:right w:val="none" w:sz="0" w:space="0" w:color="auto"/>
                  </w:divBdr>
                </w:div>
              </w:divsChild>
            </w:div>
            <w:div w:id="714935966">
              <w:marLeft w:val="0"/>
              <w:marRight w:val="0"/>
              <w:marTop w:val="0"/>
              <w:marBottom w:val="0"/>
              <w:divBdr>
                <w:top w:val="none" w:sz="0" w:space="0" w:color="auto"/>
                <w:left w:val="none" w:sz="0" w:space="0" w:color="auto"/>
                <w:bottom w:val="none" w:sz="0" w:space="0" w:color="auto"/>
                <w:right w:val="none" w:sz="0" w:space="0" w:color="auto"/>
              </w:divBdr>
              <w:divsChild>
                <w:div w:id="1022167844">
                  <w:marLeft w:val="0"/>
                  <w:marRight w:val="0"/>
                  <w:marTop w:val="0"/>
                  <w:marBottom w:val="0"/>
                  <w:divBdr>
                    <w:top w:val="none" w:sz="0" w:space="0" w:color="auto"/>
                    <w:left w:val="none" w:sz="0" w:space="0" w:color="auto"/>
                    <w:bottom w:val="none" w:sz="0" w:space="0" w:color="auto"/>
                    <w:right w:val="none" w:sz="0" w:space="0" w:color="auto"/>
                  </w:divBdr>
                </w:div>
                <w:div w:id="1104688633">
                  <w:marLeft w:val="0"/>
                  <w:marRight w:val="0"/>
                  <w:marTop w:val="0"/>
                  <w:marBottom w:val="0"/>
                  <w:divBdr>
                    <w:top w:val="none" w:sz="0" w:space="0" w:color="auto"/>
                    <w:left w:val="none" w:sz="0" w:space="0" w:color="auto"/>
                    <w:bottom w:val="none" w:sz="0" w:space="0" w:color="auto"/>
                    <w:right w:val="none" w:sz="0" w:space="0" w:color="auto"/>
                  </w:divBdr>
                </w:div>
                <w:div w:id="1847136869">
                  <w:marLeft w:val="0"/>
                  <w:marRight w:val="0"/>
                  <w:marTop w:val="0"/>
                  <w:marBottom w:val="0"/>
                  <w:divBdr>
                    <w:top w:val="none" w:sz="0" w:space="0" w:color="auto"/>
                    <w:left w:val="none" w:sz="0" w:space="0" w:color="auto"/>
                    <w:bottom w:val="none" w:sz="0" w:space="0" w:color="auto"/>
                    <w:right w:val="none" w:sz="0" w:space="0" w:color="auto"/>
                  </w:divBdr>
                </w:div>
              </w:divsChild>
            </w:div>
            <w:div w:id="773864510">
              <w:marLeft w:val="0"/>
              <w:marRight w:val="0"/>
              <w:marTop w:val="0"/>
              <w:marBottom w:val="0"/>
              <w:divBdr>
                <w:top w:val="none" w:sz="0" w:space="0" w:color="auto"/>
                <w:left w:val="none" w:sz="0" w:space="0" w:color="auto"/>
                <w:bottom w:val="none" w:sz="0" w:space="0" w:color="auto"/>
                <w:right w:val="none" w:sz="0" w:space="0" w:color="auto"/>
              </w:divBdr>
            </w:div>
            <w:div w:id="782188086">
              <w:marLeft w:val="0"/>
              <w:marRight w:val="0"/>
              <w:marTop w:val="0"/>
              <w:marBottom w:val="0"/>
              <w:divBdr>
                <w:top w:val="none" w:sz="0" w:space="0" w:color="auto"/>
                <w:left w:val="none" w:sz="0" w:space="0" w:color="auto"/>
                <w:bottom w:val="none" w:sz="0" w:space="0" w:color="auto"/>
                <w:right w:val="none" w:sz="0" w:space="0" w:color="auto"/>
              </w:divBdr>
              <w:divsChild>
                <w:div w:id="850754333">
                  <w:marLeft w:val="0"/>
                  <w:marRight w:val="0"/>
                  <w:marTop w:val="0"/>
                  <w:marBottom w:val="0"/>
                  <w:divBdr>
                    <w:top w:val="none" w:sz="0" w:space="0" w:color="auto"/>
                    <w:left w:val="none" w:sz="0" w:space="0" w:color="auto"/>
                    <w:bottom w:val="none" w:sz="0" w:space="0" w:color="auto"/>
                    <w:right w:val="none" w:sz="0" w:space="0" w:color="auto"/>
                  </w:divBdr>
                </w:div>
              </w:divsChild>
            </w:div>
            <w:div w:id="899707905">
              <w:marLeft w:val="0"/>
              <w:marRight w:val="0"/>
              <w:marTop w:val="0"/>
              <w:marBottom w:val="0"/>
              <w:divBdr>
                <w:top w:val="none" w:sz="0" w:space="0" w:color="auto"/>
                <w:left w:val="none" w:sz="0" w:space="0" w:color="auto"/>
                <w:bottom w:val="none" w:sz="0" w:space="0" w:color="auto"/>
                <w:right w:val="none" w:sz="0" w:space="0" w:color="auto"/>
              </w:divBdr>
              <w:divsChild>
                <w:div w:id="1625111391">
                  <w:marLeft w:val="0"/>
                  <w:marRight w:val="0"/>
                  <w:marTop w:val="0"/>
                  <w:marBottom w:val="0"/>
                  <w:divBdr>
                    <w:top w:val="none" w:sz="0" w:space="0" w:color="auto"/>
                    <w:left w:val="none" w:sz="0" w:space="0" w:color="auto"/>
                    <w:bottom w:val="none" w:sz="0" w:space="0" w:color="auto"/>
                    <w:right w:val="none" w:sz="0" w:space="0" w:color="auto"/>
                  </w:divBdr>
                </w:div>
              </w:divsChild>
            </w:div>
            <w:div w:id="948049856">
              <w:marLeft w:val="0"/>
              <w:marRight w:val="0"/>
              <w:marTop w:val="0"/>
              <w:marBottom w:val="0"/>
              <w:divBdr>
                <w:top w:val="none" w:sz="0" w:space="0" w:color="auto"/>
                <w:left w:val="none" w:sz="0" w:space="0" w:color="auto"/>
                <w:bottom w:val="none" w:sz="0" w:space="0" w:color="auto"/>
                <w:right w:val="none" w:sz="0" w:space="0" w:color="auto"/>
              </w:divBdr>
              <w:divsChild>
                <w:div w:id="2021007040">
                  <w:marLeft w:val="0"/>
                  <w:marRight w:val="0"/>
                  <w:marTop w:val="0"/>
                  <w:marBottom w:val="0"/>
                  <w:divBdr>
                    <w:top w:val="none" w:sz="0" w:space="0" w:color="auto"/>
                    <w:left w:val="none" w:sz="0" w:space="0" w:color="auto"/>
                    <w:bottom w:val="none" w:sz="0" w:space="0" w:color="auto"/>
                    <w:right w:val="none" w:sz="0" w:space="0" w:color="auto"/>
                  </w:divBdr>
                </w:div>
              </w:divsChild>
            </w:div>
            <w:div w:id="998194630">
              <w:marLeft w:val="0"/>
              <w:marRight w:val="0"/>
              <w:marTop w:val="0"/>
              <w:marBottom w:val="0"/>
              <w:divBdr>
                <w:top w:val="none" w:sz="0" w:space="0" w:color="auto"/>
                <w:left w:val="none" w:sz="0" w:space="0" w:color="auto"/>
                <w:bottom w:val="none" w:sz="0" w:space="0" w:color="auto"/>
                <w:right w:val="none" w:sz="0" w:space="0" w:color="auto"/>
              </w:divBdr>
              <w:divsChild>
                <w:div w:id="1102266220">
                  <w:marLeft w:val="0"/>
                  <w:marRight w:val="0"/>
                  <w:marTop w:val="0"/>
                  <w:marBottom w:val="0"/>
                  <w:divBdr>
                    <w:top w:val="none" w:sz="0" w:space="0" w:color="auto"/>
                    <w:left w:val="none" w:sz="0" w:space="0" w:color="auto"/>
                    <w:bottom w:val="none" w:sz="0" w:space="0" w:color="auto"/>
                    <w:right w:val="none" w:sz="0" w:space="0" w:color="auto"/>
                  </w:divBdr>
                </w:div>
              </w:divsChild>
            </w:div>
            <w:div w:id="1182862665">
              <w:marLeft w:val="0"/>
              <w:marRight w:val="0"/>
              <w:marTop w:val="0"/>
              <w:marBottom w:val="0"/>
              <w:divBdr>
                <w:top w:val="none" w:sz="0" w:space="0" w:color="auto"/>
                <w:left w:val="none" w:sz="0" w:space="0" w:color="auto"/>
                <w:bottom w:val="none" w:sz="0" w:space="0" w:color="auto"/>
                <w:right w:val="none" w:sz="0" w:space="0" w:color="auto"/>
              </w:divBdr>
              <w:divsChild>
                <w:div w:id="282613071">
                  <w:marLeft w:val="0"/>
                  <w:marRight w:val="0"/>
                  <w:marTop w:val="0"/>
                  <w:marBottom w:val="0"/>
                  <w:divBdr>
                    <w:top w:val="none" w:sz="0" w:space="0" w:color="auto"/>
                    <w:left w:val="none" w:sz="0" w:space="0" w:color="auto"/>
                    <w:bottom w:val="none" w:sz="0" w:space="0" w:color="auto"/>
                    <w:right w:val="none" w:sz="0" w:space="0" w:color="auto"/>
                  </w:divBdr>
                </w:div>
              </w:divsChild>
            </w:div>
            <w:div w:id="1197893860">
              <w:marLeft w:val="0"/>
              <w:marRight w:val="0"/>
              <w:marTop w:val="0"/>
              <w:marBottom w:val="0"/>
              <w:divBdr>
                <w:top w:val="none" w:sz="0" w:space="0" w:color="auto"/>
                <w:left w:val="none" w:sz="0" w:space="0" w:color="auto"/>
                <w:bottom w:val="none" w:sz="0" w:space="0" w:color="auto"/>
                <w:right w:val="none" w:sz="0" w:space="0" w:color="auto"/>
              </w:divBdr>
              <w:divsChild>
                <w:div w:id="1232077486">
                  <w:marLeft w:val="0"/>
                  <w:marRight w:val="0"/>
                  <w:marTop w:val="0"/>
                  <w:marBottom w:val="0"/>
                  <w:divBdr>
                    <w:top w:val="none" w:sz="0" w:space="0" w:color="auto"/>
                    <w:left w:val="none" w:sz="0" w:space="0" w:color="auto"/>
                    <w:bottom w:val="none" w:sz="0" w:space="0" w:color="auto"/>
                    <w:right w:val="none" w:sz="0" w:space="0" w:color="auto"/>
                  </w:divBdr>
                </w:div>
              </w:divsChild>
            </w:div>
            <w:div w:id="1204171420">
              <w:marLeft w:val="0"/>
              <w:marRight w:val="0"/>
              <w:marTop w:val="0"/>
              <w:marBottom w:val="0"/>
              <w:divBdr>
                <w:top w:val="none" w:sz="0" w:space="0" w:color="auto"/>
                <w:left w:val="none" w:sz="0" w:space="0" w:color="auto"/>
                <w:bottom w:val="none" w:sz="0" w:space="0" w:color="auto"/>
                <w:right w:val="none" w:sz="0" w:space="0" w:color="auto"/>
              </w:divBdr>
              <w:divsChild>
                <w:div w:id="142549073">
                  <w:marLeft w:val="0"/>
                  <w:marRight w:val="0"/>
                  <w:marTop w:val="0"/>
                  <w:marBottom w:val="0"/>
                  <w:divBdr>
                    <w:top w:val="none" w:sz="0" w:space="0" w:color="auto"/>
                    <w:left w:val="none" w:sz="0" w:space="0" w:color="auto"/>
                    <w:bottom w:val="none" w:sz="0" w:space="0" w:color="auto"/>
                    <w:right w:val="none" w:sz="0" w:space="0" w:color="auto"/>
                  </w:divBdr>
                </w:div>
              </w:divsChild>
            </w:div>
            <w:div w:id="1258562568">
              <w:marLeft w:val="0"/>
              <w:marRight w:val="0"/>
              <w:marTop w:val="0"/>
              <w:marBottom w:val="0"/>
              <w:divBdr>
                <w:top w:val="none" w:sz="0" w:space="0" w:color="auto"/>
                <w:left w:val="none" w:sz="0" w:space="0" w:color="auto"/>
                <w:bottom w:val="none" w:sz="0" w:space="0" w:color="auto"/>
                <w:right w:val="none" w:sz="0" w:space="0" w:color="auto"/>
              </w:divBdr>
              <w:divsChild>
                <w:div w:id="76246426">
                  <w:marLeft w:val="0"/>
                  <w:marRight w:val="0"/>
                  <w:marTop w:val="0"/>
                  <w:marBottom w:val="0"/>
                  <w:divBdr>
                    <w:top w:val="none" w:sz="0" w:space="0" w:color="auto"/>
                    <w:left w:val="none" w:sz="0" w:space="0" w:color="auto"/>
                    <w:bottom w:val="none" w:sz="0" w:space="0" w:color="auto"/>
                    <w:right w:val="none" w:sz="0" w:space="0" w:color="auto"/>
                  </w:divBdr>
                </w:div>
              </w:divsChild>
            </w:div>
            <w:div w:id="1267886234">
              <w:marLeft w:val="0"/>
              <w:marRight w:val="0"/>
              <w:marTop w:val="0"/>
              <w:marBottom w:val="0"/>
              <w:divBdr>
                <w:top w:val="none" w:sz="0" w:space="0" w:color="auto"/>
                <w:left w:val="none" w:sz="0" w:space="0" w:color="auto"/>
                <w:bottom w:val="none" w:sz="0" w:space="0" w:color="auto"/>
                <w:right w:val="none" w:sz="0" w:space="0" w:color="auto"/>
              </w:divBdr>
              <w:divsChild>
                <w:div w:id="1258056763">
                  <w:marLeft w:val="0"/>
                  <w:marRight w:val="0"/>
                  <w:marTop w:val="0"/>
                  <w:marBottom w:val="0"/>
                  <w:divBdr>
                    <w:top w:val="none" w:sz="0" w:space="0" w:color="auto"/>
                    <w:left w:val="none" w:sz="0" w:space="0" w:color="auto"/>
                    <w:bottom w:val="none" w:sz="0" w:space="0" w:color="auto"/>
                    <w:right w:val="none" w:sz="0" w:space="0" w:color="auto"/>
                  </w:divBdr>
                </w:div>
              </w:divsChild>
            </w:div>
            <w:div w:id="1329094393">
              <w:marLeft w:val="0"/>
              <w:marRight w:val="0"/>
              <w:marTop w:val="0"/>
              <w:marBottom w:val="0"/>
              <w:divBdr>
                <w:top w:val="none" w:sz="0" w:space="0" w:color="auto"/>
                <w:left w:val="none" w:sz="0" w:space="0" w:color="auto"/>
                <w:bottom w:val="none" w:sz="0" w:space="0" w:color="auto"/>
                <w:right w:val="none" w:sz="0" w:space="0" w:color="auto"/>
              </w:divBdr>
              <w:divsChild>
                <w:div w:id="1888255510">
                  <w:marLeft w:val="0"/>
                  <w:marRight w:val="0"/>
                  <w:marTop w:val="0"/>
                  <w:marBottom w:val="0"/>
                  <w:divBdr>
                    <w:top w:val="none" w:sz="0" w:space="0" w:color="auto"/>
                    <w:left w:val="none" w:sz="0" w:space="0" w:color="auto"/>
                    <w:bottom w:val="none" w:sz="0" w:space="0" w:color="auto"/>
                    <w:right w:val="none" w:sz="0" w:space="0" w:color="auto"/>
                  </w:divBdr>
                </w:div>
              </w:divsChild>
            </w:div>
            <w:div w:id="1381979401">
              <w:marLeft w:val="0"/>
              <w:marRight w:val="0"/>
              <w:marTop w:val="0"/>
              <w:marBottom w:val="0"/>
              <w:divBdr>
                <w:top w:val="none" w:sz="0" w:space="0" w:color="auto"/>
                <w:left w:val="none" w:sz="0" w:space="0" w:color="auto"/>
                <w:bottom w:val="none" w:sz="0" w:space="0" w:color="auto"/>
                <w:right w:val="none" w:sz="0" w:space="0" w:color="auto"/>
              </w:divBdr>
              <w:divsChild>
                <w:div w:id="534735845">
                  <w:marLeft w:val="0"/>
                  <w:marRight w:val="0"/>
                  <w:marTop w:val="0"/>
                  <w:marBottom w:val="0"/>
                  <w:divBdr>
                    <w:top w:val="none" w:sz="0" w:space="0" w:color="auto"/>
                    <w:left w:val="none" w:sz="0" w:space="0" w:color="auto"/>
                    <w:bottom w:val="none" w:sz="0" w:space="0" w:color="auto"/>
                    <w:right w:val="none" w:sz="0" w:space="0" w:color="auto"/>
                  </w:divBdr>
                </w:div>
              </w:divsChild>
            </w:div>
            <w:div w:id="1388526552">
              <w:marLeft w:val="0"/>
              <w:marRight w:val="0"/>
              <w:marTop w:val="0"/>
              <w:marBottom w:val="0"/>
              <w:divBdr>
                <w:top w:val="none" w:sz="0" w:space="0" w:color="auto"/>
                <w:left w:val="none" w:sz="0" w:space="0" w:color="auto"/>
                <w:bottom w:val="none" w:sz="0" w:space="0" w:color="auto"/>
                <w:right w:val="none" w:sz="0" w:space="0" w:color="auto"/>
              </w:divBdr>
              <w:divsChild>
                <w:div w:id="210578621">
                  <w:marLeft w:val="0"/>
                  <w:marRight w:val="0"/>
                  <w:marTop w:val="0"/>
                  <w:marBottom w:val="0"/>
                  <w:divBdr>
                    <w:top w:val="none" w:sz="0" w:space="0" w:color="auto"/>
                    <w:left w:val="none" w:sz="0" w:space="0" w:color="auto"/>
                    <w:bottom w:val="none" w:sz="0" w:space="0" w:color="auto"/>
                    <w:right w:val="none" w:sz="0" w:space="0" w:color="auto"/>
                  </w:divBdr>
                </w:div>
              </w:divsChild>
            </w:div>
            <w:div w:id="1421219378">
              <w:marLeft w:val="0"/>
              <w:marRight w:val="0"/>
              <w:marTop w:val="0"/>
              <w:marBottom w:val="0"/>
              <w:divBdr>
                <w:top w:val="none" w:sz="0" w:space="0" w:color="auto"/>
                <w:left w:val="none" w:sz="0" w:space="0" w:color="auto"/>
                <w:bottom w:val="none" w:sz="0" w:space="0" w:color="auto"/>
                <w:right w:val="none" w:sz="0" w:space="0" w:color="auto"/>
              </w:divBdr>
              <w:divsChild>
                <w:div w:id="1621230881">
                  <w:marLeft w:val="0"/>
                  <w:marRight w:val="0"/>
                  <w:marTop w:val="0"/>
                  <w:marBottom w:val="0"/>
                  <w:divBdr>
                    <w:top w:val="none" w:sz="0" w:space="0" w:color="auto"/>
                    <w:left w:val="none" w:sz="0" w:space="0" w:color="auto"/>
                    <w:bottom w:val="none" w:sz="0" w:space="0" w:color="auto"/>
                    <w:right w:val="none" w:sz="0" w:space="0" w:color="auto"/>
                  </w:divBdr>
                </w:div>
              </w:divsChild>
            </w:div>
            <w:div w:id="1425884528">
              <w:marLeft w:val="0"/>
              <w:marRight w:val="0"/>
              <w:marTop w:val="0"/>
              <w:marBottom w:val="0"/>
              <w:divBdr>
                <w:top w:val="none" w:sz="0" w:space="0" w:color="auto"/>
                <w:left w:val="none" w:sz="0" w:space="0" w:color="auto"/>
                <w:bottom w:val="none" w:sz="0" w:space="0" w:color="auto"/>
                <w:right w:val="none" w:sz="0" w:space="0" w:color="auto"/>
              </w:divBdr>
              <w:divsChild>
                <w:div w:id="985234746">
                  <w:marLeft w:val="0"/>
                  <w:marRight w:val="0"/>
                  <w:marTop w:val="0"/>
                  <w:marBottom w:val="0"/>
                  <w:divBdr>
                    <w:top w:val="none" w:sz="0" w:space="0" w:color="auto"/>
                    <w:left w:val="none" w:sz="0" w:space="0" w:color="auto"/>
                    <w:bottom w:val="none" w:sz="0" w:space="0" w:color="auto"/>
                    <w:right w:val="none" w:sz="0" w:space="0" w:color="auto"/>
                  </w:divBdr>
                </w:div>
              </w:divsChild>
            </w:div>
            <w:div w:id="1445614176">
              <w:marLeft w:val="0"/>
              <w:marRight w:val="0"/>
              <w:marTop w:val="0"/>
              <w:marBottom w:val="0"/>
              <w:divBdr>
                <w:top w:val="none" w:sz="0" w:space="0" w:color="auto"/>
                <w:left w:val="none" w:sz="0" w:space="0" w:color="auto"/>
                <w:bottom w:val="none" w:sz="0" w:space="0" w:color="auto"/>
                <w:right w:val="none" w:sz="0" w:space="0" w:color="auto"/>
              </w:divBdr>
              <w:divsChild>
                <w:div w:id="1999653759">
                  <w:marLeft w:val="0"/>
                  <w:marRight w:val="0"/>
                  <w:marTop w:val="0"/>
                  <w:marBottom w:val="0"/>
                  <w:divBdr>
                    <w:top w:val="none" w:sz="0" w:space="0" w:color="auto"/>
                    <w:left w:val="none" w:sz="0" w:space="0" w:color="auto"/>
                    <w:bottom w:val="none" w:sz="0" w:space="0" w:color="auto"/>
                    <w:right w:val="none" w:sz="0" w:space="0" w:color="auto"/>
                  </w:divBdr>
                </w:div>
              </w:divsChild>
            </w:div>
            <w:div w:id="1542396693">
              <w:marLeft w:val="0"/>
              <w:marRight w:val="0"/>
              <w:marTop w:val="0"/>
              <w:marBottom w:val="0"/>
              <w:divBdr>
                <w:top w:val="none" w:sz="0" w:space="0" w:color="auto"/>
                <w:left w:val="none" w:sz="0" w:space="0" w:color="auto"/>
                <w:bottom w:val="none" w:sz="0" w:space="0" w:color="auto"/>
                <w:right w:val="none" w:sz="0" w:space="0" w:color="auto"/>
              </w:divBdr>
              <w:divsChild>
                <w:div w:id="2065331557">
                  <w:marLeft w:val="0"/>
                  <w:marRight w:val="0"/>
                  <w:marTop w:val="0"/>
                  <w:marBottom w:val="0"/>
                  <w:divBdr>
                    <w:top w:val="none" w:sz="0" w:space="0" w:color="auto"/>
                    <w:left w:val="none" w:sz="0" w:space="0" w:color="auto"/>
                    <w:bottom w:val="none" w:sz="0" w:space="0" w:color="auto"/>
                    <w:right w:val="none" w:sz="0" w:space="0" w:color="auto"/>
                  </w:divBdr>
                </w:div>
              </w:divsChild>
            </w:div>
            <w:div w:id="1597395577">
              <w:marLeft w:val="0"/>
              <w:marRight w:val="0"/>
              <w:marTop w:val="0"/>
              <w:marBottom w:val="0"/>
              <w:divBdr>
                <w:top w:val="none" w:sz="0" w:space="0" w:color="auto"/>
                <w:left w:val="none" w:sz="0" w:space="0" w:color="auto"/>
                <w:bottom w:val="none" w:sz="0" w:space="0" w:color="auto"/>
                <w:right w:val="none" w:sz="0" w:space="0" w:color="auto"/>
              </w:divBdr>
              <w:divsChild>
                <w:div w:id="61370385">
                  <w:marLeft w:val="0"/>
                  <w:marRight w:val="0"/>
                  <w:marTop w:val="0"/>
                  <w:marBottom w:val="0"/>
                  <w:divBdr>
                    <w:top w:val="none" w:sz="0" w:space="0" w:color="auto"/>
                    <w:left w:val="none" w:sz="0" w:space="0" w:color="auto"/>
                    <w:bottom w:val="none" w:sz="0" w:space="0" w:color="auto"/>
                    <w:right w:val="none" w:sz="0" w:space="0" w:color="auto"/>
                  </w:divBdr>
                </w:div>
              </w:divsChild>
            </w:div>
            <w:div w:id="1815561968">
              <w:marLeft w:val="0"/>
              <w:marRight w:val="0"/>
              <w:marTop w:val="0"/>
              <w:marBottom w:val="0"/>
              <w:divBdr>
                <w:top w:val="none" w:sz="0" w:space="0" w:color="auto"/>
                <w:left w:val="none" w:sz="0" w:space="0" w:color="auto"/>
                <w:bottom w:val="none" w:sz="0" w:space="0" w:color="auto"/>
                <w:right w:val="none" w:sz="0" w:space="0" w:color="auto"/>
              </w:divBdr>
              <w:divsChild>
                <w:div w:id="1821462506">
                  <w:marLeft w:val="0"/>
                  <w:marRight w:val="0"/>
                  <w:marTop w:val="0"/>
                  <w:marBottom w:val="0"/>
                  <w:divBdr>
                    <w:top w:val="none" w:sz="0" w:space="0" w:color="auto"/>
                    <w:left w:val="none" w:sz="0" w:space="0" w:color="auto"/>
                    <w:bottom w:val="none" w:sz="0" w:space="0" w:color="auto"/>
                    <w:right w:val="none" w:sz="0" w:space="0" w:color="auto"/>
                  </w:divBdr>
                </w:div>
              </w:divsChild>
            </w:div>
            <w:div w:id="1828012327">
              <w:marLeft w:val="0"/>
              <w:marRight w:val="0"/>
              <w:marTop w:val="0"/>
              <w:marBottom w:val="0"/>
              <w:divBdr>
                <w:top w:val="none" w:sz="0" w:space="0" w:color="auto"/>
                <w:left w:val="none" w:sz="0" w:space="0" w:color="auto"/>
                <w:bottom w:val="none" w:sz="0" w:space="0" w:color="auto"/>
                <w:right w:val="none" w:sz="0" w:space="0" w:color="auto"/>
              </w:divBdr>
              <w:divsChild>
                <w:div w:id="1240824189">
                  <w:marLeft w:val="0"/>
                  <w:marRight w:val="0"/>
                  <w:marTop w:val="0"/>
                  <w:marBottom w:val="0"/>
                  <w:divBdr>
                    <w:top w:val="none" w:sz="0" w:space="0" w:color="auto"/>
                    <w:left w:val="none" w:sz="0" w:space="0" w:color="auto"/>
                    <w:bottom w:val="none" w:sz="0" w:space="0" w:color="auto"/>
                    <w:right w:val="none" w:sz="0" w:space="0" w:color="auto"/>
                  </w:divBdr>
                </w:div>
              </w:divsChild>
            </w:div>
            <w:div w:id="1872104251">
              <w:marLeft w:val="0"/>
              <w:marRight w:val="0"/>
              <w:marTop w:val="0"/>
              <w:marBottom w:val="0"/>
              <w:divBdr>
                <w:top w:val="none" w:sz="0" w:space="0" w:color="auto"/>
                <w:left w:val="none" w:sz="0" w:space="0" w:color="auto"/>
                <w:bottom w:val="none" w:sz="0" w:space="0" w:color="auto"/>
                <w:right w:val="none" w:sz="0" w:space="0" w:color="auto"/>
              </w:divBdr>
            </w:div>
            <w:div w:id="1908496174">
              <w:marLeft w:val="0"/>
              <w:marRight w:val="0"/>
              <w:marTop w:val="0"/>
              <w:marBottom w:val="0"/>
              <w:divBdr>
                <w:top w:val="none" w:sz="0" w:space="0" w:color="auto"/>
                <w:left w:val="none" w:sz="0" w:space="0" w:color="auto"/>
                <w:bottom w:val="none" w:sz="0" w:space="0" w:color="auto"/>
                <w:right w:val="none" w:sz="0" w:space="0" w:color="auto"/>
              </w:divBdr>
              <w:divsChild>
                <w:div w:id="1906454024">
                  <w:marLeft w:val="0"/>
                  <w:marRight w:val="0"/>
                  <w:marTop w:val="0"/>
                  <w:marBottom w:val="0"/>
                  <w:divBdr>
                    <w:top w:val="none" w:sz="0" w:space="0" w:color="auto"/>
                    <w:left w:val="none" w:sz="0" w:space="0" w:color="auto"/>
                    <w:bottom w:val="none" w:sz="0" w:space="0" w:color="auto"/>
                    <w:right w:val="none" w:sz="0" w:space="0" w:color="auto"/>
                  </w:divBdr>
                </w:div>
              </w:divsChild>
            </w:div>
            <w:div w:id="1976522812">
              <w:marLeft w:val="0"/>
              <w:marRight w:val="0"/>
              <w:marTop w:val="0"/>
              <w:marBottom w:val="0"/>
              <w:divBdr>
                <w:top w:val="none" w:sz="0" w:space="0" w:color="auto"/>
                <w:left w:val="none" w:sz="0" w:space="0" w:color="auto"/>
                <w:bottom w:val="none" w:sz="0" w:space="0" w:color="auto"/>
                <w:right w:val="none" w:sz="0" w:space="0" w:color="auto"/>
              </w:divBdr>
              <w:divsChild>
                <w:div w:id="285937511">
                  <w:marLeft w:val="0"/>
                  <w:marRight w:val="0"/>
                  <w:marTop w:val="0"/>
                  <w:marBottom w:val="0"/>
                  <w:divBdr>
                    <w:top w:val="none" w:sz="0" w:space="0" w:color="auto"/>
                    <w:left w:val="none" w:sz="0" w:space="0" w:color="auto"/>
                    <w:bottom w:val="none" w:sz="0" w:space="0" w:color="auto"/>
                    <w:right w:val="none" w:sz="0" w:space="0" w:color="auto"/>
                  </w:divBdr>
                </w:div>
              </w:divsChild>
            </w:div>
            <w:div w:id="2002655546">
              <w:marLeft w:val="0"/>
              <w:marRight w:val="0"/>
              <w:marTop w:val="0"/>
              <w:marBottom w:val="0"/>
              <w:divBdr>
                <w:top w:val="none" w:sz="0" w:space="0" w:color="auto"/>
                <w:left w:val="none" w:sz="0" w:space="0" w:color="auto"/>
                <w:bottom w:val="none" w:sz="0" w:space="0" w:color="auto"/>
                <w:right w:val="none" w:sz="0" w:space="0" w:color="auto"/>
              </w:divBdr>
              <w:divsChild>
                <w:div w:id="6260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48577">
      <w:bodyDiv w:val="1"/>
      <w:marLeft w:val="0"/>
      <w:marRight w:val="0"/>
      <w:marTop w:val="0"/>
      <w:marBottom w:val="0"/>
      <w:divBdr>
        <w:top w:val="none" w:sz="0" w:space="0" w:color="auto"/>
        <w:left w:val="none" w:sz="0" w:space="0" w:color="auto"/>
        <w:bottom w:val="none" w:sz="0" w:space="0" w:color="auto"/>
        <w:right w:val="none" w:sz="0" w:space="0" w:color="auto"/>
      </w:divBdr>
    </w:div>
    <w:div w:id="446899035">
      <w:bodyDiv w:val="1"/>
      <w:marLeft w:val="0"/>
      <w:marRight w:val="0"/>
      <w:marTop w:val="0"/>
      <w:marBottom w:val="0"/>
      <w:divBdr>
        <w:top w:val="none" w:sz="0" w:space="0" w:color="auto"/>
        <w:left w:val="none" w:sz="0" w:space="0" w:color="auto"/>
        <w:bottom w:val="none" w:sz="0" w:space="0" w:color="auto"/>
        <w:right w:val="none" w:sz="0" w:space="0" w:color="auto"/>
      </w:divBdr>
    </w:div>
    <w:div w:id="451025218">
      <w:bodyDiv w:val="1"/>
      <w:marLeft w:val="0"/>
      <w:marRight w:val="0"/>
      <w:marTop w:val="0"/>
      <w:marBottom w:val="0"/>
      <w:divBdr>
        <w:top w:val="none" w:sz="0" w:space="0" w:color="auto"/>
        <w:left w:val="none" w:sz="0" w:space="0" w:color="auto"/>
        <w:bottom w:val="none" w:sz="0" w:space="0" w:color="auto"/>
        <w:right w:val="none" w:sz="0" w:space="0" w:color="auto"/>
      </w:divBdr>
    </w:div>
    <w:div w:id="528875870">
      <w:bodyDiv w:val="1"/>
      <w:marLeft w:val="0"/>
      <w:marRight w:val="0"/>
      <w:marTop w:val="0"/>
      <w:marBottom w:val="0"/>
      <w:divBdr>
        <w:top w:val="none" w:sz="0" w:space="0" w:color="auto"/>
        <w:left w:val="none" w:sz="0" w:space="0" w:color="auto"/>
        <w:bottom w:val="none" w:sz="0" w:space="0" w:color="auto"/>
        <w:right w:val="none" w:sz="0" w:space="0" w:color="auto"/>
      </w:divBdr>
    </w:div>
    <w:div w:id="592324546">
      <w:bodyDiv w:val="1"/>
      <w:marLeft w:val="0"/>
      <w:marRight w:val="0"/>
      <w:marTop w:val="0"/>
      <w:marBottom w:val="0"/>
      <w:divBdr>
        <w:top w:val="none" w:sz="0" w:space="0" w:color="auto"/>
        <w:left w:val="none" w:sz="0" w:space="0" w:color="auto"/>
        <w:bottom w:val="none" w:sz="0" w:space="0" w:color="auto"/>
        <w:right w:val="none" w:sz="0" w:space="0" w:color="auto"/>
      </w:divBdr>
    </w:div>
    <w:div w:id="594438927">
      <w:bodyDiv w:val="1"/>
      <w:marLeft w:val="0"/>
      <w:marRight w:val="0"/>
      <w:marTop w:val="0"/>
      <w:marBottom w:val="0"/>
      <w:divBdr>
        <w:top w:val="none" w:sz="0" w:space="0" w:color="auto"/>
        <w:left w:val="none" w:sz="0" w:space="0" w:color="auto"/>
        <w:bottom w:val="none" w:sz="0" w:space="0" w:color="auto"/>
        <w:right w:val="none" w:sz="0" w:space="0" w:color="auto"/>
      </w:divBdr>
    </w:div>
    <w:div w:id="601915370">
      <w:bodyDiv w:val="1"/>
      <w:marLeft w:val="0"/>
      <w:marRight w:val="0"/>
      <w:marTop w:val="0"/>
      <w:marBottom w:val="0"/>
      <w:divBdr>
        <w:top w:val="none" w:sz="0" w:space="0" w:color="auto"/>
        <w:left w:val="none" w:sz="0" w:space="0" w:color="auto"/>
        <w:bottom w:val="none" w:sz="0" w:space="0" w:color="auto"/>
        <w:right w:val="none" w:sz="0" w:space="0" w:color="auto"/>
      </w:divBdr>
    </w:div>
    <w:div w:id="644429237">
      <w:bodyDiv w:val="1"/>
      <w:marLeft w:val="0"/>
      <w:marRight w:val="0"/>
      <w:marTop w:val="0"/>
      <w:marBottom w:val="0"/>
      <w:divBdr>
        <w:top w:val="none" w:sz="0" w:space="0" w:color="auto"/>
        <w:left w:val="none" w:sz="0" w:space="0" w:color="auto"/>
        <w:bottom w:val="none" w:sz="0" w:space="0" w:color="auto"/>
        <w:right w:val="none" w:sz="0" w:space="0" w:color="auto"/>
      </w:divBdr>
    </w:div>
    <w:div w:id="713381983">
      <w:bodyDiv w:val="1"/>
      <w:marLeft w:val="0"/>
      <w:marRight w:val="0"/>
      <w:marTop w:val="0"/>
      <w:marBottom w:val="0"/>
      <w:divBdr>
        <w:top w:val="none" w:sz="0" w:space="0" w:color="auto"/>
        <w:left w:val="none" w:sz="0" w:space="0" w:color="auto"/>
        <w:bottom w:val="none" w:sz="0" w:space="0" w:color="auto"/>
        <w:right w:val="none" w:sz="0" w:space="0" w:color="auto"/>
      </w:divBdr>
    </w:div>
    <w:div w:id="797383361">
      <w:bodyDiv w:val="1"/>
      <w:marLeft w:val="0"/>
      <w:marRight w:val="0"/>
      <w:marTop w:val="0"/>
      <w:marBottom w:val="0"/>
      <w:divBdr>
        <w:top w:val="none" w:sz="0" w:space="0" w:color="auto"/>
        <w:left w:val="none" w:sz="0" w:space="0" w:color="auto"/>
        <w:bottom w:val="none" w:sz="0" w:space="0" w:color="auto"/>
        <w:right w:val="none" w:sz="0" w:space="0" w:color="auto"/>
      </w:divBdr>
    </w:div>
    <w:div w:id="817115181">
      <w:bodyDiv w:val="1"/>
      <w:marLeft w:val="0"/>
      <w:marRight w:val="0"/>
      <w:marTop w:val="0"/>
      <w:marBottom w:val="0"/>
      <w:divBdr>
        <w:top w:val="none" w:sz="0" w:space="0" w:color="auto"/>
        <w:left w:val="none" w:sz="0" w:space="0" w:color="auto"/>
        <w:bottom w:val="none" w:sz="0" w:space="0" w:color="auto"/>
        <w:right w:val="none" w:sz="0" w:space="0" w:color="auto"/>
      </w:divBdr>
    </w:div>
    <w:div w:id="822159129">
      <w:bodyDiv w:val="1"/>
      <w:marLeft w:val="0"/>
      <w:marRight w:val="0"/>
      <w:marTop w:val="0"/>
      <w:marBottom w:val="0"/>
      <w:divBdr>
        <w:top w:val="none" w:sz="0" w:space="0" w:color="auto"/>
        <w:left w:val="none" w:sz="0" w:space="0" w:color="auto"/>
        <w:bottom w:val="none" w:sz="0" w:space="0" w:color="auto"/>
        <w:right w:val="none" w:sz="0" w:space="0" w:color="auto"/>
      </w:divBdr>
    </w:div>
    <w:div w:id="852184715">
      <w:bodyDiv w:val="1"/>
      <w:marLeft w:val="0"/>
      <w:marRight w:val="0"/>
      <w:marTop w:val="0"/>
      <w:marBottom w:val="0"/>
      <w:divBdr>
        <w:top w:val="none" w:sz="0" w:space="0" w:color="auto"/>
        <w:left w:val="none" w:sz="0" w:space="0" w:color="auto"/>
        <w:bottom w:val="none" w:sz="0" w:space="0" w:color="auto"/>
        <w:right w:val="none" w:sz="0" w:space="0" w:color="auto"/>
      </w:divBdr>
    </w:div>
    <w:div w:id="868296480">
      <w:bodyDiv w:val="1"/>
      <w:marLeft w:val="0"/>
      <w:marRight w:val="0"/>
      <w:marTop w:val="0"/>
      <w:marBottom w:val="0"/>
      <w:divBdr>
        <w:top w:val="none" w:sz="0" w:space="0" w:color="auto"/>
        <w:left w:val="none" w:sz="0" w:space="0" w:color="auto"/>
        <w:bottom w:val="none" w:sz="0" w:space="0" w:color="auto"/>
        <w:right w:val="none" w:sz="0" w:space="0" w:color="auto"/>
      </w:divBdr>
    </w:div>
    <w:div w:id="907957020">
      <w:bodyDiv w:val="1"/>
      <w:marLeft w:val="0"/>
      <w:marRight w:val="0"/>
      <w:marTop w:val="0"/>
      <w:marBottom w:val="0"/>
      <w:divBdr>
        <w:top w:val="none" w:sz="0" w:space="0" w:color="auto"/>
        <w:left w:val="none" w:sz="0" w:space="0" w:color="auto"/>
        <w:bottom w:val="none" w:sz="0" w:space="0" w:color="auto"/>
        <w:right w:val="none" w:sz="0" w:space="0" w:color="auto"/>
      </w:divBdr>
    </w:div>
    <w:div w:id="937299652">
      <w:bodyDiv w:val="1"/>
      <w:marLeft w:val="0"/>
      <w:marRight w:val="0"/>
      <w:marTop w:val="0"/>
      <w:marBottom w:val="0"/>
      <w:divBdr>
        <w:top w:val="none" w:sz="0" w:space="0" w:color="auto"/>
        <w:left w:val="none" w:sz="0" w:space="0" w:color="auto"/>
        <w:bottom w:val="none" w:sz="0" w:space="0" w:color="auto"/>
        <w:right w:val="none" w:sz="0" w:space="0" w:color="auto"/>
      </w:divBdr>
    </w:div>
    <w:div w:id="946935007">
      <w:bodyDiv w:val="1"/>
      <w:marLeft w:val="0"/>
      <w:marRight w:val="0"/>
      <w:marTop w:val="0"/>
      <w:marBottom w:val="0"/>
      <w:divBdr>
        <w:top w:val="none" w:sz="0" w:space="0" w:color="auto"/>
        <w:left w:val="none" w:sz="0" w:space="0" w:color="auto"/>
        <w:bottom w:val="none" w:sz="0" w:space="0" w:color="auto"/>
        <w:right w:val="none" w:sz="0" w:space="0" w:color="auto"/>
      </w:divBdr>
      <w:divsChild>
        <w:div w:id="688021138">
          <w:marLeft w:val="0"/>
          <w:marRight w:val="0"/>
          <w:marTop w:val="0"/>
          <w:marBottom w:val="0"/>
          <w:divBdr>
            <w:top w:val="none" w:sz="0" w:space="0" w:color="auto"/>
            <w:left w:val="none" w:sz="0" w:space="0" w:color="auto"/>
            <w:bottom w:val="none" w:sz="0" w:space="0" w:color="auto"/>
            <w:right w:val="none" w:sz="0" w:space="0" w:color="auto"/>
          </w:divBdr>
          <w:divsChild>
            <w:div w:id="25646120">
              <w:marLeft w:val="0"/>
              <w:marRight w:val="0"/>
              <w:marTop w:val="0"/>
              <w:marBottom w:val="0"/>
              <w:divBdr>
                <w:top w:val="none" w:sz="0" w:space="0" w:color="auto"/>
                <w:left w:val="none" w:sz="0" w:space="0" w:color="auto"/>
                <w:bottom w:val="none" w:sz="0" w:space="0" w:color="auto"/>
                <w:right w:val="none" w:sz="0" w:space="0" w:color="auto"/>
              </w:divBdr>
              <w:divsChild>
                <w:div w:id="910196081">
                  <w:marLeft w:val="0"/>
                  <w:marRight w:val="0"/>
                  <w:marTop w:val="0"/>
                  <w:marBottom w:val="0"/>
                  <w:divBdr>
                    <w:top w:val="none" w:sz="0" w:space="0" w:color="auto"/>
                    <w:left w:val="none" w:sz="0" w:space="0" w:color="auto"/>
                    <w:bottom w:val="none" w:sz="0" w:space="0" w:color="auto"/>
                    <w:right w:val="none" w:sz="0" w:space="0" w:color="auto"/>
                  </w:divBdr>
                </w:div>
              </w:divsChild>
            </w:div>
            <w:div w:id="234825874">
              <w:marLeft w:val="0"/>
              <w:marRight w:val="0"/>
              <w:marTop w:val="0"/>
              <w:marBottom w:val="0"/>
              <w:divBdr>
                <w:top w:val="none" w:sz="0" w:space="0" w:color="auto"/>
                <w:left w:val="none" w:sz="0" w:space="0" w:color="auto"/>
                <w:bottom w:val="none" w:sz="0" w:space="0" w:color="auto"/>
                <w:right w:val="none" w:sz="0" w:space="0" w:color="auto"/>
              </w:divBdr>
              <w:divsChild>
                <w:div w:id="1965037246">
                  <w:marLeft w:val="0"/>
                  <w:marRight w:val="0"/>
                  <w:marTop w:val="0"/>
                  <w:marBottom w:val="0"/>
                  <w:divBdr>
                    <w:top w:val="none" w:sz="0" w:space="0" w:color="auto"/>
                    <w:left w:val="none" w:sz="0" w:space="0" w:color="auto"/>
                    <w:bottom w:val="none" w:sz="0" w:space="0" w:color="auto"/>
                    <w:right w:val="none" w:sz="0" w:space="0" w:color="auto"/>
                  </w:divBdr>
                </w:div>
              </w:divsChild>
            </w:div>
            <w:div w:id="358553453">
              <w:marLeft w:val="0"/>
              <w:marRight w:val="0"/>
              <w:marTop w:val="0"/>
              <w:marBottom w:val="0"/>
              <w:divBdr>
                <w:top w:val="none" w:sz="0" w:space="0" w:color="auto"/>
                <w:left w:val="none" w:sz="0" w:space="0" w:color="auto"/>
                <w:bottom w:val="none" w:sz="0" w:space="0" w:color="auto"/>
                <w:right w:val="none" w:sz="0" w:space="0" w:color="auto"/>
              </w:divBdr>
              <w:divsChild>
                <w:div w:id="364671021">
                  <w:marLeft w:val="0"/>
                  <w:marRight w:val="0"/>
                  <w:marTop w:val="0"/>
                  <w:marBottom w:val="0"/>
                  <w:divBdr>
                    <w:top w:val="none" w:sz="0" w:space="0" w:color="auto"/>
                    <w:left w:val="none" w:sz="0" w:space="0" w:color="auto"/>
                    <w:bottom w:val="none" w:sz="0" w:space="0" w:color="auto"/>
                    <w:right w:val="none" w:sz="0" w:space="0" w:color="auto"/>
                  </w:divBdr>
                </w:div>
              </w:divsChild>
            </w:div>
            <w:div w:id="510489199">
              <w:marLeft w:val="0"/>
              <w:marRight w:val="0"/>
              <w:marTop w:val="0"/>
              <w:marBottom w:val="0"/>
              <w:divBdr>
                <w:top w:val="none" w:sz="0" w:space="0" w:color="auto"/>
                <w:left w:val="none" w:sz="0" w:space="0" w:color="auto"/>
                <w:bottom w:val="none" w:sz="0" w:space="0" w:color="auto"/>
                <w:right w:val="none" w:sz="0" w:space="0" w:color="auto"/>
              </w:divBdr>
              <w:divsChild>
                <w:div w:id="1385979631">
                  <w:marLeft w:val="0"/>
                  <w:marRight w:val="0"/>
                  <w:marTop w:val="0"/>
                  <w:marBottom w:val="0"/>
                  <w:divBdr>
                    <w:top w:val="none" w:sz="0" w:space="0" w:color="auto"/>
                    <w:left w:val="none" w:sz="0" w:space="0" w:color="auto"/>
                    <w:bottom w:val="none" w:sz="0" w:space="0" w:color="auto"/>
                    <w:right w:val="none" w:sz="0" w:space="0" w:color="auto"/>
                  </w:divBdr>
                </w:div>
              </w:divsChild>
            </w:div>
            <w:div w:id="774789215">
              <w:marLeft w:val="0"/>
              <w:marRight w:val="0"/>
              <w:marTop w:val="0"/>
              <w:marBottom w:val="0"/>
              <w:divBdr>
                <w:top w:val="none" w:sz="0" w:space="0" w:color="auto"/>
                <w:left w:val="none" w:sz="0" w:space="0" w:color="auto"/>
                <w:bottom w:val="none" w:sz="0" w:space="0" w:color="auto"/>
                <w:right w:val="none" w:sz="0" w:space="0" w:color="auto"/>
              </w:divBdr>
              <w:divsChild>
                <w:div w:id="1139764703">
                  <w:marLeft w:val="0"/>
                  <w:marRight w:val="0"/>
                  <w:marTop w:val="0"/>
                  <w:marBottom w:val="0"/>
                  <w:divBdr>
                    <w:top w:val="none" w:sz="0" w:space="0" w:color="auto"/>
                    <w:left w:val="none" w:sz="0" w:space="0" w:color="auto"/>
                    <w:bottom w:val="none" w:sz="0" w:space="0" w:color="auto"/>
                    <w:right w:val="none" w:sz="0" w:space="0" w:color="auto"/>
                  </w:divBdr>
                </w:div>
              </w:divsChild>
            </w:div>
            <w:div w:id="1203401147">
              <w:marLeft w:val="0"/>
              <w:marRight w:val="0"/>
              <w:marTop w:val="0"/>
              <w:marBottom w:val="0"/>
              <w:divBdr>
                <w:top w:val="none" w:sz="0" w:space="0" w:color="auto"/>
                <w:left w:val="none" w:sz="0" w:space="0" w:color="auto"/>
                <w:bottom w:val="none" w:sz="0" w:space="0" w:color="auto"/>
                <w:right w:val="none" w:sz="0" w:space="0" w:color="auto"/>
              </w:divBdr>
              <w:divsChild>
                <w:div w:id="1425612710">
                  <w:marLeft w:val="0"/>
                  <w:marRight w:val="0"/>
                  <w:marTop w:val="0"/>
                  <w:marBottom w:val="0"/>
                  <w:divBdr>
                    <w:top w:val="none" w:sz="0" w:space="0" w:color="auto"/>
                    <w:left w:val="none" w:sz="0" w:space="0" w:color="auto"/>
                    <w:bottom w:val="none" w:sz="0" w:space="0" w:color="auto"/>
                    <w:right w:val="none" w:sz="0" w:space="0" w:color="auto"/>
                  </w:divBdr>
                </w:div>
              </w:divsChild>
            </w:div>
            <w:div w:id="1230993867">
              <w:marLeft w:val="0"/>
              <w:marRight w:val="0"/>
              <w:marTop w:val="0"/>
              <w:marBottom w:val="0"/>
              <w:divBdr>
                <w:top w:val="none" w:sz="0" w:space="0" w:color="auto"/>
                <w:left w:val="none" w:sz="0" w:space="0" w:color="auto"/>
                <w:bottom w:val="none" w:sz="0" w:space="0" w:color="auto"/>
                <w:right w:val="none" w:sz="0" w:space="0" w:color="auto"/>
              </w:divBdr>
              <w:divsChild>
                <w:div w:id="1811097831">
                  <w:marLeft w:val="0"/>
                  <w:marRight w:val="0"/>
                  <w:marTop w:val="0"/>
                  <w:marBottom w:val="0"/>
                  <w:divBdr>
                    <w:top w:val="none" w:sz="0" w:space="0" w:color="auto"/>
                    <w:left w:val="none" w:sz="0" w:space="0" w:color="auto"/>
                    <w:bottom w:val="none" w:sz="0" w:space="0" w:color="auto"/>
                    <w:right w:val="none" w:sz="0" w:space="0" w:color="auto"/>
                  </w:divBdr>
                </w:div>
              </w:divsChild>
            </w:div>
            <w:div w:id="1293635222">
              <w:marLeft w:val="0"/>
              <w:marRight w:val="0"/>
              <w:marTop w:val="0"/>
              <w:marBottom w:val="0"/>
              <w:divBdr>
                <w:top w:val="none" w:sz="0" w:space="0" w:color="auto"/>
                <w:left w:val="none" w:sz="0" w:space="0" w:color="auto"/>
                <w:bottom w:val="none" w:sz="0" w:space="0" w:color="auto"/>
                <w:right w:val="none" w:sz="0" w:space="0" w:color="auto"/>
              </w:divBdr>
              <w:divsChild>
                <w:div w:id="1303543305">
                  <w:marLeft w:val="0"/>
                  <w:marRight w:val="0"/>
                  <w:marTop w:val="0"/>
                  <w:marBottom w:val="0"/>
                  <w:divBdr>
                    <w:top w:val="none" w:sz="0" w:space="0" w:color="auto"/>
                    <w:left w:val="none" w:sz="0" w:space="0" w:color="auto"/>
                    <w:bottom w:val="none" w:sz="0" w:space="0" w:color="auto"/>
                    <w:right w:val="none" w:sz="0" w:space="0" w:color="auto"/>
                  </w:divBdr>
                </w:div>
              </w:divsChild>
            </w:div>
            <w:div w:id="1346519555">
              <w:marLeft w:val="0"/>
              <w:marRight w:val="0"/>
              <w:marTop w:val="0"/>
              <w:marBottom w:val="0"/>
              <w:divBdr>
                <w:top w:val="none" w:sz="0" w:space="0" w:color="auto"/>
                <w:left w:val="none" w:sz="0" w:space="0" w:color="auto"/>
                <w:bottom w:val="none" w:sz="0" w:space="0" w:color="auto"/>
                <w:right w:val="none" w:sz="0" w:space="0" w:color="auto"/>
              </w:divBdr>
              <w:divsChild>
                <w:div w:id="202140254">
                  <w:marLeft w:val="0"/>
                  <w:marRight w:val="0"/>
                  <w:marTop w:val="0"/>
                  <w:marBottom w:val="0"/>
                  <w:divBdr>
                    <w:top w:val="none" w:sz="0" w:space="0" w:color="auto"/>
                    <w:left w:val="none" w:sz="0" w:space="0" w:color="auto"/>
                    <w:bottom w:val="none" w:sz="0" w:space="0" w:color="auto"/>
                    <w:right w:val="none" w:sz="0" w:space="0" w:color="auto"/>
                  </w:divBdr>
                </w:div>
              </w:divsChild>
            </w:div>
            <w:div w:id="1377313470">
              <w:marLeft w:val="0"/>
              <w:marRight w:val="0"/>
              <w:marTop w:val="0"/>
              <w:marBottom w:val="0"/>
              <w:divBdr>
                <w:top w:val="none" w:sz="0" w:space="0" w:color="auto"/>
                <w:left w:val="none" w:sz="0" w:space="0" w:color="auto"/>
                <w:bottom w:val="none" w:sz="0" w:space="0" w:color="auto"/>
                <w:right w:val="none" w:sz="0" w:space="0" w:color="auto"/>
              </w:divBdr>
              <w:divsChild>
                <w:div w:id="226576338">
                  <w:marLeft w:val="0"/>
                  <w:marRight w:val="0"/>
                  <w:marTop w:val="0"/>
                  <w:marBottom w:val="0"/>
                  <w:divBdr>
                    <w:top w:val="none" w:sz="0" w:space="0" w:color="auto"/>
                    <w:left w:val="none" w:sz="0" w:space="0" w:color="auto"/>
                    <w:bottom w:val="none" w:sz="0" w:space="0" w:color="auto"/>
                    <w:right w:val="none" w:sz="0" w:space="0" w:color="auto"/>
                  </w:divBdr>
                </w:div>
              </w:divsChild>
            </w:div>
            <w:div w:id="1481918177">
              <w:marLeft w:val="0"/>
              <w:marRight w:val="0"/>
              <w:marTop w:val="0"/>
              <w:marBottom w:val="0"/>
              <w:divBdr>
                <w:top w:val="none" w:sz="0" w:space="0" w:color="auto"/>
                <w:left w:val="none" w:sz="0" w:space="0" w:color="auto"/>
                <w:bottom w:val="none" w:sz="0" w:space="0" w:color="auto"/>
                <w:right w:val="none" w:sz="0" w:space="0" w:color="auto"/>
              </w:divBdr>
            </w:div>
            <w:div w:id="1544711852">
              <w:marLeft w:val="0"/>
              <w:marRight w:val="0"/>
              <w:marTop w:val="0"/>
              <w:marBottom w:val="0"/>
              <w:divBdr>
                <w:top w:val="none" w:sz="0" w:space="0" w:color="auto"/>
                <w:left w:val="none" w:sz="0" w:space="0" w:color="auto"/>
                <w:bottom w:val="none" w:sz="0" w:space="0" w:color="auto"/>
                <w:right w:val="none" w:sz="0" w:space="0" w:color="auto"/>
              </w:divBdr>
              <w:divsChild>
                <w:div w:id="745037326">
                  <w:marLeft w:val="0"/>
                  <w:marRight w:val="0"/>
                  <w:marTop w:val="0"/>
                  <w:marBottom w:val="0"/>
                  <w:divBdr>
                    <w:top w:val="none" w:sz="0" w:space="0" w:color="auto"/>
                    <w:left w:val="none" w:sz="0" w:space="0" w:color="auto"/>
                    <w:bottom w:val="none" w:sz="0" w:space="0" w:color="auto"/>
                    <w:right w:val="none" w:sz="0" w:space="0" w:color="auto"/>
                  </w:divBdr>
                </w:div>
              </w:divsChild>
            </w:div>
            <w:div w:id="1806970555">
              <w:marLeft w:val="0"/>
              <w:marRight w:val="0"/>
              <w:marTop w:val="0"/>
              <w:marBottom w:val="0"/>
              <w:divBdr>
                <w:top w:val="none" w:sz="0" w:space="0" w:color="auto"/>
                <w:left w:val="none" w:sz="0" w:space="0" w:color="auto"/>
                <w:bottom w:val="none" w:sz="0" w:space="0" w:color="auto"/>
                <w:right w:val="none" w:sz="0" w:space="0" w:color="auto"/>
              </w:divBdr>
              <w:divsChild>
                <w:div w:id="1056271627">
                  <w:marLeft w:val="0"/>
                  <w:marRight w:val="0"/>
                  <w:marTop w:val="0"/>
                  <w:marBottom w:val="0"/>
                  <w:divBdr>
                    <w:top w:val="none" w:sz="0" w:space="0" w:color="auto"/>
                    <w:left w:val="none" w:sz="0" w:space="0" w:color="auto"/>
                    <w:bottom w:val="none" w:sz="0" w:space="0" w:color="auto"/>
                    <w:right w:val="none" w:sz="0" w:space="0" w:color="auto"/>
                  </w:divBdr>
                </w:div>
              </w:divsChild>
            </w:div>
            <w:div w:id="1852254366">
              <w:marLeft w:val="0"/>
              <w:marRight w:val="0"/>
              <w:marTop w:val="0"/>
              <w:marBottom w:val="0"/>
              <w:divBdr>
                <w:top w:val="none" w:sz="0" w:space="0" w:color="auto"/>
                <w:left w:val="none" w:sz="0" w:space="0" w:color="auto"/>
                <w:bottom w:val="none" w:sz="0" w:space="0" w:color="auto"/>
                <w:right w:val="none" w:sz="0" w:space="0" w:color="auto"/>
              </w:divBdr>
              <w:divsChild>
                <w:div w:id="2093426837">
                  <w:marLeft w:val="0"/>
                  <w:marRight w:val="0"/>
                  <w:marTop w:val="0"/>
                  <w:marBottom w:val="0"/>
                  <w:divBdr>
                    <w:top w:val="none" w:sz="0" w:space="0" w:color="auto"/>
                    <w:left w:val="none" w:sz="0" w:space="0" w:color="auto"/>
                    <w:bottom w:val="none" w:sz="0" w:space="0" w:color="auto"/>
                    <w:right w:val="none" w:sz="0" w:space="0" w:color="auto"/>
                  </w:divBdr>
                </w:div>
              </w:divsChild>
            </w:div>
            <w:div w:id="1892764341">
              <w:marLeft w:val="0"/>
              <w:marRight w:val="0"/>
              <w:marTop w:val="0"/>
              <w:marBottom w:val="0"/>
              <w:divBdr>
                <w:top w:val="none" w:sz="0" w:space="0" w:color="auto"/>
                <w:left w:val="none" w:sz="0" w:space="0" w:color="auto"/>
                <w:bottom w:val="none" w:sz="0" w:space="0" w:color="auto"/>
                <w:right w:val="none" w:sz="0" w:space="0" w:color="auto"/>
              </w:divBdr>
            </w:div>
            <w:div w:id="1964916541">
              <w:marLeft w:val="0"/>
              <w:marRight w:val="0"/>
              <w:marTop w:val="0"/>
              <w:marBottom w:val="0"/>
              <w:divBdr>
                <w:top w:val="none" w:sz="0" w:space="0" w:color="auto"/>
                <w:left w:val="none" w:sz="0" w:space="0" w:color="auto"/>
                <w:bottom w:val="none" w:sz="0" w:space="0" w:color="auto"/>
                <w:right w:val="none" w:sz="0" w:space="0" w:color="auto"/>
              </w:divBdr>
              <w:divsChild>
                <w:div w:id="1235891562">
                  <w:marLeft w:val="0"/>
                  <w:marRight w:val="0"/>
                  <w:marTop w:val="0"/>
                  <w:marBottom w:val="0"/>
                  <w:divBdr>
                    <w:top w:val="none" w:sz="0" w:space="0" w:color="auto"/>
                    <w:left w:val="none" w:sz="0" w:space="0" w:color="auto"/>
                    <w:bottom w:val="none" w:sz="0" w:space="0" w:color="auto"/>
                    <w:right w:val="none" w:sz="0" w:space="0" w:color="auto"/>
                  </w:divBdr>
                </w:div>
                <w:div w:id="1313026548">
                  <w:marLeft w:val="0"/>
                  <w:marRight w:val="0"/>
                  <w:marTop w:val="0"/>
                  <w:marBottom w:val="0"/>
                  <w:divBdr>
                    <w:top w:val="none" w:sz="0" w:space="0" w:color="auto"/>
                    <w:left w:val="none" w:sz="0" w:space="0" w:color="auto"/>
                    <w:bottom w:val="none" w:sz="0" w:space="0" w:color="auto"/>
                    <w:right w:val="none" w:sz="0" w:space="0" w:color="auto"/>
                  </w:divBdr>
                </w:div>
              </w:divsChild>
            </w:div>
            <w:div w:id="2090157650">
              <w:marLeft w:val="0"/>
              <w:marRight w:val="0"/>
              <w:marTop w:val="0"/>
              <w:marBottom w:val="0"/>
              <w:divBdr>
                <w:top w:val="none" w:sz="0" w:space="0" w:color="auto"/>
                <w:left w:val="none" w:sz="0" w:space="0" w:color="auto"/>
                <w:bottom w:val="none" w:sz="0" w:space="0" w:color="auto"/>
                <w:right w:val="none" w:sz="0" w:space="0" w:color="auto"/>
              </w:divBdr>
              <w:divsChild>
                <w:div w:id="464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96853">
      <w:bodyDiv w:val="1"/>
      <w:marLeft w:val="0"/>
      <w:marRight w:val="0"/>
      <w:marTop w:val="0"/>
      <w:marBottom w:val="0"/>
      <w:divBdr>
        <w:top w:val="none" w:sz="0" w:space="0" w:color="auto"/>
        <w:left w:val="none" w:sz="0" w:space="0" w:color="auto"/>
        <w:bottom w:val="none" w:sz="0" w:space="0" w:color="auto"/>
        <w:right w:val="none" w:sz="0" w:space="0" w:color="auto"/>
      </w:divBdr>
      <w:divsChild>
        <w:div w:id="1073116596">
          <w:marLeft w:val="274"/>
          <w:marRight w:val="0"/>
          <w:marTop w:val="0"/>
          <w:marBottom w:val="0"/>
          <w:divBdr>
            <w:top w:val="none" w:sz="0" w:space="0" w:color="auto"/>
            <w:left w:val="none" w:sz="0" w:space="0" w:color="auto"/>
            <w:bottom w:val="none" w:sz="0" w:space="0" w:color="auto"/>
            <w:right w:val="none" w:sz="0" w:space="0" w:color="auto"/>
          </w:divBdr>
        </w:div>
        <w:div w:id="1560093354">
          <w:marLeft w:val="274"/>
          <w:marRight w:val="0"/>
          <w:marTop w:val="0"/>
          <w:marBottom w:val="0"/>
          <w:divBdr>
            <w:top w:val="none" w:sz="0" w:space="0" w:color="auto"/>
            <w:left w:val="none" w:sz="0" w:space="0" w:color="auto"/>
            <w:bottom w:val="none" w:sz="0" w:space="0" w:color="auto"/>
            <w:right w:val="none" w:sz="0" w:space="0" w:color="auto"/>
          </w:divBdr>
        </w:div>
        <w:div w:id="1687172524">
          <w:marLeft w:val="274"/>
          <w:marRight w:val="0"/>
          <w:marTop w:val="0"/>
          <w:marBottom w:val="0"/>
          <w:divBdr>
            <w:top w:val="none" w:sz="0" w:space="0" w:color="auto"/>
            <w:left w:val="none" w:sz="0" w:space="0" w:color="auto"/>
            <w:bottom w:val="none" w:sz="0" w:space="0" w:color="auto"/>
            <w:right w:val="none" w:sz="0" w:space="0" w:color="auto"/>
          </w:divBdr>
        </w:div>
        <w:div w:id="1963730182">
          <w:marLeft w:val="274"/>
          <w:marRight w:val="0"/>
          <w:marTop w:val="0"/>
          <w:marBottom w:val="0"/>
          <w:divBdr>
            <w:top w:val="none" w:sz="0" w:space="0" w:color="auto"/>
            <w:left w:val="none" w:sz="0" w:space="0" w:color="auto"/>
            <w:bottom w:val="none" w:sz="0" w:space="0" w:color="auto"/>
            <w:right w:val="none" w:sz="0" w:space="0" w:color="auto"/>
          </w:divBdr>
        </w:div>
        <w:div w:id="1995330945">
          <w:marLeft w:val="274"/>
          <w:marRight w:val="0"/>
          <w:marTop w:val="0"/>
          <w:marBottom w:val="0"/>
          <w:divBdr>
            <w:top w:val="none" w:sz="0" w:space="0" w:color="auto"/>
            <w:left w:val="none" w:sz="0" w:space="0" w:color="auto"/>
            <w:bottom w:val="none" w:sz="0" w:space="0" w:color="auto"/>
            <w:right w:val="none" w:sz="0" w:space="0" w:color="auto"/>
          </w:divBdr>
        </w:div>
      </w:divsChild>
    </w:div>
    <w:div w:id="981156517">
      <w:bodyDiv w:val="1"/>
      <w:marLeft w:val="0"/>
      <w:marRight w:val="0"/>
      <w:marTop w:val="0"/>
      <w:marBottom w:val="0"/>
      <w:divBdr>
        <w:top w:val="none" w:sz="0" w:space="0" w:color="auto"/>
        <w:left w:val="none" w:sz="0" w:space="0" w:color="auto"/>
        <w:bottom w:val="none" w:sz="0" w:space="0" w:color="auto"/>
        <w:right w:val="none" w:sz="0" w:space="0" w:color="auto"/>
      </w:divBdr>
    </w:div>
    <w:div w:id="999234157">
      <w:bodyDiv w:val="1"/>
      <w:marLeft w:val="0"/>
      <w:marRight w:val="0"/>
      <w:marTop w:val="0"/>
      <w:marBottom w:val="0"/>
      <w:divBdr>
        <w:top w:val="none" w:sz="0" w:space="0" w:color="auto"/>
        <w:left w:val="none" w:sz="0" w:space="0" w:color="auto"/>
        <w:bottom w:val="none" w:sz="0" w:space="0" w:color="auto"/>
        <w:right w:val="none" w:sz="0" w:space="0" w:color="auto"/>
      </w:divBdr>
    </w:div>
    <w:div w:id="1047485811">
      <w:bodyDiv w:val="1"/>
      <w:marLeft w:val="0"/>
      <w:marRight w:val="0"/>
      <w:marTop w:val="0"/>
      <w:marBottom w:val="0"/>
      <w:divBdr>
        <w:top w:val="none" w:sz="0" w:space="0" w:color="auto"/>
        <w:left w:val="none" w:sz="0" w:space="0" w:color="auto"/>
        <w:bottom w:val="none" w:sz="0" w:space="0" w:color="auto"/>
        <w:right w:val="none" w:sz="0" w:space="0" w:color="auto"/>
      </w:divBdr>
    </w:div>
    <w:div w:id="1066876543">
      <w:bodyDiv w:val="1"/>
      <w:marLeft w:val="0"/>
      <w:marRight w:val="0"/>
      <w:marTop w:val="0"/>
      <w:marBottom w:val="0"/>
      <w:divBdr>
        <w:top w:val="none" w:sz="0" w:space="0" w:color="auto"/>
        <w:left w:val="none" w:sz="0" w:space="0" w:color="auto"/>
        <w:bottom w:val="none" w:sz="0" w:space="0" w:color="auto"/>
        <w:right w:val="none" w:sz="0" w:space="0" w:color="auto"/>
      </w:divBdr>
    </w:div>
    <w:div w:id="1086801287">
      <w:bodyDiv w:val="1"/>
      <w:marLeft w:val="0"/>
      <w:marRight w:val="0"/>
      <w:marTop w:val="0"/>
      <w:marBottom w:val="0"/>
      <w:divBdr>
        <w:top w:val="none" w:sz="0" w:space="0" w:color="auto"/>
        <w:left w:val="none" w:sz="0" w:space="0" w:color="auto"/>
        <w:bottom w:val="none" w:sz="0" w:space="0" w:color="auto"/>
        <w:right w:val="none" w:sz="0" w:space="0" w:color="auto"/>
      </w:divBdr>
    </w:div>
    <w:div w:id="1106581446">
      <w:bodyDiv w:val="1"/>
      <w:marLeft w:val="0"/>
      <w:marRight w:val="0"/>
      <w:marTop w:val="0"/>
      <w:marBottom w:val="0"/>
      <w:divBdr>
        <w:top w:val="none" w:sz="0" w:space="0" w:color="auto"/>
        <w:left w:val="none" w:sz="0" w:space="0" w:color="auto"/>
        <w:bottom w:val="none" w:sz="0" w:space="0" w:color="auto"/>
        <w:right w:val="none" w:sz="0" w:space="0" w:color="auto"/>
      </w:divBdr>
    </w:div>
    <w:div w:id="1230581047">
      <w:bodyDiv w:val="1"/>
      <w:marLeft w:val="0"/>
      <w:marRight w:val="0"/>
      <w:marTop w:val="0"/>
      <w:marBottom w:val="0"/>
      <w:divBdr>
        <w:top w:val="none" w:sz="0" w:space="0" w:color="auto"/>
        <w:left w:val="none" w:sz="0" w:space="0" w:color="auto"/>
        <w:bottom w:val="none" w:sz="0" w:space="0" w:color="auto"/>
        <w:right w:val="none" w:sz="0" w:space="0" w:color="auto"/>
      </w:divBdr>
    </w:div>
    <w:div w:id="1307661965">
      <w:bodyDiv w:val="1"/>
      <w:marLeft w:val="0"/>
      <w:marRight w:val="0"/>
      <w:marTop w:val="0"/>
      <w:marBottom w:val="0"/>
      <w:divBdr>
        <w:top w:val="none" w:sz="0" w:space="0" w:color="auto"/>
        <w:left w:val="none" w:sz="0" w:space="0" w:color="auto"/>
        <w:bottom w:val="none" w:sz="0" w:space="0" w:color="auto"/>
        <w:right w:val="none" w:sz="0" w:space="0" w:color="auto"/>
      </w:divBdr>
    </w:div>
    <w:div w:id="1331450314">
      <w:bodyDiv w:val="1"/>
      <w:marLeft w:val="0"/>
      <w:marRight w:val="0"/>
      <w:marTop w:val="0"/>
      <w:marBottom w:val="0"/>
      <w:divBdr>
        <w:top w:val="none" w:sz="0" w:space="0" w:color="auto"/>
        <w:left w:val="none" w:sz="0" w:space="0" w:color="auto"/>
        <w:bottom w:val="none" w:sz="0" w:space="0" w:color="auto"/>
        <w:right w:val="none" w:sz="0" w:space="0" w:color="auto"/>
      </w:divBdr>
    </w:div>
    <w:div w:id="1439983414">
      <w:bodyDiv w:val="1"/>
      <w:marLeft w:val="0"/>
      <w:marRight w:val="0"/>
      <w:marTop w:val="0"/>
      <w:marBottom w:val="0"/>
      <w:divBdr>
        <w:top w:val="none" w:sz="0" w:space="0" w:color="auto"/>
        <w:left w:val="none" w:sz="0" w:space="0" w:color="auto"/>
        <w:bottom w:val="none" w:sz="0" w:space="0" w:color="auto"/>
        <w:right w:val="none" w:sz="0" w:space="0" w:color="auto"/>
      </w:divBdr>
    </w:div>
    <w:div w:id="1446267795">
      <w:bodyDiv w:val="1"/>
      <w:marLeft w:val="0"/>
      <w:marRight w:val="0"/>
      <w:marTop w:val="0"/>
      <w:marBottom w:val="0"/>
      <w:divBdr>
        <w:top w:val="none" w:sz="0" w:space="0" w:color="auto"/>
        <w:left w:val="none" w:sz="0" w:space="0" w:color="auto"/>
        <w:bottom w:val="none" w:sz="0" w:space="0" w:color="auto"/>
        <w:right w:val="none" w:sz="0" w:space="0" w:color="auto"/>
      </w:divBdr>
    </w:div>
    <w:div w:id="1497921192">
      <w:bodyDiv w:val="1"/>
      <w:marLeft w:val="0"/>
      <w:marRight w:val="0"/>
      <w:marTop w:val="0"/>
      <w:marBottom w:val="0"/>
      <w:divBdr>
        <w:top w:val="none" w:sz="0" w:space="0" w:color="auto"/>
        <w:left w:val="none" w:sz="0" w:space="0" w:color="auto"/>
        <w:bottom w:val="none" w:sz="0" w:space="0" w:color="auto"/>
        <w:right w:val="none" w:sz="0" w:space="0" w:color="auto"/>
      </w:divBdr>
    </w:div>
    <w:div w:id="1503427585">
      <w:bodyDiv w:val="1"/>
      <w:marLeft w:val="0"/>
      <w:marRight w:val="0"/>
      <w:marTop w:val="0"/>
      <w:marBottom w:val="0"/>
      <w:divBdr>
        <w:top w:val="none" w:sz="0" w:space="0" w:color="auto"/>
        <w:left w:val="none" w:sz="0" w:space="0" w:color="auto"/>
        <w:bottom w:val="none" w:sz="0" w:space="0" w:color="auto"/>
        <w:right w:val="none" w:sz="0" w:space="0" w:color="auto"/>
      </w:divBdr>
    </w:div>
    <w:div w:id="1562249389">
      <w:bodyDiv w:val="1"/>
      <w:marLeft w:val="0"/>
      <w:marRight w:val="0"/>
      <w:marTop w:val="0"/>
      <w:marBottom w:val="0"/>
      <w:divBdr>
        <w:top w:val="none" w:sz="0" w:space="0" w:color="auto"/>
        <w:left w:val="none" w:sz="0" w:space="0" w:color="auto"/>
        <w:bottom w:val="none" w:sz="0" w:space="0" w:color="auto"/>
        <w:right w:val="none" w:sz="0" w:space="0" w:color="auto"/>
      </w:divBdr>
      <w:divsChild>
        <w:div w:id="24988514">
          <w:marLeft w:val="274"/>
          <w:marRight w:val="0"/>
          <w:marTop w:val="0"/>
          <w:marBottom w:val="0"/>
          <w:divBdr>
            <w:top w:val="none" w:sz="0" w:space="0" w:color="auto"/>
            <w:left w:val="none" w:sz="0" w:space="0" w:color="auto"/>
            <w:bottom w:val="none" w:sz="0" w:space="0" w:color="auto"/>
            <w:right w:val="none" w:sz="0" w:space="0" w:color="auto"/>
          </w:divBdr>
        </w:div>
        <w:div w:id="262110889">
          <w:marLeft w:val="274"/>
          <w:marRight w:val="0"/>
          <w:marTop w:val="0"/>
          <w:marBottom w:val="0"/>
          <w:divBdr>
            <w:top w:val="none" w:sz="0" w:space="0" w:color="auto"/>
            <w:left w:val="none" w:sz="0" w:space="0" w:color="auto"/>
            <w:bottom w:val="none" w:sz="0" w:space="0" w:color="auto"/>
            <w:right w:val="none" w:sz="0" w:space="0" w:color="auto"/>
          </w:divBdr>
        </w:div>
        <w:div w:id="318461841">
          <w:marLeft w:val="274"/>
          <w:marRight w:val="0"/>
          <w:marTop w:val="0"/>
          <w:marBottom w:val="0"/>
          <w:divBdr>
            <w:top w:val="none" w:sz="0" w:space="0" w:color="auto"/>
            <w:left w:val="none" w:sz="0" w:space="0" w:color="auto"/>
            <w:bottom w:val="none" w:sz="0" w:space="0" w:color="auto"/>
            <w:right w:val="none" w:sz="0" w:space="0" w:color="auto"/>
          </w:divBdr>
        </w:div>
        <w:div w:id="648288359">
          <w:marLeft w:val="274"/>
          <w:marRight w:val="0"/>
          <w:marTop w:val="0"/>
          <w:marBottom w:val="0"/>
          <w:divBdr>
            <w:top w:val="none" w:sz="0" w:space="0" w:color="auto"/>
            <w:left w:val="none" w:sz="0" w:space="0" w:color="auto"/>
            <w:bottom w:val="none" w:sz="0" w:space="0" w:color="auto"/>
            <w:right w:val="none" w:sz="0" w:space="0" w:color="auto"/>
          </w:divBdr>
        </w:div>
        <w:div w:id="707682157">
          <w:marLeft w:val="274"/>
          <w:marRight w:val="0"/>
          <w:marTop w:val="0"/>
          <w:marBottom w:val="0"/>
          <w:divBdr>
            <w:top w:val="none" w:sz="0" w:space="0" w:color="auto"/>
            <w:left w:val="none" w:sz="0" w:space="0" w:color="auto"/>
            <w:bottom w:val="none" w:sz="0" w:space="0" w:color="auto"/>
            <w:right w:val="none" w:sz="0" w:space="0" w:color="auto"/>
          </w:divBdr>
        </w:div>
        <w:div w:id="1398553773">
          <w:marLeft w:val="274"/>
          <w:marRight w:val="0"/>
          <w:marTop w:val="0"/>
          <w:marBottom w:val="0"/>
          <w:divBdr>
            <w:top w:val="none" w:sz="0" w:space="0" w:color="auto"/>
            <w:left w:val="none" w:sz="0" w:space="0" w:color="auto"/>
            <w:bottom w:val="none" w:sz="0" w:space="0" w:color="auto"/>
            <w:right w:val="none" w:sz="0" w:space="0" w:color="auto"/>
          </w:divBdr>
        </w:div>
        <w:div w:id="1458178149">
          <w:marLeft w:val="274"/>
          <w:marRight w:val="0"/>
          <w:marTop w:val="0"/>
          <w:marBottom w:val="0"/>
          <w:divBdr>
            <w:top w:val="none" w:sz="0" w:space="0" w:color="auto"/>
            <w:left w:val="none" w:sz="0" w:space="0" w:color="auto"/>
            <w:bottom w:val="none" w:sz="0" w:space="0" w:color="auto"/>
            <w:right w:val="none" w:sz="0" w:space="0" w:color="auto"/>
          </w:divBdr>
        </w:div>
        <w:div w:id="1662655868">
          <w:marLeft w:val="274"/>
          <w:marRight w:val="0"/>
          <w:marTop w:val="0"/>
          <w:marBottom w:val="0"/>
          <w:divBdr>
            <w:top w:val="none" w:sz="0" w:space="0" w:color="auto"/>
            <w:left w:val="none" w:sz="0" w:space="0" w:color="auto"/>
            <w:bottom w:val="none" w:sz="0" w:space="0" w:color="auto"/>
            <w:right w:val="none" w:sz="0" w:space="0" w:color="auto"/>
          </w:divBdr>
        </w:div>
        <w:div w:id="1903248580">
          <w:marLeft w:val="274"/>
          <w:marRight w:val="0"/>
          <w:marTop w:val="0"/>
          <w:marBottom w:val="0"/>
          <w:divBdr>
            <w:top w:val="none" w:sz="0" w:space="0" w:color="auto"/>
            <w:left w:val="none" w:sz="0" w:space="0" w:color="auto"/>
            <w:bottom w:val="none" w:sz="0" w:space="0" w:color="auto"/>
            <w:right w:val="none" w:sz="0" w:space="0" w:color="auto"/>
          </w:divBdr>
        </w:div>
      </w:divsChild>
    </w:div>
    <w:div w:id="1592733361">
      <w:bodyDiv w:val="1"/>
      <w:marLeft w:val="0"/>
      <w:marRight w:val="0"/>
      <w:marTop w:val="0"/>
      <w:marBottom w:val="0"/>
      <w:divBdr>
        <w:top w:val="none" w:sz="0" w:space="0" w:color="auto"/>
        <w:left w:val="none" w:sz="0" w:space="0" w:color="auto"/>
        <w:bottom w:val="none" w:sz="0" w:space="0" w:color="auto"/>
        <w:right w:val="none" w:sz="0" w:space="0" w:color="auto"/>
      </w:divBdr>
    </w:div>
    <w:div w:id="1614820273">
      <w:bodyDiv w:val="1"/>
      <w:marLeft w:val="0"/>
      <w:marRight w:val="0"/>
      <w:marTop w:val="0"/>
      <w:marBottom w:val="0"/>
      <w:divBdr>
        <w:top w:val="none" w:sz="0" w:space="0" w:color="auto"/>
        <w:left w:val="none" w:sz="0" w:space="0" w:color="auto"/>
        <w:bottom w:val="none" w:sz="0" w:space="0" w:color="auto"/>
        <w:right w:val="none" w:sz="0" w:space="0" w:color="auto"/>
      </w:divBdr>
    </w:div>
    <w:div w:id="1652753984">
      <w:bodyDiv w:val="1"/>
      <w:marLeft w:val="0"/>
      <w:marRight w:val="0"/>
      <w:marTop w:val="0"/>
      <w:marBottom w:val="0"/>
      <w:divBdr>
        <w:top w:val="none" w:sz="0" w:space="0" w:color="auto"/>
        <w:left w:val="none" w:sz="0" w:space="0" w:color="auto"/>
        <w:bottom w:val="none" w:sz="0" w:space="0" w:color="auto"/>
        <w:right w:val="none" w:sz="0" w:space="0" w:color="auto"/>
      </w:divBdr>
    </w:div>
    <w:div w:id="1717511994">
      <w:bodyDiv w:val="1"/>
      <w:marLeft w:val="0"/>
      <w:marRight w:val="0"/>
      <w:marTop w:val="0"/>
      <w:marBottom w:val="0"/>
      <w:divBdr>
        <w:top w:val="none" w:sz="0" w:space="0" w:color="auto"/>
        <w:left w:val="none" w:sz="0" w:space="0" w:color="auto"/>
        <w:bottom w:val="none" w:sz="0" w:space="0" w:color="auto"/>
        <w:right w:val="none" w:sz="0" w:space="0" w:color="auto"/>
      </w:divBdr>
    </w:div>
    <w:div w:id="1771076932">
      <w:bodyDiv w:val="1"/>
      <w:marLeft w:val="0"/>
      <w:marRight w:val="0"/>
      <w:marTop w:val="0"/>
      <w:marBottom w:val="0"/>
      <w:divBdr>
        <w:top w:val="none" w:sz="0" w:space="0" w:color="auto"/>
        <w:left w:val="none" w:sz="0" w:space="0" w:color="auto"/>
        <w:bottom w:val="none" w:sz="0" w:space="0" w:color="auto"/>
        <w:right w:val="none" w:sz="0" w:space="0" w:color="auto"/>
      </w:divBdr>
    </w:div>
    <w:div w:id="1776052148">
      <w:bodyDiv w:val="1"/>
      <w:marLeft w:val="0"/>
      <w:marRight w:val="0"/>
      <w:marTop w:val="0"/>
      <w:marBottom w:val="0"/>
      <w:divBdr>
        <w:top w:val="none" w:sz="0" w:space="0" w:color="auto"/>
        <w:left w:val="none" w:sz="0" w:space="0" w:color="auto"/>
        <w:bottom w:val="none" w:sz="0" w:space="0" w:color="auto"/>
        <w:right w:val="none" w:sz="0" w:space="0" w:color="auto"/>
      </w:divBdr>
    </w:div>
    <w:div w:id="1785730217">
      <w:bodyDiv w:val="1"/>
      <w:marLeft w:val="0"/>
      <w:marRight w:val="0"/>
      <w:marTop w:val="0"/>
      <w:marBottom w:val="0"/>
      <w:divBdr>
        <w:top w:val="none" w:sz="0" w:space="0" w:color="auto"/>
        <w:left w:val="none" w:sz="0" w:space="0" w:color="auto"/>
        <w:bottom w:val="none" w:sz="0" w:space="0" w:color="auto"/>
        <w:right w:val="none" w:sz="0" w:space="0" w:color="auto"/>
      </w:divBdr>
    </w:div>
    <w:div w:id="1789858148">
      <w:bodyDiv w:val="1"/>
      <w:marLeft w:val="0"/>
      <w:marRight w:val="0"/>
      <w:marTop w:val="0"/>
      <w:marBottom w:val="0"/>
      <w:divBdr>
        <w:top w:val="none" w:sz="0" w:space="0" w:color="auto"/>
        <w:left w:val="none" w:sz="0" w:space="0" w:color="auto"/>
        <w:bottom w:val="none" w:sz="0" w:space="0" w:color="auto"/>
        <w:right w:val="none" w:sz="0" w:space="0" w:color="auto"/>
      </w:divBdr>
    </w:div>
    <w:div w:id="1824617107">
      <w:bodyDiv w:val="1"/>
      <w:marLeft w:val="0"/>
      <w:marRight w:val="0"/>
      <w:marTop w:val="0"/>
      <w:marBottom w:val="0"/>
      <w:divBdr>
        <w:top w:val="none" w:sz="0" w:space="0" w:color="auto"/>
        <w:left w:val="none" w:sz="0" w:space="0" w:color="auto"/>
        <w:bottom w:val="none" w:sz="0" w:space="0" w:color="auto"/>
        <w:right w:val="none" w:sz="0" w:space="0" w:color="auto"/>
      </w:divBdr>
      <w:divsChild>
        <w:div w:id="156962829">
          <w:marLeft w:val="274"/>
          <w:marRight w:val="0"/>
          <w:marTop w:val="0"/>
          <w:marBottom w:val="0"/>
          <w:divBdr>
            <w:top w:val="none" w:sz="0" w:space="0" w:color="auto"/>
            <w:left w:val="none" w:sz="0" w:space="0" w:color="auto"/>
            <w:bottom w:val="none" w:sz="0" w:space="0" w:color="auto"/>
            <w:right w:val="none" w:sz="0" w:space="0" w:color="auto"/>
          </w:divBdr>
        </w:div>
        <w:div w:id="392972530">
          <w:marLeft w:val="274"/>
          <w:marRight w:val="0"/>
          <w:marTop w:val="0"/>
          <w:marBottom w:val="0"/>
          <w:divBdr>
            <w:top w:val="none" w:sz="0" w:space="0" w:color="auto"/>
            <w:left w:val="none" w:sz="0" w:space="0" w:color="auto"/>
            <w:bottom w:val="none" w:sz="0" w:space="0" w:color="auto"/>
            <w:right w:val="none" w:sz="0" w:space="0" w:color="auto"/>
          </w:divBdr>
        </w:div>
        <w:div w:id="1248033622">
          <w:marLeft w:val="274"/>
          <w:marRight w:val="0"/>
          <w:marTop w:val="0"/>
          <w:marBottom w:val="0"/>
          <w:divBdr>
            <w:top w:val="none" w:sz="0" w:space="0" w:color="auto"/>
            <w:left w:val="none" w:sz="0" w:space="0" w:color="auto"/>
            <w:bottom w:val="none" w:sz="0" w:space="0" w:color="auto"/>
            <w:right w:val="none" w:sz="0" w:space="0" w:color="auto"/>
          </w:divBdr>
        </w:div>
        <w:div w:id="1931691353">
          <w:marLeft w:val="274"/>
          <w:marRight w:val="0"/>
          <w:marTop w:val="0"/>
          <w:marBottom w:val="0"/>
          <w:divBdr>
            <w:top w:val="none" w:sz="0" w:space="0" w:color="auto"/>
            <w:left w:val="none" w:sz="0" w:space="0" w:color="auto"/>
            <w:bottom w:val="none" w:sz="0" w:space="0" w:color="auto"/>
            <w:right w:val="none" w:sz="0" w:space="0" w:color="auto"/>
          </w:divBdr>
        </w:div>
      </w:divsChild>
    </w:div>
    <w:div w:id="1828354607">
      <w:bodyDiv w:val="1"/>
      <w:marLeft w:val="0"/>
      <w:marRight w:val="0"/>
      <w:marTop w:val="0"/>
      <w:marBottom w:val="0"/>
      <w:divBdr>
        <w:top w:val="none" w:sz="0" w:space="0" w:color="auto"/>
        <w:left w:val="none" w:sz="0" w:space="0" w:color="auto"/>
        <w:bottom w:val="none" w:sz="0" w:space="0" w:color="auto"/>
        <w:right w:val="none" w:sz="0" w:space="0" w:color="auto"/>
      </w:divBdr>
      <w:divsChild>
        <w:div w:id="91245354">
          <w:marLeft w:val="274"/>
          <w:marRight w:val="0"/>
          <w:marTop w:val="0"/>
          <w:marBottom w:val="0"/>
          <w:divBdr>
            <w:top w:val="none" w:sz="0" w:space="0" w:color="auto"/>
            <w:left w:val="none" w:sz="0" w:space="0" w:color="auto"/>
            <w:bottom w:val="none" w:sz="0" w:space="0" w:color="auto"/>
            <w:right w:val="none" w:sz="0" w:space="0" w:color="auto"/>
          </w:divBdr>
        </w:div>
        <w:div w:id="123475956">
          <w:marLeft w:val="274"/>
          <w:marRight w:val="0"/>
          <w:marTop w:val="0"/>
          <w:marBottom w:val="0"/>
          <w:divBdr>
            <w:top w:val="none" w:sz="0" w:space="0" w:color="auto"/>
            <w:left w:val="none" w:sz="0" w:space="0" w:color="auto"/>
            <w:bottom w:val="none" w:sz="0" w:space="0" w:color="auto"/>
            <w:right w:val="none" w:sz="0" w:space="0" w:color="auto"/>
          </w:divBdr>
        </w:div>
      </w:divsChild>
    </w:div>
    <w:div w:id="1908807832">
      <w:bodyDiv w:val="1"/>
      <w:marLeft w:val="0"/>
      <w:marRight w:val="0"/>
      <w:marTop w:val="0"/>
      <w:marBottom w:val="0"/>
      <w:divBdr>
        <w:top w:val="none" w:sz="0" w:space="0" w:color="auto"/>
        <w:left w:val="none" w:sz="0" w:space="0" w:color="auto"/>
        <w:bottom w:val="none" w:sz="0" w:space="0" w:color="auto"/>
        <w:right w:val="none" w:sz="0" w:space="0" w:color="auto"/>
      </w:divBdr>
    </w:div>
    <w:div w:id="1996030438">
      <w:bodyDiv w:val="1"/>
      <w:marLeft w:val="0"/>
      <w:marRight w:val="0"/>
      <w:marTop w:val="0"/>
      <w:marBottom w:val="0"/>
      <w:divBdr>
        <w:top w:val="none" w:sz="0" w:space="0" w:color="auto"/>
        <w:left w:val="none" w:sz="0" w:space="0" w:color="auto"/>
        <w:bottom w:val="none" w:sz="0" w:space="0" w:color="auto"/>
        <w:right w:val="none" w:sz="0" w:space="0" w:color="auto"/>
      </w:divBdr>
    </w:div>
    <w:div w:id="202227464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footer" Target="footer6.xm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footer" Target="footer9.xml"/><Relationship Id="rId42" Type="http://schemas.microsoft.com/office/2019/05/relationships/documenttasks" Target="documenttasks/documenttasks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29" Type="http://schemas.openxmlformats.org/officeDocument/2006/relationships/chart" Target="charts/chart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footer" Target="footer7.xml"/><Relationship Id="rId37" Type="http://schemas.openxmlformats.org/officeDocument/2006/relationships/footer" Target="footer1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image" Target="media/image7.png"/><Relationship Id="rId36" Type="http://schemas.openxmlformats.org/officeDocument/2006/relationships/footer" Target="footer10.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3.xml"/><Relationship Id="rId27" Type="http://schemas.openxmlformats.org/officeDocument/2006/relationships/image" Target="media/image6.png"/><Relationship Id="rId30" Type="http://schemas.openxmlformats.org/officeDocument/2006/relationships/chart" Target="charts/chart2.xml"/><Relationship Id="rId35" Type="http://schemas.openxmlformats.org/officeDocument/2006/relationships/hyperlink" Target="http://www.deloitte.com/au/deloitte-access-economics"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anma\AppData\Local\Temp\Templafy\WordVsto\Report%20title%20&#8211;%20Subject%20matter%20of%20the%20repor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ausdeloitte.sharepoint.com/sites/BSBLChilddevelopmentoutcomes/Shared%20Documents/General/3.%20Modelling%20and%20analysis/New%20Results_Comparison_v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ausdeloitte.sharepoint.com/sites/BSBLChilddevelopmentoutcomes/Shared%20Documents/General/3.%20Modelling%20and%20analysis/New%20Results_Comparison_v2.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'[New Results_Comparison_v2.0.xlsx]2025 Results '!$B$25</c:f>
              <c:strCache>
                <c:ptCount val="1"/>
                <c:pt idx="0">
                  <c:v>Low Scenario</c:v>
                </c:pt>
              </c:strCache>
            </c:strRef>
          </c:tx>
          <c:spPr>
            <a:ln w="28575" cap="rnd">
              <a:solidFill>
                <a:schemeClr val="accent2"/>
              </a:solidFill>
              <a:round/>
            </a:ln>
            <a:effectLst/>
          </c:spPr>
          <c:marker>
            <c:symbol val="none"/>
          </c:marker>
          <c:cat>
            <c:numRef>
              <c:f>'[New Results_Comparison_v2.0.xlsx]2025 Results '!$C$24:$AG$24</c:f>
              <c:numCache>
                <c:formatCode>General</c:formatCode>
                <c:ptCount val="31"/>
                <c:pt idx="0">
                  <c:v>2036</c:v>
                </c:pt>
                <c:pt idx="1">
                  <c:v>2037</c:v>
                </c:pt>
                <c:pt idx="2">
                  <c:v>2038</c:v>
                </c:pt>
                <c:pt idx="3">
                  <c:v>2039</c:v>
                </c:pt>
                <c:pt idx="4">
                  <c:v>2040</c:v>
                </c:pt>
                <c:pt idx="5">
                  <c:v>2041</c:v>
                </c:pt>
                <c:pt idx="6">
                  <c:v>2042</c:v>
                </c:pt>
                <c:pt idx="7">
                  <c:v>2043</c:v>
                </c:pt>
                <c:pt idx="8">
                  <c:v>2044</c:v>
                </c:pt>
                <c:pt idx="9">
                  <c:v>2045</c:v>
                </c:pt>
                <c:pt idx="10">
                  <c:v>2046</c:v>
                </c:pt>
                <c:pt idx="11">
                  <c:v>2047</c:v>
                </c:pt>
                <c:pt idx="12">
                  <c:v>2048</c:v>
                </c:pt>
                <c:pt idx="13">
                  <c:v>2049</c:v>
                </c:pt>
                <c:pt idx="14">
                  <c:v>2050</c:v>
                </c:pt>
                <c:pt idx="15">
                  <c:v>2051</c:v>
                </c:pt>
                <c:pt idx="16">
                  <c:v>2052</c:v>
                </c:pt>
                <c:pt idx="17">
                  <c:v>2053</c:v>
                </c:pt>
                <c:pt idx="18">
                  <c:v>2054</c:v>
                </c:pt>
                <c:pt idx="19">
                  <c:v>2055</c:v>
                </c:pt>
                <c:pt idx="20">
                  <c:v>2056</c:v>
                </c:pt>
                <c:pt idx="21">
                  <c:v>2057</c:v>
                </c:pt>
                <c:pt idx="22">
                  <c:v>2058</c:v>
                </c:pt>
                <c:pt idx="23">
                  <c:v>2059</c:v>
                </c:pt>
                <c:pt idx="24">
                  <c:v>2060</c:v>
                </c:pt>
                <c:pt idx="25">
                  <c:v>2061</c:v>
                </c:pt>
                <c:pt idx="26">
                  <c:v>2062</c:v>
                </c:pt>
                <c:pt idx="27">
                  <c:v>2063</c:v>
                </c:pt>
                <c:pt idx="28">
                  <c:v>2064</c:v>
                </c:pt>
                <c:pt idx="29">
                  <c:v>2065</c:v>
                </c:pt>
                <c:pt idx="30">
                  <c:v>2066</c:v>
                </c:pt>
              </c:numCache>
            </c:numRef>
          </c:cat>
          <c:val>
            <c:numRef>
              <c:f>'[New Results_Comparison_v2.0.xlsx]2025 Results '!$C$25:$AG$25</c:f>
              <c:numCache>
                <c:formatCode>General</c:formatCode>
                <c:ptCount val="31"/>
                <c:pt idx="0">
                  <c:v>6770.6860000000006</c:v>
                </c:pt>
                <c:pt idx="1">
                  <c:v>7124.5460000000003</c:v>
                </c:pt>
                <c:pt idx="2">
                  <c:v>7476.7159999999994</c:v>
                </c:pt>
                <c:pt idx="3">
                  <c:v>7699.1460000000006</c:v>
                </c:pt>
                <c:pt idx="4">
                  <c:v>8018.1660000000002</c:v>
                </c:pt>
                <c:pt idx="5">
                  <c:v>8362.0159999999996</c:v>
                </c:pt>
                <c:pt idx="6">
                  <c:v>8727.1860000000015</c:v>
                </c:pt>
                <c:pt idx="7">
                  <c:v>9119.7860000000001</c:v>
                </c:pt>
                <c:pt idx="8">
                  <c:v>9530.8459999999995</c:v>
                </c:pt>
                <c:pt idx="9">
                  <c:v>9958.8060000000005</c:v>
                </c:pt>
                <c:pt idx="10">
                  <c:v>10404.186000000002</c:v>
                </c:pt>
                <c:pt idx="11">
                  <c:v>10865.556000000002</c:v>
                </c:pt>
                <c:pt idx="12">
                  <c:v>11341.746000000001</c:v>
                </c:pt>
                <c:pt idx="13">
                  <c:v>11831.846000000001</c:v>
                </c:pt>
                <c:pt idx="14">
                  <c:v>12334.036</c:v>
                </c:pt>
                <c:pt idx="15">
                  <c:v>12846.756000000001</c:v>
                </c:pt>
                <c:pt idx="16">
                  <c:v>13370.5</c:v>
                </c:pt>
                <c:pt idx="17">
                  <c:v>13920.53</c:v>
                </c:pt>
                <c:pt idx="18">
                  <c:v>14501.11</c:v>
                </c:pt>
                <c:pt idx="19">
                  <c:v>15098.07</c:v>
                </c:pt>
                <c:pt idx="20">
                  <c:v>15712.189999999999</c:v>
                </c:pt>
                <c:pt idx="21">
                  <c:v>16344.25</c:v>
                </c:pt>
                <c:pt idx="22">
                  <c:v>16995.030000000002</c:v>
                </c:pt>
                <c:pt idx="23">
                  <c:v>17658.420000000002</c:v>
                </c:pt>
                <c:pt idx="24">
                  <c:v>18339.62</c:v>
                </c:pt>
                <c:pt idx="25">
                  <c:v>19034.989999999998</c:v>
                </c:pt>
                <c:pt idx="26">
                  <c:v>19744.27</c:v>
                </c:pt>
                <c:pt idx="27">
                  <c:v>20458.36</c:v>
                </c:pt>
                <c:pt idx="28">
                  <c:v>21010.86</c:v>
                </c:pt>
                <c:pt idx="29">
                  <c:v>21557.120000000003</c:v>
                </c:pt>
                <c:pt idx="30">
                  <c:v>22100.260000000002</c:v>
                </c:pt>
              </c:numCache>
            </c:numRef>
          </c:val>
          <c:smooth val="0"/>
          <c:extLst>
            <c:ext xmlns:c16="http://schemas.microsoft.com/office/drawing/2014/chart" uri="{C3380CC4-5D6E-409C-BE32-E72D297353CC}">
              <c16:uniqueId val="{00000000-CA9F-4AAE-8FED-FC7B9902EAA9}"/>
            </c:ext>
          </c:extLst>
        </c:ser>
        <c:ser>
          <c:idx val="1"/>
          <c:order val="1"/>
          <c:tx>
            <c:strRef>
              <c:f>'[New Results_Comparison_v2.0.xlsx]2025 Results '!$B$26</c:f>
              <c:strCache>
                <c:ptCount val="1"/>
                <c:pt idx="0">
                  <c:v>High Scenario</c:v>
                </c:pt>
              </c:strCache>
            </c:strRef>
          </c:tx>
          <c:spPr>
            <a:ln w="28575" cap="rnd">
              <a:solidFill>
                <a:schemeClr val="accent1"/>
              </a:solidFill>
              <a:round/>
            </a:ln>
            <a:effectLst/>
          </c:spPr>
          <c:marker>
            <c:symbol val="none"/>
          </c:marker>
          <c:cat>
            <c:numRef>
              <c:f>'[New Results_Comparison_v2.0.xlsx]2025 Results '!$C$24:$AG$24</c:f>
              <c:numCache>
                <c:formatCode>General</c:formatCode>
                <c:ptCount val="31"/>
                <c:pt idx="0">
                  <c:v>2036</c:v>
                </c:pt>
                <c:pt idx="1">
                  <c:v>2037</c:v>
                </c:pt>
                <c:pt idx="2">
                  <c:v>2038</c:v>
                </c:pt>
                <c:pt idx="3">
                  <c:v>2039</c:v>
                </c:pt>
                <c:pt idx="4">
                  <c:v>2040</c:v>
                </c:pt>
                <c:pt idx="5">
                  <c:v>2041</c:v>
                </c:pt>
                <c:pt idx="6">
                  <c:v>2042</c:v>
                </c:pt>
                <c:pt idx="7">
                  <c:v>2043</c:v>
                </c:pt>
                <c:pt idx="8">
                  <c:v>2044</c:v>
                </c:pt>
                <c:pt idx="9">
                  <c:v>2045</c:v>
                </c:pt>
                <c:pt idx="10">
                  <c:v>2046</c:v>
                </c:pt>
                <c:pt idx="11">
                  <c:v>2047</c:v>
                </c:pt>
                <c:pt idx="12">
                  <c:v>2048</c:v>
                </c:pt>
                <c:pt idx="13">
                  <c:v>2049</c:v>
                </c:pt>
                <c:pt idx="14">
                  <c:v>2050</c:v>
                </c:pt>
                <c:pt idx="15">
                  <c:v>2051</c:v>
                </c:pt>
                <c:pt idx="16">
                  <c:v>2052</c:v>
                </c:pt>
                <c:pt idx="17">
                  <c:v>2053</c:v>
                </c:pt>
                <c:pt idx="18">
                  <c:v>2054</c:v>
                </c:pt>
                <c:pt idx="19">
                  <c:v>2055</c:v>
                </c:pt>
                <c:pt idx="20">
                  <c:v>2056</c:v>
                </c:pt>
                <c:pt idx="21">
                  <c:v>2057</c:v>
                </c:pt>
                <c:pt idx="22">
                  <c:v>2058</c:v>
                </c:pt>
                <c:pt idx="23">
                  <c:v>2059</c:v>
                </c:pt>
                <c:pt idx="24">
                  <c:v>2060</c:v>
                </c:pt>
                <c:pt idx="25">
                  <c:v>2061</c:v>
                </c:pt>
                <c:pt idx="26">
                  <c:v>2062</c:v>
                </c:pt>
                <c:pt idx="27">
                  <c:v>2063</c:v>
                </c:pt>
                <c:pt idx="28">
                  <c:v>2064</c:v>
                </c:pt>
                <c:pt idx="29">
                  <c:v>2065</c:v>
                </c:pt>
                <c:pt idx="30">
                  <c:v>2066</c:v>
                </c:pt>
              </c:numCache>
            </c:numRef>
          </c:cat>
          <c:val>
            <c:numRef>
              <c:f>'[New Results_Comparison_v2.0.xlsx]2025 Results '!$C$26:$AG$26</c:f>
              <c:numCache>
                <c:formatCode>General</c:formatCode>
                <c:ptCount val="31"/>
                <c:pt idx="0">
                  <c:v>9192.1309999999994</c:v>
                </c:pt>
                <c:pt idx="1">
                  <c:v>9750.0910000000003</c:v>
                </c:pt>
                <c:pt idx="2">
                  <c:v>10307.921</c:v>
                </c:pt>
                <c:pt idx="3">
                  <c:v>10737.960999999999</c:v>
                </c:pt>
                <c:pt idx="4">
                  <c:v>11277.201000000001</c:v>
                </c:pt>
                <c:pt idx="5">
                  <c:v>11849.331000000002</c:v>
                </c:pt>
                <c:pt idx="6">
                  <c:v>12450.581000000002</c:v>
                </c:pt>
                <c:pt idx="7">
                  <c:v>13088.660000000002</c:v>
                </c:pt>
                <c:pt idx="8">
                  <c:v>13752.830000000002</c:v>
                </c:pt>
                <c:pt idx="9">
                  <c:v>14441.050000000001</c:v>
                </c:pt>
                <c:pt idx="10">
                  <c:v>15154.36</c:v>
                </c:pt>
                <c:pt idx="11">
                  <c:v>15890.810000000001</c:v>
                </c:pt>
                <c:pt idx="12">
                  <c:v>16648.97</c:v>
                </c:pt>
                <c:pt idx="13">
                  <c:v>17427.41</c:v>
                </c:pt>
                <c:pt idx="14">
                  <c:v>18223.79</c:v>
                </c:pt>
                <c:pt idx="15">
                  <c:v>19035.77</c:v>
                </c:pt>
                <c:pt idx="16">
                  <c:v>19864.39</c:v>
                </c:pt>
                <c:pt idx="17">
                  <c:v>20730.84</c:v>
                </c:pt>
                <c:pt idx="18">
                  <c:v>21641.49</c:v>
                </c:pt>
                <c:pt idx="19">
                  <c:v>22576.45</c:v>
                </c:pt>
                <c:pt idx="20">
                  <c:v>23537.020000000004</c:v>
                </c:pt>
                <c:pt idx="21">
                  <c:v>24524.5</c:v>
                </c:pt>
                <c:pt idx="22">
                  <c:v>25540.06</c:v>
                </c:pt>
                <c:pt idx="23">
                  <c:v>26574.86</c:v>
                </c:pt>
                <c:pt idx="24">
                  <c:v>27636.570000000003</c:v>
                </c:pt>
                <c:pt idx="25">
                  <c:v>28720.120000000003</c:v>
                </c:pt>
                <c:pt idx="26">
                  <c:v>29824.73</c:v>
                </c:pt>
                <c:pt idx="27">
                  <c:v>30938.05</c:v>
                </c:pt>
                <c:pt idx="28">
                  <c:v>31760.04</c:v>
                </c:pt>
                <c:pt idx="29">
                  <c:v>32568.9</c:v>
                </c:pt>
                <c:pt idx="30">
                  <c:v>33370.090000000004</c:v>
                </c:pt>
              </c:numCache>
            </c:numRef>
          </c:val>
          <c:smooth val="0"/>
          <c:extLst>
            <c:ext xmlns:c16="http://schemas.microsoft.com/office/drawing/2014/chart" uri="{C3380CC4-5D6E-409C-BE32-E72D297353CC}">
              <c16:uniqueId val="{00000001-CA9F-4AAE-8FED-FC7B9902EAA9}"/>
            </c:ext>
          </c:extLst>
        </c:ser>
        <c:dLbls>
          <c:showLegendKey val="0"/>
          <c:showVal val="0"/>
          <c:showCatName val="0"/>
          <c:showSerName val="0"/>
          <c:showPercent val="0"/>
          <c:showBubbleSize val="0"/>
        </c:dLbls>
        <c:smooth val="0"/>
        <c:axId val="1152644272"/>
        <c:axId val="1152646672"/>
      </c:lineChart>
      <c:catAx>
        <c:axId val="115264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crossAx val="1152646672"/>
        <c:crosses val="autoZero"/>
        <c:auto val="1"/>
        <c:lblAlgn val="ctr"/>
        <c:lblOffset val="100"/>
        <c:tickLblSkip val="5"/>
        <c:noMultiLvlLbl val="0"/>
      </c:catAx>
      <c:valAx>
        <c:axId val="1152646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en-AU"/>
                  <a:t>$ Billion</a:t>
                </a:r>
              </a:p>
            </c:rich>
          </c:tx>
          <c:layout>
            <c:manualLayout>
              <c:xMode val="edge"/>
              <c:yMode val="edge"/>
              <c:x val="2.0668689051779134E-2"/>
              <c:y val="3.1950920023332975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crossAx val="1152644272"/>
        <c:crosses val="autoZero"/>
        <c:crossBetween val="between"/>
        <c:dispUnits>
          <c:builtInUnit val="thousand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latin typeface="Verdana" panose="020B0604030504040204" pitchFamily="34" charset="0"/>
          <a:ea typeface="Verdana" panose="020B060403050404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'[New Results_Comparison_v2.0.xlsx]2025 Results '!$B$29</c:f>
              <c:strCache>
                <c:ptCount val="1"/>
                <c:pt idx="0">
                  <c:v>Low Scenario</c:v>
                </c:pt>
              </c:strCache>
            </c:strRef>
          </c:tx>
          <c:spPr>
            <a:ln w="28575" cap="rnd">
              <a:solidFill>
                <a:schemeClr val="accent2"/>
              </a:solidFill>
              <a:round/>
            </a:ln>
            <a:effectLst/>
          </c:spPr>
          <c:marker>
            <c:symbol val="none"/>
          </c:marker>
          <c:cat>
            <c:numRef>
              <c:f>'[New Results_Comparison_v2.0.xlsx]2025 Results '!$C$24:$AG$24</c:f>
              <c:numCache>
                <c:formatCode>General</c:formatCode>
                <c:ptCount val="31"/>
                <c:pt idx="0">
                  <c:v>2036</c:v>
                </c:pt>
                <c:pt idx="1">
                  <c:v>2037</c:v>
                </c:pt>
                <c:pt idx="2">
                  <c:v>2038</c:v>
                </c:pt>
                <c:pt idx="3">
                  <c:v>2039</c:v>
                </c:pt>
                <c:pt idx="4">
                  <c:v>2040</c:v>
                </c:pt>
                <c:pt idx="5">
                  <c:v>2041</c:v>
                </c:pt>
                <c:pt idx="6">
                  <c:v>2042</c:v>
                </c:pt>
                <c:pt idx="7">
                  <c:v>2043</c:v>
                </c:pt>
                <c:pt idx="8">
                  <c:v>2044</c:v>
                </c:pt>
                <c:pt idx="9">
                  <c:v>2045</c:v>
                </c:pt>
                <c:pt idx="10">
                  <c:v>2046</c:v>
                </c:pt>
                <c:pt idx="11">
                  <c:v>2047</c:v>
                </c:pt>
                <c:pt idx="12">
                  <c:v>2048</c:v>
                </c:pt>
                <c:pt idx="13">
                  <c:v>2049</c:v>
                </c:pt>
                <c:pt idx="14">
                  <c:v>2050</c:v>
                </c:pt>
                <c:pt idx="15">
                  <c:v>2051</c:v>
                </c:pt>
                <c:pt idx="16">
                  <c:v>2052</c:v>
                </c:pt>
                <c:pt idx="17">
                  <c:v>2053</c:v>
                </c:pt>
                <c:pt idx="18">
                  <c:v>2054</c:v>
                </c:pt>
                <c:pt idx="19">
                  <c:v>2055</c:v>
                </c:pt>
                <c:pt idx="20">
                  <c:v>2056</c:v>
                </c:pt>
                <c:pt idx="21">
                  <c:v>2057</c:v>
                </c:pt>
                <c:pt idx="22">
                  <c:v>2058</c:v>
                </c:pt>
                <c:pt idx="23">
                  <c:v>2059</c:v>
                </c:pt>
                <c:pt idx="24">
                  <c:v>2060</c:v>
                </c:pt>
                <c:pt idx="25">
                  <c:v>2061</c:v>
                </c:pt>
                <c:pt idx="26">
                  <c:v>2062</c:v>
                </c:pt>
                <c:pt idx="27">
                  <c:v>2063</c:v>
                </c:pt>
                <c:pt idx="28">
                  <c:v>2064</c:v>
                </c:pt>
                <c:pt idx="29">
                  <c:v>2065</c:v>
                </c:pt>
                <c:pt idx="30">
                  <c:v>2066</c:v>
                </c:pt>
              </c:numCache>
            </c:numRef>
          </c:cat>
          <c:val>
            <c:numRef>
              <c:f>'[New Results_Comparison_v2.0.xlsx]2025 Results '!$C$29:$AG$29</c:f>
              <c:numCache>
                <c:formatCode>General</c:formatCode>
                <c:ptCount val="31"/>
                <c:pt idx="0">
                  <c:v>34787.9</c:v>
                </c:pt>
                <c:pt idx="1">
                  <c:v>36038</c:v>
                </c:pt>
                <c:pt idx="2">
                  <c:v>37319.800000000003</c:v>
                </c:pt>
                <c:pt idx="3">
                  <c:v>38136.400000000001</c:v>
                </c:pt>
                <c:pt idx="4">
                  <c:v>39538</c:v>
                </c:pt>
                <c:pt idx="5">
                  <c:v>40999.4</c:v>
                </c:pt>
                <c:pt idx="6">
                  <c:v>42510.7</c:v>
                </c:pt>
                <c:pt idx="7">
                  <c:v>44084.800000000003</c:v>
                </c:pt>
                <c:pt idx="8">
                  <c:v>45690.8</c:v>
                </c:pt>
                <c:pt idx="9">
                  <c:v>47320.9</c:v>
                </c:pt>
                <c:pt idx="10">
                  <c:v>48973.3</c:v>
                </c:pt>
                <c:pt idx="11">
                  <c:v>50640.9</c:v>
                </c:pt>
                <c:pt idx="12">
                  <c:v>52317.3</c:v>
                </c:pt>
                <c:pt idx="13">
                  <c:v>53998.1</c:v>
                </c:pt>
                <c:pt idx="14">
                  <c:v>55677.1</c:v>
                </c:pt>
                <c:pt idx="15">
                  <c:v>57350.2</c:v>
                </c:pt>
                <c:pt idx="16">
                  <c:v>59020.2</c:v>
                </c:pt>
                <c:pt idx="17">
                  <c:v>60731.3</c:v>
                </c:pt>
                <c:pt idx="18">
                  <c:v>62495.8</c:v>
                </c:pt>
                <c:pt idx="19">
                  <c:v>64273.9</c:v>
                </c:pt>
                <c:pt idx="20">
                  <c:v>66070.3</c:v>
                </c:pt>
                <c:pt idx="21">
                  <c:v>67889.100000000006</c:v>
                </c:pt>
                <c:pt idx="22">
                  <c:v>69734.100000000006</c:v>
                </c:pt>
                <c:pt idx="23">
                  <c:v>71569.399999999994</c:v>
                </c:pt>
                <c:pt idx="24">
                  <c:v>73425</c:v>
                </c:pt>
                <c:pt idx="25">
                  <c:v>75280.800000000003</c:v>
                </c:pt>
                <c:pt idx="26">
                  <c:v>77135.3</c:v>
                </c:pt>
                <c:pt idx="27">
                  <c:v>78980.7</c:v>
                </c:pt>
                <c:pt idx="28">
                  <c:v>79878.2</c:v>
                </c:pt>
                <c:pt idx="29">
                  <c:v>80761.7</c:v>
                </c:pt>
                <c:pt idx="30">
                  <c:v>81636.5</c:v>
                </c:pt>
              </c:numCache>
            </c:numRef>
          </c:val>
          <c:smooth val="0"/>
          <c:extLst>
            <c:ext xmlns:c16="http://schemas.microsoft.com/office/drawing/2014/chart" uri="{C3380CC4-5D6E-409C-BE32-E72D297353CC}">
              <c16:uniqueId val="{00000000-6840-4B66-BBDE-BA602FFEC89C}"/>
            </c:ext>
          </c:extLst>
        </c:ser>
        <c:ser>
          <c:idx val="1"/>
          <c:order val="1"/>
          <c:tx>
            <c:strRef>
              <c:f>'[New Results_Comparison_v2.0.xlsx]2025 Results '!$B$30</c:f>
              <c:strCache>
                <c:ptCount val="1"/>
                <c:pt idx="0">
                  <c:v>High Scenario</c:v>
                </c:pt>
              </c:strCache>
            </c:strRef>
          </c:tx>
          <c:spPr>
            <a:ln w="28575" cap="rnd">
              <a:solidFill>
                <a:schemeClr val="accent1"/>
              </a:solidFill>
              <a:round/>
            </a:ln>
            <a:effectLst/>
          </c:spPr>
          <c:marker>
            <c:symbol val="none"/>
          </c:marker>
          <c:cat>
            <c:numRef>
              <c:f>'[New Results_Comparison_v2.0.xlsx]2025 Results '!$C$24:$AG$24</c:f>
              <c:numCache>
                <c:formatCode>General</c:formatCode>
                <c:ptCount val="31"/>
                <c:pt idx="0">
                  <c:v>2036</c:v>
                </c:pt>
                <c:pt idx="1">
                  <c:v>2037</c:v>
                </c:pt>
                <c:pt idx="2">
                  <c:v>2038</c:v>
                </c:pt>
                <c:pt idx="3">
                  <c:v>2039</c:v>
                </c:pt>
                <c:pt idx="4">
                  <c:v>2040</c:v>
                </c:pt>
                <c:pt idx="5">
                  <c:v>2041</c:v>
                </c:pt>
                <c:pt idx="6">
                  <c:v>2042</c:v>
                </c:pt>
                <c:pt idx="7">
                  <c:v>2043</c:v>
                </c:pt>
                <c:pt idx="8">
                  <c:v>2044</c:v>
                </c:pt>
                <c:pt idx="9">
                  <c:v>2045</c:v>
                </c:pt>
                <c:pt idx="10">
                  <c:v>2046</c:v>
                </c:pt>
                <c:pt idx="11">
                  <c:v>2047</c:v>
                </c:pt>
                <c:pt idx="12">
                  <c:v>2048</c:v>
                </c:pt>
                <c:pt idx="13">
                  <c:v>2049</c:v>
                </c:pt>
                <c:pt idx="14">
                  <c:v>2050</c:v>
                </c:pt>
                <c:pt idx="15">
                  <c:v>2051</c:v>
                </c:pt>
                <c:pt idx="16">
                  <c:v>2052</c:v>
                </c:pt>
                <c:pt idx="17">
                  <c:v>2053</c:v>
                </c:pt>
                <c:pt idx="18">
                  <c:v>2054</c:v>
                </c:pt>
                <c:pt idx="19">
                  <c:v>2055</c:v>
                </c:pt>
                <c:pt idx="20">
                  <c:v>2056</c:v>
                </c:pt>
                <c:pt idx="21">
                  <c:v>2057</c:v>
                </c:pt>
                <c:pt idx="22">
                  <c:v>2058</c:v>
                </c:pt>
                <c:pt idx="23">
                  <c:v>2059</c:v>
                </c:pt>
                <c:pt idx="24">
                  <c:v>2060</c:v>
                </c:pt>
                <c:pt idx="25">
                  <c:v>2061</c:v>
                </c:pt>
                <c:pt idx="26">
                  <c:v>2062</c:v>
                </c:pt>
                <c:pt idx="27">
                  <c:v>2063</c:v>
                </c:pt>
                <c:pt idx="28">
                  <c:v>2064</c:v>
                </c:pt>
                <c:pt idx="29">
                  <c:v>2065</c:v>
                </c:pt>
                <c:pt idx="30">
                  <c:v>2066</c:v>
                </c:pt>
              </c:numCache>
            </c:numRef>
          </c:cat>
          <c:val>
            <c:numRef>
              <c:f>'[New Results_Comparison_v2.0.xlsx]2025 Results '!$C$30:$AG$30</c:f>
              <c:numCache>
                <c:formatCode>General</c:formatCode>
                <c:ptCount val="31"/>
                <c:pt idx="0">
                  <c:v>48719.4</c:v>
                </c:pt>
                <c:pt idx="1">
                  <c:v>50812.9</c:v>
                </c:pt>
                <c:pt idx="2">
                  <c:v>52958.7</c:v>
                </c:pt>
                <c:pt idx="3">
                  <c:v>54655.9</c:v>
                </c:pt>
                <c:pt idx="4">
                  <c:v>56992.7</c:v>
                </c:pt>
                <c:pt idx="5">
                  <c:v>59421.599999999999</c:v>
                </c:pt>
                <c:pt idx="6">
                  <c:v>61928.9</c:v>
                </c:pt>
                <c:pt idx="7">
                  <c:v>64527.1</c:v>
                </c:pt>
                <c:pt idx="8">
                  <c:v>67175.7</c:v>
                </c:pt>
                <c:pt idx="9">
                  <c:v>69862.600000000006</c:v>
                </c:pt>
                <c:pt idx="10">
                  <c:v>72584.100000000006</c:v>
                </c:pt>
                <c:pt idx="11">
                  <c:v>75328.800000000003</c:v>
                </c:pt>
                <c:pt idx="12">
                  <c:v>78086.399999999994</c:v>
                </c:pt>
                <c:pt idx="13">
                  <c:v>80849.8</c:v>
                </c:pt>
                <c:pt idx="14">
                  <c:v>83609.899999999994</c:v>
                </c:pt>
                <c:pt idx="15">
                  <c:v>86360.4</c:v>
                </c:pt>
                <c:pt idx="16">
                  <c:v>89105.1</c:v>
                </c:pt>
                <c:pt idx="17">
                  <c:v>91906</c:v>
                </c:pt>
                <c:pt idx="18">
                  <c:v>94781.2</c:v>
                </c:pt>
                <c:pt idx="19">
                  <c:v>97675.4</c:v>
                </c:pt>
                <c:pt idx="20">
                  <c:v>100596</c:v>
                </c:pt>
                <c:pt idx="21">
                  <c:v>103549</c:v>
                </c:pt>
                <c:pt idx="22">
                  <c:v>106541</c:v>
                </c:pt>
                <c:pt idx="23">
                  <c:v>109519</c:v>
                </c:pt>
                <c:pt idx="24">
                  <c:v>112527</c:v>
                </c:pt>
                <c:pt idx="25">
                  <c:v>115536</c:v>
                </c:pt>
                <c:pt idx="26">
                  <c:v>118544</c:v>
                </c:pt>
                <c:pt idx="27">
                  <c:v>121540</c:v>
                </c:pt>
                <c:pt idx="28">
                  <c:v>122844</c:v>
                </c:pt>
                <c:pt idx="29">
                  <c:v>124127</c:v>
                </c:pt>
                <c:pt idx="30">
                  <c:v>125397</c:v>
                </c:pt>
              </c:numCache>
            </c:numRef>
          </c:val>
          <c:smooth val="0"/>
          <c:extLst>
            <c:ext xmlns:c16="http://schemas.microsoft.com/office/drawing/2014/chart" uri="{C3380CC4-5D6E-409C-BE32-E72D297353CC}">
              <c16:uniqueId val="{00000001-6840-4B66-BBDE-BA602FFEC89C}"/>
            </c:ext>
          </c:extLst>
        </c:ser>
        <c:dLbls>
          <c:showLegendKey val="0"/>
          <c:showVal val="0"/>
          <c:showCatName val="0"/>
          <c:showSerName val="0"/>
          <c:showPercent val="0"/>
          <c:showBubbleSize val="0"/>
        </c:dLbls>
        <c:smooth val="0"/>
        <c:axId val="1152644272"/>
        <c:axId val="1152646672"/>
      </c:lineChart>
      <c:catAx>
        <c:axId val="115264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crossAx val="1152646672"/>
        <c:crosses val="autoZero"/>
        <c:auto val="1"/>
        <c:lblAlgn val="ctr"/>
        <c:lblOffset val="100"/>
        <c:tickLblSkip val="5"/>
        <c:noMultiLvlLbl val="0"/>
      </c:catAx>
      <c:valAx>
        <c:axId val="1152646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en-AU"/>
                  <a:t>FTEs</a:t>
                </a:r>
              </a:p>
            </c:rich>
          </c:tx>
          <c:layout>
            <c:manualLayout>
              <c:xMode val="edge"/>
              <c:yMode val="edge"/>
              <c:x val="2.0668689051779134E-2"/>
              <c:y val="3.1950920023332975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crossAx val="1152644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latin typeface="Verdana" panose="020B0604030504040204" pitchFamily="34" charset="0"/>
          <a:ea typeface="Verdana" panose="020B060403050404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59668988-F81F-4D6E-9037-16BB1EFE4BEF}">
    <t:Anchor>
      <t:Comment id="1909268371"/>
    </t:Anchor>
    <t:History>
      <t:Event id="{DB407E35-944C-4F63-A8A6-535D9071B58B}" time="2024-11-02T10:51:46.757Z">
        <t:Attribution userId="S::catherine.durrant@dtf.vic.gov.au::7833451f-a262-4bb2-a031-3b24d9bd0ad6" userProvider="AD" userName="Catherine Durrant (DTF)"/>
        <t:Anchor>
          <t:Comment id="488744704"/>
        </t:Anchor>
        <t:Create/>
      </t:Event>
      <t:Event id="{30371ABF-DC19-4A03-8866-56D5499792EB}" time="2024-11-02T10:51:46.757Z">
        <t:Attribution userId="S::catherine.durrant@dtf.vic.gov.au::7833451f-a262-4bb2-a031-3b24d9bd0ad6" userProvider="AD" userName="Catherine Durrant (DTF)"/>
        <t:Anchor>
          <t:Comment id="488744704"/>
        </t:Anchor>
        <t:Assign userId="S::megan.hince@dtf.vic.gov.au::824bd46f-c7df-4ee7-acd4-0305e2d5c96b" userProvider="AD" userName="Megan Hince (DTF)"/>
      </t:Event>
      <t:Event id="{D1B0C922-DC72-4129-BB57-01682766389D}" time="2024-11-02T10:51:46.757Z">
        <t:Attribution userId="S::catherine.durrant@dtf.vic.gov.au::7833451f-a262-4bb2-a031-3b24d9bd0ad6" userProvider="AD" userName="Catherine Durrant (DTF)"/>
        <t:Anchor>
          <t:Comment id="488744704"/>
        </t:Anchor>
        <t:SetTitle title="@Megan Hince (DTF) can you look at the old version and see which one makes more sense to you? Previous version is here Draft Report with MB, CD, SN, ES comments - BSBL Stage 2.pdf the relevant table is on p viPerhaps we can go back to Deloitte with th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9F52EEF6524C959C80203D4C71A92C"/>
        <w:category>
          <w:name w:val="General"/>
          <w:gallery w:val="placeholder"/>
        </w:category>
        <w:types>
          <w:type w:val="bbPlcHdr"/>
        </w:types>
        <w:behaviors>
          <w:behavior w:val="content"/>
        </w:behaviors>
        <w:guid w:val="{C8D758C8-CC0A-49A1-92E7-4B9509D2BAE1}"/>
      </w:docPartPr>
      <w:docPartBody>
        <w:p w:rsidR="00037DAE" w:rsidRDefault="009F5DBC">
          <w:pPr>
            <w:pStyle w:val="F89F52EEF6524C959C80203D4C71A92C"/>
          </w:pPr>
          <w:r w:rsidRPr="00782FB9">
            <w:rPr>
              <w:rStyle w:val="PlaceholderText"/>
            </w:rPr>
            <w:t>Disclaimer.Disclaimer</w:t>
          </w:r>
        </w:p>
      </w:docPartBody>
    </w:docPart>
    <w:docPart>
      <w:docPartPr>
        <w:name w:val="2BE3962D19E74E73BC2ADFF15168D39A"/>
        <w:category>
          <w:name w:val="General"/>
          <w:gallery w:val="placeholder"/>
        </w:category>
        <w:types>
          <w:type w:val="bbPlcHdr"/>
        </w:types>
        <w:behaviors>
          <w:behavior w:val="content"/>
        </w:behaviors>
        <w:guid w:val="{791E5FB7-414C-424C-B192-0198B15C2546}"/>
      </w:docPartPr>
      <w:docPartBody>
        <w:p w:rsidR="00D166A5" w:rsidRDefault="009F5DBC">
          <w:pPr>
            <w:pStyle w:val="2BE3962D19E74E73BC2ADFF15168D39A"/>
          </w:pPr>
          <w:r w:rsidRPr="00782FB9">
            <w:rPr>
              <w:rStyle w:val="PlaceholderText"/>
            </w:rPr>
            <w:t>Disclaimer.Disclaimer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otham Bold">
    <w:altName w:val="Calibri"/>
    <w:charset w:val="00"/>
    <w:family w:val="auto"/>
    <w:pitch w:val="variable"/>
    <w:sig w:usb0="A10000FF" w:usb1="4000005B" w:usb2="00000000" w:usb3="00000000" w:csb0="0000019B"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Sans-Bold">
    <w:altName w:val="Calibri"/>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roxima Nova Light">
    <w:altName w:val="Tahom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AE"/>
    <w:rsid w:val="00037DAE"/>
    <w:rsid w:val="00046E28"/>
    <w:rsid w:val="00070B58"/>
    <w:rsid w:val="000B6994"/>
    <w:rsid w:val="000E2D7F"/>
    <w:rsid w:val="000F1F65"/>
    <w:rsid w:val="000F4DAC"/>
    <w:rsid w:val="000F7FC2"/>
    <w:rsid w:val="00114A80"/>
    <w:rsid w:val="00172AB8"/>
    <w:rsid w:val="00183C1E"/>
    <w:rsid w:val="001F4C45"/>
    <w:rsid w:val="001F6D86"/>
    <w:rsid w:val="00231A1C"/>
    <w:rsid w:val="00241AFE"/>
    <w:rsid w:val="00305237"/>
    <w:rsid w:val="00392976"/>
    <w:rsid w:val="003E6A08"/>
    <w:rsid w:val="0042566B"/>
    <w:rsid w:val="00463A7A"/>
    <w:rsid w:val="004A071E"/>
    <w:rsid w:val="004A77C0"/>
    <w:rsid w:val="004E3865"/>
    <w:rsid w:val="00500C3D"/>
    <w:rsid w:val="00532C8F"/>
    <w:rsid w:val="005B1FD9"/>
    <w:rsid w:val="005E3656"/>
    <w:rsid w:val="005F362F"/>
    <w:rsid w:val="00610D4A"/>
    <w:rsid w:val="00616222"/>
    <w:rsid w:val="006237BA"/>
    <w:rsid w:val="006B0651"/>
    <w:rsid w:val="006D71CD"/>
    <w:rsid w:val="006F5E3E"/>
    <w:rsid w:val="008028BF"/>
    <w:rsid w:val="008400D5"/>
    <w:rsid w:val="00900ED2"/>
    <w:rsid w:val="009F5DBC"/>
    <w:rsid w:val="00AB1C92"/>
    <w:rsid w:val="00AC44EE"/>
    <w:rsid w:val="00B858C9"/>
    <w:rsid w:val="00BC163D"/>
    <w:rsid w:val="00BF760A"/>
    <w:rsid w:val="00C218E1"/>
    <w:rsid w:val="00C3593C"/>
    <w:rsid w:val="00C76118"/>
    <w:rsid w:val="00CB7A5B"/>
    <w:rsid w:val="00CE0EA0"/>
    <w:rsid w:val="00CF0794"/>
    <w:rsid w:val="00D166A5"/>
    <w:rsid w:val="00D60141"/>
    <w:rsid w:val="00D660FE"/>
    <w:rsid w:val="00DB7EB7"/>
    <w:rsid w:val="00DF2580"/>
    <w:rsid w:val="00DF3A60"/>
    <w:rsid w:val="00DF3D50"/>
    <w:rsid w:val="00E67CBA"/>
    <w:rsid w:val="00EC36BC"/>
    <w:rsid w:val="00F21E83"/>
    <w:rsid w:val="00F23653"/>
    <w:rsid w:val="00F57A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5EE52A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0"/>
    <w:semiHidden/>
    <w:rPr>
      <w:color w:val="808080"/>
      <w:lang w:val="en-AU"/>
    </w:rPr>
  </w:style>
  <w:style w:type="paragraph" w:customStyle="1" w:styleId="F89F52EEF6524C959C80203D4C71A92C">
    <w:name w:val="F89F52EEF6524C959C80203D4C71A92C"/>
  </w:style>
  <w:style w:type="paragraph" w:customStyle="1" w:styleId="2BE3962D19E74E73BC2ADFF15168D39A">
    <w:name w:val="2BE3962D19E74E73BC2ADFF15168D39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loitte">
  <a:themeElements>
    <a:clrScheme name="Deloitte">
      <a:dk1>
        <a:srgbClr val="000000"/>
      </a:dk1>
      <a:lt1>
        <a:srgbClr val="FFFFFF"/>
      </a:lt1>
      <a:dk2>
        <a:srgbClr val="44546A"/>
      </a:dk2>
      <a:lt2>
        <a:srgbClr val="E7E6E6"/>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solidFill>
            <a:schemeClr val="accent3"/>
          </a:solidFill>
          <a:miter lim="800000"/>
          <a:headEnd/>
          <a:tailEnd/>
        </a:ln>
      </a:spPr>
      <a:bodyPr wrap="square" lIns="88900" tIns="88900" rIns="88900" bIns="88900" rtlCol="0" anchor="ctr"/>
      <a:lstStyle>
        <a:defPPr algn="ctr">
          <a:lnSpc>
            <a:spcPct val="106000"/>
          </a:lnSpc>
          <a:buFont typeface="Wingdings 2" pitchFamily="18" charset="2"/>
          <a:buNone/>
          <a:defRPr sz="1600" b="1" noProof="0" dirty="0" err="1" smtClean="0">
            <a:solidFill>
              <a:schemeClr val="bg1"/>
            </a:solidFill>
          </a:defRPr>
        </a:defPPr>
      </a:lstStyle>
    </a:spDef>
    <a:lnDef>
      <a:spPr>
        <a:ln>
          <a:solidFill>
            <a:srgbClr val="44546A"/>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34000" indent="-234000">
          <a:spcBef>
            <a:spcPts val="0"/>
          </a:spcBef>
          <a:spcAft>
            <a:spcPts val="1333"/>
          </a:spcAft>
          <a:buSzPct val="100000"/>
          <a:buFont typeface="Arial"/>
          <a:buChar char="•"/>
          <a:defRPr sz="1200" noProof="0" dirty="0" err="1" smtClean="0">
            <a:solidFill>
              <a:schemeClr val="tx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 id="{020FA619-153C-4BC1-AB41-D999AE5EF9C3}" vid="{04C754E3-B662-48D8-B304-73D035B016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580cac-1a46-464e-a749-263d0beaf9ec">
      <UserInfo>
        <DisplayName>Uragun, Deniz</DisplayName>
        <AccountId>13</AccountId>
        <AccountType/>
      </UserInfo>
      <UserInfo>
        <DisplayName>Ma, Christine</DisplayName>
        <AccountId>12</AccountId>
        <AccountType/>
      </UserInfo>
      <UserInfo>
        <DisplayName>Hodges, Cedric</DisplayName>
        <AccountId>31</AccountId>
        <AccountType/>
      </UserInfo>
      <UserInfo>
        <DisplayName>Smirl, Lachlan</DisplayName>
        <AccountId>15</AccountId>
        <AccountType/>
      </UserInfo>
      <UserInfo>
        <DisplayName>Lodewijks, Ben</DisplayName>
        <AccountId>11</AccountId>
        <AccountType/>
      </UserInfo>
    </SharedWithUsers>
    <NoteOwner xmlns="c5048082-e052-44c2-9313-1529a8e2ac53">
      <UserInfo>
        <DisplayName/>
        <AccountId xsi:nil="true"/>
        <AccountType/>
      </UserInfo>
    </NoteOwner>
    <Status xmlns="c5048082-e052-44c2-9313-1529a8e2ac53">Active - BAU</Status>
    <TaxCatchAll xmlns="97580cac-1a46-464e-a749-263d0beaf9ec" xsi:nil="true"/>
    <lcf76f155ced4ddcb4097134ff3c332f xmlns="c5048082-e052-44c2-9313-1529a8e2ac53">
      <Terms xmlns="http://schemas.microsoft.com/office/infopath/2007/PartnerControls"/>
    </lcf76f155ced4ddcb4097134ff3c332f>
    <Approval xmlns="c5048082-e052-44c2-9313-1529a8e2ac53" xsi:nil="true"/>
  </documentManagement>
</p:properties>
</file>

<file path=customXml/item2.xml>��< ? x m l   v e r s i o n = " 1 . 0 "   e n c o d i n g = " u t f - 1 6 " ? > < K a p i s h F i l e n a m e T o U r i M a p p i n g s   x m l n s : x s i = " h t t p : / / w w w . w 3 . o r g / 2 0 0 1 / X M L S c h e m a - i n s t a n c e "   x m l n s : x s d = " h t t p : / / w w w . w 3 . o r g / 2 0 0 1 / X M L S c h e m a " / > 
</file>

<file path=customXml/item3.xml><?xml version="1.0" encoding="utf-8"?>
<TemplafyFormConfiguration><![CDATA[{"formFields":[{"distinct":false,"hideIfNoUserInteractionRequired":false,"required":false,"autoSelectFirstOption":false,"helpTexts":{},"spacing":{},"shareValue":false,"type":"dropDown","dataSourceName":"Disclaimers","dataSourceFieldName":"InternalExternal","name":"Disclaimer","label":"Audience"},{"distinct":false,"hideIfNoUserInteractionRequired":false,"required":false,"autoSelectFirstOption":false,"helpTexts":{},"spacing":{},"shareValue":false,"type":"dropDown","dataSourceName":"Confidentiality","dataSourceFieldName":"ShowName","name":"Classification","label":"Classification"}],"formDataEntries":[{"name":"Disclaimer","value":"vQiEy/OI7BTNdnfNJXE+7fChHEv2tpWm2VG7/haDOCg="},{"name":"Classification","value":"mRvYh7TaNsJZQMBft6kIsF7l5EGVlMSwNLL3IKabG9k="}]}]]></TemplafyForm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TemplateConfiguration><![CDATA[{"elementsMetadata":[{"elementConfiguration":{"binding":"{{Form.Disclaimer.Disclaimer}}","visibility":"","removeAndKeepContent":false,"disableUpdates":false,"type":"text"},"type":"richTextContentControl","id":"c12f8de0-03b5-4cf1-86f7-ae309e07ff63"},{"elementConfiguration":{"binding":"{{Form.Classification.Confidential}}","visibility":"","removeAndKeepContent":false,"disableUpdates":false,"type":"text"},"type":"richTextContentControl","id":"c505fb7f-c5ff-453b-95af-4051bb4a87b7"}],"transformationConfigurations":[],"templateName":"DAE_Client Report with wordmark","templateDescription":"","enableDocumentContentUpdater":false,"version":"2.0"}]]></TemplafyTemplateConfiguration>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21" ma:contentTypeDescription="Create a new document." ma:contentTypeScope="" ma:versionID="143eefce323d4b336556e954f2b84b20">
  <xsd:schema xmlns:xsd="http://www.w3.org/2001/XMLSchema" xmlns:xs="http://www.w3.org/2001/XMLSchema" xmlns:p="http://schemas.microsoft.com/office/2006/metadata/properties" xmlns:ns2="c5048082-e052-44c2-9313-1529a8e2ac53" xmlns:ns3="97580cac-1a46-464e-a749-263d0beaf9ec" targetNamespace="http://schemas.microsoft.com/office/2006/metadata/properties" ma:root="true" ma:fieldsID="7db9d25bc4473e59a37f84f96dee8977" ns2:_="" ns3:_="">
    <xsd:import namespace="c5048082-e052-44c2-9313-1529a8e2ac53"/>
    <xsd:import namespace="97580cac-1a46-464e-a749-263d0beaf9ec"/>
    <xsd:element name="properties">
      <xsd:complexType>
        <xsd:sequence>
          <xsd:element name="documentManagement">
            <xsd:complexType>
              <xsd:all>
                <xsd:element ref="ns2:NoteOwner"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NoteOwner" ma:index="3" nillable="true" ma:displayName="Note Owner" ma:description="List the Social Group lead officer who is responsible for updating and maintaining this practice note. Update as required should responsibilities change." ma:format="Dropdown" ma:list="UserInfo" ma:SharePointGroup="0" ma:internalName="NoteOwner"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4" nillable="true" ma:displayName="Status" ma:default="Active - BAU" ma:description="Set the current status of this practice note." ma:format="Dropdown" ma:internalName="Status" ma:readOnly="false">
      <xsd:simpleType>
        <xsd:union memberTypes="dms:Text">
          <xsd:simpleType>
            <xsd:restriction base="dms:Choice">
              <xsd:enumeration value="Active - Project"/>
              <xsd:enumeration value="Active - BAU"/>
              <xsd:enumeration value="Archive - completed"/>
              <xsd:enumeration value="Archive - cancelled"/>
            </xsd:restriction>
          </xsd:simpleType>
        </xsd:un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pproval" ma:index="27" nillable="true" ma:displayName="Approval" ma:format="Dropdown" ma:hidden="true" ma:internalName="Approva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f2a011cf-fdcf-495a-b786-5f7dca3b821f}" ma:internalName="TaxCatchAll" ma:readOnly="false" ma:showField="CatchAllData" ma:web="97580cac-1a46-464e-a749-263d0beaf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9C746-F5B9-4983-8A3A-5E4E7E47DC3E}">
  <ds:schemaRefs>
    <ds:schemaRef ds:uri="http://schemas.microsoft.com/office/2006/metadata/properties"/>
    <ds:schemaRef ds:uri="http://schemas.microsoft.com/office/infopath/2007/PartnerControls"/>
    <ds:schemaRef ds:uri="0b6a00a3-c455-4674-87e0-7f23865248b6"/>
  </ds:schemaRefs>
</ds:datastoreItem>
</file>

<file path=customXml/itemProps2.xml><?xml version="1.0" encoding="utf-8"?>
<ds:datastoreItem xmlns:ds="http://schemas.openxmlformats.org/officeDocument/2006/customXml" ds:itemID="{5DA4891B-FFA1-4BB4-AB59-30A0C6CA5456}">
  <ds:schemaRefs>
    <ds:schemaRef ds:uri="http://www.w3.org/2001/XMLSchema"/>
  </ds:schemaRefs>
</ds:datastoreItem>
</file>

<file path=customXml/itemProps3.xml><?xml version="1.0" encoding="utf-8"?>
<ds:datastoreItem xmlns:ds="http://schemas.openxmlformats.org/officeDocument/2006/customXml" ds:itemID="{E7FE40AD-0DFA-41B4-9AA4-EA0A45AE088F}">
  <ds:schemaRefs/>
</ds:datastoreItem>
</file>

<file path=customXml/itemProps4.xml><?xml version="1.0" encoding="utf-8"?>
<ds:datastoreItem xmlns:ds="http://schemas.openxmlformats.org/officeDocument/2006/customXml" ds:itemID="{817AD6EE-B4F5-48B5-9C32-B9C0716BF216}">
  <ds:schemaRefs>
    <ds:schemaRef ds:uri="http://schemas.microsoft.com/sharepoint/v3/contenttype/forms"/>
  </ds:schemaRefs>
</ds:datastoreItem>
</file>

<file path=customXml/itemProps5.xml><?xml version="1.0" encoding="utf-8"?>
<ds:datastoreItem xmlns:ds="http://schemas.openxmlformats.org/officeDocument/2006/customXml" ds:itemID="{DF72D312-4D48-46C9-AC8B-92AA6398047F}">
  <ds:schemaRefs/>
</ds:datastoreItem>
</file>

<file path=customXml/itemProps6.xml><?xml version="1.0" encoding="utf-8"?>
<ds:datastoreItem xmlns:ds="http://schemas.openxmlformats.org/officeDocument/2006/customXml" ds:itemID="{821A25DB-2451-47BB-BC38-4DB013C8072D}">
  <ds:schemaRefs>
    <ds:schemaRef ds:uri="http://schemas.openxmlformats.org/officeDocument/2006/bibliography"/>
  </ds:schemaRefs>
</ds:datastoreItem>
</file>

<file path=customXml/itemProps7.xml><?xml version="1.0" encoding="utf-8"?>
<ds:datastoreItem xmlns:ds="http://schemas.openxmlformats.org/officeDocument/2006/customXml" ds:itemID="{E0EC5F62-DDC2-4B81-8AAD-0AA4156B1150}"/>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Report title – Subject matter of the report</Template>
  <TotalTime>9</TotalTime>
  <Pages>22</Pages>
  <Words>7937</Words>
  <Characters>45242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The economics impact of the BSBL reforms – FINAL</vt:lpstr>
    </vt:vector>
  </TitlesOfParts>
  <Company/>
  <LinksUpToDate>false</LinksUpToDate>
  <CharactersWithSpaces>53073</CharactersWithSpaces>
  <SharedDoc>false</SharedDoc>
  <HLinks>
    <vt:vector size="48" baseType="variant">
      <vt:variant>
        <vt:i4>1507407</vt:i4>
      </vt:variant>
      <vt:variant>
        <vt:i4>279</vt:i4>
      </vt:variant>
      <vt:variant>
        <vt:i4>0</vt:i4>
      </vt:variant>
      <vt:variant>
        <vt:i4>5</vt:i4>
      </vt:variant>
      <vt:variant>
        <vt:lpwstr>http://www.deloitte.com/au/deloitte-access-economics</vt:lpwstr>
      </vt:variant>
      <vt:variant>
        <vt:lpwstr/>
      </vt:variant>
      <vt:variant>
        <vt:i4>3932246</vt:i4>
      </vt:variant>
      <vt:variant>
        <vt:i4>15</vt:i4>
      </vt:variant>
      <vt:variant>
        <vt:i4>0</vt:i4>
      </vt:variant>
      <vt:variant>
        <vt:i4>5</vt:i4>
      </vt:variant>
      <vt:variant>
        <vt:lpwstr>mailto:blodewijks@deloitte.com.au</vt:lpwstr>
      </vt:variant>
      <vt:variant>
        <vt:lpwstr/>
      </vt:variant>
      <vt:variant>
        <vt:i4>3932246</vt:i4>
      </vt:variant>
      <vt:variant>
        <vt:i4>12</vt:i4>
      </vt:variant>
      <vt:variant>
        <vt:i4>0</vt:i4>
      </vt:variant>
      <vt:variant>
        <vt:i4>5</vt:i4>
      </vt:variant>
      <vt:variant>
        <vt:lpwstr>mailto:blodewijks@deloitte.com.au</vt:lpwstr>
      </vt:variant>
      <vt:variant>
        <vt:lpwstr/>
      </vt:variant>
      <vt:variant>
        <vt:i4>6553626</vt:i4>
      </vt:variant>
      <vt:variant>
        <vt:i4>9</vt:i4>
      </vt:variant>
      <vt:variant>
        <vt:i4>0</vt:i4>
      </vt:variant>
      <vt:variant>
        <vt:i4>5</vt:i4>
      </vt:variant>
      <vt:variant>
        <vt:lpwstr>mailto:shuanma@deloitte.com.au</vt:lpwstr>
      </vt:variant>
      <vt:variant>
        <vt:lpwstr/>
      </vt:variant>
      <vt:variant>
        <vt:i4>6553626</vt:i4>
      </vt:variant>
      <vt:variant>
        <vt:i4>6</vt:i4>
      </vt:variant>
      <vt:variant>
        <vt:i4>0</vt:i4>
      </vt:variant>
      <vt:variant>
        <vt:i4>5</vt:i4>
      </vt:variant>
      <vt:variant>
        <vt:lpwstr>mailto:shuanma@deloitte.com.au</vt:lpwstr>
      </vt:variant>
      <vt:variant>
        <vt:lpwstr/>
      </vt:variant>
      <vt:variant>
        <vt:i4>4587528</vt:i4>
      </vt:variant>
      <vt:variant>
        <vt:i4>3</vt:i4>
      </vt:variant>
      <vt:variant>
        <vt:i4>0</vt:i4>
      </vt:variant>
      <vt:variant>
        <vt:i4>5</vt:i4>
      </vt:variant>
      <vt:variant>
        <vt:lpwstr>https://ausdeloitte.sharepoint.com/sites/BSBLChilddevelopmentoutcomes/Shared Documents/General/4. Workshops/Random diagram.pptx?web=1</vt:lpwstr>
      </vt:variant>
      <vt:variant>
        <vt:lpwstr/>
      </vt:variant>
      <vt:variant>
        <vt:i4>6553626</vt:i4>
      </vt:variant>
      <vt:variant>
        <vt:i4>0</vt:i4>
      </vt:variant>
      <vt:variant>
        <vt:i4>0</vt:i4>
      </vt:variant>
      <vt:variant>
        <vt:i4>5</vt:i4>
      </vt:variant>
      <vt:variant>
        <vt:lpwstr>mailto:shuanma@deloitte.com.au</vt:lpwstr>
      </vt:variant>
      <vt:variant>
        <vt:lpwstr/>
      </vt:variant>
      <vt:variant>
        <vt:i4>8257597</vt:i4>
      </vt:variant>
      <vt:variant>
        <vt:i4>0</vt:i4>
      </vt:variant>
      <vt:variant>
        <vt:i4>0</vt:i4>
      </vt:variant>
      <vt:variant>
        <vt:i4>5</vt:i4>
      </vt:variant>
      <vt:variant>
        <vt:lpwstr>https://www.researchgate.net/publication/316284062_Final_report_to_the_Partner_Organisations_for_the_Effective_Early_Education_Experiences_E4Kids_Study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The economics impact of the BSBL reforms</dc:title>
  <dc:subject/>
  <dc:creator>Ma, Christine</dc:creator>
  <cp:keywords/>
  <cp:lastModifiedBy>Lodewijks, Ben</cp:lastModifiedBy>
  <cp:revision>11</cp:revision>
  <cp:lastPrinted>2025-09-25T10:01:00Z</cp:lastPrinted>
  <dcterms:created xsi:type="dcterms:W3CDTF">2025-09-25T08:46:00Z</dcterms:created>
  <dcterms:modified xsi:type="dcterms:W3CDTF">2025-09-25T10:01:00Z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E_Templates">
    <vt:lpwstr>True</vt:lpwstr>
  </property>
  <property fmtid="{D5CDD505-2E9C-101B-9397-08002B2CF9AE}" pid="3" name="FrontpageColorChange">
    <vt:lpwstr>True</vt:lpwstr>
  </property>
  <property fmtid="{D5CDD505-2E9C-101B-9397-08002B2CF9AE}" pid="4" name="TemplafyTimeStamp">
    <vt:lpwstr>2019-04-23T06:49:33.9845782</vt:lpwstr>
  </property>
  <property fmtid="{D5CDD505-2E9C-101B-9397-08002B2CF9AE}" pid="5" name="MSIP_Label_ea60d57e-af5b-4752-ac57-3e4f28ca11dc_Enabled">
    <vt:lpwstr>true</vt:lpwstr>
  </property>
  <property fmtid="{D5CDD505-2E9C-101B-9397-08002B2CF9AE}" pid="6" name="MSIP_Label_ea60d57e-af5b-4752-ac57-3e4f28ca11dc_SetDate">
    <vt:lpwstr>2023-03-16T03:33:05Z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227f07d0-2b6c-4b54-bb72-cad2a2501d90</vt:lpwstr>
  </property>
  <property fmtid="{D5CDD505-2E9C-101B-9397-08002B2CF9AE}" pid="11" name="MSIP_Label_ea60d57e-af5b-4752-ac57-3e4f28ca11dc_ContentBits">
    <vt:lpwstr>0</vt:lpwstr>
  </property>
  <property fmtid="{D5CDD505-2E9C-101B-9397-08002B2CF9AE}" pid="12" name="TemplafyTenantId">
    <vt:lpwstr>deloitteaus</vt:lpwstr>
  </property>
  <property fmtid="{D5CDD505-2E9C-101B-9397-08002B2CF9AE}" pid="13" name="TemplafyTemplateId">
    <vt:lpwstr>636915989739845782</vt:lpwstr>
  </property>
  <property fmtid="{D5CDD505-2E9C-101B-9397-08002B2CF9AE}" pid="14" name="TemplafyUserProfileId">
    <vt:lpwstr>638213559433410630</vt:lpwstr>
  </property>
  <property fmtid="{D5CDD505-2E9C-101B-9397-08002B2CF9AE}" pid="15" name="TemplafyLanguageCode">
    <vt:lpwstr>en-AU</vt:lpwstr>
  </property>
  <property fmtid="{D5CDD505-2E9C-101B-9397-08002B2CF9AE}" pid="16" name="TemplafyFromBlank">
    <vt:bool>false</vt:bool>
  </property>
  <property fmtid="{D5CDD505-2E9C-101B-9397-08002B2CF9AE}" pid="17" name="ContentTypeId">
    <vt:lpwstr>0x01010072AF1AD5AF15524C920CB3BE3D72725D</vt:lpwstr>
  </property>
  <property fmtid="{D5CDD505-2E9C-101B-9397-08002B2CF9AE}" pid="18" name="ClassificationContentMarkingFooterShapeIds">
    <vt:lpwstr>61465279,66ef6004,15062e15,760b78c9,7bd6faf9,6b876d2f,27861bba,3ec3f7d7,5951ff3,245351ed,2d39a0b1,5cc2037,78dccfdb,8db5896,4fb2c4a2</vt:lpwstr>
  </property>
  <property fmtid="{D5CDD505-2E9C-101B-9397-08002B2CF9AE}" pid="19" name="ClassificationContentMarkingFooterFontProps">
    <vt:lpwstr>#000000,11,Calibri</vt:lpwstr>
  </property>
  <property fmtid="{D5CDD505-2E9C-101B-9397-08002B2CF9AE}" pid="20" name="ClassificationContentMarkingFooterText">
    <vt:lpwstr>OFFICIAL: Sensitive</vt:lpwstr>
  </property>
  <property fmtid="{D5CDD505-2E9C-101B-9397-08002B2CF9AE}" pid="21" name="MSIP_Label_17d22cff-4d41-44a1-a7ea-af857521bf50_Enabled">
    <vt:lpwstr>true</vt:lpwstr>
  </property>
  <property fmtid="{D5CDD505-2E9C-101B-9397-08002B2CF9AE}" pid="22" name="MSIP_Label_17d22cff-4d41-44a1-a7ea-af857521bf50_SetDate">
    <vt:lpwstr>2024-09-04T06:35:18Z</vt:lpwstr>
  </property>
  <property fmtid="{D5CDD505-2E9C-101B-9397-08002B2CF9AE}" pid="23" name="MSIP_Label_17d22cff-4d41-44a1-a7ea-af857521bf50_Method">
    <vt:lpwstr>Privileged</vt:lpwstr>
  </property>
  <property fmtid="{D5CDD505-2E9C-101B-9397-08002B2CF9AE}" pid="24" name="MSIP_Label_17d22cff-4d41-44a1-a7ea-af857521bf50_Name">
    <vt:lpwstr>17d22cff-4d41-44a1-a7ea-af857521bf50</vt:lpwstr>
  </property>
  <property fmtid="{D5CDD505-2E9C-101B-9397-08002B2CF9AE}" pid="25" name="MSIP_Label_17d22cff-4d41-44a1-a7ea-af857521bf50_SiteId">
    <vt:lpwstr>722ea0be-3e1c-4b11-ad6f-9401d6856e24</vt:lpwstr>
  </property>
  <property fmtid="{D5CDD505-2E9C-101B-9397-08002B2CF9AE}" pid="26" name="MSIP_Label_17d22cff-4d41-44a1-a7ea-af857521bf50_ActionId">
    <vt:lpwstr>84f248d2-b9ad-4cfa-9941-3cf3ee1a1d67</vt:lpwstr>
  </property>
  <property fmtid="{D5CDD505-2E9C-101B-9397-08002B2CF9AE}" pid="27" name="MSIP_Label_17d22cff-4d41-44a1-a7ea-af857521bf50_ContentBits">
    <vt:lpwstr>2</vt:lpwstr>
  </property>
  <property fmtid="{D5CDD505-2E9C-101B-9397-08002B2CF9AE}" pid="28" name="MediaServiceImageTags">
    <vt:lpwstr/>
  </property>
</Properties>
</file>